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00" w:lineRule="exact"/>
        <w:jc w:val="center"/>
        <w:rPr>
          <w:rFonts w:ascii="宋体" w:hAnsi="宋体" w:cs="宋体"/>
          <w:b/>
          <w:kern w:val="0"/>
          <w:sz w:val="36"/>
          <w:szCs w:val="36"/>
        </w:rPr>
      </w:pPr>
      <w:r>
        <w:rPr>
          <w:rFonts w:hint="eastAsia" w:ascii="宋体" w:hAnsi="宋体" w:cs="宋体"/>
          <w:b/>
          <w:kern w:val="0"/>
          <w:sz w:val="36"/>
          <w:szCs w:val="36"/>
        </w:rPr>
        <w:t>清单编制说明</w:t>
      </w:r>
    </w:p>
    <w:p>
      <w:pPr>
        <w:widowControl/>
        <w:spacing w:line="500" w:lineRule="exact"/>
        <w:jc w:val="center"/>
        <w:rPr>
          <w:rFonts w:ascii="宋体" w:hAnsi="宋体" w:cs="宋体"/>
          <w:b/>
          <w:kern w:val="0"/>
          <w:sz w:val="36"/>
          <w:szCs w:val="36"/>
        </w:rPr>
      </w:pPr>
    </w:p>
    <w:p>
      <w:pPr>
        <w:widowControl/>
        <w:tabs>
          <w:tab w:val="left" w:pos="3060"/>
          <w:tab w:val="left" w:pos="9180"/>
          <w:tab w:val="left" w:pos="9360"/>
        </w:tabs>
        <w:adjustRightInd w:val="0"/>
        <w:spacing w:line="360" w:lineRule="auto"/>
        <w:ind w:left="120" w:leftChars="57" w:right="25" w:rightChars="12" w:firstLine="361" w:firstLineChars="150"/>
        <w:jc w:val="left"/>
        <w:rPr>
          <w:rFonts w:ascii="宋体" w:hAnsi="宋体" w:eastAsia="宋体"/>
          <w:b/>
          <w:bCs/>
          <w:sz w:val="24"/>
          <w:szCs w:val="24"/>
        </w:rPr>
      </w:pPr>
      <w:r>
        <w:rPr>
          <w:rFonts w:hint="eastAsia" w:ascii="宋体" w:hAnsi="宋体" w:eastAsia="宋体"/>
          <w:b/>
          <w:bCs/>
          <w:sz w:val="24"/>
          <w:szCs w:val="24"/>
        </w:rPr>
        <w:t>一、编制范围</w:t>
      </w:r>
    </w:p>
    <w:p>
      <w:pPr>
        <w:widowControl/>
        <w:tabs>
          <w:tab w:val="left" w:pos="3060"/>
          <w:tab w:val="left" w:pos="9180"/>
          <w:tab w:val="left" w:pos="9360"/>
        </w:tabs>
        <w:adjustRightInd w:val="0"/>
        <w:spacing w:line="360" w:lineRule="auto"/>
        <w:ind w:left="120" w:leftChars="57" w:right="25" w:rightChars="12" w:firstLine="360" w:firstLineChars="150"/>
        <w:jc w:val="left"/>
        <w:rPr>
          <w:rFonts w:ascii="宋体" w:hAnsi="宋体" w:eastAsia="宋体"/>
          <w:sz w:val="24"/>
          <w:szCs w:val="24"/>
        </w:rPr>
      </w:pPr>
      <w:r>
        <w:rPr>
          <w:rFonts w:hint="eastAsia" w:ascii="宋体" w:hAnsi="宋体" w:eastAsia="宋体"/>
          <w:sz w:val="24"/>
          <w:szCs w:val="24"/>
        </w:rPr>
        <w:t>本工程编制范围：1#门诊楼、1#医技楼、1#住院楼、2#行政楼、3#传染病楼智能化设备、线缆安装，不包括主机房、容灾机房全部设备、光纤熔接、机房内连接线及机房装修等。</w:t>
      </w:r>
    </w:p>
    <w:p>
      <w:pPr>
        <w:widowControl/>
        <w:tabs>
          <w:tab w:val="left" w:pos="3060"/>
          <w:tab w:val="left" w:pos="9180"/>
          <w:tab w:val="left" w:pos="9360"/>
        </w:tabs>
        <w:adjustRightInd w:val="0"/>
        <w:spacing w:line="360" w:lineRule="auto"/>
        <w:ind w:left="120" w:leftChars="57" w:right="25" w:rightChars="12" w:firstLine="361" w:firstLineChars="150"/>
        <w:jc w:val="left"/>
        <w:rPr>
          <w:rFonts w:ascii="宋体" w:hAnsi="宋体" w:eastAsia="宋体"/>
          <w:b/>
          <w:bCs/>
          <w:sz w:val="24"/>
          <w:szCs w:val="24"/>
        </w:rPr>
      </w:pPr>
      <w:r>
        <w:rPr>
          <w:rFonts w:hint="eastAsia" w:ascii="宋体" w:hAnsi="宋体" w:eastAsia="宋体"/>
          <w:b/>
          <w:bCs/>
          <w:sz w:val="24"/>
          <w:szCs w:val="24"/>
        </w:rPr>
        <w:t>二、编制依据</w:t>
      </w:r>
    </w:p>
    <w:p>
      <w:pPr>
        <w:widowControl/>
        <w:tabs>
          <w:tab w:val="left" w:pos="3060"/>
          <w:tab w:val="left" w:pos="9180"/>
          <w:tab w:val="left" w:pos="9360"/>
        </w:tabs>
        <w:adjustRightInd w:val="0"/>
        <w:spacing w:line="360" w:lineRule="auto"/>
        <w:ind w:left="120" w:leftChars="57" w:right="25" w:rightChars="12" w:firstLine="360" w:firstLineChars="150"/>
        <w:jc w:val="left"/>
        <w:rPr>
          <w:rFonts w:ascii="宋体" w:hAnsi="宋体" w:eastAsia="宋体"/>
          <w:color w:val="000000"/>
          <w:sz w:val="24"/>
          <w:szCs w:val="24"/>
        </w:rPr>
      </w:pPr>
      <w:r>
        <w:rPr>
          <w:rFonts w:hint="eastAsia" w:ascii="宋体" w:hAnsi="宋体" w:eastAsia="宋体"/>
          <w:sz w:val="24"/>
          <w:szCs w:val="24"/>
        </w:rPr>
        <w:t>1、《建设工程工程量清单计价规范》（GB50500-2013版）（浙江省计价表式），《房屋建筑与装饰工程工程量计算规范》（GB50854-2013版），《通用安装工程工程量计算规范》（GB50856-2013版），</w:t>
      </w:r>
      <w:r>
        <w:rPr>
          <w:rFonts w:hint="eastAsia" w:ascii="宋体" w:hAnsi="宋体" w:eastAsia="宋体" w:cs="宋体"/>
          <w:color w:val="000000"/>
          <w:kern w:val="0"/>
          <w:sz w:val="24"/>
          <w:szCs w:val="24"/>
        </w:rPr>
        <w:t>及浙江省有关文件规定、其他相关补充文件编制。</w:t>
      </w:r>
    </w:p>
    <w:p>
      <w:pPr>
        <w:widowControl/>
        <w:tabs>
          <w:tab w:val="left" w:pos="3060"/>
          <w:tab w:val="left" w:pos="9180"/>
          <w:tab w:val="left" w:pos="9360"/>
        </w:tabs>
        <w:spacing w:line="360" w:lineRule="auto"/>
        <w:ind w:right="359" w:rightChars="171" w:firstLine="480" w:firstLineChars="200"/>
        <w:jc w:val="left"/>
        <w:rPr>
          <w:rFonts w:ascii="宋体" w:hAnsi="宋体" w:eastAsia="宋体"/>
          <w:sz w:val="24"/>
          <w:szCs w:val="24"/>
        </w:rPr>
      </w:pPr>
      <w:r>
        <w:rPr>
          <w:rFonts w:ascii="宋体" w:hAnsi="宋体" w:eastAsia="宋体" w:cs="宋体"/>
          <w:kern w:val="0"/>
          <w:sz w:val="24"/>
          <w:szCs w:val="24"/>
        </w:rPr>
        <w:t>2</w:t>
      </w:r>
      <w:r>
        <w:rPr>
          <w:rFonts w:hint="eastAsia" w:ascii="宋体" w:hAnsi="宋体" w:eastAsia="宋体" w:cs="宋体"/>
          <w:kern w:val="0"/>
          <w:sz w:val="24"/>
          <w:szCs w:val="24"/>
        </w:rPr>
        <w:t>、</w:t>
      </w:r>
      <w:r>
        <w:rPr>
          <w:rFonts w:hint="eastAsia" w:ascii="宋体" w:hAnsi="宋体" w:eastAsia="宋体"/>
          <w:sz w:val="24"/>
          <w:szCs w:val="24"/>
        </w:rPr>
        <w:t>《关于增值税调整后我省建设工程计价依据增值税税率及有关计价调整的通知》（浙建建发[2019]92号）。</w:t>
      </w:r>
    </w:p>
    <w:p>
      <w:pPr>
        <w:widowControl/>
        <w:tabs>
          <w:tab w:val="left" w:pos="3060"/>
          <w:tab w:val="left" w:pos="9180"/>
          <w:tab w:val="left" w:pos="9360"/>
        </w:tabs>
        <w:spacing w:line="360" w:lineRule="auto"/>
        <w:ind w:right="359" w:rightChars="171" w:firstLine="480" w:firstLineChars="200"/>
        <w:jc w:val="left"/>
        <w:rPr>
          <w:rFonts w:ascii="宋体" w:hAnsi="宋体" w:eastAsia="宋体" w:cs="宋体"/>
          <w:kern w:val="0"/>
          <w:sz w:val="24"/>
          <w:szCs w:val="24"/>
        </w:rPr>
      </w:pPr>
      <w:r>
        <w:rPr>
          <w:rFonts w:ascii="宋体" w:hAnsi="宋体" w:eastAsia="宋体" w:cs="宋体"/>
          <w:kern w:val="0"/>
          <w:sz w:val="24"/>
          <w:szCs w:val="24"/>
        </w:rPr>
        <w:t>3</w:t>
      </w:r>
      <w:r>
        <w:rPr>
          <w:rFonts w:hint="eastAsia" w:ascii="宋体" w:hAnsi="宋体" w:eastAsia="宋体" w:cs="宋体"/>
          <w:kern w:val="0"/>
          <w:sz w:val="24"/>
          <w:szCs w:val="24"/>
        </w:rPr>
        <w:t>、采用国标清单计价。</w:t>
      </w:r>
    </w:p>
    <w:p>
      <w:pPr>
        <w:widowControl/>
        <w:tabs>
          <w:tab w:val="left" w:pos="3060"/>
          <w:tab w:val="left" w:pos="9180"/>
          <w:tab w:val="left" w:pos="9360"/>
        </w:tabs>
        <w:spacing w:line="360" w:lineRule="auto"/>
        <w:ind w:right="359" w:rightChars="171" w:firstLine="482" w:firstLineChars="200"/>
        <w:jc w:val="left"/>
        <w:rPr>
          <w:rFonts w:ascii="宋体" w:hAnsi="宋体" w:eastAsia="宋体" w:cs="宋体"/>
          <w:b/>
          <w:bCs/>
          <w:kern w:val="0"/>
          <w:sz w:val="24"/>
          <w:szCs w:val="24"/>
        </w:rPr>
      </w:pPr>
      <w:r>
        <w:rPr>
          <w:rFonts w:hint="eastAsia" w:ascii="宋体" w:hAnsi="宋体" w:eastAsia="宋体" w:cs="宋体"/>
          <w:b/>
          <w:bCs/>
          <w:kern w:val="0"/>
          <w:sz w:val="24"/>
          <w:szCs w:val="24"/>
        </w:rPr>
        <w:t>三、编制说明</w:t>
      </w:r>
    </w:p>
    <w:p>
      <w:pPr>
        <w:pStyle w:val="10"/>
        <w:numPr>
          <w:ilvl w:val="0"/>
          <w:numId w:val="1"/>
        </w:numPr>
        <w:spacing w:line="360" w:lineRule="auto"/>
        <w:ind w:firstLineChars="0"/>
        <w:rPr>
          <w:rFonts w:ascii="宋体" w:hAnsi="宋体" w:eastAsia="宋体"/>
          <w:sz w:val="24"/>
          <w:szCs w:val="24"/>
        </w:rPr>
      </w:pPr>
      <w:r>
        <w:rPr>
          <w:rFonts w:hint="eastAsia" w:ascii="宋体" w:hAnsi="宋体" w:eastAsia="宋体"/>
          <w:sz w:val="24"/>
          <w:szCs w:val="24"/>
        </w:rPr>
        <w:t>楼内管路、套管、桥架、封堵、主机房、容灾机房均未计入清单。</w:t>
      </w:r>
    </w:p>
    <w:p>
      <w:pPr>
        <w:pStyle w:val="10"/>
        <w:numPr>
          <w:ilvl w:val="0"/>
          <w:numId w:val="1"/>
        </w:numPr>
        <w:spacing w:line="360" w:lineRule="auto"/>
        <w:ind w:firstLineChars="0"/>
        <w:rPr>
          <w:rFonts w:ascii="宋体" w:hAnsi="宋体" w:eastAsia="宋体"/>
          <w:sz w:val="24"/>
          <w:szCs w:val="24"/>
        </w:rPr>
      </w:pPr>
      <w:r>
        <w:rPr>
          <w:rFonts w:hint="eastAsia" w:ascii="宋体" w:hAnsi="宋体" w:eastAsia="宋体"/>
          <w:sz w:val="24"/>
          <w:szCs w:val="24"/>
        </w:rPr>
        <w:t>跳线、尾纤、耦合器按设计材料表计入。</w:t>
      </w:r>
    </w:p>
    <w:p>
      <w:pPr>
        <w:pStyle w:val="10"/>
        <w:numPr>
          <w:ilvl w:val="0"/>
          <w:numId w:val="1"/>
        </w:numPr>
        <w:spacing w:line="360" w:lineRule="auto"/>
        <w:ind w:firstLineChars="0"/>
        <w:rPr>
          <w:rFonts w:ascii="宋体" w:hAnsi="宋体" w:eastAsia="宋体"/>
          <w:sz w:val="24"/>
          <w:szCs w:val="24"/>
        </w:rPr>
      </w:pPr>
      <w:r>
        <w:rPr>
          <w:rFonts w:hint="eastAsia" w:ascii="宋体" w:hAnsi="宋体" w:eastAsia="宋体"/>
          <w:sz w:val="24"/>
          <w:szCs w:val="24"/>
        </w:rPr>
        <w:t>综合布线系统前端光纤设计按全熔考虑。</w:t>
      </w:r>
    </w:p>
    <w:p>
      <w:pPr>
        <w:pStyle w:val="10"/>
        <w:numPr>
          <w:ilvl w:val="0"/>
          <w:numId w:val="1"/>
        </w:numPr>
        <w:spacing w:line="360" w:lineRule="auto"/>
        <w:ind w:firstLineChars="0"/>
        <w:rPr>
          <w:rFonts w:ascii="宋体" w:hAnsi="宋体" w:eastAsia="宋体"/>
          <w:sz w:val="24"/>
          <w:szCs w:val="24"/>
        </w:rPr>
      </w:pPr>
      <w:r>
        <w:rPr>
          <w:rFonts w:hint="eastAsia" w:ascii="宋体" w:hAnsi="宋体" w:eastAsia="宋体"/>
          <w:sz w:val="24"/>
          <w:szCs w:val="24"/>
        </w:rPr>
        <w:t>前端点位数量以平面图为准计入清单。</w:t>
      </w:r>
    </w:p>
    <w:p>
      <w:pPr>
        <w:pStyle w:val="10"/>
        <w:numPr>
          <w:ilvl w:val="0"/>
          <w:numId w:val="1"/>
        </w:numPr>
        <w:spacing w:line="360" w:lineRule="auto"/>
        <w:ind w:firstLineChars="0"/>
        <w:rPr>
          <w:rFonts w:ascii="宋体" w:hAnsi="宋体" w:eastAsia="宋体"/>
          <w:sz w:val="24"/>
          <w:szCs w:val="24"/>
        </w:rPr>
      </w:pPr>
      <w:r>
        <w:rPr>
          <w:rFonts w:hint="eastAsia" w:ascii="宋体" w:hAnsi="宋体" w:eastAsia="宋体"/>
          <w:sz w:val="24"/>
          <w:szCs w:val="24"/>
        </w:rPr>
        <w:t>监控摄像机采用POE供电，到摄像机的配线只计网线。</w:t>
      </w:r>
    </w:p>
    <w:p>
      <w:pPr>
        <w:pStyle w:val="10"/>
        <w:numPr>
          <w:ilvl w:val="0"/>
          <w:numId w:val="1"/>
        </w:numPr>
        <w:spacing w:line="360" w:lineRule="auto"/>
        <w:ind w:firstLineChars="0"/>
        <w:rPr>
          <w:rFonts w:ascii="宋体" w:hAnsi="宋体" w:eastAsia="宋体"/>
          <w:sz w:val="24"/>
          <w:szCs w:val="24"/>
        </w:rPr>
      </w:pPr>
      <w:r>
        <w:rPr>
          <w:rFonts w:hint="eastAsia" w:ascii="宋体" w:hAnsi="宋体" w:eastAsia="宋体"/>
          <w:sz w:val="24"/>
          <w:szCs w:val="24"/>
        </w:rPr>
        <w:t>1#门诊I</w:t>
      </w:r>
      <w:r>
        <w:rPr>
          <w:rFonts w:ascii="宋体" w:hAnsi="宋体" w:eastAsia="宋体"/>
          <w:sz w:val="24"/>
          <w:szCs w:val="24"/>
        </w:rPr>
        <w:t>CU</w:t>
      </w:r>
      <w:r>
        <w:rPr>
          <w:rFonts w:hint="eastAsia" w:ascii="宋体" w:hAnsi="宋体" w:eastAsia="宋体"/>
          <w:sz w:val="24"/>
          <w:szCs w:val="24"/>
        </w:rPr>
        <w:t>探视系统：探视主机和家属探视终端数量暂定计入。</w:t>
      </w:r>
    </w:p>
    <w:p>
      <w:pPr>
        <w:pStyle w:val="10"/>
        <w:numPr>
          <w:ilvl w:val="0"/>
          <w:numId w:val="1"/>
        </w:numPr>
        <w:spacing w:line="360" w:lineRule="auto"/>
        <w:ind w:firstLineChars="0"/>
        <w:rPr>
          <w:rFonts w:ascii="宋体" w:hAnsi="宋体" w:eastAsia="宋体"/>
          <w:sz w:val="24"/>
          <w:szCs w:val="24"/>
        </w:rPr>
      </w:pPr>
      <w:r>
        <w:rPr>
          <w:rFonts w:hint="eastAsia" w:ascii="宋体" w:hAnsi="宋体" w:eastAsia="宋体"/>
          <w:sz w:val="24"/>
          <w:szCs w:val="24"/>
        </w:rPr>
        <w:t>1#门诊I</w:t>
      </w:r>
      <w:r>
        <w:rPr>
          <w:rFonts w:ascii="宋体" w:hAnsi="宋体" w:eastAsia="宋体"/>
          <w:sz w:val="24"/>
          <w:szCs w:val="24"/>
        </w:rPr>
        <w:t>CU</w:t>
      </w:r>
      <w:r>
        <w:rPr>
          <w:rFonts w:hint="eastAsia" w:ascii="宋体" w:hAnsi="宋体" w:eastAsia="宋体"/>
          <w:sz w:val="24"/>
          <w:szCs w:val="24"/>
        </w:rPr>
        <w:t>探视系统：</w:t>
      </w:r>
      <w:r>
        <w:rPr>
          <w:rFonts w:ascii="宋体" w:hAnsi="宋体" w:eastAsia="宋体"/>
          <w:sz w:val="24"/>
          <w:szCs w:val="24"/>
        </w:rPr>
        <w:t>ICU</w:t>
      </w:r>
      <w:r>
        <w:rPr>
          <w:rFonts w:hint="eastAsia" w:ascii="宋体" w:hAnsi="宋体" w:eastAsia="宋体"/>
          <w:sz w:val="24"/>
          <w:szCs w:val="24"/>
        </w:rPr>
        <w:t xml:space="preserve">全自动探视录制服务器 </w:t>
      </w:r>
      <w:r>
        <w:rPr>
          <w:rFonts w:ascii="宋体" w:hAnsi="宋体" w:eastAsia="宋体"/>
          <w:sz w:val="24"/>
          <w:szCs w:val="24"/>
        </w:rPr>
        <w:t>1</w:t>
      </w:r>
      <w:r>
        <w:rPr>
          <w:rFonts w:hint="eastAsia" w:ascii="宋体" w:hAnsi="宋体" w:eastAsia="宋体"/>
          <w:sz w:val="24"/>
          <w:szCs w:val="24"/>
        </w:rPr>
        <w:t>台由甲方自理，不计入清单。</w:t>
      </w:r>
    </w:p>
    <w:p>
      <w:pPr>
        <w:pStyle w:val="10"/>
        <w:numPr>
          <w:ilvl w:val="0"/>
          <w:numId w:val="1"/>
        </w:numPr>
        <w:spacing w:line="360" w:lineRule="auto"/>
        <w:ind w:firstLineChars="0"/>
        <w:rPr>
          <w:rFonts w:ascii="宋体" w:hAnsi="宋体" w:eastAsia="宋体"/>
          <w:sz w:val="24"/>
          <w:szCs w:val="24"/>
        </w:rPr>
      </w:pPr>
      <w:r>
        <w:rPr>
          <w:rFonts w:hint="eastAsia" w:ascii="宋体" w:hAnsi="宋体" w:eastAsia="宋体"/>
          <w:sz w:val="24"/>
          <w:szCs w:val="24"/>
        </w:rPr>
        <w:t>1#门诊手术示教系统，手术室及示教室设备参照图纸材料表计入，没有平面图，线缆未计入。</w:t>
      </w:r>
    </w:p>
    <w:p>
      <w:pPr>
        <w:pStyle w:val="10"/>
        <w:numPr>
          <w:ilvl w:val="0"/>
          <w:numId w:val="1"/>
        </w:numPr>
        <w:spacing w:line="360" w:lineRule="auto"/>
        <w:ind w:firstLineChars="0"/>
        <w:rPr>
          <w:rFonts w:ascii="宋体" w:hAnsi="宋体" w:eastAsia="宋体"/>
          <w:sz w:val="24"/>
          <w:szCs w:val="24"/>
        </w:rPr>
      </w:pPr>
      <w:r>
        <w:rPr>
          <w:rFonts w:hint="eastAsia" w:ascii="宋体" w:hAnsi="宋体" w:eastAsia="宋体"/>
          <w:sz w:val="24"/>
          <w:szCs w:val="24"/>
        </w:rPr>
        <w:t>1#楼医技三层示教会议系统：图纸材料表配了一台86寸交互式一体机，系统图上无此设备，以系统为准未计入一体机。</w:t>
      </w:r>
    </w:p>
    <w:p>
      <w:pPr>
        <w:pStyle w:val="10"/>
        <w:numPr>
          <w:ilvl w:val="0"/>
          <w:numId w:val="1"/>
        </w:numPr>
        <w:spacing w:line="360" w:lineRule="auto"/>
        <w:ind w:firstLineChars="0"/>
        <w:rPr>
          <w:rFonts w:ascii="宋体" w:hAnsi="宋体" w:eastAsia="宋体"/>
          <w:sz w:val="24"/>
          <w:szCs w:val="24"/>
        </w:rPr>
      </w:pPr>
      <w:r>
        <w:rPr>
          <w:rFonts w:hint="eastAsia" w:ascii="宋体" w:hAnsi="宋体" w:eastAsia="宋体"/>
          <w:sz w:val="24"/>
          <w:szCs w:val="24"/>
        </w:rPr>
        <w:t>1#楼医技二层读片室会议系统：材料表配了22U机柜，系统图为16U，以系统图为准计入。</w:t>
      </w:r>
    </w:p>
    <w:p>
      <w:pPr>
        <w:pStyle w:val="10"/>
        <w:numPr>
          <w:ilvl w:val="0"/>
          <w:numId w:val="1"/>
        </w:numPr>
        <w:spacing w:line="360" w:lineRule="auto"/>
        <w:ind w:firstLineChars="0"/>
        <w:rPr>
          <w:rFonts w:ascii="宋体" w:hAnsi="宋体" w:eastAsia="宋体"/>
          <w:sz w:val="24"/>
          <w:szCs w:val="24"/>
        </w:rPr>
      </w:pPr>
      <w:r>
        <w:rPr>
          <w:rFonts w:hint="eastAsia" w:ascii="宋体" w:hAnsi="宋体" w:eastAsia="宋体"/>
          <w:sz w:val="24"/>
          <w:szCs w:val="24"/>
        </w:rPr>
        <w:t>住院楼能耗系统配线系统图为RVVPS-2*1.5，平面图配线为RVVPS-4*1.0，按平面计入。</w:t>
      </w:r>
    </w:p>
    <w:p>
      <w:pPr>
        <w:pStyle w:val="10"/>
        <w:numPr>
          <w:ilvl w:val="0"/>
          <w:numId w:val="1"/>
        </w:numPr>
        <w:spacing w:line="360" w:lineRule="auto"/>
        <w:ind w:firstLineChars="0"/>
        <w:rPr>
          <w:rFonts w:ascii="宋体" w:hAnsi="宋体" w:eastAsia="宋体"/>
          <w:sz w:val="24"/>
          <w:szCs w:val="24"/>
        </w:rPr>
      </w:pPr>
      <w:r>
        <w:rPr>
          <w:rFonts w:hint="eastAsia" w:ascii="宋体" w:hAnsi="宋体" w:eastAsia="宋体"/>
          <w:sz w:val="24"/>
          <w:szCs w:val="24"/>
        </w:rPr>
        <w:t>住院楼医护对讲到病房门口机的配线平面图为</w:t>
      </w:r>
      <w:r>
        <w:rPr>
          <w:rFonts w:ascii="宋体" w:hAnsi="宋体" w:eastAsia="宋体"/>
          <w:sz w:val="24"/>
          <w:szCs w:val="24"/>
        </w:rPr>
        <w:t>Cat6-4PrUTP</w:t>
      </w:r>
      <w:r>
        <w:rPr>
          <w:rFonts w:hint="eastAsia" w:ascii="宋体" w:hAnsi="宋体" w:eastAsia="宋体"/>
          <w:sz w:val="24"/>
          <w:szCs w:val="24"/>
        </w:rPr>
        <w:t>，系统图为</w:t>
      </w:r>
      <w:r>
        <w:rPr>
          <w:rFonts w:ascii="宋体" w:hAnsi="宋体" w:eastAsia="宋体"/>
          <w:sz w:val="24"/>
          <w:szCs w:val="24"/>
        </w:rPr>
        <w:t>Cat6-4PrUTP</w:t>
      </w:r>
      <w:r>
        <w:rPr>
          <w:rFonts w:hint="eastAsia" w:ascii="宋体" w:hAnsi="宋体" w:eastAsia="宋体"/>
          <w:sz w:val="24"/>
          <w:szCs w:val="24"/>
        </w:rPr>
        <w:t>+</w:t>
      </w:r>
      <w:r>
        <w:rPr>
          <w:rFonts w:ascii="宋体" w:hAnsi="宋体" w:eastAsia="宋体"/>
          <w:sz w:val="24"/>
          <w:szCs w:val="24"/>
        </w:rPr>
        <w:t>RVV-2*1.5</w:t>
      </w:r>
      <w:r>
        <w:rPr>
          <w:rFonts w:hint="eastAsia" w:ascii="宋体" w:hAnsi="宋体" w:eastAsia="宋体"/>
          <w:sz w:val="24"/>
          <w:szCs w:val="24"/>
        </w:rPr>
        <w:t>，按系统计入。</w:t>
      </w:r>
    </w:p>
    <w:p>
      <w:pPr>
        <w:pStyle w:val="10"/>
        <w:numPr>
          <w:ilvl w:val="0"/>
          <w:numId w:val="1"/>
        </w:numPr>
        <w:spacing w:line="360" w:lineRule="auto"/>
        <w:ind w:firstLineChars="0"/>
        <w:rPr>
          <w:rFonts w:ascii="宋体" w:hAnsi="宋体" w:eastAsia="宋体"/>
          <w:sz w:val="24"/>
          <w:szCs w:val="24"/>
        </w:rPr>
      </w:pPr>
      <w:r>
        <w:rPr>
          <w:rFonts w:hint="eastAsia" w:ascii="宋体" w:hAnsi="宋体" w:eastAsia="宋体"/>
          <w:sz w:val="24"/>
          <w:szCs w:val="24"/>
        </w:rPr>
        <w:t>住院楼智能照明系统：2层平面图有智能照明面板，系统图无，以平面为准计入。</w:t>
      </w:r>
    </w:p>
    <w:p>
      <w:pPr>
        <w:pStyle w:val="10"/>
        <w:numPr>
          <w:ilvl w:val="0"/>
          <w:numId w:val="1"/>
        </w:numPr>
        <w:spacing w:line="360" w:lineRule="auto"/>
        <w:ind w:firstLineChars="0"/>
        <w:rPr>
          <w:rFonts w:ascii="宋体" w:hAnsi="宋体" w:eastAsia="宋体"/>
          <w:color w:val="000000" w:themeColor="text1"/>
          <w:sz w:val="24"/>
          <w:szCs w:val="24"/>
          <w14:textFill>
            <w14:solidFill>
              <w14:schemeClr w14:val="tx1"/>
            </w14:solidFill>
          </w14:textFill>
        </w:rPr>
      </w:pPr>
      <w:r>
        <w:rPr>
          <w:rFonts w:hint="eastAsia" w:ascii="宋体" w:hAnsi="宋体" w:eastAsia="宋体"/>
          <w:sz w:val="24"/>
          <w:szCs w:val="24"/>
        </w:rPr>
        <w:t>住院楼一卡通系统图纸材料表有1台指纹考勤机，平面图位置未明确，暂按</w:t>
      </w:r>
      <w:r>
        <w:rPr>
          <w:rFonts w:hint="eastAsia" w:ascii="宋体" w:hAnsi="宋体" w:eastAsia="宋体"/>
          <w:color w:val="000000" w:themeColor="text1"/>
          <w:sz w:val="24"/>
          <w:szCs w:val="24"/>
          <w14:textFill>
            <w14:solidFill>
              <w14:schemeClr w14:val="tx1"/>
            </w14:solidFill>
          </w14:textFill>
        </w:rPr>
        <w:t>住院楼一层大厅和电梯厅附近计算。</w:t>
      </w:r>
    </w:p>
    <w:p>
      <w:pPr>
        <w:pStyle w:val="10"/>
        <w:numPr>
          <w:ilvl w:val="0"/>
          <w:numId w:val="1"/>
        </w:numPr>
        <w:spacing w:line="360" w:lineRule="auto"/>
        <w:ind w:firstLineChars="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住院楼医护对讲每层弱电井E\F分别配置1台12V电源供电病房门口机，共19台计入。</w:t>
      </w:r>
    </w:p>
    <w:p>
      <w:pPr>
        <w:pStyle w:val="10"/>
        <w:numPr>
          <w:ilvl w:val="0"/>
          <w:numId w:val="1"/>
        </w:numPr>
        <w:spacing w:line="360" w:lineRule="auto"/>
        <w:ind w:firstLineChars="0"/>
        <w:rPr>
          <w:rFonts w:ascii="宋体" w:hAnsi="宋体" w:eastAsia="宋体"/>
          <w:sz w:val="24"/>
          <w:szCs w:val="24"/>
        </w:rPr>
      </w:pPr>
      <w:r>
        <w:rPr>
          <w:rFonts w:hint="eastAsia" w:ascii="宋体" w:hAnsi="宋体" w:eastAsia="宋体"/>
          <w:sz w:val="24"/>
          <w:szCs w:val="24"/>
        </w:rPr>
        <w:t>各楼栋巡更点数量分别按40个计入，1#门诊巡更机按2个计入。</w:t>
      </w:r>
    </w:p>
    <w:p>
      <w:pPr>
        <w:pStyle w:val="10"/>
        <w:numPr>
          <w:ilvl w:val="0"/>
          <w:numId w:val="1"/>
        </w:numPr>
        <w:spacing w:line="360" w:lineRule="auto"/>
        <w:ind w:firstLineChars="0"/>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#传染病排队叫号系统图上医生工作站属办公设备，不计入清单。</w:t>
      </w:r>
    </w:p>
    <w:p>
      <w:pPr>
        <w:pStyle w:val="10"/>
        <w:numPr>
          <w:ilvl w:val="0"/>
          <w:numId w:val="1"/>
        </w:numPr>
        <w:spacing w:line="360" w:lineRule="auto"/>
        <w:ind w:firstLineChars="0"/>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#传染病</w:t>
      </w:r>
      <w:r>
        <w:rPr>
          <w:rFonts w:hint="eastAsia" w:ascii="宋体" w:hAnsi="宋体" w:eastAsia="宋体"/>
          <w:color w:val="000000" w:themeColor="text1"/>
          <w:sz w:val="24"/>
          <w:szCs w:val="24"/>
          <w14:textFill>
            <w14:solidFill>
              <w14:schemeClr w14:val="tx1"/>
            </w14:solidFill>
          </w14:textFill>
        </w:rPr>
        <w:t>医护对讲每层弱电井配置1台12V电源供电病房门口机，共2台计入。</w:t>
      </w:r>
    </w:p>
    <w:p>
      <w:pPr>
        <w:pStyle w:val="10"/>
        <w:numPr>
          <w:ilvl w:val="0"/>
          <w:numId w:val="1"/>
        </w:numPr>
        <w:spacing w:line="360" w:lineRule="auto"/>
        <w:ind w:firstLineChars="0"/>
        <w:rPr>
          <w:rFonts w:ascii="宋体" w:hAnsi="宋体" w:eastAsia="宋体"/>
          <w:sz w:val="24"/>
          <w:szCs w:val="24"/>
        </w:rPr>
      </w:pPr>
      <w:r>
        <w:rPr>
          <w:rFonts w:hint="eastAsia" w:ascii="宋体" w:hAnsi="宋体" w:eastAsia="宋体"/>
          <w:color w:val="000000" w:themeColor="text1"/>
          <w:sz w:val="24"/>
          <w:szCs w:val="24"/>
          <w14:textFill>
            <w14:solidFill>
              <w14:schemeClr w14:val="tx1"/>
            </w14:solidFill>
          </w14:textFill>
        </w:rPr>
        <w:t>综合布线系统：</w:t>
      </w:r>
      <w:r>
        <w:rPr>
          <w:rFonts w:ascii="宋体" w:hAnsi="宋体" w:eastAsia="宋体"/>
          <w:color w:val="000000" w:themeColor="text1"/>
          <w:sz w:val="24"/>
          <w:szCs w:val="24"/>
          <w14:textFill>
            <w14:solidFill>
              <w14:schemeClr w14:val="tx1"/>
            </w14:solidFill>
          </w14:textFill>
        </w:rPr>
        <w:t>6类非屏蔽跳线(2米）</w:t>
      </w:r>
      <w:r>
        <w:rPr>
          <w:rFonts w:hint="eastAsia" w:ascii="宋体" w:hAnsi="宋体" w:eastAsia="宋体"/>
          <w:color w:val="000000" w:themeColor="text1"/>
          <w:sz w:val="24"/>
          <w:szCs w:val="24"/>
          <w14:textFill>
            <w14:solidFill>
              <w14:schemeClr w14:val="tx1"/>
            </w14:solidFill>
          </w14:textFill>
        </w:rPr>
        <w:t>管理间跳线统一按前端接入量的75%计入。</w:t>
      </w:r>
    </w:p>
    <w:p>
      <w:pPr>
        <w:pStyle w:val="10"/>
        <w:numPr>
          <w:ilvl w:val="0"/>
          <w:numId w:val="1"/>
        </w:numPr>
        <w:spacing w:line="360" w:lineRule="auto"/>
        <w:ind w:firstLineChars="0"/>
        <w:rPr>
          <w:rFonts w:ascii="宋体" w:hAnsi="宋体" w:eastAsia="宋体"/>
          <w:sz w:val="24"/>
          <w:szCs w:val="24"/>
        </w:rPr>
      </w:pPr>
      <w:r>
        <w:rPr>
          <w:rFonts w:hint="eastAsia" w:ascii="宋体" w:hAnsi="宋体" w:eastAsia="宋体"/>
          <w:sz w:val="24"/>
          <w:szCs w:val="24"/>
        </w:rPr>
        <w:t>行政楼：材料表里有</w:t>
      </w:r>
      <w:r>
        <w:rPr>
          <w:rFonts w:ascii="宋体" w:hAnsi="宋体" w:eastAsia="宋体"/>
          <w:sz w:val="24"/>
          <w:szCs w:val="24"/>
        </w:rPr>
        <w:t>显示设备2.5平LED屏幕</w:t>
      </w:r>
      <w:r>
        <w:rPr>
          <w:rFonts w:hint="eastAsia" w:ascii="宋体" w:hAnsi="宋体" w:eastAsia="宋体"/>
          <w:sz w:val="24"/>
          <w:szCs w:val="24"/>
        </w:rPr>
        <w:t>，无平面图和系统图，未计入清单。</w:t>
      </w:r>
    </w:p>
    <w:p>
      <w:pPr>
        <w:pStyle w:val="10"/>
        <w:numPr>
          <w:ilvl w:val="0"/>
          <w:numId w:val="1"/>
        </w:numPr>
        <w:spacing w:line="360" w:lineRule="auto"/>
        <w:ind w:firstLineChars="0"/>
        <w:rPr>
          <w:rFonts w:ascii="宋体" w:hAnsi="宋体" w:eastAsia="宋体"/>
          <w:sz w:val="24"/>
          <w:szCs w:val="24"/>
        </w:rPr>
      </w:pPr>
      <w:r>
        <w:rPr>
          <w:rFonts w:hint="eastAsia" w:ascii="宋体" w:hAnsi="宋体" w:eastAsia="宋体"/>
          <w:sz w:val="24"/>
          <w:szCs w:val="24"/>
        </w:rPr>
        <w:t>手术示教系统不计入清单。</w:t>
      </w:r>
    </w:p>
    <w:p>
      <w:pPr>
        <w:pStyle w:val="10"/>
        <w:spacing w:line="360" w:lineRule="auto"/>
        <w:ind w:left="0" w:leftChars="0" w:firstLine="0" w:firstLineChars="0"/>
        <w:rPr>
          <w:rFonts w:ascii="宋体" w:hAnsi="宋体" w:eastAsia="宋体"/>
          <w:sz w:val="24"/>
          <w:szCs w:val="24"/>
        </w:rPr>
      </w:pPr>
    </w:p>
    <w:p>
      <w:pPr>
        <w:widowControl/>
        <w:tabs>
          <w:tab w:val="left" w:pos="3060"/>
          <w:tab w:val="left" w:pos="9180"/>
          <w:tab w:val="left" w:pos="9360"/>
        </w:tabs>
        <w:spacing w:line="360" w:lineRule="auto"/>
        <w:ind w:right="359" w:rightChars="171" w:firstLine="482" w:firstLineChars="200"/>
        <w:jc w:val="left"/>
        <w:rPr>
          <w:rFonts w:ascii="宋体" w:hAnsi="宋体" w:eastAsia="宋体" w:cs="宋体"/>
          <w:b/>
          <w:bCs/>
          <w:kern w:val="0"/>
          <w:sz w:val="24"/>
          <w:szCs w:val="24"/>
        </w:rPr>
      </w:pPr>
      <w:r>
        <w:rPr>
          <w:rFonts w:hint="eastAsia" w:ascii="宋体" w:hAnsi="宋体" w:eastAsia="宋体" w:cs="宋体"/>
          <w:b/>
          <w:bCs/>
          <w:kern w:val="0"/>
          <w:sz w:val="24"/>
          <w:szCs w:val="24"/>
        </w:rPr>
        <w:t>四、推荐品牌</w:t>
      </w:r>
    </w:p>
    <w:p>
      <w:pPr>
        <w:pStyle w:val="10"/>
        <w:spacing w:line="360" w:lineRule="auto"/>
        <w:ind w:left="360" w:firstLine="0" w:firstLineChars="0"/>
        <w:rPr>
          <w:rFonts w:ascii="宋体" w:hAnsi="宋体" w:eastAsia="宋体"/>
          <w:sz w:val="24"/>
          <w:szCs w:val="24"/>
        </w:rPr>
      </w:pPr>
    </w:p>
    <w:p>
      <w:pPr>
        <w:spacing w:line="400" w:lineRule="exact"/>
        <w:jc w:val="center"/>
        <w:rPr>
          <w:rFonts w:ascii="宋体" w:hAnsi="宋体" w:cs="宋体"/>
          <w:b/>
          <w:bCs/>
          <w:sz w:val="28"/>
          <w:szCs w:val="28"/>
        </w:rPr>
      </w:pPr>
    </w:p>
    <w:p>
      <w:pPr>
        <w:spacing w:line="400" w:lineRule="exact"/>
        <w:jc w:val="center"/>
        <w:rPr>
          <w:rFonts w:ascii="宋体" w:hAnsi="宋体" w:cs="宋体"/>
          <w:b/>
          <w:bCs/>
          <w:sz w:val="28"/>
          <w:szCs w:val="28"/>
        </w:rPr>
      </w:pPr>
      <w:r>
        <w:rPr>
          <w:rFonts w:hint="eastAsia" w:ascii="宋体" w:hAnsi="宋体" w:cs="宋体"/>
          <w:b/>
          <w:bCs/>
          <w:sz w:val="28"/>
          <w:szCs w:val="28"/>
        </w:rPr>
        <w:t>平阳县中医院（新院）智能化一期推荐品牌表</w:t>
      </w:r>
    </w:p>
    <w:tbl>
      <w:tblPr>
        <w:tblStyle w:val="6"/>
        <w:tblW w:w="7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24"/>
        <w:gridCol w:w="3034"/>
        <w:gridCol w:w="2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bCs/>
                <w:szCs w:val="21"/>
              </w:rPr>
            </w:pPr>
            <w:r>
              <w:rPr>
                <w:rFonts w:hint="eastAsia" w:ascii="宋体" w:hAnsi="宋体"/>
                <w:b/>
                <w:bCs/>
                <w:szCs w:val="21"/>
              </w:rPr>
              <w:t>序号</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bCs/>
                <w:szCs w:val="21"/>
              </w:rPr>
            </w:pPr>
            <w:r>
              <w:rPr>
                <w:rFonts w:hint="eastAsia" w:ascii="宋体" w:hAnsi="宋体"/>
                <w:b/>
                <w:bCs/>
                <w:szCs w:val="21"/>
              </w:rPr>
              <w:t>系统名称</w:t>
            </w:r>
          </w:p>
        </w:tc>
        <w:tc>
          <w:tcPr>
            <w:tcW w:w="30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bCs/>
                <w:szCs w:val="21"/>
              </w:rPr>
            </w:pPr>
            <w:r>
              <w:rPr>
                <w:rFonts w:hint="eastAsia" w:ascii="宋体" w:hAnsi="宋体"/>
                <w:b/>
                <w:bCs/>
                <w:szCs w:val="21"/>
              </w:rPr>
              <w:t>子 项</w:t>
            </w:r>
          </w:p>
        </w:tc>
        <w:tc>
          <w:tcPr>
            <w:tcW w:w="276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bCs/>
                <w:sz w:val="20"/>
                <w:szCs w:val="20"/>
              </w:rPr>
            </w:pPr>
            <w:r>
              <w:rPr>
                <w:rFonts w:hint="eastAsia" w:ascii="宋体" w:hAnsi="宋体"/>
                <w:b/>
                <w:bCs/>
                <w:sz w:val="20"/>
                <w:szCs w:val="20"/>
              </w:rPr>
              <w:t>专家推荐品牌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1</w:t>
            </w:r>
          </w:p>
        </w:tc>
        <w:tc>
          <w:tcPr>
            <w:tcW w:w="4258" w:type="dxa"/>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综合布线系统</w:t>
            </w:r>
          </w:p>
        </w:tc>
        <w:tc>
          <w:tcPr>
            <w:tcW w:w="2765"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bCs/>
                <w:sz w:val="20"/>
                <w:szCs w:val="20"/>
              </w:rPr>
              <w:t>康普(</w:t>
            </w:r>
            <w:r>
              <w:rPr>
                <w:rFonts w:ascii="宋体" w:hAnsi="宋体"/>
                <w:bCs/>
                <w:sz w:val="20"/>
                <w:szCs w:val="20"/>
              </w:rPr>
              <w:t>CommScope</w:t>
            </w:r>
            <w:r>
              <w:rPr>
                <w:rFonts w:hint="eastAsia" w:ascii="宋体" w:hAnsi="宋体"/>
                <w:bCs/>
                <w:sz w:val="20"/>
                <w:szCs w:val="20"/>
              </w:rPr>
              <w:t>)、</w:t>
            </w:r>
            <w:r>
              <w:rPr>
                <w:rFonts w:ascii="宋体" w:hAnsi="宋体"/>
                <w:bCs/>
                <w:sz w:val="20"/>
                <w:szCs w:val="20"/>
              </w:rPr>
              <w:t>SIEMON</w:t>
            </w:r>
            <w:r>
              <w:rPr>
                <w:rFonts w:hint="eastAsia" w:ascii="宋体" w:hAnsi="宋体"/>
                <w:bCs/>
                <w:sz w:val="20"/>
                <w:szCs w:val="20"/>
              </w:rPr>
              <w:t>、</w:t>
            </w:r>
            <w:r>
              <w:rPr>
                <w:rFonts w:hint="eastAsia" w:ascii="宋体" w:hAnsi="宋体"/>
                <w:sz w:val="20"/>
                <w:szCs w:val="20"/>
              </w:rPr>
              <w:t>泛达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2</w:t>
            </w:r>
          </w:p>
        </w:tc>
        <w:tc>
          <w:tcPr>
            <w:tcW w:w="4258" w:type="dxa"/>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公共广播系统</w:t>
            </w:r>
          </w:p>
        </w:tc>
        <w:tc>
          <w:tcPr>
            <w:tcW w:w="2765"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bCs/>
                <w:sz w:val="20"/>
                <w:szCs w:val="20"/>
              </w:rPr>
              <w:t>TOA、博世、霍尼韦尔、</w:t>
            </w:r>
            <w:r>
              <w:rPr>
                <w:rFonts w:hint="eastAsia" w:ascii="宋体" w:hAnsi="宋体"/>
                <w:sz w:val="20"/>
                <w:szCs w:val="20"/>
              </w:rPr>
              <w:t>D</w:t>
            </w:r>
            <w:r>
              <w:rPr>
                <w:rFonts w:ascii="宋体" w:hAnsi="宋体"/>
                <w:sz w:val="20"/>
                <w:szCs w:val="20"/>
              </w:rPr>
              <w:t>SPPA</w:t>
            </w:r>
            <w:r>
              <w:rPr>
                <w:rFonts w:hint="eastAsia" w:ascii="宋体" w:hAnsi="宋体"/>
                <w:sz w:val="20"/>
                <w:szCs w:val="20"/>
              </w:rPr>
              <w:t>、I</w:t>
            </w:r>
            <w:r>
              <w:rPr>
                <w:rFonts w:ascii="宋体" w:hAnsi="宋体"/>
                <w:sz w:val="20"/>
                <w:szCs w:val="20"/>
              </w:rPr>
              <w:t>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3</w:t>
            </w:r>
          </w:p>
        </w:tc>
        <w:tc>
          <w:tcPr>
            <w:tcW w:w="4258" w:type="dxa"/>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楼宇自动化系统</w:t>
            </w:r>
          </w:p>
        </w:tc>
        <w:tc>
          <w:tcPr>
            <w:tcW w:w="2765"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bCs/>
                <w:sz w:val="20"/>
                <w:szCs w:val="20"/>
              </w:rPr>
              <w:t>西门子</w:t>
            </w:r>
            <w:r>
              <w:rPr>
                <w:rFonts w:ascii="宋体" w:hAnsi="宋体"/>
                <w:bCs/>
                <w:sz w:val="20"/>
                <w:szCs w:val="20"/>
              </w:rPr>
              <w:t>Apogee</w:t>
            </w:r>
            <w:r>
              <w:rPr>
                <w:rFonts w:hint="eastAsia" w:ascii="宋体" w:hAnsi="宋体"/>
                <w:bCs/>
                <w:sz w:val="20"/>
                <w:szCs w:val="20"/>
              </w:rPr>
              <w:t>系列、霍尼韦尔</w:t>
            </w:r>
            <w:r>
              <w:rPr>
                <w:rFonts w:ascii="宋体" w:hAnsi="宋体"/>
                <w:bCs/>
                <w:sz w:val="20"/>
                <w:szCs w:val="20"/>
              </w:rPr>
              <w:t>Alerton</w:t>
            </w:r>
            <w:r>
              <w:rPr>
                <w:rFonts w:hint="eastAsia" w:ascii="宋体" w:hAnsi="宋体"/>
                <w:bCs/>
                <w:sz w:val="20"/>
                <w:szCs w:val="20"/>
              </w:rPr>
              <w:t>系列、</w:t>
            </w:r>
            <w:r>
              <w:rPr>
                <w:rFonts w:hint="eastAsia" w:ascii="宋体" w:hAnsi="宋体"/>
                <w:sz w:val="20"/>
                <w:szCs w:val="20"/>
              </w:rPr>
              <w:t>施耐德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ind w:firstLine="210" w:firstLineChars="100"/>
              <w:rPr>
                <w:rFonts w:ascii="宋体" w:hAnsi="宋体"/>
                <w:szCs w:val="21"/>
              </w:rPr>
            </w:pPr>
            <w:r>
              <w:rPr>
                <w:rFonts w:hint="eastAsia" w:ascii="宋体" w:hAnsi="宋体"/>
                <w:szCs w:val="21"/>
              </w:rPr>
              <w:t>4</w:t>
            </w:r>
          </w:p>
        </w:tc>
        <w:tc>
          <w:tcPr>
            <w:tcW w:w="4258" w:type="dxa"/>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安全防范系统</w:t>
            </w:r>
          </w:p>
        </w:tc>
        <w:tc>
          <w:tcPr>
            <w:tcW w:w="2765"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Cs/>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4" w:type="dxa"/>
            <w:vMerge w:val="restart"/>
            <w:tcBorders>
              <w:top w:val="single" w:color="auto" w:sz="4" w:space="0"/>
              <w:left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 xml:space="preserve">  1）</w:t>
            </w:r>
          </w:p>
        </w:tc>
        <w:tc>
          <w:tcPr>
            <w:tcW w:w="1224" w:type="dxa"/>
            <w:vMerge w:val="restart"/>
            <w:tcBorders>
              <w:top w:val="single" w:color="auto" w:sz="4" w:space="0"/>
              <w:left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视频监控系统</w:t>
            </w: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摄像机、存储、平台控制</w:t>
            </w:r>
          </w:p>
        </w:tc>
        <w:tc>
          <w:tcPr>
            <w:tcW w:w="2765"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sz w:val="20"/>
                <w:szCs w:val="20"/>
              </w:rPr>
              <w:t>宇视、海康、大华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634" w:type="dxa"/>
            <w:vMerge w:val="continue"/>
            <w:tcBorders>
              <w:left w:val="single" w:color="auto" w:sz="4" w:space="0"/>
              <w:right w:val="single" w:color="auto" w:sz="4" w:space="0"/>
            </w:tcBorders>
            <w:noWrap w:val="0"/>
            <w:vAlign w:val="center"/>
          </w:tcPr>
          <w:p>
            <w:pPr>
              <w:widowControl/>
              <w:jc w:val="center"/>
              <w:rPr>
                <w:rFonts w:ascii="宋体" w:hAnsi="宋体"/>
                <w:szCs w:val="21"/>
              </w:rPr>
            </w:pPr>
          </w:p>
        </w:tc>
        <w:tc>
          <w:tcPr>
            <w:tcW w:w="1224" w:type="dxa"/>
            <w:vMerge w:val="continue"/>
            <w:tcBorders>
              <w:left w:val="single" w:color="auto" w:sz="4" w:space="0"/>
              <w:right w:val="single" w:color="auto" w:sz="4" w:space="0"/>
            </w:tcBorders>
            <w:noWrap w:val="0"/>
            <w:vAlign w:val="center"/>
          </w:tcPr>
          <w:p>
            <w:pPr>
              <w:rPr>
                <w:rFonts w:hint="eastAsia" w:ascii="宋体" w:hAnsi="宋体"/>
                <w:bCs/>
                <w:sz w:val="20"/>
                <w:szCs w:val="20"/>
              </w:rPr>
            </w:p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大屏显示设备</w:t>
            </w:r>
          </w:p>
        </w:tc>
        <w:tc>
          <w:tcPr>
            <w:tcW w:w="2765" w:type="dxa"/>
            <w:tcBorders>
              <w:top w:val="single" w:color="auto" w:sz="4" w:space="0"/>
              <w:left w:val="single" w:color="auto" w:sz="4" w:space="0"/>
              <w:right w:val="single" w:color="auto" w:sz="4" w:space="0"/>
            </w:tcBorders>
            <w:noWrap w:val="0"/>
            <w:vAlign w:val="top"/>
          </w:tcPr>
          <w:p>
            <w:pPr>
              <w:rPr>
                <w:rFonts w:hint="eastAsia" w:ascii="宋体" w:hAnsi="宋体"/>
                <w:bCs/>
                <w:sz w:val="20"/>
                <w:szCs w:val="20"/>
              </w:rPr>
            </w:pPr>
            <w:r>
              <w:rPr>
                <w:rFonts w:hint="eastAsia"/>
                <w:bCs/>
                <w:sz w:val="20"/>
                <w:szCs w:val="20"/>
              </w:rPr>
              <w:t>宇视、海康、大华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34" w:type="dxa"/>
            <w:vMerge w:val="continue"/>
            <w:tcBorders>
              <w:left w:val="single" w:color="auto" w:sz="4" w:space="0"/>
              <w:right w:val="single" w:color="auto" w:sz="4" w:space="0"/>
            </w:tcBorders>
            <w:noWrap w:val="0"/>
            <w:vAlign w:val="center"/>
          </w:tcPr>
          <w:p>
            <w:pPr>
              <w:widowControl/>
              <w:jc w:val="center"/>
              <w:rPr>
                <w:rFonts w:ascii="宋体" w:hAnsi="宋体"/>
                <w:szCs w:val="21"/>
              </w:rPr>
            </w:pPr>
          </w:p>
        </w:tc>
        <w:tc>
          <w:tcPr>
            <w:tcW w:w="1224" w:type="dxa"/>
            <w:vMerge w:val="continue"/>
            <w:tcBorders>
              <w:left w:val="single" w:color="auto" w:sz="4" w:space="0"/>
              <w:right w:val="single" w:color="auto" w:sz="4" w:space="0"/>
            </w:tcBorders>
            <w:noWrap w:val="0"/>
            <w:vAlign w:val="center"/>
          </w:tcPr>
          <w:p>
            <w:pPr>
              <w:rPr>
                <w:rFonts w:hint="eastAsia" w:ascii="宋体" w:hAnsi="宋体"/>
                <w:bCs/>
                <w:sz w:val="20"/>
                <w:szCs w:val="20"/>
              </w:rPr>
            </w:p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监视器</w:t>
            </w:r>
          </w:p>
        </w:tc>
        <w:tc>
          <w:tcPr>
            <w:tcW w:w="2765" w:type="dxa"/>
            <w:tcBorders>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sz w:val="20"/>
                <w:szCs w:val="20"/>
              </w:rPr>
              <w:t>HP、联想、DELL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34" w:type="dxa"/>
            <w:vMerge w:val="continue"/>
            <w:tcBorders>
              <w:left w:val="single" w:color="auto" w:sz="4" w:space="0"/>
              <w:right w:val="single" w:color="auto" w:sz="4" w:space="0"/>
            </w:tcBorders>
            <w:noWrap w:val="0"/>
            <w:vAlign w:val="center"/>
          </w:tcPr>
          <w:p>
            <w:pPr>
              <w:widowControl/>
              <w:jc w:val="center"/>
              <w:rPr>
                <w:rFonts w:ascii="宋体" w:hAnsi="宋体"/>
                <w:szCs w:val="21"/>
              </w:rPr>
            </w:pPr>
          </w:p>
        </w:tc>
        <w:tc>
          <w:tcPr>
            <w:tcW w:w="1224" w:type="dxa"/>
            <w:vMerge w:val="continue"/>
            <w:tcBorders>
              <w:left w:val="single" w:color="auto" w:sz="4" w:space="0"/>
              <w:right w:val="single" w:color="auto" w:sz="4" w:space="0"/>
            </w:tcBorders>
            <w:noWrap w:val="0"/>
            <w:vAlign w:val="center"/>
          </w:tcPr>
          <w:p>
            <w:pPr>
              <w:rPr>
                <w:rFonts w:hint="eastAsia" w:ascii="宋体" w:hAnsi="宋体"/>
                <w:bCs/>
                <w:sz w:val="20"/>
                <w:szCs w:val="20"/>
              </w:rPr>
            </w:p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数字布线</w:t>
            </w:r>
          </w:p>
        </w:tc>
        <w:tc>
          <w:tcPr>
            <w:tcW w:w="2765"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bCs/>
                <w:sz w:val="20"/>
                <w:szCs w:val="20"/>
              </w:rPr>
              <w:t>康普(</w:t>
            </w:r>
            <w:r>
              <w:rPr>
                <w:rFonts w:ascii="宋体" w:hAnsi="宋体"/>
                <w:bCs/>
                <w:sz w:val="20"/>
                <w:szCs w:val="20"/>
              </w:rPr>
              <w:t>CommScope</w:t>
            </w:r>
            <w:r>
              <w:rPr>
                <w:rFonts w:hint="eastAsia" w:ascii="宋体" w:hAnsi="宋体"/>
                <w:bCs/>
                <w:sz w:val="20"/>
                <w:szCs w:val="20"/>
              </w:rPr>
              <w:t>)、</w:t>
            </w:r>
            <w:r>
              <w:rPr>
                <w:rFonts w:ascii="宋体" w:hAnsi="宋体"/>
                <w:bCs/>
                <w:sz w:val="20"/>
                <w:szCs w:val="20"/>
              </w:rPr>
              <w:t>SIEMON</w:t>
            </w:r>
            <w:r>
              <w:rPr>
                <w:rFonts w:hint="eastAsia" w:ascii="宋体" w:hAnsi="宋体"/>
                <w:bCs/>
                <w:sz w:val="20"/>
                <w:szCs w:val="20"/>
              </w:rPr>
              <w:t>、</w:t>
            </w:r>
            <w:r>
              <w:rPr>
                <w:rFonts w:hint="eastAsia" w:ascii="宋体" w:hAnsi="宋体"/>
                <w:sz w:val="20"/>
                <w:szCs w:val="20"/>
              </w:rPr>
              <w:t>泛达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 xml:space="preserve">  2）</w:t>
            </w:r>
          </w:p>
        </w:tc>
        <w:tc>
          <w:tcPr>
            <w:tcW w:w="4258" w:type="dxa"/>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入侵报警系统</w:t>
            </w:r>
          </w:p>
        </w:tc>
        <w:tc>
          <w:tcPr>
            <w:tcW w:w="2765"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bCs/>
                <w:sz w:val="20"/>
                <w:szCs w:val="20"/>
              </w:rPr>
              <w:t>海康、</w:t>
            </w:r>
            <w:r>
              <w:rPr>
                <w:rFonts w:hint="eastAsia" w:ascii="宋体" w:hAnsi="宋体"/>
                <w:sz w:val="20"/>
                <w:szCs w:val="20"/>
              </w:rPr>
              <w:t>大华、希锐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634" w:type="dxa"/>
            <w:vMerge w:val="restart"/>
            <w:tcBorders>
              <w:top w:val="single" w:color="auto" w:sz="4" w:space="0"/>
              <w:left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5</w:t>
            </w:r>
          </w:p>
        </w:tc>
        <w:tc>
          <w:tcPr>
            <w:tcW w:w="1224" w:type="dxa"/>
            <w:vMerge w:val="restart"/>
            <w:tcBorders>
              <w:top w:val="single" w:color="auto" w:sz="4" w:space="0"/>
              <w:left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一卡通系统</w:t>
            </w: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门禁系统</w:t>
            </w:r>
          </w:p>
        </w:tc>
        <w:tc>
          <w:tcPr>
            <w:tcW w:w="2765" w:type="dxa"/>
            <w:tcBorders>
              <w:top w:val="single" w:color="auto" w:sz="4" w:space="0"/>
              <w:left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bCs/>
                <w:sz w:val="20"/>
                <w:szCs w:val="20"/>
              </w:rPr>
              <w:t>富士、立方、</w:t>
            </w:r>
            <w:r>
              <w:rPr>
                <w:rFonts w:hint="eastAsia" w:ascii="宋体" w:hAnsi="宋体"/>
                <w:sz w:val="20"/>
                <w:szCs w:val="20"/>
              </w:rPr>
              <w:t>正元</w:t>
            </w:r>
            <w:r>
              <w:rPr>
                <w:rFonts w:hint="eastAsia" w:ascii="宋体" w:hAnsi="宋体"/>
                <w:bCs/>
                <w:sz w:val="20"/>
                <w:szCs w:val="20"/>
              </w:rPr>
              <w:t>、海康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634" w:type="dxa"/>
            <w:vMerge w:val="continue"/>
            <w:tcBorders>
              <w:left w:val="single" w:color="auto" w:sz="4" w:space="0"/>
              <w:right w:val="single" w:color="auto" w:sz="4" w:space="0"/>
            </w:tcBorders>
            <w:noWrap w:val="0"/>
            <w:vAlign w:val="center"/>
          </w:tcPr>
          <w:p>
            <w:pPr>
              <w:jc w:val="center"/>
              <w:rPr>
                <w:rFonts w:ascii="宋体" w:hAnsi="宋体"/>
                <w:szCs w:val="21"/>
              </w:rPr>
            </w:pPr>
          </w:p>
        </w:tc>
        <w:tc>
          <w:tcPr>
            <w:tcW w:w="1224" w:type="dxa"/>
            <w:vMerge w:val="continue"/>
            <w:tcBorders>
              <w:left w:val="single" w:color="auto" w:sz="4" w:space="0"/>
              <w:right w:val="single" w:color="auto" w:sz="4" w:space="0"/>
            </w:tcBorders>
            <w:noWrap w:val="0"/>
            <w:vAlign w:val="center"/>
          </w:tcPr>
          <w:p>
            <w:pPr>
              <w:rPr>
                <w:rFonts w:hint="eastAsia" w:ascii="宋体" w:hAnsi="宋体"/>
                <w:bCs/>
                <w:sz w:val="20"/>
                <w:szCs w:val="20"/>
              </w:rPr>
            </w:p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停车场管理系统</w:t>
            </w:r>
          </w:p>
        </w:tc>
        <w:tc>
          <w:tcPr>
            <w:tcW w:w="2765" w:type="dxa"/>
            <w:tcBorders>
              <w:left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bCs/>
                <w:sz w:val="20"/>
                <w:szCs w:val="20"/>
              </w:rPr>
              <w:t>立方、海康、蓝卡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634" w:type="dxa"/>
            <w:vMerge w:val="continue"/>
            <w:tcBorders>
              <w:left w:val="single" w:color="auto" w:sz="4" w:space="0"/>
              <w:right w:val="single" w:color="auto" w:sz="4" w:space="0"/>
            </w:tcBorders>
            <w:noWrap w:val="0"/>
            <w:vAlign w:val="center"/>
          </w:tcPr>
          <w:p>
            <w:pPr>
              <w:jc w:val="center"/>
              <w:rPr>
                <w:rFonts w:ascii="宋体" w:hAnsi="宋体"/>
                <w:szCs w:val="21"/>
              </w:rPr>
            </w:pPr>
          </w:p>
        </w:tc>
        <w:tc>
          <w:tcPr>
            <w:tcW w:w="1224" w:type="dxa"/>
            <w:vMerge w:val="continue"/>
            <w:tcBorders>
              <w:left w:val="single" w:color="auto" w:sz="4" w:space="0"/>
              <w:right w:val="single" w:color="auto" w:sz="4" w:space="0"/>
            </w:tcBorders>
            <w:noWrap w:val="0"/>
            <w:vAlign w:val="center"/>
          </w:tcPr>
          <w:p>
            <w:pPr>
              <w:rPr>
                <w:rFonts w:hint="eastAsia" w:ascii="宋体" w:hAnsi="宋体"/>
                <w:bCs/>
                <w:sz w:val="20"/>
                <w:szCs w:val="20"/>
              </w:rPr>
            </w:p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巡更系统</w:t>
            </w:r>
          </w:p>
        </w:tc>
        <w:tc>
          <w:tcPr>
            <w:tcW w:w="2765" w:type="dxa"/>
            <w:tcBorders>
              <w:left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bCs/>
                <w:sz w:val="20"/>
                <w:szCs w:val="20"/>
              </w:rPr>
              <w:t>立方、海康、蓝卡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634" w:type="dxa"/>
            <w:vMerge w:val="continue"/>
            <w:tcBorders>
              <w:left w:val="single" w:color="auto" w:sz="4" w:space="0"/>
              <w:right w:val="single" w:color="auto" w:sz="4" w:space="0"/>
            </w:tcBorders>
            <w:noWrap w:val="0"/>
            <w:vAlign w:val="center"/>
          </w:tcPr>
          <w:p>
            <w:pPr>
              <w:jc w:val="center"/>
              <w:rPr>
                <w:rFonts w:ascii="宋体" w:hAnsi="宋体"/>
                <w:szCs w:val="21"/>
              </w:rPr>
            </w:pPr>
          </w:p>
        </w:tc>
        <w:tc>
          <w:tcPr>
            <w:tcW w:w="1224" w:type="dxa"/>
            <w:vMerge w:val="continue"/>
            <w:tcBorders>
              <w:left w:val="single" w:color="auto" w:sz="4" w:space="0"/>
              <w:right w:val="single" w:color="auto" w:sz="4" w:space="0"/>
            </w:tcBorders>
            <w:noWrap w:val="0"/>
            <w:vAlign w:val="center"/>
          </w:tcPr>
          <w:p>
            <w:pPr>
              <w:rPr>
                <w:rFonts w:hint="eastAsia" w:ascii="宋体" w:hAnsi="宋体"/>
                <w:bCs/>
                <w:sz w:val="20"/>
                <w:szCs w:val="20"/>
              </w:rPr>
            </w:p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消费系统</w:t>
            </w:r>
          </w:p>
        </w:tc>
        <w:tc>
          <w:tcPr>
            <w:tcW w:w="2765" w:type="dxa"/>
            <w:tcBorders>
              <w:left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bCs/>
                <w:sz w:val="20"/>
                <w:szCs w:val="20"/>
              </w:rPr>
              <w:t>立方、</w:t>
            </w:r>
            <w:r>
              <w:rPr>
                <w:rFonts w:hint="eastAsia" w:ascii="宋体" w:hAnsi="宋体"/>
                <w:sz w:val="20"/>
                <w:szCs w:val="20"/>
              </w:rPr>
              <w:t>正元</w:t>
            </w:r>
            <w:r>
              <w:rPr>
                <w:rFonts w:hint="eastAsia" w:ascii="宋体" w:hAnsi="宋体"/>
                <w:bCs/>
                <w:sz w:val="20"/>
                <w:szCs w:val="20"/>
              </w:rPr>
              <w:t>、海康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634" w:type="dxa"/>
            <w:vMerge w:val="continue"/>
            <w:tcBorders>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224" w:type="dxa"/>
            <w:vMerge w:val="continue"/>
            <w:tcBorders>
              <w:left w:val="single" w:color="auto" w:sz="4" w:space="0"/>
              <w:bottom w:val="single" w:color="auto" w:sz="4" w:space="0"/>
              <w:right w:val="single" w:color="auto" w:sz="4" w:space="0"/>
            </w:tcBorders>
            <w:noWrap w:val="0"/>
            <w:vAlign w:val="center"/>
          </w:tcPr>
          <w:p>
            <w:pPr>
              <w:rPr>
                <w:rFonts w:hint="eastAsia" w:ascii="宋体" w:hAnsi="宋体"/>
                <w:bCs/>
                <w:sz w:val="20"/>
                <w:szCs w:val="20"/>
              </w:rPr>
            </w:p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考勤系统</w:t>
            </w:r>
          </w:p>
        </w:tc>
        <w:tc>
          <w:tcPr>
            <w:tcW w:w="2765" w:type="dxa"/>
            <w:tcBorders>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bCs/>
                <w:sz w:val="20"/>
                <w:szCs w:val="20"/>
              </w:rPr>
              <w:t>富士、立方、</w:t>
            </w:r>
            <w:r>
              <w:rPr>
                <w:rFonts w:hint="eastAsia" w:ascii="宋体" w:hAnsi="宋体"/>
                <w:sz w:val="20"/>
                <w:szCs w:val="20"/>
              </w:rPr>
              <w:t>正元</w:t>
            </w:r>
            <w:r>
              <w:rPr>
                <w:rFonts w:hint="eastAsia" w:ascii="宋体" w:hAnsi="宋体"/>
                <w:bCs/>
                <w:sz w:val="20"/>
                <w:szCs w:val="20"/>
              </w:rPr>
              <w:t>、海康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6</w:t>
            </w:r>
          </w:p>
        </w:tc>
        <w:tc>
          <w:tcPr>
            <w:tcW w:w="4258" w:type="dxa"/>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信息发布系统（专家排版）</w:t>
            </w:r>
          </w:p>
        </w:tc>
        <w:tc>
          <w:tcPr>
            <w:tcW w:w="2765"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sz w:val="20"/>
                <w:szCs w:val="20"/>
              </w:rPr>
              <w:t>神州视翰、旭辉、亚华、群创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34"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7</w:t>
            </w:r>
          </w:p>
        </w:tc>
        <w:tc>
          <w:tcPr>
            <w:tcW w:w="1224" w:type="dxa"/>
            <w:vMerge w:val="restart"/>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多媒体会议系统</w:t>
            </w: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音箱</w:t>
            </w:r>
          </w:p>
        </w:tc>
        <w:tc>
          <w:tcPr>
            <w:tcW w:w="2765" w:type="dxa"/>
            <w:tcBorders>
              <w:top w:val="single" w:color="auto" w:sz="4" w:space="0"/>
              <w:left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RCF、QSC、FBT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 w:hRule="atLeast"/>
          <w:jc w:val="center"/>
        </w:trPr>
        <w:tc>
          <w:tcPr>
            <w:tcW w:w="6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数字音频处理器</w:t>
            </w:r>
          </w:p>
        </w:tc>
        <w:tc>
          <w:tcPr>
            <w:tcW w:w="2765" w:type="dxa"/>
            <w:tcBorders>
              <w:left w:val="single" w:color="auto" w:sz="4" w:space="0"/>
              <w:right w:val="single" w:color="auto" w:sz="4" w:space="0"/>
            </w:tcBorders>
            <w:noWrap w:val="0"/>
            <w:vAlign w:val="center"/>
          </w:tcPr>
          <w:p>
            <w:pPr>
              <w:rPr>
                <w:rFonts w:hint="eastAsia" w:ascii="宋体" w:hAnsi="宋体"/>
                <w:bCs/>
                <w:sz w:val="20"/>
                <w:szCs w:val="20"/>
              </w:rPr>
            </w:pPr>
            <w:r>
              <w:rPr>
                <w:rFonts w:ascii="宋体" w:hAnsi="宋体"/>
                <w:bCs/>
                <w:sz w:val="20"/>
                <w:szCs w:val="20"/>
              </w:rPr>
              <w:t>ASHLY</w:t>
            </w:r>
            <w:r>
              <w:rPr>
                <w:rFonts w:hint="eastAsia" w:ascii="宋体" w:hAnsi="宋体"/>
                <w:bCs/>
                <w:sz w:val="20"/>
                <w:szCs w:val="20"/>
              </w:rPr>
              <w:t>、Hmaudio、</w:t>
            </w:r>
            <w:r>
              <w:rPr>
                <w:rFonts w:ascii="宋体" w:hAnsi="宋体"/>
                <w:bCs/>
                <w:sz w:val="20"/>
                <w:szCs w:val="20"/>
              </w:rPr>
              <w:t>dbx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6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功放</w:t>
            </w:r>
          </w:p>
        </w:tc>
        <w:tc>
          <w:tcPr>
            <w:tcW w:w="2765" w:type="dxa"/>
            <w:tcBorders>
              <w:left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QSC、Powersoft、FBT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触控一体机</w:t>
            </w:r>
          </w:p>
        </w:tc>
        <w:tc>
          <w:tcPr>
            <w:tcW w:w="2765" w:type="dxa"/>
            <w:tcBorders>
              <w:left w:val="single" w:color="auto" w:sz="4" w:space="0"/>
              <w:right w:val="single" w:color="auto" w:sz="4" w:space="0"/>
            </w:tcBorders>
            <w:noWrap w:val="0"/>
            <w:vAlign w:val="center"/>
          </w:tcPr>
          <w:p>
            <w:pPr>
              <w:rPr>
                <w:rFonts w:hint="eastAsia" w:ascii="宋体" w:hAnsi="宋体"/>
                <w:bCs/>
                <w:sz w:val="20"/>
                <w:szCs w:val="20"/>
              </w:rPr>
            </w:pPr>
            <w:r>
              <w:rPr>
                <w:rFonts w:hint="eastAsia"/>
                <w:sz w:val="20"/>
                <w:szCs w:val="20"/>
              </w:rPr>
              <w:t>Maxhub、鸿合、海信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6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300人会议LED屏</w:t>
            </w:r>
          </w:p>
        </w:tc>
        <w:tc>
          <w:tcPr>
            <w:tcW w:w="2765" w:type="dxa"/>
            <w:tcBorders>
              <w:left w:val="single" w:color="auto" w:sz="4" w:space="0"/>
              <w:right w:val="single" w:color="auto" w:sz="4" w:space="0"/>
            </w:tcBorders>
            <w:noWrap w:val="0"/>
            <w:vAlign w:val="center"/>
          </w:tcPr>
          <w:p>
            <w:pPr>
              <w:rPr>
                <w:rFonts w:hint="eastAsia" w:ascii="宋体" w:hAnsi="宋体"/>
                <w:bCs/>
                <w:sz w:val="20"/>
                <w:szCs w:val="20"/>
              </w:rPr>
            </w:pPr>
            <w:r>
              <w:rPr>
                <w:rFonts w:hint="eastAsia"/>
                <w:sz w:val="20"/>
                <w:szCs w:val="20"/>
              </w:rPr>
              <w:t>利亚德、洲明、上海三思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高清视频矩阵</w:t>
            </w:r>
          </w:p>
        </w:tc>
        <w:tc>
          <w:tcPr>
            <w:tcW w:w="2765" w:type="dxa"/>
            <w:tcBorders>
              <w:left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DSPPA</w:t>
            </w:r>
            <w:r>
              <w:rPr>
                <w:rFonts w:hint="eastAsia"/>
                <w:bCs/>
                <w:sz w:val="20"/>
                <w:szCs w:val="20"/>
              </w:rPr>
              <w:t>、HAVSAI、SEVBAR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6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集中控制设备</w:t>
            </w:r>
          </w:p>
        </w:tc>
        <w:tc>
          <w:tcPr>
            <w:tcW w:w="2765" w:type="dxa"/>
            <w:tcBorders>
              <w:left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DSPPA</w:t>
            </w:r>
            <w:r>
              <w:rPr>
                <w:rFonts w:hint="eastAsia"/>
                <w:bCs/>
                <w:sz w:val="20"/>
                <w:szCs w:val="20"/>
              </w:rPr>
              <w:t>、HAVSAI、SEVBAR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6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会议摄像机</w:t>
            </w:r>
          </w:p>
        </w:tc>
        <w:tc>
          <w:tcPr>
            <w:tcW w:w="2765" w:type="dxa"/>
            <w:tcBorders>
              <w:left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DSPPA</w:t>
            </w:r>
            <w:r>
              <w:rPr>
                <w:rFonts w:hint="eastAsia"/>
                <w:bCs/>
                <w:sz w:val="20"/>
                <w:szCs w:val="20"/>
              </w:rPr>
              <w:t>、HAVSAI、SEVBAR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6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c>
          <w:tcPr>
            <w:tcW w:w="1224" w:type="dxa"/>
            <w:tcBorders>
              <w:top w:val="single" w:color="auto" w:sz="4" w:space="0"/>
              <w:left w:val="single" w:color="auto" w:sz="4" w:space="0"/>
              <w:right w:val="single" w:color="auto" w:sz="4" w:space="0"/>
            </w:tcBorders>
            <w:noWrap w:val="0"/>
            <w:vAlign w:val="center"/>
          </w:tcPr>
          <w:p>
            <w:pPr>
              <w:rPr>
                <w:rFonts w:hint="eastAsia" w:ascii="宋体" w:hAnsi="宋体"/>
                <w:bCs/>
                <w:sz w:val="20"/>
                <w:szCs w:val="20"/>
              </w:rPr>
            </w:p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会议话筒、数字会议设备、摄像跟踪系统</w:t>
            </w:r>
          </w:p>
        </w:tc>
        <w:tc>
          <w:tcPr>
            <w:tcW w:w="2765" w:type="dxa"/>
            <w:tcBorders>
              <w:left w:val="single" w:color="auto" w:sz="4" w:space="0"/>
              <w:bottom w:val="single" w:color="auto" w:sz="4" w:space="0"/>
              <w:right w:val="single" w:color="auto" w:sz="4" w:space="0"/>
            </w:tcBorders>
            <w:noWrap w:val="0"/>
            <w:vAlign w:val="center"/>
          </w:tcPr>
          <w:p>
            <w:pPr>
              <w:jc w:val="left"/>
              <w:rPr>
                <w:rFonts w:hint="eastAsia" w:ascii="宋体" w:hAnsi="宋体"/>
                <w:bCs/>
                <w:sz w:val="20"/>
                <w:szCs w:val="20"/>
                <w:lang w:val="de-DE"/>
              </w:rPr>
            </w:pPr>
            <w:r>
              <w:rPr>
                <w:rFonts w:hint="eastAsia" w:ascii="宋体" w:hAnsi="宋体"/>
                <w:bCs/>
                <w:sz w:val="20"/>
                <w:szCs w:val="20"/>
              </w:rPr>
              <w:t>DSPPA</w:t>
            </w:r>
            <w:r>
              <w:rPr>
                <w:rFonts w:hint="eastAsia"/>
                <w:bCs/>
                <w:sz w:val="20"/>
                <w:szCs w:val="20"/>
              </w:rPr>
              <w:t>、HAVSAI、SEVBAR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8</w:t>
            </w:r>
          </w:p>
        </w:tc>
        <w:tc>
          <w:tcPr>
            <w:tcW w:w="4258" w:type="dxa"/>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病房呼叫系统</w:t>
            </w:r>
          </w:p>
        </w:tc>
        <w:tc>
          <w:tcPr>
            <w:tcW w:w="2765"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sz w:val="20"/>
                <w:szCs w:val="20"/>
              </w:rPr>
              <w:t>来邦、亚华、</w:t>
            </w:r>
            <w:r>
              <w:rPr>
                <w:rFonts w:hint="eastAsia" w:ascii="宋体" w:hAnsi="宋体"/>
                <w:bCs/>
                <w:sz w:val="20"/>
                <w:szCs w:val="20"/>
              </w:rPr>
              <w:t>神州视翰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9</w:t>
            </w:r>
          </w:p>
        </w:tc>
        <w:tc>
          <w:tcPr>
            <w:tcW w:w="4258" w:type="dxa"/>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病房探视系统</w:t>
            </w:r>
          </w:p>
        </w:tc>
        <w:tc>
          <w:tcPr>
            <w:tcW w:w="2765"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sz w:val="20"/>
                <w:szCs w:val="20"/>
              </w:rPr>
              <w:t>来邦、亚华、</w:t>
            </w:r>
            <w:r>
              <w:rPr>
                <w:rFonts w:hint="eastAsia" w:ascii="宋体" w:hAnsi="宋体"/>
                <w:bCs/>
                <w:sz w:val="20"/>
                <w:szCs w:val="20"/>
              </w:rPr>
              <w:t>神州视翰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10</w:t>
            </w:r>
          </w:p>
        </w:tc>
        <w:tc>
          <w:tcPr>
            <w:tcW w:w="4258" w:type="dxa"/>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门诊排队叫号系统</w:t>
            </w:r>
          </w:p>
        </w:tc>
        <w:tc>
          <w:tcPr>
            <w:tcW w:w="2765"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sz w:val="20"/>
                <w:szCs w:val="20"/>
              </w:rPr>
              <w:t>神州视翰、旭辉、亚华、群创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11</w:t>
            </w:r>
          </w:p>
        </w:tc>
        <w:tc>
          <w:tcPr>
            <w:tcW w:w="4258" w:type="dxa"/>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智能照明系统</w:t>
            </w:r>
          </w:p>
        </w:tc>
        <w:tc>
          <w:tcPr>
            <w:tcW w:w="2765"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sz w:val="20"/>
                <w:szCs w:val="20"/>
              </w:rPr>
              <w:t>施耐德、西门子、</w:t>
            </w:r>
            <w:r>
              <w:rPr>
                <w:rFonts w:ascii="宋体" w:hAnsi="宋体"/>
                <w:sz w:val="20"/>
                <w:szCs w:val="20"/>
              </w:rPr>
              <w:t>ABB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12</w:t>
            </w:r>
          </w:p>
        </w:tc>
        <w:tc>
          <w:tcPr>
            <w:tcW w:w="4258" w:type="dxa"/>
            <w:gridSpan w:val="2"/>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bCs/>
                <w:sz w:val="20"/>
                <w:szCs w:val="20"/>
              </w:rPr>
              <w:t>防雷接地系统</w:t>
            </w:r>
          </w:p>
        </w:tc>
        <w:tc>
          <w:tcPr>
            <w:tcW w:w="2765"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sz w:val="20"/>
                <w:szCs w:val="20"/>
              </w:rPr>
              <w:t>天津中力、</w:t>
            </w:r>
            <w:r>
              <w:rPr>
                <w:rFonts w:ascii="宋体" w:hAnsi="宋体"/>
                <w:sz w:val="20"/>
                <w:szCs w:val="20"/>
              </w:rPr>
              <w:t>南通信达，安徽金力</w:t>
            </w:r>
            <w:r>
              <w:rPr>
                <w:rFonts w:hint="eastAsia" w:ascii="宋体" w:hAnsi="宋体"/>
                <w:sz w:val="20"/>
                <w:szCs w:val="20"/>
              </w:rPr>
              <w:t>、易龙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34"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13</w:t>
            </w:r>
          </w:p>
        </w:tc>
        <w:tc>
          <w:tcPr>
            <w:tcW w:w="1224" w:type="dxa"/>
            <w:vMerge w:val="restart"/>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综合管线系统</w:t>
            </w: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桥架</w:t>
            </w:r>
          </w:p>
        </w:tc>
        <w:tc>
          <w:tcPr>
            <w:tcW w:w="2765" w:type="dxa"/>
            <w:tcBorders>
              <w:top w:val="single" w:color="auto" w:sz="4" w:space="0"/>
              <w:left w:val="single" w:color="auto" w:sz="4" w:space="0"/>
              <w:bottom w:val="single" w:color="auto" w:sz="4" w:space="0"/>
              <w:right w:val="single" w:color="auto" w:sz="4" w:space="0"/>
            </w:tcBorders>
            <w:noWrap w:val="0"/>
            <w:vAlign w:val="top"/>
          </w:tcPr>
          <w:p>
            <w:pPr>
              <w:rPr>
                <w:rFonts w:hint="default" w:ascii="宋体" w:hAnsi="宋体" w:eastAsia="宋体"/>
                <w:bCs/>
                <w:sz w:val="20"/>
                <w:szCs w:val="20"/>
                <w:lang w:val="en-US" w:eastAsia="zh-CN"/>
              </w:rPr>
            </w:pPr>
            <w:r>
              <w:rPr>
                <w:rFonts w:hint="eastAsia" w:ascii="宋体" w:hAnsi="宋体"/>
                <w:bCs/>
                <w:sz w:val="20"/>
                <w:szCs w:val="20"/>
                <w:lang w:val="en-US" w:eastAsia="zh-CN"/>
              </w:rPr>
              <w:t>中建、长江、世发长胜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6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管子</w:t>
            </w:r>
          </w:p>
        </w:tc>
        <w:tc>
          <w:tcPr>
            <w:tcW w:w="2765" w:type="dxa"/>
            <w:tcBorders>
              <w:top w:val="single" w:color="auto" w:sz="4" w:space="0"/>
              <w:left w:val="single" w:color="auto" w:sz="4" w:space="0"/>
              <w:bottom w:val="single" w:color="auto" w:sz="4" w:space="0"/>
              <w:right w:val="single" w:color="auto" w:sz="4" w:space="0"/>
            </w:tcBorders>
            <w:noWrap w:val="0"/>
            <w:vAlign w:val="top"/>
          </w:tcPr>
          <w:p>
            <w:pPr>
              <w:rPr>
                <w:rFonts w:hint="default" w:ascii="宋体" w:hAnsi="宋体" w:eastAsia="宋体"/>
                <w:bCs/>
                <w:sz w:val="20"/>
                <w:szCs w:val="20"/>
                <w:lang w:val="en-US" w:eastAsia="zh-CN"/>
              </w:rPr>
            </w:pPr>
            <w:r>
              <w:rPr>
                <w:rFonts w:hint="eastAsia" w:ascii="宋体" w:hAnsi="宋体"/>
                <w:bCs/>
                <w:sz w:val="20"/>
                <w:szCs w:val="20"/>
                <w:lang w:val="en-US" w:eastAsia="zh-CN"/>
              </w:rPr>
              <w:t>银河、金洲、增洲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线缆</w:t>
            </w:r>
          </w:p>
        </w:tc>
        <w:tc>
          <w:tcPr>
            <w:tcW w:w="2765"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sz w:val="20"/>
                <w:szCs w:val="20"/>
              </w:rPr>
              <w:t>春天、润通、爱谱华顿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634" w:type="dxa"/>
            <w:vMerge w:val="restart"/>
            <w:tcBorders>
              <w:top w:val="single" w:color="auto" w:sz="4" w:space="0"/>
              <w:left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14</w:t>
            </w:r>
          </w:p>
        </w:tc>
        <w:tc>
          <w:tcPr>
            <w:tcW w:w="1224" w:type="dxa"/>
            <w:vMerge w:val="restart"/>
            <w:tcBorders>
              <w:top w:val="single" w:color="auto" w:sz="4" w:space="0"/>
              <w:left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无线覆盖系统(管线预埋部分)</w:t>
            </w: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管子</w:t>
            </w:r>
          </w:p>
        </w:tc>
        <w:tc>
          <w:tcPr>
            <w:tcW w:w="2765" w:type="dxa"/>
            <w:tcBorders>
              <w:top w:val="single" w:color="auto" w:sz="4" w:space="0"/>
              <w:left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bCs/>
                <w:sz w:val="20"/>
                <w:szCs w:val="20"/>
                <w:lang w:val="en-US" w:eastAsia="zh-CN"/>
              </w:rPr>
              <w:t>银河、金洲、增洲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634" w:type="dxa"/>
            <w:vMerge w:val="continue"/>
            <w:tcBorders>
              <w:left w:val="single" w:color="auto" w:sz="4" w:space="0"/>
              <w:bottom w:val="single" w:color="auto" w:sz="4" w:space="0"/>
              <w:right w:val="single" w:color="auto" w:sz="4" w:space="0"/>
            </w:tcBorders>
            <w:noWrap w:val="0"/>
            <w:vAlign w:val="center"/>
          </w:tcPr>
          <w:p/>
        </w:tc>
        <w:tc>
          <w:tcPr>
            <w:tcW w:w="1224" w:type="dxa"/>
            <w:vMerge w:val="continue"/>
            <w:tcBorders>
              <w:left w:val="single" w:color="auto" w:sz="4" w:space="0"/>
              <w:bottom w:val="single" w:color="auto" w:sz="4" w:space="0"/>
              <w:right w:val="single" w:color="auto" w:sz="4" w:space="0"/>
            </w:tcBorders>
            <w:noWrap w:val="0"/>
            <w:vAlign w:val="center"/>
          </w:tcPr>
          <w:p/>
        </w:tc>
        <w:tc>
          <w:tcPr>
            <w:tcW w:w="30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线缆</w:t>
            </w:r>
          </w:p>
        </w:tc>
        <w:tc>
          <w:tcPr>
            <w:tcW w:w="2765" w:type="dxa"/>
            <w:tcBorders>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sz w:val="20"/>
                <w:szCs w:val="20"/>
              </w:rPr>
              <w:t>春天、润通、爱谱华顿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15</w:t>
            </w:r>
          </w:p>
        </w:tc>
        <w:tc>
          <w:tcPr>
            <w:tcW w:w="4258" w:type="dxa"/>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能耗系统</w:t>
            </w:r>
          </w:p>
        </w:tc>
        <w:tc>
          <w:tcPr>
            <w:tcW w:w="2765"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bCs/>
                <w:sz w:val="20"/>
                <w:szCs w:val="20"/>
              </w:rPr>
            </w:pPr>
            <w:r>
              <w:rPr>
                <w:rFonts w:hint="eastAsia" w:ascii="宋体" w:hAnsi="宋体"/>
                <w:sz w:val="20"/>
                <w:szCs w:val="20"/>
              </w:rPr>
              <w:t>安科瑞、柏诚、炬华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16</w:t>
            </w:r>
          </w:p>
        </w:tc>
        <w:tc>
          <w:tcPr>
            <w:tcW w:w="4258" w:type="dxa"/>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硫酸钙静电地板</w:t>
            </w:r>
          </w:p>
        </w:tc>
        <w:tc>
          <w:tcPr>
            <w:tcW w:w="2765" w:type="dxa"/>
            <w:tcBorders>
              <w:top w:val="single" w:color="auto" w:sz="4" w:space="0"/>
              <w:left w:val="single" w:color="auto" w:sz="4" w:space="0"/>
              <w:bottom w:val="single" w:color="auto" w:sz="4" w:space="0"/>
              <w:right w:val="single" w:color="auto" w:sz="4" w:space="0"/>
            </w:tcBorders>
            <w:noWrap w:val="0"/>
            <w:vAlign w:val="center"/>
          </w:tcPr>
          <w:p>
            <w:pPr>
              <w:widowControl/>
              <w:rPr>
                <w:rFonts w:hint="eastAsia" w:ascii="宋体" w:hAnsi="宋体"/>
                <w:bCs/>
                <w:sz w:val="20"/>
                <w:szCs w:val="20"/>
              </w:rPr>
            </w:pPr>
            <w:r>
              <w:rPr>
                <w:rFonts w:hint="eastAsia" w:ascii="宋体" w:hAnsi="宋体" w:cs="宋体"/>
                <w:kern w:val="0"/>
                <w:sz w:val="20"/>
                <w:szCs w:val="20"/>
              </w:rPr>
              <w:t>施耐德、兰瑞格、美露、汇丽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17</w:t>
            </w:r>
          </w:p>
        </w:tc>
        <w:tc>
          <w:tcPr>
            <w:tcW w:w="4258" w:type="dxa"/>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离线式门锁</w:t>
            </w:r>
          </w:p>
        </w:tc>
        <w:tc>
          <w:tcPr>
            <w:tcW w:w="2765" w:type="dxa"/>
            <w:tcBorders>
              <w:top w:val="single" w:color="auto" w:sz="4" w:space="0"/>
              <w:left w:val="single" w:color="auto" w:sz="4" w:space="0"/>
              <w:bottom w:val="single" w:color="auto" w:sz="4" w:space="0"/>
              <w:right w:val="single" w:color="auto" w:sz="4" w:space="0"/>
            </w:tcBorders>
            <w:noWrap w:val="0"/>
            <w:vAlign w:val="center"/>
          </w:tcPr>
          <w:p>
            <w:pPr>
              <w:widowControl/>
              <w:rPr>
                <w:rFonts w:hint="eastAsia" w:ascii="宋体" w:hAnsi="宋体"/>
                <w:bCs/>
                <w:sz w:val="20"/>
                <w:szCs w:val="20"/>
              </w:rPr>
            </w:pPr>
            <w:r>
              <w:rPr>
                <w:rFonts w:hint="eastAsia" w:ascii="宋体" w:hAnsi="宋体" w:cs="宋体"/>
                <w:kern w:val="0"/>
                <w:sz w:val="20"/>
                <w:szCs w:val="20"/>
              </w:rPr>
              <w:t>扬格、爱迪尔、立方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18</w:t>
            </w:r>
          </w:p>
        </w:tc>
        <w:tc>
          <w:tcPr>
            <w:tcW w:w="4258" w:type="dxa"/>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sz w:val="20"/>
                <w:szCs w:val="20"/>
              </w:rPr>
            </w:pPr>
            <w:r>
              <w:rPr>
                <w:rFonts w:hint="eastAsia" w:ascii="宋体" w:hAnsi="宋体"/>
                <w:bCs/>
                <w:sz w:val="20"/>
                <w:szCs w:val="20"/>
              </w:rPr>
              <w:t>配电柜内主要元器件</w:t>
            </w:r>
          </w:p>
        </w:tc>
        <w:tc>
          <w:tcPr>
            <w:tcW w:w="2765" w:type="dxa"/>
            <w:tcBorders>
              <w:top w:val="single" w:color="auto" w:sz="4" w:space="0"/>
              <w:left w:val="single" w:color="auto" w:sz="4" w:space="0"/>
              <w:bottom w:val="single" w:color="auto" w:sz="4" w:space="0"/>
              <w:right w:val="single" w:color="auto" w:sz="4" w:space="0"/>
            </w:tcBorders>
            <w:noWrap w:val="0"/>
            <w:vAlign w:val="center"/>
          </w:tcPr>
          <w:p>
            <w:pPr>
              <w:widowControl/>
              <w:rPr>
                <w:rFonts w:hint="eastAsia" w:ascii="宋体" w:hAnsi="宋体"/>
                <w:bCs/>
                <w:sz w:val="20"/>
                <w:szCs w:val="20"/>
              </w:rPr>
            </w:pPr>
            <w:r>
              <w:rPr>
                <w:rFonts w:hint="eastAsia" w:ascii="宋体" w:hAnsi="宋体" w:cs="宋体"/>
                <w:kern w:val="0"/>
                <w:sz w:val="20"/>
                <w:szCs w:val="20"/>
              </w:rPr>
              <w:t>ABB、施耐德、西门子</w:t>
            </w:r>
          </w:p>
        </w:tc>
      </w:tr>
    </w:tbl>
    <w:p>
      <w:pPr>
        <w:pStyle w:val="10"/>
        <w:spacing w:line="360" w:lineRule="auto"/>
        <w:ind w:left="360" w:firstLine="0" w:firstLineChars="0"/>
        <w:rPr>
          <w:rFonts w:ascii="宋体" w:hAnsi="宋体" w:eastAsia="宋体"/>
          <w:sz w:val="24"/>
          <w:szCs w:val="24"/>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520F9B"/>
    <w:multiLevelType w:val="multilevel"/>
    <w:tmpl w:val="49520F9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93B"/>
    <w:rsid w:val="00057ADA"/>
    <w:rsid w:val="00091898"/>
    <w:rsid w:val="00156AFE"/>
    <w:rsid w:val="001A079E"/>
    <w:rsid w:val="001A2FF2"/>
    <w:rsid w:val="001E7DE2"/>
    <w:rsid w:val="002252BA"/>
    <w:rsid w:val="004F6DF4"/>
    <w:rsid w:val="006719F5"/>
    <w:rsid w:val="0067567E"/>
    <w:rsid w:val="00680652"/>
    <w:rsid w:val="00690A81"/>
    <w:rsid w:val="007A0EED"/>
    <w:rsid w:val="008232A3"/>
    <w:rsid w:val="008E275E"/>
    <w:rsid w:val="0090770E"/>
    <w:rsid w:val="009266C8"/>
    <w:rsid w:val="0093602F"/>
    <w:rsid w:val="009C6592"/>
    <w:rsid w:val="009F25C2"/>
    <w:rsid w:val="00A65AA7"/>
    <w:rsid w:val="00AA3E78"/>
    <w:rsid w:val="00B44588"/>
    <w:rsid w:val="00BA39DB"/>
    <w:rsid w:val="00BD2B40"/>
    <w:rsid w:val="00BE1C5C"/>
    <w:rsid w:val="00C21CBD"/>
    <w:rsid w:val="00CB33EF"/>
    <w:rsid w:val="00D801ED"/>
    <w:rsid w:val="00E03E29"/>
    <w:rsid w:val="00E11B00"/>
    <w:rsid w:val="00E673FD"/>
    <w:rsid w:val="00E9793B"/>
    <w:rsid w:val="00F43288"/>
    <w:rsid w:val="00F56E57"/>
    <w:rsid w:val="00F83DC7"/>
    <w:rsid w:val="00FF225A"/>
    <w:rsid w:val="00FF312C"/>
    <w:rsid w:val="00FF7310"/>
    <w:rsid w:val="01CA782E"/>
    <w:rsid w:val="047A4DE7"/>
    <w:rsid w:val="04932C7A"/>
    <w:rsid w:val="078B008B"/>
    <w:rsid w:val="07C30CA0"/>
    <w:rsid w:val="08D46B1D"/>
    <w:rsid w:val="09AB7ED0"/>
    <w:rsid w:val="0C327563"/>
    <w:rsid w:val="0D130925"/>
    <w:rsid w:val="11C82CAC"/>
    <w:rsid w:val="150D3F0F"/>
    <w:rsid w:val="1B687884"/>
    <w:rsid w:val="20D40561"/>
    <w:rsid w:val="210059F5"/>
    <w:rsid w:val="22B80320"/>
    <w:rsid w:val="23F56A91"/>
    <w:rsid w:val="29742912"/>
    <w:rsid w:val="2C4B1CB3"/>
    <w:rsid w:val="33095C38"/>
    <w:rsid w:val="3328711B"/>
    <w:rsid w:val="3EDE0AC9"/>
    <w:rsid w:val="42A10F12"/>
    <w:rsid w:val="4A966C3B"/>
    <w:rsid w:val="4E862571"/>
    <w:rsid w:val="518E67F1"/>
    <w:rsid w:val="56295AB9"/>
    <w:rsid w:val="5CD052BF"/>
    <w:rsid w:val="5E6061FF"/>
    <w:rsid w:val="695842EF"/>
    <w:rsid w:val="6A160390"/>
    <w:rsid w:val="707F57B8"/>
    <w:rsid w:val="7265440C"/>
    <w:rsid w:val="727E3A21"/>
    <w:rsid w:val="73574046"/>
    <w:rsid w:val="786250EC"/>
    <w:rsid w:val="79EC3281"/>
    <w:rsid w:val="7AFB289C"/>
    <w:rsid w:val="7B5865A6"/>
    <w:rsid w:val="7CA92D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First Indent"/>
    <w:basedOn w:val="3"/>
    <w:qFormat/>
    <w:uiPriority w:val="0"/>
    <w:pPr>
      <w:spacing w:line="312" w:lineRule="auto"/>
      <w:ind w:firstLine="420"/>
    </w:pPr>
  </w:style>
  <w:style w:type="paragraph" w:styleId="3">
    <w:name w:val="Body Text"/>
    <w:basedOn w:val="1"/>
    <w:next w:val="2"/>
    <w:qFormat/>
    <w:uiPriority w:val="0"/>
    <w:rPr>
      <w:sz w:val="28"/>
      <w:szCs w:val="20"/>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ft2"/>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305</Words>
  <Characters>1742</Characters>
  <Lines>14</Lines>
  <Paragraphs>4</Paragraphs>
  <TotalTime>1</TotalTime>
  <ScaleCrop>false</ScaleCrop>
  <LinksUpToDate>false</LinksUpToDate>
  <CharactersWithSpaces>2043</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2020-06-15T03:02:00Z</dcterms:created>
  <dc:creator>Administrator</dc:creator>
  <cp:lastModifiedBy>那么问题来了</cp:lastModifiedBy>
  <dcterms:modified xsi:type="dcterms:W3CDTF">2020-09-23T08:43:54Z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