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0"/>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exact"/>
          <w:jc w:val="center"/>
        </w:trPr>
        <w:tc>
          <w:tcPr>
            <w:tcW w:w="7450" w:type="dxa"/>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ascii="华文中宋" w:hAnsi="华文中宋" w:eastAsia="华文中宋"/>
                <w:b/>
                <w:color w:val="FF0000"/>
                <w:spacing w:val="20"/>
                <w:w w:val="50"/>
                <w:sz w:val="144"/>
                <w:szCs w:val="44"/>
              </w:rPr>
            </w:pPr>
            <w:r>
              <w:rPr>
                <w:rFonts w:hint="eastAsia" w:ascii="方正小标宋简体" w:hAnsi="方正小标宋简体" w:eastAsia="方正小标宋简体" w:cs="方正小标宋简体"/>
                <w:b w:val="0"/>
                <w:bCs/>
                <w:color w:val="FF0000"/>
                <w:w w:val="50"/>
                <w:kern w:val="0"/>
                <w:sz w:val="72"/>
                <w:szCs w:val="24"/>
                <w:lang w:val="en-US" w:eastAsia="zh-CN"/>
              </w:rPr>
              <w:t>平阳县公共资源交易管理委员会办公室</w:t>
            </w:r>
          </w:p>
        </w:tc>
        <w:tc>
          <w:tcPr>
            <w:tcW w:w="125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sz w:val="72"/>
                <w:szCs w:val="72"/>
              </w:rPr>
            </w:pPr>
            <w:r>
              <w:rPr>
                <w:rFonts w:hint="eastAsia" w:ascii="方正小标宋简体" w:hAnsi="方正小标宋简体" w:eastAsia="方正小标宋简体" w:cs="方正小标宋简体"/>
                <w:b w:val="0"/>
                <w:bCs/>
                <w:color w:val="FF0000"/>
                <w:sz w:val="72"/>
                <w:szCs w:val="72"/>
              </w:rPr>
              <w:t>文</w:t>
            </w:r>
          </w:p>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sz w:val="72"/>
                <w:szCs w:val="72"/>
              </w:rPr>
            </w:pPr>
          </w:p>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sz w:val="72"/>
                <w:szCs w:val="72"/>
              </w:rPr>
            </w:pPr>
          </w:p>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r>
              <w:rPr>
                <w:rFonts w:hint="eastAsia" w:ascii="方正小标宋简体" w:hAnsi="方正小标宋简体" w:eastAsia="方正小标宋简体" w:cs="方正小标宋简体"/>
                <w:b w:val="0"/>
                <w:bCs/>
                <w:color w:val="FF0000"/>
                <w:sz w:val="72"/>
                <w:szCs w:val="72"/>
                <w:lang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exact"/>
          <w:jc w:val="center"/>
        </w:trPr>
        <w:tc>
          <w:tcPr>
            <w:tcW w:w="7450" w:type="dxa"/>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r>
              <w:rPr>
                <w:rFonts w:hint="eastAsia" w:ascii="方正小标宋简体" w:hAnsi="方正小标宋简体" w:eastAsia="方正小标宋简体" w:cs="方正小标宋简体"/>
                <w:b w:val="0"/>
                <w:bCs/>
                <w:color w:val="FF0000"/>
                <w:w w:val="50"/>
                <w:kern w:val="0"/>
                <w:sz w:val="72"/>
                <w:szCs w:val="24"/>
                <w:lang w:val="en-US" w:eastAsia="zh-CN"/>
              </w:rPr>
              <w:t>平阳县住房和城乡建设局</w:t>
            </w:r>
          </w:p>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p>
        </w:tc>
        <w:tc>
          <w:tcPr>
            <w:tcW w:w="12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exact"/>
          <w:jc w:val="center"/>
        </w:trPr>
        <w:tc>
          <w:tcPr>
            <w:tcW w:w="7450" w:type="dxa"/>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r>
              <w:rPr>
                <w:rFonts w:hint="eastAsia" w:ascii="方正小标宋简体" w:hAnsi="方正小标宋简体" w:eastAsia="方正小标宋简体" w:cs="方正小标宋简体"/>
                <w:b w:val="0"/>
                <w:bCs/>
                <w:color w:val="FF0000"/>
                <w:w w:val="50"/>
                <w:kern w:val="0"/>
                <w:sz w:val="72"/>
                <w:szCs w:val="24"/>
                <w:lang w:val="en-US" w:eastAsia="zh-CN"/>
              </w:rPr>
              <w:t>平阳县交通运输局</w:t>
            </w:r>
          </w:p>
        </w:tc>
        <w:tc>
          <w:tcPr>
            <w:tcW w:w="12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exact"/>
          <w:jc w:val="center"/>
        </w:trPr>
        <w:tc>
          <w:tcPr>
            <w:tcW w:w="7450" w:type="dxa"/>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r>
              <w:rPr>
                <w:rFonts w:hint="eastAsia" w:ascii="方正小标宋简体" w:hAnsi="方正小标宋简体" w:eastAsia="方正小标宋简体" w:cs="方正小标宋简体"/>
                <w:b w:val="0"/>
                <w:bCs/>
                <w:color w:val="FF0000"/>
                <w:w w:val="50"/>
                <w:kern w:val="0"/>
                <w:sz w:val="72"/>
                <w:szCs w:val="24"/>
                <w:lang w:val="en-US" w:eastAsia="zh-CN"/>
              </w:rPr>
              <w:t>平阳县水利局</w:t>
            </w:r>
          </w:p>
        </w:tc>
        <w:tc>
          <w:tcPr>
            <w:tcW w:w="12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800" w:lineRule="exact"/>
              <w:jc w:val="distribute"/>
              <w:textAlignment w:val="auto"/>
              <w:rPr>
                <w:rFonts w:hint="eastAsia" w:ascii="方正小标宋简体" w:hAnsi="方正小标宋简体" w:eastAsia="方正小标宋简体" w:cs="方正小标宋简体"/>
                <w:b w:val="0"/>
                <w:bCs/>
                <w:color w:val="FF0000"/>
                <w:w w:val="50"/>
                <w:kern w:val="0"/>
                <w:sz w:val="72"/>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460" w:lineRule="exact"/>
        <w:jc w:val="center"/>
        <w:rPr>
          <w:rFonts w:hint="eastAsia" w:ascii="仿宋_GB2312" w:hAnsi="_x000B__x000C_" w:eastAsia="仿宋_GB2312" w:cs="仿宋_GB2312"/>
          <w:color w:val="000000"/>
          <w:sz w:val="32"/>
          <w:szCs w:val="32"/>
          <w:lang w:val="zh-CN"/>
        </w:rPr>
      </w:pPr>
      <w:r>
        <w:rPr>
          <w:rFonts w:hint="eastAsia" w:ascii="仿宋_GB2312" w:hAnsi="_x000B__x000C_" w:eastAsia="仿宋_GB2312" w:cs="仿宋_GB2312"/>
          <w:color w:val="000000"/>
          <w:sz w:val="32"/>
          <w:szCs w:val="32"/>
          <w:lang w:val="zh-CN"/>
        </w:rPr>
        <w:t>平资管办〔202</w:t>
      </w:r>
      <w:r>
        <w:rPr>
          <w:rFonts w:hint="eastAsia" w:ascii="仿宋_GB2312" w:hAnsi="_x000B__x000C_" w:eastAsia="仿宋_GB2312" w:cs="仿宋_GB2312"/>
          <w:color w:val="000000"/>
          <w:sz w:val="32"/>
          <w:szCs w:val="32"/>
          <w:lang w:val="en-US" w:eastAsia="zh-CN"/>
        </w:rPr>
        <w:t>2</w:t>
      </w:r>
      <w:r>
        <w:rPr>
          <w:rFonts w:hint="eastAsia" w:ascii="仿宋_GB2312" w:hAnsi="_x000B__x000C_" w:eastAsia="仿宋_GB2312" w:cs="仿宋_GB2312"/>
          <w:color w:val="000000"/>
          <w:sz w:val="32"/>
          <w:szCs w:val="32"/>
          <w:lang w:val="zh-CN"/>
        </w:rPr>
        <w:t>〕</w:t>
      </w:r>
      <w:r>
        <w:rPr>
          <w:rFonts w:hint="eastAsia" w:ascii="仿宋_GB2312" w:hAnsi="_x000B__x000C_" w:eastAsia="仿宋_GB2312" w:cs="仿宋_GB2312"/>
          <w:color w:val="000000"/>
          <w:sz w:val="32"/>
          <w:szCs w:val="32"/>
          <w:lang w:val="en-US" w:eastAsia="zh-CN"/>
        </w:rPr>
        <w:t>44</w:t>
      </w:r>
      <w:r>
        <w:rPr>
          <w:rFonts w:hint="eastAsia" w:ascii="仿宋_GB2312" w:hAnsi="_x000B__x000C_" w:eastAsia="仿宋_GB2312" w:cs="仿宋_GB2312"/>
          <w:color w:val="000000"/>
          <w:sz w:val="32"/>
          <w:szCs w:val="32"/>
          <w:lang w:val="zh-CN"/>
        </w:rPr>
        <w:t>号</w:t>
      </w:r>
    </w:p>
    <w:p>
      <w:pPr>
        <w:pStyle w:val="2"/>
        <w:keepNext w:val="0"/>
        <w:keepLines w:val="0"/>
        <w:pageBreakBefore w:val="0"/>
        <w:widowControl w:val="0"/>
        <w:kinsoku/>
        <w:wordWrap/>
        <w:overflowPunct/>
        <w:topLinePunct w:val="0"/>
        <w:bidi w:val="0"/>
        <w:snapToGrid/>
        <w:spacing w:line="460" w:lineRule="exact"/>
        <w:rPr>
          <w:rFonts w:hint="eastAsia"/>
          <w:sz w:val="20"/>
          <w:szCs w:val="21"/>
          <w:lang w:val="zh-CN"/>
        </w:rPr>
      </w:pPr>
    </w:p>
    <w:p>
      <w:pPr>
        <w:pStyle w:val="2"/>
        <w:keepNext w:val="0"/>
        <w:keepLines w:val="0"/>
        <w:pageBreakBefore w:val="0"/>
        <w:widowControl w:val="0"/>
        <w:kinsoku/>
        <w:wordWrap/>
        <w:overflowPunct/>
        <w:topLinePunct w:val="0"/>
        <w:bidi w:val="0"/>
        <w:snapToGrid/>
        <w:spacing w:line="460" w:lineRule="exact"/>
        <w:rPr>
          <w:rFonts w:hint="eastAsia"/>
          <w:lang w:val="zh-CN"/>
        </w:rPr>
      </w:pPr>
      <w:r>
        <w:rPr>
          <w:rFonts w:hint="default" w:ascii="Times New Roman" w:hAnsi="Times New Roman" w:eastAsia="宋体" w:cs="Times New Roman"/>
          <w:kern w:val="2"/>
          <w:sz w:val="21"/>
          <w:szCs w:val="24"/>
          <w:lang w:val="en-US" w:eastAsia="zh-CN" w:bidi="ar"/>
        </w:rPr>
        <w:pict>
          <v:line id="直接连接符 2" o:spid="_x0000_s1028" o:spt="20" style="position:absolute;left:0pt;flip:y;margin-left:-7.65pt;margin-top:1.4pt;height:0.05pt;width:425.2pt;z-index:251659264;mso-width-relative:page;mso-height-relative:page;" filled="f" stroked="t" coordsize="21600,21600" o:gfxdata="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smFotYAAAAIAQAADwAAAAAAAAAB&#10;ACAAAAAiAAAAZHJzL2Rvd25yZXYueG1sUEsBAhQAFAAAAAgAh07iQKA5NRESAgAACwQAAA4AAAAA&#10;AAAAAQAgAAAAJQEAAGRycy9lMm9Eb2MueG1sUEsFBgAAAAAGAAYAWQEAAKkFAAAAAA==&#10;">
            <v:path arrowok="t"/>
            <v:fill on="f" focussize="0,0"/>
            <v:stroke weight="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关于推行平阳县标后履约监管系统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lang w:val="zh-CN"/>
        </w:rPr>
      </w:pPr>
      <w:r>
        <w:rPr>
          <w:rFonts w:hint="eastAsia" w:ascii="方正小标宋简体" w:hAnsi="方正小标宋简体" w:eastAsia="方正小标宋简体" w:cs="方正小标宋简体"/>
          <w:bCs/>
          <w:sz w:val="44"/>
          <w:szCs w:val="44"/>
          <w:lang w:val="zh-CN"/>
        </w:rPr>
        <w:t>在建设单位应用的通知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各有关单位：</w:t>
      </w:r>
    </w:p>
    <w:p>
      <w:pPr>
        <w:keepNext w:val="0"/>
        <w:keepLines w:val="0"/>
        <w:pageBreakBefore w:val="0"/>
        <w:widowControl w:val="0"/>
        <w:tabs>
          <w:tab w:val="left" w:pos="4634"/>
        </w:tabs>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z w:val="32"/>
          <w:szCs w:val="32"/>
        </w:rPr>
      </w:pPr>
      <w:r>
        <w:rPr>
          <w:rFonts w:hint="eastAsia" w:ascii="仿宋_GB2312" w:hAnsi="仿宋_GB2312" w:eastAsia="仿宋_GB2312" w:cs="仿宋_GB2312"/>
          <w:b w:val="0"/>
          <w:bCs w:val="0"/>
          <w:color w:val="040404"/>
          <w:kern w:val="2"/>
          <w:sz w:val="32"/>
          <w:szCs w:val="32"/>
          <w:lang w:val="en-US" w:eastAsia="zh-CN" w:bidi="ar-SA"/>
        </w:rPr>
        <w:t>为进一步规范政府投资建设工程项目标后履约行为，加强建设单位作为项目第一责任人的监管职责，实现交易过程与履约成效有效联动，推动全县重点项目建设提质增速，促进工程项目建设安全、优质、廉洁、高效推进，</w:t>
      </w:r>
      <w:r>
        <w:rPr>
          <w:rFonts w:hint="eastAsia" w:ascii="仿宋_GB2312" w:hAnsi="Times New Roman" w:eastAsia="仿宋_GB2312" w:cs="Times New Roman"/>
          <w:sz w:val="32"/>
          <w:szCs w:val="32"/>
          <w:lang w:val="en-US" w:eastAsia="zh-CN"/>
        </w:rPr>
        <w:t>将</w:t>
      </w:r>
      <w:r>
        <w:rPr>
          <w:rFonts w:hint="eastAsia" w:ascii="仿宋_GB2312" w:hAnsi="Times New Roman" w:eastAsia="仿宋_GB2312" w:cs="Times New Roman"/>
          <w:sz w:val="32"/>
          <w:szCs w:val="32"/>
        </w:rPr>
        <w:t>启动平阳县标后履约监管系统（</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系统）试运行</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现将有关事项通知如下：</w:t>
      </w:r>
    </w:p>
    <w:p>
      <w:pPr>
        <w:keepNext w:val="0"/>
        <w:keepLines w:val="0"/>
        <w:pageBreakBefore w:val="0"/>
        <w:widowControl w:val="0"/>
        <w:tabs>
          <w:tab w:val="left" w:pos="4634"/>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sz w:val="32"/>
          <w:szCs w:val="20"/>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监管</w:t>
      </w:r>
      <w:r>
        <w:rPr>
          <w:rFonts w:hint="eastAsia" w:ascii="黑体" w:hAnsi="黑体" w:eastAsia="黑体" w:cs="黑体"/>
          <w:sz w:val="32"/>
          <w:szCs w:val="32"/>
        </w:rPr>
        <w:t>系统</w:t>
      </w:r>
      <w:r>
        <w:rPr>
          <w:rFonts w:hint="eastAsia" w:ascii="黑体" w:hAnsi="黑体" w:eastAsia="黑体" w:cs="黑体"/>
          <w:sz w:val="32"/>
          <w:szCs w:val="32"/>
          <w:lang w:val="en-US" w:eastAsia="zh-CN"/>
        </w:rPr>
        <w:t>作用</w:t>
      </w:r>
    </w:p>
    <w:p>
      <w:pPr>
        <w:keepNext w:val="0"/>
        <w:keepLines w:val="0"/>
        <w:pageBreakBefore w:val="0"/>
        <w:widowControl w:val="0"/>
        <w:tabs>
          <w:tab w:val="left" w:pos="4634"/>
        </w:tabs>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系统</w:t>
      </w:r>
      <w:r>
        <w:rPr>
          <w:rFonts w:ascii="仿宋_GB2312" w:hAnsi="Times New Roman" w:eastAsia="仿宋_GB2312" w:cs="Times New Roman"/>
          <w:sz w:val="32"/>
          <w:szCs w:val="32"/>
        </w:rPr>
        <w:t>主要</w:t>
      </w:r>
      <w:r>
        <w:rPr>
          <w:rFonts w:hint="eastAsia" w:ascii="仿宋_GB2312" w:hAnsi="Times New Roman" w:eastAsia="仿宋_GB2312" w:cs="Times New Roman"/>
          <w:sz w:val="32"/>
          <w:szCs w:val="32"/>
        </w:rPr>
        <w:t>功能</w:t>
      </w:r>
      <w:r>
        <w:rPr>
          <w:rFonts w:ascii="仿宋_GB2312" w:hAnsi="Times New Roman" w:eastAsia="仿宋_GB2312" w:cs="Times New Roman"/>
          <w:sz w:val="32"/>
          <w:szCs w:val="32"/>
        </w:rPr>
        <w:t>就是</w:t>
      </w:r>
      <w:r>
        <w:rPr>
          <w:rFonts w:hint="eastAsia" w:ascii="仿宋_GB2312" w:hAnsi="Times New Roman" w:eastAsia="仿宋_GB2312" w:cs="Times New Roman"/>
          <w:sz w:val="32"/>
          <w:szCs w:val="32"/>
        </w:rPr>
        <w:t>打通建设工程项目招投标环节与建设环节数据</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对人员变更、工程变更、工期变更和工程款支付等内容实时监测、及时预警、全程留痕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与平阳县公共资源交易系统相结合</w:t>
      </w:r>
      <w:bookmarkStart w:id="0" w:name="_Hlk116976805"/>
      <w:r>
        <w:rPr>
          <w:rFonts w:hint="eastAsia" w:ascii="仿宋_GB2312" w:hAnsi="Times New Roman" w:eastAsia="仿宋_GB2312" w:cs="Times New Roman"/>
          <w:sz w:val="32"/>
          <w:szCs w:val="32"/>
        </w:rPr>
        <w:t>对全县的建设工程招投标行为“全生命周期”实现动态化、智能化管理</w:t>
      </w:r>
      <w:bookmarkEnd w:id="0"/>
      <w:r>
        <w:rPr>
          <w:rFonts w:hint="eastAsia" w:ascii="仿宋_GB2312" w:hAnsi="Times New Roman" w:eastAsia="仿宋_GB2312" w:cs="Times New Roman"/>
          <w:sz w:val="32"/>
          <w:szCs w:val="32"/>
        </w:rPr>
        <w:t>。</w:t>
      </w:r>
    </w:p>
    <w:p>
      <w:pPr>
        <w:keepNext w:val="0"/>
        <w:keepLines w:val="0"/>
        <w:pageBreakBefore w:val="0"/>
        <w:widowControl w:val="0"/>
        <w:tabs>
          <w:tab w:val="left" w:pos="4634"/>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20"/>
        </w:rPr>
      </w:pPr>
      <w:r>
        <w:rPr>
          <w:rFonts w:hint="eastAsia" w:ascii="黑体" w:hAnsi="黑体" w:eastAsia="黑体" w:cs="黑体"/>
          <w:sz w:val="32"/>
          <w:szCs w:val="32"/>
        </w:rPr>
        <w:t>二、推广使用范围</w:t>
      </w:r>
    </w:p>
    <w:p>
      <w:pPr>
        <w:keepNext w:val="0"/>
        <w:keepLines w:val="0"/>
        <w:pageBreakBefore w:val="0"/>
        <w:widowControl w:val="0"/>
        <w:tabs>
          <w:tab w:val="left" w:pos="4634"/>
        </w:tabs>
        <w:kinsoku/>
        <w:wordWrap/>
        <w:overflowPunct/>
        <w:topLinePunct w:val="0"/>
        <w:bidi w:val="0"/>
        <w:adjustRightInd/>
        <w:snapToGrid/>
        <w:spacing w:line="560" w:lineRule="exact"/>
        <w:ind w:firstLine="640" w:firstLineChars="200"/>
        <w:textAlignment w:val="auto"/>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平阳县</w:t>
      </w:r>
      <w:r>
        <w:rPr>
          <w:rFonts w:hint="default" w:ascii="仿宋_GB2312" w:hAnsi="Times New Roman" w:eastAsia="仿宋_GB2312" w:cs="Times New Roman"/>
          <w:sz w:val="32"/>
          <w:szCs w:val="32"/>
          <w:lang w:eastAsia="zh-CN"/>
        </w:rPr>
        <w:t>县</w:t>
      </w:r>
      <w:r>
        <w:rPr>
          <w:rFonts w:hint="eastAsia" w:ascii="仿宋_GB2312" w:hAnsi="Times New Roman" w:eastAsia="仿宋_GB2312" w:cs="Times New Roman"/>
          <w:sz w:val="32"/>
          <w:szCs w:val="32"/>
          <w:lang w:eastAsia="zh-CN"/>
        </w:rPr>
        <w:t>域</w:t>
      </w:r>
      <w:r>
        <w:rPr>
          <w:rFonts w:hint="default" w:ascii="仿宋_GB2312" w:hAnsi="Times New Roman" w:eastAsia="仿宋_GB2312" w:cs="Times New Roman"/>
          <w:sz w:val="32"/>
          <w:szCs w:val="32"/>
          <w:lang w:eastAsia="zh-CN"/>
        </w:rPr>
        <w:t>内</w:t>
      </w:r>
      <w:r>
        <w:rPr>
          <w:rFonts w:hint="eastAsia" w:ascii="仿宋_GB2312" w:hAnsi="Times New Roman" w:eastAsia="仿宋_GB2312" w:cs="Times New Roman"/>
          <w:sz w:val="32"/>
          <w:szCs w:val="32"/>
          <w:lang w:val="en-US" w:eastAsia="zh-CN"/>
        </w:rPr>
        <w:t>政府投资工程建设项目</w:t>
      </w:r>
      <w:r>
        <w:rPr>
          <w:rFonts w:hint="default" w:ascii="仿宋_GB2312" w:hAnsi="Times New Roman" w:eastAsia="仿宋_GB2312" w:cs="Times New Roman"/>
          <w:sz w:val="32"/>
          <w:szCs w:val="32"/>
          <w:lang w:eastAsia="zh-CN"/>
        </w:rPr>
        <w:t>。</w:t>
      </w:r>
    </w:p>
    <w:p>
      <w:pPr>
        <w:keepNext w:val="0"/>
        <w:keepLines w:val="0"/>
        <w:pageBreakBefore w:val="0"/>
        <w:widowControl w:val="0"/>
        <w:tabs>
          <w:tab w:val="left" w:pos="4634"/>
        </w:tabs>
        <w:kinsoku/>
        <w:wordWrap/>
        <w:overflowPunct/>
        <w:topLinePunct w:val="0"/>
        <w:bidi w:val="0"/>
        <w:adjustRightInd/>
        <w:snapToGrid/>
        <w:spacing w:line="560" w:lineRule="exact"/>
        <w:ind w:firstLine="640" w:firstLineChars="200"/>
        <w:textAlignment w:val="auto"/>
        <w:rPr>
          <w:rFonts w:ascii="黑体" w:hAnsi="黑体" w:eastAsia="黑体" w:cs="黑体"/>
          <w:snapToGrid w:val="0"/>
          <w:sz w:val="32"/>
          <w:szCs w:val="32"/>
        </w:rPr>
      </w:pPr>
      <w:r>
        <w:rPr>
          <w:rFonts w:hint="eastAsia" w:ascii="黑体" w:hAnsi="黑体" w:eastAsia="黑体" w:cs="黑体"/>
          <w:snapToGrid w:val="0"/>
          <w:sz w:val="32"/>
          <w:szCs w:val="32"/>
        </w:rPr>
        <w:t>三、工作要求</w:t>
      </w:r>
    </w:p>
    <w:p>
      <w:pPr>
        <w:keepNext w:val="0"/>
        <w:keepLines w:val="0"/>
        <w:pageBreakBefore w:val="0"/>
        <w:widowControl w:val="0"/>
        <w:tabs>
          <w:tab w:val="left" w:pos="4634"/>
        </w:tabs>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1.各</w:t>
      </w:r>
      <w:r>
        <w:rPr>
          <w:rFonts w:hint="eastAsia" w:ascii="仿宋_GB2312" w:hAnsi="Times New Roman" w:eastAsia="仿宋_GB2312" w:cs="Times New Roman"/>
          <w:snapToGrid w:val="0"/>
          <w:sz w:val="32"/>
          <w:szCs w:val="32"/>
          <w:lang w:val="en-US" w:eastAsia="zh-CN"/>
        </w:rPr>
        <w:t>有关</w:t>
      </w:r>
      <w:r>
        <w:rPr>
          <w:rFonts w:hint="eastAsia" w:ascii="仿宋_GB2312" w:hAnsi="Times New Roman" w:eastAsia="仿宋_GB2312" w:cs="Times New Roman"/>
          <w:snapToGrid w:val="0"/>
          <w:sz w:val="32"/>
          <w:szCs w:val="32"/>
        </w:rPr>
        <w:t>单位要从收到文件之日起，正式推广使用</w:t>
      </w:r>
      <w:r>
        <w:rPr>
          <w:rFonts w:hint="eastAsia" w:ascii="仿宋_GB2312" w:hAnsi="Times New Roman" w:eastAsia="仿宋_GB2312" w:cs="Times New Roman"/>
          <w:snapToGrid w:val="0"/>
          <w:sz w:val="32"/>
          <w:szCs w:val="32"/>
          <w:lang w:eastAsia="zh-CN"/>
        </w:rPr>
        <w:t>监管</w:t>
      </w:r>
      <w:r>
        <w:rPr>
          <w:rFonts w:hint="eastAsia" w:ascii="仿宋_GB2312" w:hAnsi="Times New Roman" w:eastAsia="仿宋_GB2312" w:cs="Times New Roman"/>
          <w:snapToGrid w:val="0"/>
          <w:sz w:val="32"/>
          <w:szCs w:val="32"/>
        </w:rPr>
        <w:t>系统，对2022年6月30日以后签订合同的建设工程项目，建设单位均需在</w:t>
      </w:r>
      <w:r>
        <w:rPr>
          <w:rFonts w:hint="eastAsia" w:ascii="仿宋_GB2312" w:hAnsi="Times New Roman" w:eastAsia="仿宋_GB2312" w:cs="Times New Roman"/>
          <w:snapToGrid w:val="0"/>
          <w:sz w:val="32"/>
          <w:szCs w:val="32"/>
          <w:lang w:eastAsia="zh-CN"/>
        </w:rPr>
        <w:t>监管</w:t>
      </w:r>
      <w:r>
        <w:rPr>
          <w:rFonts w:hint="eastAsia" w:ascii="仿宋_GB2312" w:hAnsi="Times New Roman" w:eastAsia="仿宋_GB2312" w:cs="Times New Roman"/>
          <w:snapToGrid w:val="0"/>
          <w:sz w:val="32"/>
          <w:szCs w:val="32"/>
        </w:rPr>
        <w:t>系统录入相关信息。</w:t>
      </w:r>
    </w:p>
    <w:p>
      <w:pPr>
        <w:keepNext w:val="0"/>
        <w:keepLines w:val="0"/>
        <w:pageBreakBefore w:val="0"/>
        <w:widowControl w:val="0"/>
        <w:tabs>
          <w:tab w:val="left" w:pos="4634"/>
        </w:tabs>
        <w:kinsoku/>
        <w:wordWrap/>
        <w:overflowPunct/>
        <w:topLinePunct w:val="0"/>
        <w:bidi w:val="0"/>
        <w:adjustRightInd/>
        <w:snapToGrid/>
        <w:spacing w:line="560" w:lineRule="exact"/>
        <w:ind w:firstLine="640" w:firstLineChars="200"/>
        <w:textAlignment w:val="auto"/>
        <w:rPr>
          <w:rFonts w:ascii="黑体" w:hAnsi="黑体" w:eastAsia="黑体" w:cs="黑体"/>
          <w:sz w:val="32"/>
          <w:szCs w:val="20"/>
        </w:rPr>
      </w:pPr>
      <w:r>
        <w:rPr>
          <w:rFonts w:hint="eastAsia" w:ascii="黑体" w:hAnsi="黑体" w:eastAsia="黑体" w:cs="黑体"/>
          <w:sz w:val="32"/>
          <w:szCs w:val="32"/>
        </w:rPr>
        <w:t>四、其它注意事项</w:t>
      </w:r>
    </w:p>
    <w:p>
      <w:pPr>
        <w:pStyle w:val="4"/>
        <w:keepNext w:val="0"/>
        <w:keepLines w:val="0"/>
        <w:pageBreakBefore w:val="0"/>
        <w:widowControl w:val="0"/>
        <w:tabs>
          <w:tab w:val="left" w:pos="4634"/>
        </w:tabs>
        <w:kinsoku/>
        <w:wordWrap/>
        <w:overflowPunct/>
        <w:topLinePunct w:val="0"/>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40404"/>
          <w:kern w:val="2"/>
          <w:sz w:val="32"/>
          <w:szCs w:val="32"/>
          <w:lang w:val="en-US" w:eastAsia="zh-CN" w:bidi="ar-SA"/>
        </w:rPr>
      </w:pPr>
      <w:r>
        <w:rPr>
          <w:rFonts w:hint="eastAsia" w:ascii="仿宋_GB2312" w:hAnsi="Times New Roman" w:eastAsia="仿宋_GB2312" w:cs="Times New Roman"/>
          <w:snapToGrid w:val="0"/>
          <w:sz w:val="32"/>
          <w:szCs w:val="32"/>
        </w:rPr>
        <w:t>1.</w:t>
      </w:r>
      <w:r>
        <w:rPr>
          <w:rFonts w:hint="eastAsia" w:ascii="仿宋_GB2312" w:hAnsi="仿宋_GB2312" w:eastAsia="仿宋_GB2312" w:cs="仿宋_GB2312"/>
          <w:b w:val="0"/>
          <w:bCs w:val="0"/>
          <w:color w:val="040404"/>
          <w:kern w:val="2"/>
          <w:sz w:val="32"/>
          <w:szCs w:val="32"/>
          <w:lang w:val="en-US" w:eastAsia="zh-CN" w:bidi="ar-SA"/>
        </w:rPr>
        <w:t>“用户操作手册”详细介绍了监管系统的操作规范，操作视频，请通过附件2的链接下载使用。平台在使用过程中，各单位如有任何的问题或建议，请及时咨询县资管办。联系电话：19975263635   63193059。</w:t>
      </w:r>
    </w:p>
    <w:p>
      <w:pPr>
        <w:pStyle w:val="4"/>
        <w:keepNext w:val="0"/>
        <w:keepLines w:val="0"/>
        <w:pageBreakBefore w:val="0"/>
        <w:widowControl w:val="0"/>
        <w:tabs>
          <w:tab w:val="left" w:pos="4634"/>
        </w:tabs>
        <w:kinsoku/>
        <w:wordWrap/>
        <w:overflowPunct/>
        <w:topLinePunct w:val="0"/>
        <w:bidi w:val="0"/>
        <w:adjustRightInd/>
        <w:snapToGrid/>
        <w:spacing w:after="0" w:line="560" w:lineRule="exact"/>
        <w:ind w:firstLine="640" w:firstLineChars="200"/>
        <w:textAlignment w:val="auto"/>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rPr>
        <w:t>2.</w:t>
      </w:r>
      <w:r>
        <w:rPr>
          <w:rFonts w:hint="eastAsia" w:ascii="仿宋_GB2312" w:hAnsi="仿宋_GB2312" w:eastAsia="仿宋_GB2312" w:cs="仿宋_GB2312"/>
          <w:b w:val="0"/>
          <w:bCs w:val="0"/>
          <w:color w:val="040404"/>
          <w:kern w:val="2"/>
          <w:sz w:val="32"/>
          <w:szCs w:val="32"/>
          <w:lang w:val="en-US" w:eastAsia="zh-CN" w:bidi="ar-SA"/>
        </w:rPr>
        <w:t>各建设单位须高度重视，加强组织领导，切实应用标后监管系统，落实责任制，加强工程建设项目标后履约管理工作。</w:t>
      </w:r>
    </w:p>
    <w:p>
      <w:pPr>
        <w:pStyle w:val="7"/>
        <w:keepNext w:val="0"/>
        <w:keepLines w:val="0"/>
        <w:pageBreakBefore w:val="0"/>
        <w:widowControl w:val="0"/>
        <w:tabs>
          <w:tab w:val="left" w:pos="4634"/>
        </w:tabs>
        <w:kinsoku/>
        <w:wordWrap/>
        <w:overflowPunct/>
        <w:topLinePunct w:val="0"/>
        <w:bidi w:val="0"/>
        <w:adjustRightInd/>
        <w:snapToGrid/>
        <w:spacing w:after="0" w:line="560" w:lineRule="exact"/>
        <w:ind w:left="0" w:leftChars="0"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县资管办、</w:t>
      </w:r>
      <w:r>
        <w:rPr>
          <w:rFonts w:hint="eastAsia" w:ascii="仿宋_GB2312" w:hAnsi="Times New Roman" w:eastAsia="仿宋_GB2312" w:cs="Times New Roman"/>
          <w:sz w:val="32"/>
          <w:szCs w:val="32"/>
        </w:rPr>
        <w:t>行业主管部门定期对各单位平台使用情况和合同补录情况进行抽查和通报。</w:t>
      </w:r>
    </w:p>
    <w:p>
      <w:pPr>
        <w:keepNext w:val="0"/>
        <w:keepLines w:val="0"/>
        <w:pageBreakBefore w:val="0"/>
        <w:widowControl w:val="0"/>
        <w:tabs>
          <w:tab w:val="left" w:pos="4634"/>
        </w:tabs>
        <w:kinsoku/>
        <w:wordWrap/>
        <w:overflowPunct/>
        <w:topLinePunct w:val="0"/>
        <w:bidi w:val="0"/>
        <w:adjustRightInd/>
        <w:snapToGrid/>
        <w:spacing w:line="560" w:lineRule="exact"/>
        <w:textAlignment w:val="auto"/>
        <w:rPr>
          <w:rFonts w:hint="eastAsia" w:ascii="仿宋_GB2312" w:hAnsi="Times New Roman" w:eastAsia="仿宋_GB2312" w:cs="Times New Roman"/>
          <w:sz w:val="32"/>
          <w:szCs w:val="32"/>
        </w:rPr>
      </w:pPr>
    </w:p>
    <w:p>
      <w:pPr>
        <w:keepNext w:val="0"/>
        <w:keepLines w:val="0"/>
        <w:pageBreakBefore w:val="0"/>
        <w:widowControl w:val="0"/>
        <w:tabs>
          <w:tab w:val="left" w:pos="4634"/>
        </w:tabs>
        <w:kinsoku/>
        <w:wordWrap/>
        <w:overflowPunct/>
        <w:topLinePunct w:val="0"/>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系统操作指引</w:t>
      </w:r>
    </w:p>
    <w:p>
      <w:pPr>
        <w:pStyle w:val="13"/>
        <w:keepNext w:val="0"/>
        <w:keepLines w:val="0"/>
        <w:pageBreakBefore w:val="0"/>
        <w:widowControl w:val="0"/>
        <w:numPr>
          <w:ilvl w:val="0"/>
          <w:numId w:val="0"/>
        </w:numPr>
        <w:tabs>
          <w:tab w:val="left" w:pos="4634"/>
        </w:tabs>
        <w:kinsoku/>
        <w:wordWrap/>
        <w:overflowPunct/>
        <w:topLinePunct w:val="0"/>
        <w:autoSpaceDE w:val="0"/>
        <w:autoSpaceDN w:val="0"/>
        <w:bidi w:val="0"/>
        <w:adjustRightInd/>
        <w:snapToGrid/>
        <w:spacing w:line="560" w:lineRule="exact"/>
        <w:ind w:left="1276" w:leftChars="0" w:firstLine="320" w:firstLineChars="100"/>
        <w:textAlignment w:val="auto"/>
        <w:rPr>
          <w:rFonts w:ascii="Times New Roman" w:hAnsi="Times New Roman" w:eastAsia="仿宋_GB2312" w:cs="Times New Roman"/>
          <w:sz w:val="32"/>
          <w:szCs w:val="20"/>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系统-用户操作手册（pc端、手机端）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zh-CN"/>
        </w:rPr>
      </w:pPr>
    </w:p>
    <w:p>
      <w:pPr>
        <w:pStyle w:val="2"/>
        <w:rPr>
          <w:rFonts w:hint="eastAsia" w:ascii="仿宋" w:hAnsi="仿宋" w:eastAsia="仿宋" w:cs="仿宋"/>
          <w:kern w:val="0"/>
          <w:sz w:val="32"/>
          <w:szCs w:val="32"/>
          <w:lang w:val="en-US" w:eastAsia="zh-CN"/>
        </w:rPr>
      </w:pPr>
    </w:p>
    <w:p>
      <w:pPr>
        <w:rPr>
          <w:rFonts w:hint="eastAsia" w:ascii="仿宋" w:hAnsi="仿宋" w:eastAsia="仿宋" w:cs="仿宋"/>
          <w:kern w:val="0"/>
          <w:sz w:val="32"/>
          <w:szCs w:val="32"/>
          <w:lang w:val="en-US" w:eastAsia="zh-CN"/>
        </w:rPr>
      </w:pPr>
    </w:p>
    <w:p>
      <w:pPr>
        <w:rPr>
          <w:rFonts w:hint="eastAsia" w:ascii="仿宋_GB2312" w:hAnsi="Times New Roman" w:eastAsia="仿宋_GB2312" w:cs="Times New Roman"/>
          <w:kern w:val="2"/>
          <w:sz w:val="32"/>
          <w:szCs w:val="32"/>
          <w:lang w:val="en-US" w:eastAsia="zh-CN" w:bidi="ar-SA"/>
        </w:rPr>
      </w:pPr>
      <w:bookmarkStart w:id="1" w:name="_GoBack"/>
      <w:bookmarkEnd w:id="1"/>
      <w:r>
        <w:rPr>
          <w:rFonts w:hint="eastAsia" w:ascii="仿宋_GB2312" w:hAnsi="Times New Roman" w:eastAsia="仿宋_GB2312" w:cs="Times New Roman"/>
          <w:kern w:val="2"/>
          <w:sz w:val="32"/>
          <w:szCs w:val="32"/>
          <w:lang w:val="en-US" w:eastAsia="zh-CN" w:bidi="ar-SA"/>
        </w:rPr>
        <w:t>（此页无正文）</w:t>
      </w: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平阳县住房和城乡建设局       平阳县交通运输局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平阳县</w:t>
      </w:r>
      <w:r>
        <w:rPr>
          <w:rFonts w:hint="eastAsia" w:ascii="仿宋" w:hAnsi="仿宋" w:eastAsia="仿宋" w:cs="仿宋"/>
          <w:kern w:val="0"/>
          <w:sz w:val="32"/>
          <w:szCs w:val="32"/>
        </w:rPr>
        <w:t>水利局</w:t>
      </w:r>
      <w:r>
        <w:rPr>
          <w:rFonts w:hint="eastAsia" w:ascii="仿宋" w:hAnsi="仿宋" w:eastAsia="仿宋" w:cs="仿宋"/>
          <w:kern w:val="0"/>
          <w:sz w:val="32"/>
          <w:szCs w:val="32"/>
          <w:lang w:val="en-US" w:eastAsia="zh-CN"/>
        </w:rPr>
        <w:t xml:space="preserve">     平阳县</w:t>
      </w:r>
      <w:r>
        <w:rPr>
          <w:rFonts w:hint="eastAsia" w:ascii="仿宋" w:hAnsi="仿宋" w:eastAsia="仿宋" w:cs="仿宋"/>
          <w:kern w:val="0"/>
          <w:sz w:val="32"/>
          <w:szCs w:val="32"/>
        </w:rPr>
        <w:t>公共资源交易管理委员会办公室</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pStyle w:val="2"/>
        <w:rPr>
          <w:rFonts w:hint="default" w:eastAsia="仿宋"/>
          <w:lang w:val="en-US" w:eastAsia="zh-CN"/>
        </w:rPr>
      </w:pPr>
      <w:r>
        <w:rPr>
          <w:rFonts w:hint="eastAsia" w:ascii="仿宋" w:hAnsi="仿宋" w:eastAsia="仿宋" w:cs="仿宋"/>
          <w:kern w:val="0"/>
          <w:sz w:val="32"/>
          <w:szCs w:val="32"/>
          <w:lang w:val="en-US" w:eastAsia="zh-CN"/>
        </w:rPr>
        <w:t xml:space="preserve">                           </w:t>
      </w:r>
    </w:p>
    <w:p>
      <w:pPr>
        <w:spacing w:after="120" w:line="400" w:lineRule="exact"/>
        <w:rPr>
          <w:rFonts w:hint="default" w:ascii="黑体" w:hAnsi="黑体" w:eastAsia="黑体" w:cs="黑体"/>
          <w:snapToGrid w:val="0"/>
          <w:sz w:val="32"/>
          <w:szCs w:val="24"/>
          <w:lang w:val="en-US" w:eastAsia="zh-CN"/>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黑体" w:hAnsi="黑体" w:eastAsia="黑体" w:cs="黑体"/>
          <w:snapToGrid w:val="0"/>
          <w:sz w:val="32"/>
          <w:szCs w:val="24"/>
        </w:rPr>
      </w:pPr>
    </w:p>
    <w:p>
      <w:pPr>
        <w:spacing w:after="120" w:line="400" w:lineRule="exact"/>
        <w:rPr>
          <w:rFonts w:hint="eastAsia" w:ascii="仿宋" w:hAnsi="仿宋" w:eastAsia="黑体" w:cs="仿宋"/>
          <w:b/>
          <w:bCs/>
          <w:snapToGrid w:val="0"/>
          <w:sz w:val="36"/>
          <w:szCs w:val="44"/>
          <w:lang w:val="en-US" w:eastAsia="zh-CN"/>
        </w:rPr>
      </w:pPr>
      <w:r>
        <w:rPr>
          <w:rFonts w:hint="eastAsia" w:ascii="黑体" w:hAnsi="黑体" w:eastAsia="黑体" w:cs="黑体"/>
          <w:snapToGrid w:val="0"/>
          <w:sz w:val="32"/>
          <w:szCs w:val="24"/>
        </w:rPr>
        <w:t>附件</w:t>
      </w:r>
      <w:r>
        <w:rPr>
          <w:rFonts w:hint="eastAsia" w:ascii="黑体" w:hAnsi="黑体" w:eastAsia="黑体" w:cs="黑体"/>
          <w:snapToGrid w:val="0"/>
          <w:sz w:val="32"/>
          <w:szCs w:val="24"/>
          <w:lang w:val="en-US" w:eastAsia="zh-CN"/>
        </w:rPr>
        <w:t>1</w:t>
      </w:r>
    </w:p>
    <w:p>
      <w:pPr>
        <w:spacing w:line="600" w:lineRule="exact"/>
        <w:jc w:val="center"/>
        <w:outlineLvl w:val="0"/>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eastAsia="zh-CN"/>
        </w:rPr>
        <w:t>监管</w:t>
      </w:r>
      <w:r>
        <w:rPr>
          <w:rFonts w:hint="eastAsia" w:ascii="方正小标宋简体" w:hAnsi="方正小标宋简体" w:eastAsia="方正小标宋简体" w:cs="方正小标宋简体"/>
          <w:sz w:val="44"/>
          <w:szCs w:val="44"/>
          <w:lang w:val="zh-CN"/>
        </w:rPr>
        <w:t>系统操作指引</w:t>
      </w:r>
    </w:p>
    <w:p>
      <w:pPr>
        <w:spacing w:line="400" w:lineRule="exact"/>
        <w:rPr>
          <w:rFonts w:ascii="仿宋" w:hAnsi="仿宋" w:eastAsia="仿宋" w:cs="仿宋"/>
          <w:snapToGrid w:val="0"/>
          <w:sz w:val="28"/>
          <w:szCs w:val="36"/>
        </w:rPr>
      </w:pPr>
    </w:p>
    <w:p>
      <w:pPr>
        <w:spacing w:after="120" w:line="400" w:lineRule="exact"/>
        <w:ind w:firstLine="560" w:firstLineChars="200"/>
        <w:rPr>
          <w:rFonts w:ascii="Times New Roman" w:hAnsi="Times New Roman" w:eastAsia="仿宋_GB2312" w:cs="Times New Roman"/>
          <w:sz w:val="32"/>
          <w:szCs w:val="20"/>
        </w:rPr>
      </w:pPr>
      <w:r>
        <w:rPr>
          <w:rFonts w:hint="eastAsia" w:ascii="仿宋_GB2312" w:hAnsi="Times New Roman" w:eastAsia="仿宋_GB2312" w:cs="Times New Roman"/>
          <w:color w:val="000000"/>
          <w:sz w:val="28"/>
          <w:szCs w:val="28"/>
        </w:rPr>
        <w:t>县资管办建立</w:t>
      </w:r>
      <w:r>
        <w:rPr>
          <w:rFonts w:hint="eastAsia" w:ascii="仿宋_GB2312" w:hAnsi="Times New Roman" w:eastAsia="仿宋_GB2312" w:cs="Times New Roman"/>
          <w:sz w:val="32"/>
          <w:szCs w:val="32"/>
          <w:lang w:eastAsia="zh-CN"/>
        </w:rPr>
        <w:t>监管</w:t>
      </w:r>
      <w:r>
        <w:rPr>
          <w:rFonts w:hint="eastAsia" w:ascii="仿宋_GB2312" w:hAnsi="Times New Roman" w:eastAsia="仿宋_GB2312" w:cs="Times New Roman"/>
          <w:sz w:val="32"/>
          <w:szCs w:val="32"/>
        </w:rPr>
        <w:t>系统</w:t>
      </w:r>
      <w:r>
        <w:rPr>
          <w:rFonts w:hint="eastAsia" w:ascii="仿宋_GB2312" w:hAnsi="Times New Roman" w:eastAsia="仿宋_GB2312" w:cs="Times New Roman"/>
          <w:color w:val="000000"/>
          <w:sz w:val="28"/>
          <w:szCs w:val="28"/>
        </w:rPr>
        <w:t>，以“互联网</w:t>
      </w:r>
      <w:r>
        <w:rPr>
          <w:rFonts w:ascii="仿宋_GB2312" w:hAnsi="Times New Roman" w:eastAsia="仿宋_GB2312" w:cs="Times New Roman"/>
          <w:color w:val="000000"/>
          <w:sz w:val="28"/>
          <w:szCs w:val="28"/>
        </w:rPr>
        <w:t>+监管”为导向，聚焦提升监管精准性有效性</w:t>
      </w:r>
      <w:r>
        <w:rPr>
          <w:rFonts w:hint="eastAsia" w:ascii="仿宋_GB2312" w:hAnsi="Times New Roman" w:eastAsia="仿宋_GB2312" w:cs="Times New Roman"/>
          <w:color w:val="000000"/>
          <w:sz w:val="28"/>
          <w:szCs w:val="28"/>
        </w:rPr>
        <w:t>，全面推进交易活动全过程在线监管，强化行政部门综合监管能力，提升政府监管效能。对全县的招投标行为“全生命周期”实现动态化、智能化管理。建设单位、施工单位要按照平台要求全面、真实、完整地在平台上记录合同订立、审查、备案、履行、档案管理等活动。</w:t>
      </w:r>
    </w:p>
    <w:p>
      <w:pPr>
        <w:spacing w:after="120" w:line="400" w:lineRule="exact"/>
        <w:ind w:left="0" w:leftChars="0" w:firstLine="0" w:firstLineChars="0"/>
        <w:rPr>
          <w:rFonts w:ascii="仿宋_GB2312" w:hAnsi="Times New Roman" w:eastAsia="仿宋_GB2312" w:cs="Times New Roman"/>
          <w:snapToGrid w:val="0"/>
          <w:color w:val="000000"/>
          <w:sz w:val="28"/>
          <w:szCs w:val="28"/>
        </w:rPr>
      </w:pPr>
      <w:r>
        <w:rPr>
          <w:rFonts w:hint="default" w:ascii="仿宋_GB2312" w:hAnsi="Times New Roman" w:eastAsia="仿宋_GB2312" w:cs="Times New Roman"/>
          <w:snapToGrid w:val="0"/>
          <w:color w:val="000000"/>
          <w:sz w:val="28"/>
          <w:szCs w:val="28"/>
        </w:rPr>
        <w:t xml:space="preserve">   1</w:t>
      </w:r>
      <w:r>
        <w:rPr>
          <w:rFonts w:hint="eastAsia" w:ascii="仿宋_GB2312" w:hAnsi="Times New Roman" w:eastAsia="仿宋_GB2312" w:cs="Times New Roman"/>
          <w:snapToGrid w:val="0"/>
          <w:color w:val="000000"/>
          <w:sz w:val="28"/>
          <w:szCs w:val="28"/>
        </w:rPr>
        <w:t>.（标后基本信息）在平阳县公共资源交易系统上进行招投标的项目在中标结果公示发布并完成合同签订后，建设单位需在此平台对合同签订信息、附件材料、项目关键人员登信息进行登记备案。</w:t>
      </w:r>
    </w:p>
    <w:p>
      <w:pPr>
        <w:spacing w:after="120" w:line="400" w:lineRule="exact"/>
        <w:ind w:firstLine="420" w:firstLineChars="150"/>
        <w:rPr>
          <w:rFonts w:ascii="仿宋_GB2312" w:hAnsi="Times New Roman" w:eastAsia="仿宋_GB2312" w:cs="Times New Roman"/>
          <w:snapToGrid w:val="0"/>
          <w:color w:val="000000"/>
          <w:sz w:val="28"/>
          <w:szCs w:val="28"/>
        </w:rPr>
      </w:pPr>
      <w:r>
        <w:rPr>
          <w:rFonts w:hint="default" w:ascii="仿宋_GB2312" w:hAnsi="Times New Roman" w:eastAsia="仿宋_GB2312" w:cs="Times New Roman"/>
          <w:snapToGrid w:val="0"/>
          <w:color w:val="000000"/>
          <w:sz w:val="28"/>
          <w:szCs w:val="28"/>
        </w:rPr>
        <w:t>2</w:t>
      </w:r>
      <w:r>
        <w:rPr>
          <w:rFonts w:hint="eastAsia" w:ascii="仿宋_GB2312" w:hAnsi="Times New Roman" w:eastAsia="仿宋_GB2312" w:cs="Times New Roman"/>
          <w:snapToGrid w:val="0"/>
          <w:color w:val="000000"/>
          <w:sz w:val="28"/>
          <w:szCs w:val="28"/>
        </w:rPr>
        <w:t>.（项目变更监察）对已进行标后基本信息备案的项目，如果对设计、工程量、工程造价等在施工过程中产生的变更，建设单位需在此平台需在此进行登记备案。</w:t>
      </w:r>
    </w:p>
    <w:p>
      <w:pPr>
        <w:spacing w:after="120" w:line="400" w:lineRule="exact"/>
        <w:ind w:firstLine="420" w:firstLineChars="150"/>
        <w:rPr>
          <w:rFonts w:ascii="仿宋_GB2312" w:hAnsi="Times New Roman" w:eastAsia="仿宋_GB2312" w:cs="Times New Roman"/>
          <w:snapToGrid w:val="0"/>
          <w:color w:val="000000"/>
          <w:sz w:val="28"/>
          <w:szCs w:val="28"/>
        </w:rPr>
      </w:pPr>
      <w:r>
        <w:rPr>
          <w:rFonts w:hint="default" w:ascii="仿宋_GB2312" w:hAnsi="Times New Roman" w:eastAsia="仿宋_GB2312" w:cs="Times New Roman"/>
          <w:snapToGrid w:val="0"/>
          <w:color w:val="000000"/>
          <w:sz w:val="28"/>
          <w:szCs w:val="28"/>
        </w:rPr>
        <w:t>3</w:t>
      </w:r>
      <w:r>
        <w:rPr>
          <w:rFonts w:hint="eastAsia" w:ascii="仿宋_GB2312" w:hAnsi="Times New Roman" w:eastAsia="仿宋_GB2312" w:cs="Times New Roman"/>
          <w:snapToGrid w:val="0"/>
          <w:color w:val="000000"/>
          <w:sz w:val="28"/>
          <w:szCs w:val="28"/>
        </w:rPr>
        <w:t>.（资金拨付监察）对已进行标后基本信息备案的项目，建设单位需在此平台对每一次资金拨付的情况进行登记备案登记。</w:t>
      </w:r>
    </w:p>
    <w:p>
      <w:pPr>
        <w:spacing w:after="120" w:line="400" w:lineRule="exact"/>
        <w:ind w:firstLine="420" w:firstLineChars="150"/>
        <w:rPr>
          <w:rFonts w:ascii="仿宋_GB2312" w:hAnsi="Times New Roman" w:eastAsia="仿宋_GB2312" w:cs="Times New Roman"/>
          <w:snapToGrid w:val="0"/>
          <w:color w:val="000000"/>
          <w:sz w:val="28"/>
          <w:szCs w:val="28"/>
        </w:rPr>
      </w:pPr>
      <w:r>
        <w:rPr>
          <w:rFonts w:hint="default" w:ascii="仿宋_GB2312" w:hAnsi="Times New Roman" w:eastAsia="仿宋_GB2312" w:cs="Times New Roman"/>
          <w:snapToGrid w:val="0"/>
          <w:color w:val="000000"/>
          <w:sz w:val="28"/>
          <w:szCs w:val="28"/>
        </w:rPr>
        <w:t>4</w:t>
      </w:r>
      <w:r>
        <w:rPr>
          <w:rFonts w:hint="eastAsia" w:ascii="仿宋_GB2312" w:hAnsi="Times New Roman" w:eastAsia="仿宋_GB2312" w:cs="Times New Roman"/>
          <w:snapToGrid w:val="0"/>
          <w:color w:val="000000"/>
          <w:sz w:val="28"/>
          <w:szCs w:val="28"/>
        </w:rPr>
        <w:t>.(人员变更监察）对已进行标后基本信息备案的项目，如果在施工过程中发生项目关键人变更的情况，建设单位需在此平台需在此进行登记备案。</w:t>
      </w:r>
    </w:p>
    <w:p>
      <w:pPr>
        <w:spacing w:after="120" w:line="400" w:lineRule="exact"/>
        <w:ind w:firstLine="420" w:firstLineChars="150"/>
        <w:rPr>
          <w:rFonts w:ascii="仿宋_GB2312" w:hAnsi="Times New Roman" w:eastAsia="仿宋_GB2312" w:cs="Times New Roman"/>
          <w:snapToGrid w:val="0"/>
          <w:color w:val="000000"/>
          <w:sz w:val="28"/>
          <w:szCs w:val="28"/>
        </w:rPr>
      </w:pPr>
      <w:r>
        <w:rPr>
          <w:rFonts w:hint="default" w:ascii="仿宋_GB2312" w:hAnsi="Times New Roman" w:eastAsia="仿宋_GB2312" w:cs="Times New Roman"/>
          <w:snapToGrid w:val="0"/>
          <w:color w:val="000000"/>
          <w:sz w:val="28"/>
          <w:szCs w:val="28"/>
        </w:rPr>
        <w:t>5</w:t>
      </w:r>
      <w:r>
        <w:rPr>
          <w:rFonts w:hint="eastAsia" w:ascii="仿宋_GB2312" w:hAnsi="Times New Roman" w:eastAsia="仿宋_GB2312" w:cs="Times New Roman"/>
          <w:snapToGrid w:val="0"/>
          <w:color w:val="000000"/>
          <w:sz w:val="28"/>
          <w:szCs w:val="28"/>
        </w:rPr>
        <w:t>.（工程进度监察）对已进行标后基本信息备案的项目，建设单位需每个月对当前施工进度进行备案登记。如在计划完工日期到后项目进度非完工状态，将生成督办信息。</w:t>
      </w:r>
    </w:p>
    <w:p>
      <w:pPr>
        <w:spacing w:line="400" w:lineRule="exact"/>
        <w:ind w:firstLine="420" w:firstLineChars="150"/>
        <w:rPr>
          <w:rFonts w:ascii="仿宋_GB2312" w:hAnsi="Times New Roman" w:eastAsia="仿宋_GB2312" w:cs="Times New Roman"/>
          <w:snapToGrid w:val="0"/>
          <w:color w:val="000000"/>
          <w:sz w:val="28"/>
          <w:szCs w:val="28"/>
        </w:rPr>
      </w:pPr>
      <w:r>
        <w:rPr>
          <w:rFonts w:hint="default" w:ascii="仿宋_GB2312" w:hAnsi="Times New Roman" w:eastAsia="仿宋_GB2312" w:cs="Times New Roman"/>
          <w:snapToGrid w:val="0"/>
          <w:color w:val="000000"/>
          <w:sz w:val="28"/>
          <w:szCs w:val="28"/>
        </w:rPr>
        <w:t>6</w:t>
      </w:r>
      <w:r>
        <w:rPr>
          <w:rFonts w:hint="eastAsia" w:ascii="仿宋_GB2312" w:hAnsi="Times New Roman" w:eastAsia="仿宋_GB2312" w:cs="Times New Roman"/>
          <w:snapToGrid w:val="0"/>
          <w:color w:val="000000"/>
          <w:sz w:val="28"/>
          <w:szCs w:val="28"/>
        </w:rPr>
        <w:t>.（合同履约监督）对已进行标后基本信息备案的项目，建设单位需对施工单位的合同履约的情况考评登记。</w:t>
      </w:r>
    </w:p>
    <w:p>
      <w:pPr>
        <w:spacing w:line="400" w:lineRule="exact"/>
        <w:ind w:firstLine="420" w:firstLineChars="150"/>
        <w:rPr>
          <w:rFonts w:ascii="仿宋_GB2312" w:hAnsi="Times New Roman" w:eastAsia="仿宋_GB2312" w:cs="Times New Roman"/>
          <w:snapToGrid w:val="0"/>
          <w:color w:val="000000"/>
          <w:sz w:val="28"/>
          <w:szCs w:val="28"/>
        </w:rPr>
      </w:pPr>
      <w:r>
        <w:rPr>
          <w:rFonts w:ascii="仿宋_GB2312" w:hAnsi="Times New Roman" w:eastAsia="仿宋_GB2312" w:cs="Times New Roman"/>
          <w:snapToGrid w:val="0"/>
          <w:color w:val="000000"/>
          <w:sz w:val="28"/>
          <w:szCs w:val="28"/>
        </w:rPr>
        <w:t>7.</w:t>
      </w:r>
      <w:r>
        <w:rPr>
          <w:rFonts w:hint="eastAsia" w:ascii="仿宋_GB2312" w:hAnsi="Times New Roman" w:eastAsia="仿宋_GB2312" w:cs="Times New Roman"/>
          <w:snapToGrid w:val="0"/>
          <w:color w:val="000000"/>
          <w:sz w:val="28"/>
          <w:szCs w:val="28"/>
        </w:rPr>
        <w:t xml:space="preserve"> （人员考勤）对已登记了施工项目关键人员项目，建设单位需设置考勤区域，施工单位关键人员在项目建设期间需要使用“标后管”app进行每日考勤。</w:t>
      </w:r>
    </w:p>
    <w:p>
      <w:pPr>
        <w:spacing w:line="400" w:lineRule="exact"/>
        <w:ind w:firstLine="420" w:firstLineChars="150"/>
        <w:rPr>
          <w:rFonts w:ascii="Times New Roman" w:hAnsi="Times New Roman" w:eastAsia="仿宋_GB2312" w:cs="Times New Roman"/>
          <w:sz w:val="32"/>
          <w:szCs w:val="20"/>
        </w:rPr>
      </w:pPr>
      <w:r>
        <w:rPr>
          <w:rFonts w:hint="default" w:ascii="仿宋_GB2312" w:hAnsi="Times New Roman" w:eastAsia="仿宋_GB2312" w:cs="Times New Roman"/>
          <w:snapToGrid w:val="0"/>
          <w:color w:val="000000"/>
          <w:sz w:val="28"/>
          <w:szCs w:val="28"/>
        </w:rPr>
        <w:t>8</w:t>
      </w:r>
      <w:r>
        <w:rPr>
          <w:rFonts w:hint="eastAsia" w:ascii="仿宋_GB2312" w:hAnsi="Times New Roman" w:eastAsia="仿宋_GB2312" w:cs="Times New Roman"/>
          <w:snapToGrid w:val="0"/>
          <w:color w:val="000000"/>
          <w:sz w:val="28"/>
          <w:szCs w:val="28"/>
        </w:rPr>
        <w:t>.（注意事项）本平台全程留痕，各合同承办单位务必如实、准时填写相关信息、上传相关材料，不得弄虚作假，否则，应自行承担相关责任。</w:t>
      </w:r>
    </w:p>
    <w:p>
      <w:pPr>
        <w:spacing w:after="120" w:line="400" w:lineRule="exact"/>
        <w:rPr>
          <w:rFonts w:hint="eastAsia" w:ascii="黑体" w:hAnsi="黑体" w:eastAsia="黑体" w:cs="黑体"/>
          <w:snapToGrid w:val="0"/>
          <w:sz w:val="32"/>
          <w:szCs w:val="24"/>
          <w:lang w:val="en-US" w:eastAsia="zh-CN"/>
        </w:rPr>
      </w:pPr>
    </w:p>
    <w:p>
      <w:pPr>
        <w:spacing w:after="120" w:line="400" w:lineRule="exact"/>
        <w:rPr>
          <w:rFonts w:hint="default" w:ascii="黑体" w:hAnsi="黑体" w:eastAsia="黑体" w:cs="黑体"/>
          <w:snapToGrid w:val="0"/>
          <w:sz w:val="32"/>
          <w:szCs w:val="24"/>
          <w:lang w:val="en-US" w:eastAsia="zh-CN"/>
        </w:rPr>
      </w:pPr>
      <w:r>
        <w:rPr>
          <w:rFonts w:hint="eastAsia" w:ascii="黑体" w:hAnsi="黑体" w:eastAsia="黑体" w:cs="黑体"/>
          <w:snapToGrid w:val="0"/>
          <w:sz w:val="32"/>
          <w:szCs w:val="24"/>
          <w:lang w:val="en-US" w:eastAsia="zh-CN"/>
        </w:rPr>
        <w:t>附件2</w:t>
      </w:r>
    </w:p>
    <w:p>
      <w:pPr>
        <w:jc w:val="center"/>
        <w:rPr>
          <w:rFonts w:hint="eastAsia"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z w:val="44"/>
          <w:szCs w:val="44"/>
          <w:lang w:val="zh-CN" w:eastAsia="zh-CN"/>
        </w:rPr>
        <w:t>监管</w:t>
      </w:r>
      <w:r>
        <w:rPr>
          <w:rFonts w:hint="eastAsia" w:ascii="方正小标宋简体" w:hAnsi="方正小标宋简体" w:eastAsia="方正小标宋简体" w:cs="方正小标宋简体"/>
          <w:sz w:val="44"/>
          <w:szCs w:val="44"/>
          <w:lang w:val="zh-CN"/>
        </w:rPr>
        <w:t>系统-用户操作手册（pc端、手机端）</w:t>
      </w:r>
    </w:p>
    <w:p>
      <w:pPr>
        <w:pStyle w:val="13"/>
        <w:numPr>
          <w:ilvl w:val="0"/>
          <w:numId w:val="1"/>
        </w:numPr>
        <w:ind w:firstLineChars="0"/>
        <w:rPr>
          <w:b/>
          <w:bCs/>
          <w:sz w:val="24"/>
          <w:szCs w:val="24"/>
        </w:rPr>
      </w:pPr>
      <w:r>
        <w:rPr>
          <w:rFonts w:hint="eastAsia"/>
          <w:b/>
          <w:bCs/>
          <w:sz w:val="24"/>
          <w:szCs w:val="24"/>
        </w:rPr>
        <w:t>基本信息介绍</w:t>
      </w:r>
    </w:p>
    <w:p>
      <w:pPr>
        <w:ind w:firstLine="420"/>
        <w:rPr>
          <w:rFonts w:hint="eastAsia"/>
          <w:b/>
          <w:bCs/>
          <w:sz w:val="24"/>
          <w:szCs w:val="24"/>
        </w:rPr>
      </w:pPr>
      <w:r>
        <w:rPr>
          <w:rFonts w:hint="eastAsia"/>
          <w:sz w:val="24"/>
          <w:szCs w:val="24"/>
        </w:rPr>
        <w:t>标后模块数据需由招标人在完成招投标流程后，进行登记备案。公包含以下七个模块：标后基本信息、项目变更、资金拨付、人员变更、工程进度、合同履约、考勤区域划定。</w:t>
      </w:r>
    </w:p>
    <w:p>
      <w:pPr>
        <w:ind w:firstLine="480" w:firstLineChars="200"/>
        <w:rPr>
          <w:sz w:val="24"/>
          <w:szCs w:val="24"/>
        </w:rPr>
      </w:pPr>
      <w:r>
        <w:rPr>
          <w:rFonts w:hint="eastAsia"/>
          <w:sz w:val="24"/>
          <w:szCs w:val="24"/>
        </w:rPr>
        <w:t>账号信息及登陆地址：招标人无需重新注册账号，直接登陆平阳县公共资源交易平台（</w:t>
      </w:r>
      <w:r>
        <w:rPr>
          <w:sz w:val="24"/>
          <w:szCs w:val="24"/>
        </w:rPr>
        <w:t>http://117.149.228.166/TPBidder</w:t>
      </w:r>
      <w:r>
        <w:rPr>
          <w:rFonts w:hint="eastAsia"/>
          <w:sz w:val="24"/>
          <w:szCs w:val="24"/>
        </w:rPr>
        <w:t>）使用招标人身份账号登陆，在“监管信息录入”模块选完成备案。</w:t>
      </w:r>
    </w:p>
    <w:p>
      <w:pPr>
        <w:rPr>
          <w:sz w:val="24"/>
          <w:szCs w:val="24"/>
        </w:rPr>
      </w:pPr>
      <w:r>
        <w:drawing>
          <wp:inline distT="0" distB="0" distL="0" distR="0">
            <wp:extent cx="5274310" cy="2488565"/>
            <wp:effectExtent l="0" t="0" r="1397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488565"/>
                    </a:xfrm>
                    <a:prstGeom prst="rect">
                      <a:avLst/>
                    </a:prstGeom>
                  </pic:spPr>
                </pic:pic>
              </a:graphicData>
            </a:graphic>
          </wp:inline>
        </w:drawing>
      </w:r>
    </w:p>
    <w:p>
      <w:pPr>
        <w:ind w:firstLine="420"/>
        <w:rPr>
          <w:sz w:val="24"/>
          <w:szCs w:val="24"/>
        </w:rPr>
      </w:pPr>
      <w:r>
        <w:rPr>
          <w:rFonts w:hint="eastAsia"/>
          <w:sz w:val="24"/>
          <w:szCs w:val="24"/>
        </w:rPr>
        <w:t>标后履约备案全流程流程示意图：</w:t>
      </w:r>
    </w:p>
    <w:p>
      <w:pPr>
        <w:rPr>
          <w:sz w:val="24"/>
          <w:szCs w:val="24"/>
        </w:rPr>
      </w:pPr>
      <w:r>
        <w:drawing>
          <wp:inline distT="0" distB="0" distL="0" distR="0">
            <wp:extent cx="4693920" cy="2625725"/>
            <wp:effectExtent l="0" t="0" r="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705363" cy="2632533"/>
                    </a:xfrm>
                    <a:prstGeom prst="rect">
                      <a:avLst/>
                    </a:prstGeom>
                  </pic:spPr>
                </pic:pic>
              </a:graphicData>
            </a:graphic>
          </wp:inline>
        </w:drawing>
      </w:r>
    </w:p>
    <w:p>
      <w:pPr>
        <w:pStyle w:val="13"/>
        <w:numPr>
          <w:ilvl w:val="0"/>
          <w:numId w:val="1"/>
        </w:numPr>
        <w:ind w:firstLineChars="0"/>
        <w:rPr>
          <w:b/>
          <w:bCs/>
          <w:sz w:val="24"/>
          <w:szCs w:val="24"/>
        </w:rPr>
      </w:pPr>
      <w:r>
        <w:rPr>
          <w:rFonts w:hint="eastAsia"/>
          <w:b/>
          <w:bCs/>
          <w:sz w:val="24"/>
          <w:szCs w:val="24"/>
        </w:rPr>
        <w:t>标后基本信息</w:t>
      </w:r>
    </w:p>
    <w:p>
      <w:pPr>
        <w:ind w:firstLine="420"/>
        <w:rPr>
          <w:sz w:val="24"/>
          <w:szCs w:val="24"/>
        </w:rPr>
      </w:pPr>
      <w:r>
        <w:rPr>
          <w:rFonts w:hint="eastAsia"/>
          <w:sz w:val="24"/>
          <w:szCs w:val="24"/>
        </w:rPr>
        <w:t xml:space="preserve">招标人登陆交易平台 </w:t>
      </w:r>
      <w:r>
        <w:rPr>
          <w:sz w:val="24"/>
          <w:szCs w:val="24"/>
        </w:rPr>
        <w:t xml:space="preserve">– </w:t>
      </w:r>
      <w:r>
        <w:rPr>
          <w:rFonts w:hint="eastAsia"/>
          <w:sz w:val="24"/>
          <w:szCs w:val="24"/>
        </w:rPr>
        <w:t xml:space="preserve">监管信息录入 </w:t>
      </w:r>
      <w:r>
        <w:rPr>
          <w:sz w:val="24"/>
          <w:szCs w:val="24"/>
        </w:rPr>
        <w:t xml:space="preserve">– </w:t>
      </w:r>
      <w:r>
        <w:rPr>
          <w:rFonts w:hint="eastAsia"/>
          <w:sz w:val="24"/>
          <w:szCs w:val="24"/>
        </w:rPr>
        <w:t xml:space="preserve">标后履约 </w:t>
      </w:r>
      <w:r>
        <w:rPr>
          <w:sz w:val="24"/>
          <w:szCs w:val="24"/>
        </w:rPr>
        <w:t xml:space="preserve">– </w:t>
      </w:r>
      <w:r>
        <w:rPr>
          <w:rFonts w:hint="eastAsia"/>
          <w:sz w:val="24"/>
          <w:szCs w:val="24"/>
        </w:rPr>
        <w:t>标后基本信息</w:t>
      </w:r>
    </w:p>
    <w:p>
      <w:pPr>
        <w:jc w:val="center"/>
        <w:rPr>
          <w:rFonts w:hint="eastAsia"/>
          <w:sz w:val="24"/>
          <w:szCs w:val="24"/>
        </w:rPr>
      </w:pPr>
      <w:r>
        <w:drawing>
          <wp:inline distT="0" distB="0" distL="0" distR="0">
            <wp:extent cx="5274310" cy="2740025"/>
            <wp:effectExtent l="0" t="0" r="139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740025"/>
                    </a:xfrm>
                    <a:prstGeom prst="rect">
                      <a:avLst/>
                    </a:prstGeom>
                  </pic:spPr>
                </pic:pic>
              </a:graphicData>
            </a:graphic>
          </wp:inline>
        </w:drawing>
      </w:r>
    </w:p>
    <w:p>
      <w:pPr>
        <w:ind w:firstLine="420"/>
        <w:rPr>
          <w:sz w:val="24"/>
          <w:szCs w:val="24"/>
        </w:rPr>
      </w:pPr>
      <w:r>
        <w:rPr>
          <w:rFonts w:hint="eastAsia"/>
          <w:sz w:val="24"/>
          <w:szCs w:val="24"/>
        </w:rPr>
        <w:t>新增标后基本信息</w:t>
      </w:r>
    </w:p>
    <w:p>
      <w:pPr>
        <w:rPr>
          <w:sz w:val="24"/>
          <w:szCs w:val="24"/>
        </w:rPr>
      </w:pPr>
      <w:r>
        <w:drawing>
          <wp:inline distT="0" distB="0" distL="0" distR="0">
            <wp:extent cx="5326380" cy="2512695"/>
            <wp:effectExtent l="0" t="0" r="762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330823" cy="2515229"/>
                    </a:xfrm>
                    <a:prstGeom prst="rect">
                      <a:avLst/>
                    </a:prstGeom>
                  </pic:spPr>
                </pic:pic>
              </a:graphicData>
            </a:graphic>
          </wp:inline>
        </w:drawing>
      </w:r>
    </w:p>
    <w:p>
      <w:pPr>
        <w:rPr>
          <w:sz w:val="24"/>
          <w:szCs w:val="24"/>
        </w:rPr>
      </w:pPr>
      <w:r>
        <w:rPr>
          <w:rFonts w:hint="eastAsia"/>
          <w:sz w:val="24"/>
          <w:szCs w:val="24"/>
        </w:rPr>
        <w:t>注：也可以通过此界面查看历史备案的项目信息</w:t>
      </w:r>
    </w:p>
    <w:p>
      <w:pPr>
        <w:ind w:firstLine="420"/>
        <w:rPr>
          <w:sz w:val="24"/>
          <w:szCs w:val="24"/>
        </w:rPr>
      </w:pPr>
      <w:r>
        <w:rPr>
          <w:rFonts w:hint="eastAsia"/>
          <w:sz w:val="24"/>
          <w:szCs w:val="24"/>
        </w:rPr>
        <w:t>项目标后基本信息、关键人员信息登记及相关附件备案登记</w:t>
      </w:r>
    </w:p>
    <w:p>
      <w:pPr>
        <w:rPr>
          <w:rFonts w:hint="eastAsia"/>
          <w:sz w:val="24"/>
          <w:szCs w:val="24"/>
        </w:rPr>
      </w:pPr>
      <w:r>
        <w:drawing>
          <wp:inline distT="0" distB="0" distL="0" distR="0">
            <wp:extent cx="5274310" cy="2931160"/>
            <wp:effectExtent l="0" t="0" r="1397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2931160"/>
                    </a:xfrm>
                    <a:prstGeom prst="rect">
                      <a:avLst/>
                    </a:prstGeom>
                  </pic:spPr>
                </pic:pic>
              </a:graphicData>
            </a:graphic>
          </wp:inline>
        </w:drawing>
      </w:r>
    </w:p>
    <w:p>
      <w:pPr>
        <w:pStyle w:val="13"/>
        <w:numPr>
          <w:ilvl w:val="0"/>
          <w:numId w:val="1"/>
        </w:numPr>
        <w:ind w:firstLineChars="0"/>
        <w:rPr>
          <w:b/>
          <w:bCs/>
          <w:sz w:val="24"/>
          <w:szCs w:val="24"/>
        </w:rPr>
      </w:pPr>
      <w:r>
        <w:rPr>
          <w:rFonts w:hint="eastAsia"/>
          <w:b/>
          <w:bCs/>
          <w:sz w:val="24"/>
          <w:szCs w:val="24"/>
        </w:rPr>
        <w:t>项目变更</w:t>
      </w:r>
    </w:p>
    <w:p>
      <w:pPr>
        <w:ind w:firstLine="420"/>
        <w:rPr>
          <w:sz w:val="24"/>
          <w:szCs w:val="24"/>
        </w:rPr>
      </w:pPr>
      <w:r>
        <w:rPr>
          <w:rFonts w:hint="eastAsia"/>
          <w:sz w:val="24"/>
          <w:szCs w:val="24"/>
        </w:rPr>
        <w:t>对已进行标后基本信息备案的项目，如果对设计、工程量、工程造价等在施工过程中产生的变更需要招标人在此登记备案。</w:t>
      </w:r>
    </w:p>
    <w:p>
      <w:pPr>
        <w:ind w:firstLine="420"/>
        <w:rPr>
          <w:sz w:val="24"/>
          <w:szCs w:val="24"/>
        </w:rPr>
      </w:pPr>
      <w:r>
        <w:rPr>
          <w:rFonts w:hint="eastAsia"/>
          <w:sz w:val="24"/>
          <w:szCs w:val="24"/>
        </w:rPr>
        <w:t xml:space="preserve">招标人登陆交易平台 </w:t>
      </w:r>
      <w:r>
        <w:rPr>
          <w:sz w:val="24"/>
          <w:szCs w:val="24"/>
        </w:rPr>
        <w:t xml:space="preserve">– </w:t>
      </w:r>
      <w:r>
        <w:rPr>
          <w:rFonts w:hint="eastAsia"/>
          <w:sz w:val="24"/>
          <w:szCs w:val="24"/>
        </w:rPr>
        <w:t xml:space="preserve">监管信息录入 </w:t>
      </w:r>
      <w:r>
        <w:rPr>
          <w:sz w:val="24"/>
          <w:szCs w:val="24"/>
        </w:rPr>
        <w:t xml:space="preserve">– </w:t>
      </w:r>
      <w:r>
        <w:rPr>
          <w:rFonts w:hint="eastAsia"/>
          <w:sz w:val="24"/>
          <w:szCs w:val="24"/>
        </w:rPr>
        <w:t xml:space="preserve">标后履约 </w:t>
      </w:r>
      <w:r>
        <w:rPr>
          <w:sz w:val="24"/>
          <w:szCs w:val="24"/>
        </w:rPr>
        <w:t xml:space="preserve">– </w:t>
      </w:r>
      <w:r>
        <w:rPr>
          <w:rFonts w:hint="eastAsia"/>
          <w:sz w:val="24"/>
          <w:szCs w:val="24"/>
        </w:rPr>
        <w:t>项目变更</w:t>
      </w:r>
    </w:p>
    <w:p>
      <w:pPr>
        <w:rPr>
          <w:sz w:val="24"/>
          <w:szCs w:val="24"/>
        </w:rPr>
      </w:pPr>
      <w:r>
        <w:drawing>
          <wp:inline distT="0" distB="0" distL="0" distR="0">
            <wp:extent cx="5274310" cy="2925445"/>
            <wp:effectExtent l="0" t="0" r="1397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2925445"/>
                    </a:xfrm>
                    <a:prstGeom prst="rect">
                      <a:avLst/>
                    </a:prstGeom>
                  </pic:spPr>
                </pic:pic>
              </a:graphicData>
            </a:graphic>
          </wp:inline>
        </w:drawing>
      </w:r>
    </w:p>
    <w:p>
      <w:pPr>
        <w:rPr>
          <w:rFonts w:hint="eastAsia"/>
          <w:sz w:val="24"/>
          <w:szCs w:val="24"/>
        </w:rPr>
      </w:pPr>
      <w:r>
        <w:drawing>
          <wp:inline distT="0" distB="0" distL="0" distR="0">
            <wp:extent cx="5274310" cy="2381250"/>
            <wp:effectExtent l="0" t="0" r="1397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2381250"/>
                    </a:xfrm>
                    <a:prstGeom prst="rect">
                      <a:avLst/>
                    </a:prstGeom>
                  </pic:spPr>
                </pic:pic>
              </a:graphicData>
            </a:graphic>
          </wp:inline>
        </w:drawing>
      </w:r>
    </w:p>
    <w:p>
      <w:pPr>
        <w:rPr>
          <w:rFonts w:hint="eastAsia"/>
          <w:sz w:val="24"/>
          <w:szCs w:val="24"/>
        </w:rPr>
      </w:pPr>
      <w:r>
        <w:rPr>
          <w:rFonts w:hint="eastAsia"/>
          <w:sz w:val="24"/>
          <w:szCs w:val="24"/>
        </w:rPr>
        <w:t>注：只有进行了标后基本信息登记的项目才能在此模块挑选到</w:t>
      </w:r>
    </w:p>
    <w:p>
      <w:pPr>
        <w:pStyle w:val="13"/>
        <w:numPr>
          <w:ilvl w:val="0"/>
          <w:numId w:val="1"/>
        </w:numPr>
        <w:ind w:firstLineChars="0"/>
        <w:rPr>
          <w:b/>
          <w:bCs/>
          <w:sz w:val="24"/>
          <w:szCs w:val="24"/>
        </w:rPr>
      </w:pPr>
      <w:r>
        <w:rPr>
          <w:rFonts w:hint="eastAsia"/>
          <w:b/>
          <w:bCs/>
          <w:sz w:val="24"/>
          <w:szCs w:val="24"/>
        </w:rPr>
        <w:t>资金拨付</w:t>
      </w:r>
    </w:p>
    <w:p>
      <w:pPr>
        <w:ind w:firstLine="420"/>
        <w:rPr>
          <w:sz w:val="24"/>
          <w:szCs w:val="24"/>
        </w:rPr>
      </w:pPr>
      <w:r>
        <w:rPr>
          <w:rFonts w:hint="eastAsia"/>
          <w:sz w:val="24"/>
          <w:szCs w:val="24"/>
        </w:rPr>
        <w:t>对已进行标后基本信息备案的项目，招标人需在此平台对每一次资金拨付的情况进行登记备案登记。</w:t>
      </w:r>
    </w:p>
    <w:p>
      <w:pPr>
        <w:ind w:firstLine="420"/>
        <w:rPr>
          <w:sz w:val="24"/>
          <w:szCs w:val="24"/>
        </w:rPr>
      </w:pPr>
      <w:r>
        <w:rPr>
          <w:rFonts w:hint="eastAsia"/>
          <w:sz w:val="24"/>
          <w:szCs w:val="24"/>
        </w:rPr>
        <w:t xml:space="preserve">招标人登陆交易平台 </w:t>
      </w:r>
      <w:r>
        <w:rPr>
          <w:sz w:val="24"/>
          <w:szCs w:val="24"/>
        </w:rPr>
        <w:t xml:space="preserve">– </w:t>
      </w:r>
      <w:r>
        <w:rPr>
          <w:rFonts w:hint="eastAsia"/>
          <w:sz w:val="24"/>
          <w:szCs w:val="24"/>
        </w:rPr>
        <w:t xml:space="preserve">监管信息录入 </w:t>
      </w:r>
      <w:r>
        <w:rPr>
          <w:sz w:val="24"/>
          <w:szCs w:val="24"/>
        </w:rPr>
        <w:t xml:space="preserve">– </w:t>
      </w:r>
      <w:r>
        <w:rPr>
          <w:rFonts w:hint="eastAsia"/>
          <w:sz w:val="24"/>
          <w:szCs w:val="24"/>
        </w:rPr>
        <w:t xml:space="preserve">标后履约 </w:t>
      </w:r>
      <w:r>
        <w:rPr>
          <w:sz w:val="24"/>
          <w:szCs w:val="24"/>
        </w:rPr>
        <w:t xml:space="preserve">– </w:t>
      </w:r>
      <w:r>
        <w:rPr>
          <w:rFonts w:hint="eastAsia"/>
          <w:sz w:val="24"/>
          <w:szCs w:val="24"/>
        </w:rPr>
        <w:t>资金拨付</w:t>
      </w:r>
    </w:p>
    <w:p>
      <w:pPr>
        <w:rPr>
          <w:sz w:val="24"/>
          <w:szCs w:val="24"/>
        </w:rPr>
      </w:pPr>
      <w:r>
        <w:drawing>
          <wp:inline distT="0" distB="0" distL="0" distR="0">
            <wp:extent cx="5274310" cy="2089150"/>
            <wp:effectExtent l="0" t="0" r="13970"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2089150"/>
                    </a:xfrm>
                    <a:prstGeom prst="rect">
                      <a:avLst/>
                    </a:prstGeom>
                  </pic:spPr>
                </pic:pic>
              </a:graphicData>
            </a:graphic>
          </wp:inline>
        </w:drawing>
      </w:r>
    </w:p>
    <w:p>
      <w:pPr>
        <w:ind w:firstLine="420"/>
        <w:rPr>
          <w:sz w:val="24"/>
          <w:szCs w:val="24"/>
        </w:rPr>
      </w:pPr>
      <w:r>
        <w:rPr>
          <w:rFonts w:hint="eastAsia"/>
          <w:sz w:val="24"/>
          <w:szCs w:val="24"/>
        </w:rPr>
        <w:t>挑选项目后对资金拨付情况进备案登记</w:t>
      </w:r>
    </w:p>
    <w:p>
      <w:pPr>
        <w:rPr>
          <w:sz w:val="24"/>
          <w:szCs w:val="24"/>
        </w:rPr>
      </w:pPr>
      <w:r>
        <w:drawing>
          <wp:inline distT="0" distB="0" distL="0" distR="0">
            <wp:extent cx="5274310" cy="2618105"/>
            <wp:effectExtent l="0" t="0" r="1397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4310" cy="2618105"/>
                    </a:xfrm>
                    <a:prstGeom prst="rect">
                      <a:avLst/>
                    </a:prstGeom>
                  </pic:spPr>
                </pic:pic>
              </a:graphicData>
            </a:graphic>
          </wp:inline>
        </w:drawing>
      </w:r>
    </w:p>
    <w:p>
      <w:pPr>
        <w:rPr>
          <w:rFonts w:hint="eastAsia"/>
          <w:sz w:val="24"/>
          <w:szCs w:val="24"/>
        </w:rPr>
      </w:pPr>
      <w:r>
        <w:rPr>
          <w:rFonts w:hint="eastAsia"/>
          <w:sz w:val="24"/>
          <w:szCs w:val="24"/>
        </w:rPr>
        <w:t>注：只有进行了标后基本信息登记的项目才能在此模块挑选到</w:t>
      </w:r>
    </w:p>
    <w:p>
      <w:pPr>
        <w:pStyle w:val="13"/>
        <w:numPr>
          <w:ilvl w:val="0"/>
          <w:numId w:val="1"/>
        </w:numPr>
        <w:ind w:firstLineChars="0"/>
        <w:rPr>
          <w:b/>
          <w:bCs/>
          <w:sz w:val="24"/>
          <w:szCs w:val="24"/>
        </w:rPr>
      </w:pPr>
      <w:r>
        <w:rPr>
          <w:rFonts w:hint="eastAsia"/>
          <w:b/>
          <w:bCs/>
          <w:sz w:val="24"/>
          <w:szCs w:val="24"/>
        </w:rPr>
        <w:t>人员变更</w:t>
      </w:r>
    </w:p>
    <w:p>
      <w:pPr>
        <w:ind w:firstLine="420"/>
        <w:rPr>
          <w:sz w:val="24"/>
          <w:szCs w:val="24"/>
        </w:rPr>
      </w:pPr>
      <w:r>
        <w:rPr>
          <w:rFonts w:hint="eastAsia"/>
          <w:sz w:val="24"/>
          <w:szCs w:val="24"/>
        </w:rPr>
        <w:t>对已进行标后基本信息备案的项目，如果在施工过程中发生项目关键人变更的情况，建设单位需在此平台需在此进行登记备案。</w:t>
      </w:r>
    </w:p>
    <w:p>
      <w:pPr>
        <w:ind w:firstLine="420"/>
        <w:rPr>
          <w:sz w:val="24"/>
          <w:szCs w:val="24"/>
        </w:rPr>
      </w:pPr>
      <w:r>
        <w:rPr>
          <w:rFonts w:hint="eastAsia"/>
          <w:sz w:val="24"/>
          <w:szCs w:val="24"/>
        </w:rPr>
        <w:t xml:space="preserve">招标人登陆交易平台 </w:t>
      </w:r>
      <w:r>
        <w:rPr>
          <w:sz w:val="24"/>
          <w:szCs w:val="24"/>
        </w:rPr>
        <w:t xml:space="preserve">– </w:t>
      </w:r>
      <w:r>
        <w:rPr>
          <w:rFonts w:hint="eastAsia"/>
          <w:sz w:val="24"/>
          <w:szCs w:val="24"/>
        </w:rPr>
        <w:t xml:space="preserve">监管信息录入 </w:t>
      </w:r>
      <w:r>
        <w:rPr>
          <w:sz w:val="24"/>
          <w:szCs w:val="24"/>
        </w:rPr>
        <w:t xml:space="preserve">– </w:t>
      </w:r>
      <w:r>
        <w:rPr>
          <w:rFonts w:hint="eastAsia"/>
          <w:sz w:val="24"/>
          <w:szCs w:val="24"/>
        </w:rPr>
        <w:t xml:space="preserve">标后履约 </w:t>
      </w:r>
      <w:r>
        <w:rPr>
          <w:sz w:val="24"/>
          <w:szCs w:val="24"/>
        </w:rPr>
        <w:t xml:space="preserve">– </w:t>
      </w:r>
      <w:r>
        <w:rPr>
          <w:rFonts w:hint="eastAsia"/>
          <w:sz w:val="24"/>
          <w:szCs w:val="24"/>
        </w:rPr>
        <w:t>人员变更</w:t>
      </w:r>
    </w:p>
    <w:p>
      <w:pPr>
        <w:rPr>
          <w:sz w:val="24"/>
          <w:szCs w:val="24"/>
        </w:rPr>
      </w:pPr>
      <w:r>
        <w:drawing>
          <wp:inline distT="0" distB="0" distL="0" distR="0">
            <wp:extent cx="5274310" cy="2095500"/>
            <wp:effectExtent l="0" t="0" r="1397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4310" cy="2095500"/>
                    </a:xfrm>
                    <a:prstGeom prst="rect">
                      <a:avLst/>
                    </a:prstGeom>
                  </pic:spPr>
                </pic:pic>
              </a:graphicData>
            </a:graphic>
          </wp:inline>
        </w:drawing>
      </w:r>
    </w:p>
    <w:p>
      <w:pPr>
        <w:ind w:firstLine="420"/>
        <w:rPr>
          <w:sz w:val="24"/>
          <w:szCs w:val="24"/>
        </w:rPr>
      </w:pPr>
      <w:r>
        <w:rPr>
          <w:rFonts w:hint="eastAsia"/>
          <w:sz w:val="24"/>
          <w:szCs w:val="24"/>
        </w:rPr>
        <w:t>挑选需要项目后登记项目基本信息、人员变更信息、惩罚措施、附件</w:t>
      </w:r>
    </w:p>
    <w:p>
      <w:pPr>
        <w:rPr>
          <w:rFonts w:hint="eastAsia"/>
          <w:sz w:val="24"/>
          <w:szCs w:val="24"/>
        </w:rPr>
      </w:pPr>
      <w:r>
        <w:rPr>
          <w:rFonts w:hint="eastAsia"/>
          <w:sz w:val="24"/>
          <w:szCs w:val="24"/>
        </w:rPr>
        <w:t>注：此部分人员变更会影响后续的需考勤的人员数据</w:t>
      </w:r>
    </w:p>
    <w:p>
      <w:pPr>
        <w:rPr>
          <w:rFonts w:hint="eastAsia"/>
          <w:sz w:val="24"/>
          <w:szCs w:val="24"/>
        </w:rPr>
      </w:pPr>
      <w:r>
        <w:drawing>
          <wp:inline distT="0" distB="0" distL="0" distR="0">
            <wp:extent cx="5274310" cy="2799080"/>
            <wp:effectExtent l="0" t="0" r="1397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74310" cy="2799080"/>
                    </a:xfrm>
                    <a:prstGeom prst="rect">
                      <a:avLst/>
                    </a:prstGeom>
                  </pic:spPr>
                </pic:pic>
              </a:graphicData>
            </a:graphic>
          </wp:inline>
        </w:drawing>
      </w:r>
    </w:p>
    <w:p>
      <w:pPr>
        <w:pStyle w:val="13"/>
        <w:numPr>
          <w:ilvl w:val="0"/>
          <w:numId w:val="1"/>
        </w:numPr>
        <w:ind w:firstLineChars="0"/>
        <w:rPr>
          <w:b/>
          <w:bCs/>
          <w:sz w:val="24"/>
          <w:szCs w:val="24"/>
        </w:rPr>
      </w:pPr>
      <w:r>
        <w:rPr>
          <w:rFonts w:hint="eastAsia"/>
          <w:b/>
          <w:bCs/>
          <w:sz w:val="24"/>
          <w:szCs w:val="24"/>
        </w:rPr>
        <w:t>工程进度</w:t>
      </w:r>
    </w:p>
    <w:p>
      <w:pPr>
        <w:ind w:firstLine="420"/>
        <w:rPr>
          <w:sz w:val="24"/>
          <w:szCs w:val="24"/>
        </w:rPr>
      </w:pPr>
      <w:r>
        <w:rPr>
          <w:rFonts w:hint="eastAsia"/>
          <w:sz w:val="24"/>
          <w:szCs w:val="24"/>
        </w:rPr>
        <w:t>对已进行标后基本信息备案的项目，招标人需每个月对当前施工进度进行备案登记。如在计划完工日期到后项目进度非完工状态，将生成督办信息</w:t>
      </w:r>
    </w:p>
    <w:p>
      <w:pPr>
        <w:ind w:firstLine="420"/>
        <w:rPr>
          <w:sz w:val="24"/>
          <w:szCs w:val="24"/>
        </w:rPr>
      </w:pPr>
      <w:r>
        <w:rPr>
          <w:rFonts w:hint="eastAsia"/>
          <w:sz w:val="24"/>
          <w:szCs w:val="24"/>
        </w:rPr>
        <w:t xml:space="preserve">招标人登陆交易平台 </w:t>
      </w:r>
      <w:r>
        <w:rPr>
          <w:sz w:val="24"/>
          <w:szCs w:val="24"/>
        </w:rPr>
        <w:t xml:space="preserve">– </w:t>
      </w:r>
      <w:r>
        <w:rPr>
          <w:rFonts w:hint="eastAsia"/>
          <w:sz w:val="24"/>
          <w:szCs w:val="24"/>
        </w:rPr>
        <w:t xml:space="preserve">监管信息录入 </w:t>
      </w:r>
      <w:r>
        <w:rPr>
          <w:sz w:val="24"/>
          <w:szCs w:val="24"/>
        </w:rPr>
        <w:t xml:space="preserve">– </w:t>
      </w:r>
      <w:r>
        <w:rPr>
          <w:rFonts w:hint="eastAsia"/>
          <w:sz w:val="24"/>
          <w:szCs w:val="24"/>
        </w:rPr>
        <w:t xml:space="preserve">标后履约 </w:t>
      </w:r>
      <w:r>
        <w:rPr>
          <w:sz w:val="24"/>
          <w:szCs w:val="24"/>
        </w:rPr>
        <w:t xml:space="preserve">– </w:t>
      </w:r>
      <w:r>
        <w:rPr>
          <w:rFonts w:hint="eastAsia"/>
          <w:sz w:val="24"/>
          <w:szCs w:val="24"/>
        </w:rPr>
        <w:t>工程进度</w:t>
      </w:r>
    </w:p>
    <w:p>
      <w:pPr>
        <w:rPr>
          <w:sz w:val="24"/>
          <w:szCs w:val="24"/>
        </w:rPr>
      </w:pPr>
      <w:r>
        <w:drawing>
          <wp:inline distT="0" distB="0" distL="0" distR="0">
            <wp:extent cx="5274310" cy="2244725"/>
            <wp:effectExtent l="0" t="0" r="13970" b="1079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4310" cy="2244725"/>
                    </a:xfrm>
                    <a:prstGeom prst="rect">
                      <a:avLst/>
                    </a:prstGeom>
                  </pic:spPr>
                </pic:pic>
              </a:graphicData>
            </a:graphic>
          </wp:inline>
        </w:drawing>
      </w:r>
    </w:p>
    <w:p>
      <w:pPr>
        <w:ind w:firstLine="420"/>
        <w:rPr>
          <w:sz w:val="24"/>
          <w:szCs w:val="24"/>
        </w:rPr>
      </w:pPr>
      <w:r>
        <w:rPr>
          <w:rFonts w:hint="eastAsia"/>
          <w:sz w:val="24"/>
          <w:szCs w:val="24"/>
        </w:rPr>
        <w:t>挑选需要项目后登记项目的计划开工时间、计划竣工时间，对项目施工地址进行登记，同时登记项目的进度情况。</w:t>
      </w:r>
    </w:p>
    <w:p>
      <w:pPr>
        <w:rPr>
          <w:rFonts w:hint="eastAsia"/>
          <w:sz w:val="24"/>
          <w:szCs w:val="24"/>
        </w:rPr>
      </w:pPr>
    </w:p>
    <w:p>
      <w:pPr>
        <w:rPr>
          <w:b/>
          <w:bCs/>
          <w:sz w:val="24"/>
          <w:szCs w:val="24"/>
        </w:rPr>
      </w:pPr>
      <w:r>
        <w:drawing>
          <wp:inline distT="0" distB="0" distL="0" distR="0">
            <wp:extent cx="5274310" cy="2722245"/>
            <wp:effectExtent l="0" t="0" r="1397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5274310" cy="2722245"/>
                    </a:xfrm>
                    <a:prstGeom prst="rect">
                      <a:avLst/>
                    </a:prstGeom>
                  </pic:spPr>
                </pic:pic>
              </a:graphicData>
            </a:graphic>
          </wp:inline>
        </w:drawing>
      </w:r>
    </w:p>
    <w:p>
      <w:pPr>
        <w:rPr>
          <w:sz w:val="24"/>
          <w:szCs w:val="24"/>
        </w:rPr>
      </w:pPr>
      <w:r>
        <w:rPr>
          <w:rFonts w:hint="eastAsia"/>
          <w:sz w:val="24"/>
          <w:szCs w:val="24"/>
        </w:rPr>
        <w:t>注：</w:t>
      </w:r>
    </w:p>
    <w:p>
      <w:pPr>
        <w:rPr>
          <w:sz w:val="24"/>
          <w:szCs w:val="24"/>
        </w:rPr>
      </w:pPr>
      <w:r>
        <w:rPr>
          <w:rFonts w:hint="eastAsia"/>
          <w:sz w:val="24"/>
          <w:szCs w:val="24"/>
        </w:rPr>
        <w:t>只有进行了标后基本信息登记的项目才能在此模块挑选到；</w:t>
      </w:r>
    </w:p>
    <w:p>
      <w:pPr>
        <w:rPr>
          <w:rFonts w:hint="eastAsia"/>
          <w:sz w:val="24"/>
          <w:szCs w:val="24"/>
        </w:rPr>
      </w:pPr>
      <w:r>
        <w:rPr>
          <w:rFonts w:hint="eastAsia"/>
          <w:sz w:val="24"/>
          <w:szCs w:val="24"/>
        </w:rPr>
        <w:t>每个项目只能新增一次工程进度，后续月度数据科直接点“修改”，在原工程进度持续登记项目情况。</w:t>
      </w:r>
    </w:p>
    <w:p>
      <w:pPr>
        <w:pStyle w:val="13"/>
        <w:numPr>
          <w:ilvl w:val="0"/>
          <w:numId w:val="1"/>
        </w:numPr>
        <w:ind w:firstLineChars="0"/>
        <w:rPr>
          <w:b/>
          <w:bCs/>
          <w:sz w:val="24"/>
          <w:szCs w:val="24"/>
        </w:rPr>
      </w:pPr>
      <w:r>
        <w:rPr>
          <w:rFonts w:hint="eastAsia"/>
          <w:b/>
          <w:bCs/>
          <w:sz w:val="24"/>
          <w:szCs w:val="24"/>
        </w:rPr>
        <w:t>合同履约</w:t>
      </w:r>
    </w:p>
    <w:p>
      <w:pPr>
        <w:ind w:firstLine="420"/>
        <w:rPr>
          <w:sz w:val="24"/>
          <w:szCs w:val="24"/>
        </w:rPr>
      </w:pPr>
      <w:r>
        <w:rPr>
          <w:rFonts w:hint="eastAsia"/>
          <w:sz w:val="24"/>
          <w:szCs w:val="24"/>
        </w:rPr>
        <w:t>对已进行标后基本信息备案的项目，建设单位需对施工单位的合同履约的情况考评登记。</w:t>
      </w:r>
    </w:p>
    <w:p>
      <w:pPr>
        <w:ind w:firstLine="420"/>
        <w:rPr>
          <w:sz w:val="24"/>
          <w:szCs w:val="24"/>
        </w:rPr>
      </w:pPr>
      <w:r>
        <w:rPr>
          <w:rFonts w:hint="eastAsia"/>
          <w:sz w:val="24"/>
          <w:szCs w:val="24"/>
        </w:rPr>
        <w:t xml:space="preserve">招标人登陆交易平台 </w:t>
      </w:r>
      <w:r>
        <w:rPr>
          <w:sz w:val="24"/>
          <w:szCs w:val="24"/>
        </w:rPr>
        <w:t xml:space="preserve">– </w:t>
      </w:r>
      <w:r>
        <w:rPr>
          <w:rFonts w:hint="eastAsia"/>
          <w:sz w:val="24"/>
          <w:szCs w:val="24"/>
        </w:rPr>
        <w:t xml:space="preserve">监管信息录入 </w:t>
      </w:r>
      <w:r>
        <w:rPr>
          <w:sz w:val="24"/>
          <w:szCs w:val="24"/>
        </w:rPr>
        <w:t xml:space="preserve">– </w:t>
      </w:r>
      <w:r>
        <w:rPr>
          <w:rFonts w:hint="eastAsia"/>
          <w:sz w:val="24"/>
          <w:szCs w:val="24"/>
        </w:rPr>
        <w:t xml:space="preserve">标后履约 </w:t>
      </w:r>
      <w:r>
        <w:rPr>
          <w:sz w:val="24"/>
          <w:szCs w:val="24"/>
        </w:rPr>
        <w:t xml:space="preserve">– </w:t>
      </w:r>
      <w:r>
        <w:rPr>
          <w:rFonts w:hint="eastAsia"/>
          <w:sz w:val="24"/>
          <w:szCs w:val="24"/>
        </w:rPr>
        <w:t>合同履约</w:t>
      </w:r>
    </w:p>
    <w:p>
      <w:pPr>
        <w:rPr>
          <w:rFonts w:hint="eastAsia"/>
          <w:sz w:val="24"/>
          <w:szCs w:val="24"/>
        </w:rPr>
      </w:pPr>
      <w:r>
        <w:drawing>
          <wp:inline distT="0" distB="0" distL="0" distR="0">
            <wp:extent cx="5274310" cy="2246630"/>
            <wp:effectExtent l="0" t="0" r="1397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5274310" cy="2246630"/>
                    </a:xfrm>
                    <a:prstGeom prst="rect">
                      <a:avLst/>
                    </a:prstGeom>
                  </pic:spPr>
                </pic:pic>
              </a:graphicData>
            </a:graphic>
          </wp:inline>
        </w:drawing>
      </w:r>
    </w:p>
    <w:p>
      <w:pPr>
        <w:rPr>
          <w:rFonts w:hint="eastAsia"/>
          <w:sz w:val="24"/>
          <w:szCs w:val="24"/>
        </w:rPr>
      </w:pPr>
      <w:r>
        <w:drawing>
          <wp:inline distT="0" distB="0" distL="0" distR="0">
            <wp:extent cx="5274310" cy="1996440"/>
            <wp:effectExtent l="0" t="0" r="139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5274310" cy="1996440"/>
                    </a:xfrm>
                    <a:prstGeom prst="rect">
                      <a:avLst/>
                    </a:prstGeom>
                  </pic:spPr>
                </pic:pic>
              </a:graphicData>
            </a:graphic>
          </wp:inline>
        </w:drawing>
      </w:r>
    </w:p>
    <w:p>
      <w:pPr>
        <w:jc w:val="center"/>
        <w:rPr>
          <w:rFonts w:ascii="仿宋_GB2312" w:hAnsi="Times New Roman" w:eastAsia="仿宋_GB2312" w:cs="Times New Roman"/>
          <w:snapToGrid w:val="0"/>
          <w:color w:val="000000"/>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2723C"/>
    <w:multiLevelType w:val="multilevel"/>
    <w:tmpl w:val="4E92723C"/>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QyMGE0ZjAxZDc1ZGZjMTJjMTM4MDhkOWVmMDBjZTkifQ=="/>
  </w:docVars>
  <w:rsids>
    <w:rsidRoot w:val="003335FD"/>
    <w:rsid w:val="00032498"/>
    <w:rsid w:val="00037FFD"/>
    <w:rsid w:val="000B1213"/>
    <w:rsid w:val="000D4609"/>
    <w:rsid w:val="00153F72"/>
    <w:rsid w:val="001B1D1E"/>
    <w:rsid w:val="00282452"/>
    <w:rsid w:val="0028527C"/>
    <w:rsid w:val="002C1BFF"/>
    <w:rsid w:val="002C75AD"/>
    <w:rsid w:val="002D2B7D"/>
    <w:rsid w:val="003106EA"/>
    <w:rsid w:val="00325465"/>
    <w:rsid w:val="003335FD"/>
    <w:rsid w:val="003E337A"/>
    <w:rsid w:val="003E59EE"/>
    <w:rsid w:val="004019A7"/>
    <w:rsid w:val="00485592"/>
    <w:rsid w:val="004B3488"/>
    <w:rsid w:val="0057797B"/>
    <w:rsid w:val="00591C52"/>
    <w:rsid w:val="006479E0"/>
    <w:rsid w:val="006503EC"/>
    <w:rsid w:val="006F5F39"/>
    <w:rsid w:val="0073151C"/>
    <w:rsid w:val="0076132F"/>
    <w:rsid w:val="00763834"/>
    <w:rsid w:val="00832926"/>
    <w:rsid w:val="00850B3A"/>
    <w:rsid w:val="008544DD"/>
    <w:rsid w:val="00A6434B"/>
    <w:rsid w:val="00B24D24"/>
    <w:rsid w:val="00BC228B"/>
    <w:rsid w:val="00BC605D"/>
    <w:rsid w:val="00BF4E54"/>
    <w:rsid w:val="00C3449A"/>
    <w:rsid w:val="00C569AF"/>
    <w:rsid w:val="00CA77AC"/>
    <w:rsid w:val="00CF1F5A"/>
    <w:rsid w:val="00D0466D"/>
    <w:rsid w:val="00D12F3F"/>
    <w:rsid w:val="00D71DC0"/>
    <w:rsid w:val="00DD688C"/>
    <w:rsid w:val="00E7376C"/>
    <w:rsid w:val="00ED1EBF"/>
    <w:rsid w:val="00F04147"/>
    <w:rsid w:val="00FA2115"/>
    <w:rsid w:val="00FC33F9"/>
    <w:rsid w:val="00FD56FA"/>
    <w:rsid w:val="00FF6107"/>
    <w:rsid w:val="01BB3DD7"/>
    <w:rsid w:val="024E16E9"/>
    <w:rsid w:val="042F1DF7"/>
    <w:rsid w:val="0B104772"/>
    <w:rsid w:val="11726437"/>
    <w:rsid w:val="216B049A"/>
    <w:rsid w:val="21766A93"/>
    <w:rsid w:val="2DD10DB8"/>
    <w:rsid w:val="47E1718D"/>
    <w:rsid w:val="49F05E7E"/>
    <w:rsid w:val="4F5F701C"/>
    <w:rsid w:val="656869B7"/>
    <w:rsid w:val="66820801"/>
    <w:rsid w:val="67376668"/>
    <w:rsid w:val="6C046E78"/>
    <w:rsid w:val="7F1B3C86"/>
    <w:rsid w:val="7FEF8A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qFormat/>
    <w:uiPriority w:val="0"/>
    <w:pPr>
      <w:spacing w:after="120"/>
      <w:textAlignment w:val="baseline"/>
    </w:pPr>
  </w:style>
  <w:style w:type="paragraph" w:styleId="4">
    <w:name w:val="Body Text"/>
    <w:basedOn w:val="1"/>
    <w:qFormat/>
    <w:uiPriority w:val="0"/>
    <w:pPr>
      <w:spacing w:after="120"/>
    </w:pPr>
    <w:rPr>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ind w:firstLine="420" w:firstLineChars="100"/>
    </w:pPr>
    <w:rPr>
      <w:snapToGrid w:val="0"/>
      <w:szCs w:val="24"/>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10"/>
    <w:basedOn w:val="10"/>
    <w:qFormat/>
    <w:uiPriority w:val="0"/>
    <w:rPr>
      <w:rFonts w:hint="default" w:ascii="Times New Roman" w:hAnsi="Times New Roman" w:cs="Times New Roman"/>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11</Pages>
  <Words>2272</Words>
  <Characters>2345</Characters>
  <Lines>1</Lines>
  <Paragraphs>1</Paragraphs>
  <TotalTime>58</TotalTime>
  <ScaleCrop>false</ScaleCrop>
  <LinksUpToDate>false</LinksUpToDate>
  <CharactersWithSpaces>2440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2022-10-18T07:43:00Z</dcterms:created>
  <dc:creator>谢 坤荣</dc:creator>
  <cp:lastModifiedBy>Lynn.</cp:lastModifiedBy>
  <cp:lastPrinted>2022-10-18T11:54:00Z</cp:lastPrinted>
  <dcterms:modified xsi:type="dcterms:W3CDTF">2022-11-17T07:05:23Z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0E6F7C702A1F4CB79B99D88A0B9F4850</vt:lpwstr>
  </property>
  <property fmtid="{D5CDD505-2E9C-101B-9397-08002B2CF9AE}" pid="4" name="woTemplateTypoMode" linkTarget="0">
    <vt:lpwstr>web</vt:lpwstr>
  </property>
  <property fmtid="{D5CDD505-2E9C-101B-9397-08002B2CF9AE}" pid="5" name="woTemplate" linkTarget="0">
    <vt:i4>1</vt:i4>
  </property>
</Properties>
</file>