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eastAsia="黑体"/>
          <w:b/>
          <w:color w:val="000000"/>
          <w:spacing w:val="40"/>
          <w:sz w:val="52"/>
          <w:szCs w:val="52"/>
        </w:rPr>
      </w:pPr>
      <w:r>
        <w:rPr>
          <w:rFonts w:hint="eastAsia" w:eastAsia="黑体"/>
          <w:b/>
          <w:color w:val="000000"/>
          <w:spacing w:val="40"/>
          <w:sz w:val="52"/>
          <w:szCs w:val="52"/>
          <w:lang w:eastAsia="zh-CN"/>
        </w:rPr>
        <w:t>万全镇万全公园工程</w:t>
      </w:r>
      <w:bookmarkStart w:id="13" w:name="_GoBack"/>
      <w:r>
        <w:rPr>
          <w:rFonts w:eastAsia="黑体"/>
          <w:b/>
          <w:color w:val="000000"/>
          <w:spacing w:val="40"/>
          <w:sz w:val="52"/>
          <w:szCs w:val="52"/>
        </w:rPr>
        <w:t>可行性研究（调整）报告</w:t>
      </w:r>
      <w:bookmarkEnd w:id="13"/>
    </w:p>
    <w:p>
      <w:pPr>
        <w:jc w:val="center"/>
        <w:rPr>
          <w:rFonts w:eastAsia="黑体"/>
          <w:b/>
          <w:color w:val="000000"/>
          <w:spacing w:val="40"/>
          <w:sz w:val="52"/>
          <w:szCs w:val="52"/>
        </w:rPr>
      </w:pPr>
    </w:p>
    <w:p>
      <w:pPr>
        <w:jc w:val="center"/>
        <w:rPr>
          <w:rFonts w:eastAsia="黑体"/>
          <w:b/>
          <w:color w:val="000000"/>
          <w:spacing w:val="40"/>
          <w:sz w:val="52"/>
          <w:szCs w:val="52"/>
        </w:rPr>
      </w:pPr>
    </w:p>
    <w:p>
      <w:pPr>
        <w:jc w:val="center"/>
        <w:rPr>
          <w:rFonts w:eastAsia="黑体"/>
          <w:b/>
          <w:color w:val="000000"/>
          <w:spacing w:val="40"/>
          <w:sz w:val="52"/>
          <w:szCs w:val="52"/>
        </w:rPr>
      </w:pPr>
    </w:p>
    <w:p>
      <w:pPr>
        <w:spacing w:before="480" w:beforeLines="200" w:line="240" w:lineRule="auto"/>
        <w:ind w:firstLine="0" w:firstLineChars="0"/>
        <w:jc w:val="center"/>
        <w:rPr>
          <w:rFonts w:eastAsia="黑体"/>
          <w:b/>
          <w:bCs/>
          <w:color w:val="000000"/>
          <w:spacing w:val="20"/>
          <w:sz w:val="36"/>
          <w:szCs w:val="36"/>
        </w:rPr>
      </w:pPr>
    </w:p>
    <w:p>
      <w:pPr>
        <w:spacing w:before="480" w:beforeLines="200" w:line="240" w:lineRule="auto"/>
        <w:ind w:firstLine="0" w:firstLineChars="0"/>
        <w:jc w:val="center"/>
        <w:rPr>
          <w:rFonts w:eastAsia="黑体"/>
          <w:b/>
          <w:bCs/>
          <w:color w:val="000000"/>
          <w:spacing w:val="20"/>
          <w:sz w:val="36"/>
          <w:szCs w:val="36"/>
        </w:rPr>
      </w:pPr>
    </w:p>
    <w:p>
      <w:pPr>
        <w:spacing w:before="480" w:beforeLines="200" w:line="240" w:lineRule="auto"/>
        <w:ind w:firstLine="0" w:firstLineChars="0"/>
        <w:jc w:val="center"/>
        <w:rPr>
          <w:rFonts w:eastAsia="黑体"/>
          <w:b/>
          <w:bCs/>
          <w:color w:val="000000"/>
          <w:spacing w:val="20"/>
          <w:sz w:val="36"/>
          <w:szCs w:val="36"/>
        </w:rPr>
      </w:pPr>
    </w:p>
    <w:p>
      <w:pPr>
        <w:spacing w:before="480" w:beforeLines="200" w:line="240" w:lineRule="auto"/>
        <w:ind w:firstLine="0" w:firstLineChars="0"/>
        <w:jc w:val="center"/>
        <w:rPr>
          <w:rFonts w:eastAsia="黑体"/>
          <w:b/>
          <w:bCs/>
          <w:color w:val="000000"/>
          <w:spacing w:val="20"/>
          <w:sz w:val="36"/>
          <w:szCs w:val="36"/>
        </w:rPr>
      </w:pPr>
      <w:r>
        <w:rPr>
          <w:rFonts w:eastAsia="黑体"/>
          <w:b/>
          <w:color w:val="000000"/>
          <w:kern w:val="0"/>
          <w:sz w:val="40"/>
          <w:szCs w:val="40"/>
        </w:rPr>
        <w:drawing>
          <wp:inline distT="0" distB="0" distL="114300" distR="114300">
            <wp:extent cx="856615" cy="695960"/>
            <wp:effectExtent l="0" t="0" r="63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856615" cy="695960"/>
                    </a:xfrm>
                    <a:prstGeom prst="rect">
                      <a:avLst/>
                    </a:prstGeom>
                    <a:noFill/>
                    <a:ln>
                      <a:noFill/>
                    </a:ln>
                  </pic:spPr>
                </pic:pic>
              </a:graphicData>
            </a:graphic>
          </wp:inline>
        </w:drawing>
      </w:r>
    </w:p>
    <w:p>
      <w:pPr>
        <w:spacing w:before="480" w:beforeLines="200" w:line="240" w:lineRule="auto"/>
        <w:ind w:firstLine="0" w:firstLineChars="0"/>
        <w:jc w:val="center"/>
        <w:rPr>
          <w:rFonts w:eastAsia="黑体"/>
          <w:b/>
          <w:bCs/>
          <w:color w:val="000000"/>
          <w:spacing w:val="20"/>
          <w:sz w:val="36"/>
          <w:szCs w:val="36"/>
        </w:rPr>
      </w:pPr>
      <w:r>
        <w:rPr>
          <w:rFonts w:eastAsia="黑体"/>
          <w:b/>
          <w:bCs/>
          <w:color w:val="000000"/>
          <w:spacing w:val="20"/>
          <w:sz w:val="36"/>
          <w:szCs w:val="36"/>
        </w:rPr>
        <w:t>浙江鼎格工程咨询有限公司</w:t>
      </w:r>
    </w:p>
    <w:p>
      <w:pPr>
        <w:jc w:val="center"/>
        <w:rPr>
          <w:rFonts w:eastAsia="黑体"/>
          <w:b/>
          <w:bCs/>
          <w:color w:val="000000"/>
          <w:spacing w:val="20"/>
          <w:sz w:val="36"/>
          <w:szCs w:val="36"/>
        </w:rPr>
      </w:pPr>
      <w:r>
        <w:rPr>
          <w:rFonts w:eastAsia="黑体"/>
          <w:b/>
          <w:bCs/>
          <w:color w:val="000000"/>
          <w:spacing w:val="20"/>
          <w:sz w:val="36"/>
          <w:szCs w:val="36"/>
        </w:rPr>
        <w:t>二零</w:t>
      </w:r>
      <w:r>
        <w:rPr>
          <w:rFonts w:hint="eastAsia" w:eastAsia="黑体"/>
          <w:b/>
          <w:bCs/>
          <w:color w:val="000000"/>
          <w:spacing w:val="20"/>
          <w:sz w:val="36"/>
          <w:szCs w:val="36"/>
        </w:rPr>
        <w:t>二二</w:t>
      </w:r>
      <w:r>
        <w:rPr>
          <w:rFonts w:eastAsia="黑体"/>
          <w:b/>
          <w:bCs/>
          <w:color w:val="000000"/>
          <w:spacing w:val="20"/>
          <w:sz w:val="36"/>
          <w:szCs w:val="36"/>
        </w:rPr>
        <w:t>年</w:t>
      </w:r>
      <w:r>
        <w:rPr>
          <w:rFonts w:hint="eastAsia" w:eastAsia="黑体"/>
          <w:b/>
          <w:bCs/>
          <w:color w:val="000000"/>
          <w:spacing w:val="20"/>
          <w:sz w:val="36"/>
          <w:szCs w:val="36"/>
        </w:rPr>
        <w:t>八</w:t>
      </w:r>
      <w:r>
        <w:rPr>
          <w:rFonts w:eastAsia="黑体"/>
          <w:b/>
          <w:bCs/>
          <w:color w:val="000000"/>
          <w:spacing w:val="20"/>
          <w:sz w:val="36"/>
          <w:szCs w:val="36"/>
        </w:rPr>
        <w:t>月</w:t>
      </w:r>
    </w:p>
    <w:p>
      <w:pPr>
        <w:pStyle w:val="2"/>
        <w:rPr>
          <w:rFonts w:eastAsia="黑体"/>
          <w:b/>
          <w:bCs/>
          <w:color w:val="000000"/>
          <w:spacing w:val="20"/>
          <w:sz w:val="36"/>
          <w:szCs w:val="36"/>
        </w:rPr>
      </w:pPr>
    </w:p>
    <w:p>
      <w:pPr>
        <w:pStyle w:val="2"/>
        <w:rPr>
          <w:rFonts w:eastAsia="黑体"/>
          <w:b/>
          <w:bCs/>
          <w:color w:val="000000"/>
          <w:spacing w:val="20"/>
          <w:sz w:val="36"/>
          <w:szCs w:val="36"/>
        </w:rPr>
      </w:pPr>
    </w:p>
    <w:p>
      <w:pPr>
        <w:pStyle w:val="2"/>
        <w:rPr>
          <w:rFonts w:eastAsia="黑体"/>
          <w:b/>
          <w:bCs/>
          <w:color w:val="000000"/>
          <w:spacing w:val="20"/>
          <w:sz w:val="36"/>
          <w:szCs w:val="36"/>
        </w:rPr>
      </w:pPr>
    </w:p>
    <w:p>
      <w:pPr>
        <w:spacing w:line="900" w:lineRule="exact"/>
        <w:ind w:left="2280" w:leftChars="350" w:hanging="1545" w:hangingChars="481"/>
        <w:rPr>
          <w:rFonts w:eastAsia="宋体"/>
          <w:color w:val="000000"/>
          <w:sz w:val="32"/>
        </w:rPr>
      </w:pPr>
      <w:r>
        <w:rPr>
          <w:rFonts w:eastAsia="黑体"/>
          <w:b/>
          <w:color w:val="000000"/>
          <w:sz w:val="32"/>
        </w:rPr>
        <w:t>编制阶段：</w:t>
      </w:r>
      <w:r>
        <w:rPr>
          <w:rFonts w:eastAsia="宋体"/>
          <w:color w:val="000000"/>
          <w:sz w:val="32"/>
        </w:rPr>
        <w:t>可行性研究（调整）报告</w:t>
      </w:r>
    </w:p>
    <w:p>
      <w:pPr>
        <w:spacing w:line="900" w:lineRule="exact"/>
        <w:ind w:left="2280" w:leftChars="350" w:hanging="1545" w:hangingChars="481"/>
        <w:rPr>
          <w:rFonts w:eastAsia="宋体"/>
          <w:color w:val="000000"/>
          <w:sz w:val="32"/>
        </w:rPr>
      </w:pPr>
      <w:r>
        <w:rPr>
          <w:rFonts w:eastAsia="黑体"/>
          <w:b/>
          <w:color w:val="000000"/>
          <w:sz w:val="32"/>
        </w:rPr>
        <w:t>委托单位：</w:t>
      </w:r>
      <w:r>
        <w:rPr>
          <w:rFonts w:hint="eastAsia" w:eastAsia="宋体"/>
          <w:color w:val="000000"/>
          <w:sz w:val="32"/>
        </w:rPr>
        <w:t>平阳县万全新农村建设投资有限公司</w:t>
      </w:r>
    </w:p>
    <w:p>
      <w:pPr>
        <w:spacing w:line="900" w:lineRule="exact"/>
        <w:ind w:left="2200" w:leftChars="350" w:hanging="1465" w:hangingChars="456"/>
        <w:rPr>
          <w:rFonts w:eastAsia="宋体"/>
          <w:color w:val="000000"/>
          <w:sz w:val="32"/>
        </w:rPr>
      </w:pPr>
      <w:r>
        <w:rPr>
          <w:rFonts w:eastAsia="黑体"/>
          <w:b/>
          <w:color w:val="000000"/>
          <w:sz w:val="32"/>
        </w:rPr>
        <w:t>编制单位：</w:t>
      </w:r>
      <w:r>
        <w:rPr>
          <w:rFonts w:eastAsia="宋体"/>
          <w:color w:val="000000"/>
          <w:sz w:val="32"/>
        </w:rPr>
        <w:t>浙江鼎格工程咨询有限公司</w:t>
      </w:r>
    </w:p>
    <w:p>
      <w:pPr>
        <w:spacing w:before="240" w:beforeLines="100" w:line="700" w:lineRule="exact"/>
        <w:ind w:left="1428" w:leftChars="680" w:firstLine="720" w:firstLineChars="300"/>
        <w:rPr>
          <w:rFonts w:eastAsia="楷体_GB2312"/>
          <w:color w:val="000000"/>
          <w:sz w:val="24"/>
        </w:rPr>
      </w:pPr>
      <w:r>
        <w:rPr>
          <w:rFonts w:eastAsia="黑体"/>
          <w:color w:val="000000"/>
          <w:sz w:val="24"/>
        </w:rPr>
        <w:t>公司备案编号：</w:t>
      </w:r>
      <w:r>
        <w:rPr>
          <w:rFonts w:eastAsia="楷体_GB2312"/>
          <w:color w:val="000000"/>
          <w:sz w:val="24"/>
        </w:rPr>
        <w:t>3300002018070047</w:t>
      </w:r>
    </w:p>
    <w:p>
      <w:pPr>
        <w:spacing w:line="700" w:lineRule="exact"/>
        <w:ind w:left="1428" w:leftChars="680" w:firstLine="720" w:firstLineChars="300"/>
        <w:rPr>
          <w:rFonts w:eastAsia="楷体_GB2312"/>
          <w:color w:val="000000"/>
          <w:sz w:val="24"/>
        </w:rPr>
      </w:pPr>
      <w:r>
        <w:rPr>
          <w:rFonts w:eastAsia="黑体"/>
          <w:color w:val="000000"/>
          <w:sz w:val="24"/>
        </w:rPr>
        <w:t>统一社会信用代码：</w:t>
      </w:r>
      <w:r>
        <w:rPr>
          <w:rFonts w:eastAsia="楷体_GB2312"/>
          <w:color w:val="000000"/>
          <w:sz w:val="24"/>
        </w:rPr>
        <w:t>91330302MA</w:t>
      </w:r>
      <w:r>
        <w:rPr>
          <w:rFonts w:hint="eastAsia" w:eastAsia="楷体_GB2312"/>
          <w:color w:val="000000"/>
          <w:sz w:val="24"/>
        </w:rPr>
        <w:t>2</w:t>
      </w:r>
      <w:r>
        <w:rPr>
          <w:rFonts w:eastAsia="楷体_GB2312"/>
          <w:color w:val="000000"/>
          <w:sz w:val="24"/>
        </w:rPr>
        <w:t>CQDL45U</w:t>
      </w:r>
    </w:p>
    <w:p>
      <w:pPr>
        <w:spacing w:after="240" w:afterLines="100" w:line="700" w:lineRule="exact"/>
        <w:ind w:left="1428" w:leftChars="680" w:firstLine="672" w:firstLineChars="300"/>
        <w:rPr>
          <w:rFonts w:eastAsia="楷体_GB2312"/>
          <w:color w:val="000000"/>
          <w:spacing w:val="-8"/>
          <w:sz w:val="24"/>
        </w:rPr>
      </w:pPr>
      <w:r>
        <w:rPr>
          <w:rFonts w:hint="eastAsia" w:eastAsia="黑体"/>
          <w:color w:val="000000"/>
          <w:spacing w:val="-8"/>
          <w:sz w:val="24"/>
        </w:rPr>
        <w:t>地址：浙江省温州市世界温州人家园悦开工中心9</w:t>
      </w:r>
      <w:r>
        <w:rPr>
          <w:rFonts w:eastAsia="黑体"/>
          <w:color w:val="000000"/>
          <w:spacing w:val="-8"/>
          <w:sz w:val="24"/>
        </w:rPr>
        <w:t>01室</w:t>
      </w:r>
    </w:p>
    <w:p>
      <w:pPr>
        <w:spacing w:before="360" w:beforeLines="150" w:line="900" w:lineRule="exact"/>
        <w:ind w:left="420" w:leftChars="200" w:firstLine="421" w:firstLineChars="131"/>
        <w:rPr>
          <w:rFonts w:eastAsia="宋体"/>
          <w:color w:val="000000"/>
          <w:sz w:val="32"/>
        </w:rPr>
      </w:pPr>
      <w:bookmarkStart w:id="0" w:name="_Toc279097707"/>
      <w:bookmarkStart w:id="1" w:name="_Toc279112934"/>
      <w:bookmarkStart w:id="2" w:name="_Toc279097581"/>
      <w:r>
        <w:rPr>
          <w:rFonts w:eastAsia="黑体"/>
          <w:b/>
          <w:color w:val="000000"/>
          <w:sz w:val="32"/>
        </w:rPr>
        <w:t>项目负责：</w:t>
      </w:r>
      <w:bookmarkEnd w:id="0"/>
      <w:bookmarkEnd w:id="1"/>
      <w:bookmarkEnd w:id="2"/>
      <w:r>
        <w:rPr>
          <w:rFonts w:hint="eastAsia" w:eastAsia="宋体"/>
          <w:color w:val="000000"/>
          <w:sz w:val="32"/>
        </w:rPr>
        <w:t>余建形</w:t>
      </w:r>
      <w:r>
        <w:rPr>
          <w:rFonts w:eastAsia="宋体"/>
          <w:color w:val="000000"/>
          <w:sz w:val="32"/>
        </w:rPr>
        <w:t xml:space="preserve">  注册咨询工程师</w:t>
      </w:r>
    </w:p>
    <w:p>
      <w:pPr>
        <w:spacing w:line="900" w:lineRule="exact"/>
        <w:ind w:left="420" w:leftChars="200" w:firstLine="421" w:firstLineChars="131"/>
        <w:rPr>
          <w:rFonts w:eastAsia="宋体"/>
          <w:color w:val="000000"/>
          <w:sz w:val="32"/>
        </w:rPr>
      </w:pPr>
      <w:bookmarkStart w:id="3" w:name="_Toc279112935"/>
      <w:bookmarkStart w:id="4" w:name="_Toc279097582"/>
      <w:bookmarkStart w:id="5" w:name="_Toc279097708"/>
      <w:r>
        <w:rPr>
          <w:rFonts w:eastAsia="黑体"/>
          <w:b/>
          <w:color w:val="000000"/>
          <w:sz w:val="32"/>
        </w:rPr>
        <w:t>报告编制：</w:t>
      </w:r>
      <w:bookmarkEnd w:id="3"/>
      <w:bookmarkEnd w:id="4"/>
      <w:bookmarkEnd w:id="5"/>
      <w:r>
        <w:rPr>
          <w:rFonts w:hint="eastAsia" w:eastAsia="宋体"/>
          <w:color w:val="000000"/>
          <w:sz w:val="32"/>
        </w:rPr>
        <w:t>马恩待  会计师</w:t>
      </w:r>
    </w:p>
    <w:p>
      <w:pPr>
        <w:spacing w:line="900" w:lineRule="exact"/>
        <w:ind w:firstLine="2588" w:firstLineChars="809"/>
        <w:rPr>
          <w:rFonts w:hint="eastAsia" w:eastAsia="宋体"/>
          <w:color w:val="000000"/>
          <w:sz w:val="32"/>
        </w:rPr>
      </w:pPr>
      <w:r>
        <w:rPr>
          <w:rFonts w:hint="eastAsia" w:eastAsia="宋体"/>
          <w:color w:val="000000"/>
          <w:sz w:val="32"/>
        </w:rPr>
        <w:t xml:space="preserve">孙 </w:t>
      </w:r>
      <w:r>
        <w:rPr>
          <w:rFonts w:eastAsia="宋体"/>
          <w:color w:val="000000"/>
          <w:sz w:val="32"/>
        </w:rPr>
        <w:t xml:space="preserve"> </w:t>
      </w:r>
      <w:r>
        <w:rPr>
          <w:rFonts w:hint="eastAsia" w:eastAsia="宋体"/>
          <w:color w:val="000000"/>
          <w:sz w:val="32"/>
        </w:rPr>
        <w:t xml:space="preserve">毅 </w:t>
      </w:r>
      <w:r>
        <w:rPr>
          <w:rFonts w:eastAsia="宋体"/>
          <w:color w:val="000000"/>
          <w:sz w:val="32"/>
        </w:rPr>
        <w:t xml:space="preserve"> </w:t>
      </w:r>
      <w:r>
        <w:rPr>
          <w:rFonts w:hint="eastAsia" w:eastAsia="宋体"/>
          <w:color w:val="000000"/>
          <w:sz w:val="32"/>
        </w:rPr>
        <w:t>工程师</w:t>
      </w:r>
    </w:p>
    <w:p>
      <w:pPr>
        <w:spacing w:line="900" w:lineRule="exact"/>
        <w:ind w:firstLine="993" w:firstLineChars="309"/>
        <w:rPr>
          <w:rFonts w:eastAsia="宋体"/>
          <w:color w:val="000000"/>
          <w:sz w:val="32"/>
        </w:rPr>
      </w:pPr>
      <w:bookmarkStart w:id="6" w:name="_Toc279097710"/>
      <w:bookmarkStart w:id="7" w:name="_Toc279097584"/>
      <w:bookmarkStart w:id="8" w:name="_Toc279112937"/>
      <w:r>
        <w:rPr>
          <w:rFonts w:eastAsia="黑体"/>
          <w:b/>
          <w:color w:val="000000"/>
          <w:sz w:val="32"/>
        </w:rPr>
        <w:t>校    核：</w:t>
      </w:r>
      <w:bookmarkEnd w:id="6"/>
      <w:bookmarkEnd w:id="7"/>
      <w:bookmarkEnd w:id="8"/>
      <w:r>
        <w:rPr>
          <w:rFonts w:hint="eastAsia" w:eastAsia="宋体"/>
          <w:color w:val="000000"/>
          <w:sz w:val="32"/>
        </w:rPr>
        <w:t>周万锚  工程师</w:t>
      </w:r>
    </w:p>
    <w:p>
      <w:pPr>
        <w:pStyle w:val="2"/>
        <w:ind w:firstLine="964" w:firstLineChars="300"/>
        <w:rPr>
          <w:rFonts w:eastAsia="宋体"/>
          <w:color w:val="000000"/>
          <w:sz w:val="32"/>
        </w:rPr>
      </w:pPr>
      <w:bookmarkStart w:id="9" w:name="_Toc279097585"/>
      <w:bookmarkStart w:id="10" w:name="_Toc279112938"/>
      <w:bookmarkStart w:id="11" w:name="_Toc279097711"/>
      <w:r>
        <w:rPr>
          <w:rFonts w:eastAsia="黑体"/>
          <w:b/>
          <w:color w:val="000000"/>
          <w:sz w:val="32"/>
        </w:rPr>
        <w:t>审    核：</w:t>
      </w:r>
      <w:bookmarkEnd w:id="9"/>
      <w:bookmarkEnd w:id="10"/>
      <w:bookmarkEnd w:id="11"/>
      <w:r>
        <w:rPr>
          <w:rFonts w:hint="eastAsia" w:eastAsia="宋体"/>
          <w:color w:val="000000"/>
          <w:sz w:val="32"/>
        </w:rPr>
        <w:t>温兴锁</w:t>
      </w:r>
      <w:r>
        <w:rPr>
          <w:rFonts w:eastAsia="宋体"/>
          <w:color w:val="000000"/>
          <w:sz w:val="32"/>
        </w:rPr>
        <w:t xml:space="preserve">  注册咨询工程师</w:t>
      </w:r>
    </w:p>
    <w:p>
      <w:pPr>
        <w:pStyle w:val="2"/>
        <w:ind w:firstLine="960" w:firstLineChars="300"/>
        <w:rPr>
          <w:rFonts w:eastAsia="宋体"/>
          <w:color w:val="000000"/>
          <w:sz w:val="32"/>
        </w:rPr>
      </w:pPr>
    </w:p>
    <w:p>
      <w:pPr>
        <w:pStyle w:val="2"/>
        <w:ind w:firstLine="960" w:firstLineChars="300"/>
        <w:rPr>
          <w:rFonts w:eastAsia="宋体"/>
          <w:color w:val="000000"/>
          <w:sz w:val="32"/>
        </w:rPr>
      </w:pPr>
    </w:p>
    <w:p>
      <w:pPr>
        <w:pStyle w:val="2"/>
        <w:ind w:firstLine="960" w:firstLineChars="300"/>
        <w:rPr>
          <w:rFonts w:eastAsia="宋体"/>
          <w:color w:val="000000"/>
          <w:sz w:val="32"/>
        </w:rPr>
      </w:pPr>
    </w:p>
    <w:p>
      <w:pPr>
        <w:pStyle w:val="2"/>
        <w:ind w:firstLine="960" w:firstLineChars="300"/>
        <w:rPr>
          <w:rFonts w:eastAsia="宋体"/>
          <w:color w:val="000000"/>
          <w:sz w:val="32"/>
        </w:rPr>
      </w:pPr>
    </w:p>
    <w:p>
      <w:pPr>
        <w:pStyle w:val="2"/>
        <w:ind w:firstLine="960" w:firstLineChars="300"/>
        <w:rPr>
          <w:rFonts w:eastAsia="宋体"/>
          <w:color w:val="000000"/>
          <w:sz w:val="32"/>
        </w:rPr>
      </w:pPr>
    </w:p>
    <w:p>
      <w:pPr>
        <w:pStyle w:val="2"/>
        <w:ind w:firstLine="960" w:firstLineChars="300"/>
        <w:rPr>
          <w:rFonts w:eastAsia="宋体"/>
          <w:color w:val="000000"/>
          <w:sz w:val="32"/>
        </w:rPr>
      </w:pPr>
    </w:p>
    <w:p>
      <w:pPr>
        <w:pStyle w:val="2"/>
        <w:ind w:firstLine="630" w:firstLineChars="300"/>
        <w:rPr>
          <w:color w:val="000000"/>
        </w:rPr>
      </w:pPr>
    </w:p>
    <w:p>
      <w:pPr>
        <w:pStyle w:val="2"/>
        <w:jc w:val="both"/>
        <w:rPr>
          <w:color w:val="000000"/>
          <w:sz w:val="36"/>
          <w:szCs w:val="36"/>
        </w:rPr>
      </w:pPr>
      <w:r>
        <w:rPr>
          <w:rFonts w:hint="eastAsia"/>
          <w:color w:val="000000"/>
          <w:sz w:val="36"/>
          <w:szCs w:val="36"/>
          <w:lang w:eastAsia="zh-CN"/>
        </w:rPr>
        <w:t>（</w:t>
      </w:r>
      <w:r>
        <w:rPr>
          <w:rFonts w:hint="eastAsia"/>
          <w:color w:val="000000"/>
          <w:sz w:val="36"/>
          <w:szCs w:val="36"/>
          <w:lang w:val="en-US" w:eastAsia="zh-CN"/>
        </w:rPr>
        <w:t>一</w:t>
      </w:r>
      <w:r>
        <w:rPr>
          <w:rFonts w:hint="eastAsia"/>
          <w:color w:val="000000"/>
          <w:sz w:val="36"/>
          <w:szCs w:val="36"/>
          <w:lang w:eastAsia="zh-CN"/>
        </w:rPr>
        <w:t>）</w:t>
      </w:r>
      <w:r>
        <w:rPr>
          <w:color w:val="000000"/>
          <w:sz w:val="36"/>
          <w:szCs w:val="36"/>
        </w:rPr>
        <w:t>项目选址与建设条件</w:t>
      </w:r>
    </w:p>
    <w:p>
      <w:pPr>
        <w:ind w:firstLine="560"/>
        <w:rPr>
          <w:rFonts w:hint="eastAsia"/>
          <w:color w:val="000000"/>
          <w:sz w:val="28"/>
          <w:szCs w:val="28"/>
        </w:rPr>
      </w:pPr>
      <w:r>
        <w:rPr>
          <w:rFonts w:hint="eastAsia"/>
          <w:color w:val="000000"/>
          <w:sz w:val="28"/>
          <w:szCs w:val="28"/>
          <w:lang w:val="en-US" w:eastAsia="zh-CN"/>
        </w:rPr>
        <w:t>1、</w:t>
      </w:r>
      <w:r>
        <w:rPr>
          <w:rFonts w:hint="eastAsia"/>
          <w:color w:val="000000"/>
          <w:sz w:val="28"/>
          <w:szCs w:val="28"/>
        </w:rPr>
        <w:t>本项目平阳县万全镇中心区A40、A42</w:t>
      </w:r>
      <w:r>
        <w:rPr>
          <w:rFonts w:hint="eastAsia"/>
          <w:color w:val="000000"/>
          <w:sz w:val="28"/>
          <w:szCs w:val="28"/>
          <w:lang w:eastAsia="zh-CN"/>
        </w:rPr>
        <w:t>、</w:t>
      </w:r>
      <w:r>
        <w:rPr>
          <w:rFonts w:hint="eastAsia"/>
          <w:color w:val="000000"/>
          <w:sz w:val="28"/>
          <w:szCs w:val="28"/>
          <w:lang w:val="en-US" w:eastAsia="zh-CN"/>
        </w:rPr>
        <w:t>A43</w:t>
      </w:r>
      <w:r>
        <w:rPr>
          <w:rFonts w:hint="eastAsia"/>
          <w:color w:val="000000"/>
          <w:sz w:val="28"/>
          <w:szCs w:val="28"/>
        </w:rPr>
        <w:t>地块，总用地面积</w:t>
      </w:r>
      <w:r>
        <w:rPr>
          <w:color w:val="000000"/>
          <w:sz w:val="28"/>
          <w:szCs w:val="28"/>
        </w:rPr>
        <w:t>22710</w:t>
      </w:r>
      <w:r>
        <w:rPr>
          <w:rFonts w:hint="eastAsia"/>
          <w:color w:val="000000"/>
          <w:sz w:val="28"/>
          <w:szCs w:val="28"/>
        </w:rPr>
        <w:t>平方米，折合约</w:t>
      </w:r>
      <w:r>
        <w:rPr>
          <w:color w:val="000000"/>
          <w:sz w:val="28"/>
          <w:szCs w:val="28"/>
        </w:rPr>
        <w:t>34.06</w:t>
      </w:r>
      <w:r>
        <w:rPr>
          <w:rFonts w:hint="eastAsia"/>
          <w:color w:val="000000"/>
          <w:sz w:val="28"/>
          <w:szCs w:val="28"/>
        </w:rPr>
        <w:t>亩。具体位置如下图所示。</w:t>
      </w:r>
    </w:p>
    <w:p>
      <w:pPr>
        <w:spacing w:line="240" w:lineRule="auto"/>
        <w:ind w:firstLine="0" w:firstLineChars="0"/>
        <w:jc w:val="center"/>
        <w:rPr>
          <w:color w:val="000000"/>
        </w:rPr>
      </w:pPr>
      <w:r>
        <w:drawing>
          <wp:inline distT="0" distB="0" distL="114300" distR="114300">
            <wp:extent cx="5507355" cy="2903220"/>
            <wp:effectExtent l="0" t="0" r="17145" b="1143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507355" cy="2903220"/>
                    </a:xfrm>
                    <a:prstGeom prst="rect">
                      <a:avLst/>
                    </a:prstGeom>
                    <a:noFill/>
                    <a:ln>
                      <a:noFill/>
                    </a:ln>
                  </pic:spPr>
                </pic:pic>
              </a:graphicData>
            </a:graphic>
          </wp:inline>
        </w:drawing>
      </w:r>
    </w:p>
    <w:p>
      <w:pPr>
        <w:pStyle w:val="2"/>
        <w:jc w:val="both"/>
        <w:rPr>
          <w:color w:val="000000"/>
          <w:sz w:val="36"/>
          <w:szCs w:val="36"/>
        </w:rPr>
      </w:pPr>
    </w:p>
    <w:p>
      <w:pPr>
        <w:pStyle w:val="2"/>
        <w:jc w:val="both"/>
        <w:rPr>
          <w:color w:val="000000"/>
          <w:sz w:val="36"/>
          <w:szCs w:val="36"/>
        </w:rPr>
      </w:pPr>
    </w:p>
    <w:p>
      <w:pPr>
        <w:pStyle w:val="2"/>
        <w:numPr>
          <w:ilvl w:val="0"/>
          <w:numId w:val="1"/>
        </w:numPr>
        <w:jc w:val="both"/>
        <w:rPr>
          <w:rFonts w:hint="eastAsia"/>
          <w:color w:val="000000"/>
          <w:sz w:val="36"/>
          <w:szCs w:val="36"/>
        </w:rPr>
      </w:pPr>
      <w:r>
        <w:rPr>
          <w:rFonts w:hint="eastAsia"/>
          <w:color w:val="000000"/>
          <w:sz w:val="36"/>
          <w:szCs w:val="36"/>
        </w:rPr>
        <w:t>项目建设内容</w:t>
      </w:r>
    </w:p>
    <w:p>
      <w:pPr>
        <w:pStyle w:val="2"/>
        <w:ind w:firstLine="560"/>
        <w:rPr>
          <w:color w:val="000000"/>
        </w:rPr>
      </w:pPr>
      <w:r>
        <w:rPr>
          <w:rFonts w:hint="eastAsia"/>
          <w:color w:val="000000"/>
          <w:lang w:val="en-US" w:eastAsia="zh-CN"/>
        </w:rPr>
        <w:t>1、</w:t>
      </w:r>
      <w:r>
        <w:rPr>
          <w:rFonts w:hint="eastAsia"/>
          <w:color w:val="000000"/>
        </w:rPr>
        <w:t>本项目总用地面积</w:t>
      </w:r>
      <w:r>
        <w:rPr>
          <w:color w:val="000000"/>
        </w:rPr>
        <w:t>22710</w:t>
      </w:r>
      <w:r>
        <w:rPr>
          <w:rFonts w:hint="eastAsia"/>
          <w:color w:val="000000"/>
        </w:rPr>
        <w:t>平方米，折合约3</w:t>
      </w:r>
      <w:r>
        <w:rPr>
          <w:color w:val="000000"/>
        </w:rPr>
        <w:t>4.06</w:t>
      </w:r>
      <w:r>
        <w:rPr>
          <w:rFonts w:hint="eastAsia"/>
          <w:color w:val="000000"/>
        </w:rPr>
        <w:t>亩，总建筑面积</w:t>
      </w:r>
      <w:r>
        <w:rPr>
          <w:color w:val="000000"/>
        </w:rPr>
        <w:t>2000</w:t>
      </w:r>
      <w:r>
        <w:rPr>
          <w:rFonts w:hint="eastAsia"/>
          <w:color w:val="000000"/>
        </w:rPr>
        <w:t>平方米，生态停车场3</w:t>
      </w:r>
      <w:r>
        <w:rPr>
          <w:color w:val="000000"/>
        </w:rPr>
        <w:t>000</w:t>
      </w:r>
      <w:r>
        <w:rPr>
          <w:rFonts w:hint="eastAsia"/>
          <w:color w:val="000000"/>
        </w:rPr>
        <w:t>平方米，绿化景观工程1</w:t>
      </w:r>
      <w:r>
        <w:rPr>
          <w:color w:val="000000"/>
        </w:rPr>
        <w:t>5000</w:t>
      </w:r>
      <w:r>
        <w:rPr>
          <w:rFonts w:hint="eastAsia"/>
          <w:color w:val="000000"/>
        </w:rPr>
        <w:t>平方米等，具体规模见下表。</w:t>
      </w:r>
    </w:p>
    <w:p>
      <w:pPr>
        <w:spacing w:before="48" w:beforeLines="20" w:after="48" w:afterLines="20"/>
        <w:ind w:firstLine="0" w:firstLineChars="0"/>
        <w:jc w:val="center"/>
        <w:rPr>
          <w:rFonts w:eastAsia="黑体"/>
          <w:b/>
          <w:bCs/>
          <w:color w:val="000000"/>
          <w:szCs w:val="28"/>
        </w:rPr>
      </w:pPr>
      <w:bookmarkStart w:id="12" w:name="_Hlk76629832"/>
      <w:r>
        <w:rPr>
          <w:rFonts w:eastAsia="黑体"/>
          <w:b/>
          <w:bCs/>
          <w:color w:val="000000"/>
          <w:szCs w:val="28"/>
        </w:rPr>
        <w:t xml:space="preserve">表4-8  </w:t>
      </w:r>
      <w:r>
        <w:rPr>
          <w:rFonts w:hint="eastAsia" w:eastAsia="黑体"/>
          <w:b/>
          <w:bCs/>
          <w:color w:val="000000"/>
          <w:szCs w:val="28"/>
        </w:rPr>
        <w:t>万全镇万全公园工程</w:t>
      </w:r>
      <w:r>
        <w:rPr>
          <w:rFonts w:hint="eastAsia" w:eastAsia="黑体"/>
          <w:b/>
          <w:bCs/>
          <w:color w:val="000000"/>
          <w:szCs w:val="28"/>
          <w:lang w:eastAsia="zh-CN"/>
        </w:rPr>
        <w:t>（</w:t>
      </w:r>
      <w:r>
        <w:rPr>
          <w:rFonts w:hint="eastAsia" w:eastAsia="黑体"/>
          <w:b/>
          <w:bCs/>
          <w:color w:val="000000"/>
          <w:szCs w:val="28"/>
          <w:lang w:val="en-US" w:eastAsia="zh-CN"/>
        </w:rPr>
        <w:t>一期</w:t>
      </w:r>
      <w:r>
        <w:rPr>
          <w:rFonts w:hint="eastAsia" w:eastAsia="黑体"/>
          <w:b/>
          <w:bCs/>
          <w:color w:val="000000"/>
          <w:szCs w:val="28"/>
          <w:lang w:eastAsia="zh-CN"/>
        </w:rPr>
        <w:t>）</w:t>
      </w:r>
      <w:r>
        <w:rPr>
          <w:rFonts w:hint="eastAsia" w:eastAsia="黑体"/>
          <w:b/>
          <w:bCs/>
          <w:color w:val="000000"/>
          <w:szCs w:val="28"/>
        </w:rPr>
        <w:t>建设</w:t>
      </w:r>
      <w:r>
        <w:rPr>
          <w:rFonts w:eastAsia="黑体"/>
          <w:b/>
          <w:bCs/>
          <w:color w:val="000000"/>
          <w:szCs w:val="28"/>
        </w:rPr>
        <w:t>规模</w:t>
      </w:r>
      <w:r>
        <w:rPr>
          <w:rFonts w:hint="eastAsia" w:eastAsia="黑体"/>
          <w:b/>
          <w:bCs/>
          <w:color w:val="000000"/>
          <w:szCs w:val="28"/>
        </w:rPr>
        <w:t>一览表</w:t>
      </w:r>
    </w:p>
    <w:bookmarkEnd w:id="12"/>
    <w:p>
      <w:pPr>
        <w:pStyle w:val="2"/>
        <w:numPr>
          <w:numId w:val="0"/>
        </w:numPr>
        <w:jc w:val="both"/>
        <w:rPr>
          <w:rFonts w:hint="eastAsia"/>
          <w:color w:val="000000"/>
        </w:rPr>
      </w:pPr>
      <w:r>
        <w:rPr>
          <w:rFonts w:hint="eastAsia"/>
          <w:color w:val="000000"/>
        </w:rPr>
        <w:drawing>
          <wp:inline distT="0" distB="0" distL="114300" distR="114300">
            <wp:extent cx="5504180" cy="1247775"/>
            <wp:effectExtent l="0" t="0" r="1270"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5504180" cy="1247775"/>
                    </a:xfrm>
                    <a:prstGeom prst="rect">
                      <a:avLst/>
                    </a:prstGeom>
                    <a:noFill/>
                    <a:ln>
                      <a:noFill/>
                    </a:ln>
                  </pic:spPr>
                </pic:pic>
              </a:graphicData>
            </a:graphic>
          </wp:inline>
        </w:drawing>
      </w:r>
    </w:p>
    <w:p>
      <w:pPr>
        <w:pStyle w:val="2"/>
        <w:numPr>
          <w:numId w:val="0"/>
        </w:numPr>
        <w:jc w:val="both"/>
        <w:rPr>
          <w:rFonts w:hint="eastAsia"/>
          <w:color w:val="000000"/>
        </w:rPr>
      </w:pPr>
    </w:p>
    <w:p>
      <w:pPr>
        <w:pStyle w:val="3"/>
        <w:numPr>
          <w:numId w:val="0"/>
        </w:numPr>
        <w:tabs>
          <w:tab w:val="left" w:pos="1398"/>
        </w:tabs>
        <w:spacing w:before="225" w:after="0" w:line="240" w:lineRule="auto"/>
        <w:ind w:left="692" w:leftChars="0" w:right="0" w:rightChars="0"/>
        <w:jc w:val="left"/>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2、万全公园二期工程</w:t>
      </w:r>
    </w:p>
    <w:p>
      <w:pPr>
        <w:pStyle w:val="2"/>
        <w:spacing w:before="207"/>
        <w:ind w:left="690"/>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本项目总用地面积 22160 平方米，折合约 33.2 亩，总建筑面积约4455 平方米，水体景观 411 平方米。具体规模见下表。</w:t>
      </w:r>
    </w:p>
    <w:p>
      <w:pPr>
        <w:pStyle w:val="3"/>
        <w:tabs>
          <w:tab w:val="left" w:pos="1005"/>
        </w:tabs>
        <w:spacing w:before="210"/>
        <w:ind w:right="5"/>
        <w:jc w:val="center"/>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ab/>
      </w:r>
    </w:p>
    <w:p>
      <w:pPr>
        <w:pStyle w:val="3"/>
        <w:tabs>
          <w:tab w:val="left" w:pos="1005"/>
        </w:tabs>
        <w:spacing w:before="210"/>
        <w:ind w:right="5"/>
        <w:jc w:val="center"/>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万全镇万全公园二期工程建设规模一览表</w:t>
      </w:r>
    </w:p>
    <w:p>
      <w:pPr>
        <w:pStyle w:val="2"/>
        <w:spacing w:before="5"/>
        <w:rPr>
          <w:rFonts w:hint="eastAsia" w:asciiTheme="minorHAnsi" w:hAnsiTheme="minorHAnsi" w:eastAsiaTheme="minorEastAsia" w:cstheme="minorBidi"/>
          <w:b w:val="0"/>
          <w:bCs w:val="0"/>
          <w:color w:val="000000"/>
          <w:kern w:val="2"/>
          <w:sz w:val="21"/>
          <w:szCs w:val="24"/>
          <w:lang w:val="en-US" w:eastAsia="zh-CN" w:bidi="ar-SA"/>
        </w:rPr>
      </w:pPr>
    </w:p>
    <w:tbl>
      <w:tblPr>
        <w:tblStyle w:val="5"/>
        <w:tblW w:w="8653" w:type="dxa"/>
        <w:tblInd w:w="14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928"/>
        <w:gridCol w:w="3582"/>
        <w:gridCol w:w="928"/>
        <w:gridCol w:w="928"/>
        <w:gridCol w:w="228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29" w:hRule="atLeast"/>
        </w:trPr>
        <w:tc>
          <w:tcPr>
            <w:tcW w:w="928" w:type="dxa"/>
          </w:tcPr>
          <w:p>
            <w:pPr>
              <w:pStyle w:val="7"/>
              <w:spacing w:before="2" w:line="207" w:lineRule="exact"/>
              <w:ind w:left="257" w:right="232"/>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序号</w:t>
            </w:r>
          </w:p>
        </w:tc>
        <w:tc>
          <w:tcPr>
            <w:tcW w:w="3582" w:type="dxa"/>
          </w:tcPr>
          <w:p>
            <w:pPr>
              <w:pStyle w:val="7"/>
              <w:spacing w:before="2" w:line="207" w:lineRule="exact"/>
              <w:ind w:left="1585" w:right="1560"/>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名称</w:t>
            </w:r>
          </w:p>
        </w:tc>
        <w:tc>
          <w:tcPr>
            <w:tcW w:w="928" w:type="dxa"/>
          </w:tcPr>
          <w:p>
            <w:pPr>
              <w:pStyle w:val="7"/>
              <w:spacing w:before="2" w:line="207" w:lineRule="exact"/>
              <w:ind w:left="257" w:right="233"/>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单位</w:t>
            </w:r>
          </w:p>
        </w:tc>
        <w:tc>
          <w:tcPr>
            <w:tcW w:w="928" w:type="dxa"/>
          </w:tcPr>
          <w:p>
            <w:pPr>
              <w:pStyle w:val="7"/>
              <w:spacing w:before="2" w:line="207" w:lineRule="exact"/>
              <w:ind w:right="236"/>
              <w:jc w:val="right"/>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数量</w:t>
            </w:r>
          </w:p>
        </w:tc>
        <w:tc>
          <w:tcPr>
            <w:tcW w:w="2287" w:type="dxa"/>
            <w:tcBorders>
              <w:right w:val="single" w:color="000000" w:sz="12" w:space="0"/>
            </w:tcBorders>
          </w:tcPr>
          <w:p>
            <w:pPr>
              <w:pStyle w:val="7"/>
              <w:spacing w:before="2" w:line="207" w:lineRule="exact"/>
              <w:ind w:left="132" w:right="96"/>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备注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4" w:hRule="atLeast"/>
        </w:trPr>
        <w:tc>
          <w:tcPr>
            <w:tcW w:w="928" w:type="dxa"/>
          </w:tcPr>
          <w:p>
            <w:pPr>
              <w:pStyle w:val="7"/>
              <w:spacing w:before="40"/>
              <w:ind w:left="18"/>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1</w:t>
            </w:r>
          </w:p>
        </w:tc>
        <w:tc>
          <w:tcPr>
            <w:tcW w:w="3582" w:type="dxa"/>
          </w:tcPr>
          <w:p>
            <w:pPr>
              <w:pStyle w:val="7"/>
              <w:spacing w:before="41" w:line="233" w:lineRule="exact"/>
              <w:ind w:left="30"/>
              <w:jc w:val="left"/>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总用地面积</w:t>
            </w:r>
          </w:p>
        </w:tc>
        <w:tc>
          <w:tcPr>
            <w:tcW w:w="928" w:type="dxa"/>
          </w:tcPr>
          <w:p>
            <w:pPr>
              <w:pStyle w:val="7"/>
              <w:spacing w:before="60" w:line="163" w:lineRule="auto"/>
              <w:ind w:left="232" w:right="233"/>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m2</w:t>
            </w:r>
          </w:p>
        </w:tc>
        <w:tc>
          <w:tcPr>
            <w:tcW w:w="928" w:type="dxa"/>
          </w:tcPr>
          <w:p>
            <w:pPr>
              <w:pStyle w:val="7"/>
              <w:spacing w:before="40"/>
              <w:ind w:right="224"/>
              <w:jc w:val="right"/>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22160</w:t>
            </w:r>
          </w:p>
        </w:tc>
        <w:tc>
          <w:tcPr>
            <w:tcW w:w="2287" w:type="dxa"/>
            <w:tcBorders>
              <w:right w:val="single" w:color="000000" w:sz="12" w:space="0"/>
            </w:tcBorders>
          </w:tcPr>
          <w:p>
            <w:pPr>
              <w:pStyle w:val="7"/>
              <w:spacing w:before="28"/>
              <w:ind w:left="119" w:right="96"/>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折合约33.2亩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4" w:hRule="atLeast"/>
        </w:trPr>
        <w:tc>
          <w:tcPr>
            <w:tcW w:w="928" w:type="dxa"/>
          </w:tcPr>
          <w:p>
            <w:pPr>
              <w:pStyle w:val="7"/>
              <w:spacing w:before="40"/>
              <w:ind w:left="257" w:right="226"/>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1.1</w:t>
            </w:r>
          </w:p>
        </w:tc>
        <w:tc>
          <w:tcPr>
            <w:tcW w:w="3582" w:type="dxa"/>
          </w:tcPr>
          <w:p>
            <w:pPr>
              <w:pStyle w:val="7"/>
              <w:spacing w:before="41" w:line="234" w:lineRule="exact"/>
              <w:ind w:left="30"/>
              <w:jc w:val="left"/>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 xml:space="preserve"> 建筑占地面积</w:t>
            </w:r>
          </w:p>
        </w:tc>
        <w:tc>
          <w:tcPr>
            <w:tcW w:w="928" w:type="dxa"/>
          </w:tcPr>
          <w:p>
            <w:pPr>
              <w:pStyle w:val="7"/>
              <w:spacing w:before="60" w:line="163" w:lineRule="auto"/>
              <w:ind w:left="232" w:right="233"/>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m2</w:t>
            </w:r>
          </w:p>
        </w:tc>
        <w:tc>
          <w:tcPr>
            <w:tcW w:w="928" w:type="dxa"/>
          </w:tcPr>
          <w:p>
            <w:pPr>
              <w:pStyle w:val="7"/>
              <w:spacing w:before="40"/>
              <w:ind w:right="262"/>
              <w:jc w:val="right"/>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4454</w:t>
            </w:r>
          </w:p>
        </w:tc>
        <w:tc>
          <w:tcPr>
            <w:tcW w:w="2287" w:type="dxa"/>
            <w:tcBorders>
              <w:right w:val="single" w:color="000000" w:sz="12" w:space="0"/>
            </w:tcBorders>
          </w:tcPr>
          <w:p>
            <w:pPr>
              <w:pStyle w:val="7"/>
              <w:jc w:val="left"/>
              <w:rPr>
                <w:rFonts w:hint="eastAsia" w:asciiTheme="minorHAnsi" w:hAnsiTheme="minorHAnsi" w:eastAsiaTheme="minorEastAsia" w:cstheme="minorBidi"/>
                <w:b w:val="0"/>
                <w:bCs w:val="0"/>
                <w:color w:val="000000"/>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4" w:hRule="atLeast"/>
        </w:trPr>
        <w:tc>
          <w:tcPr>
            <w:tcW w:w="928" w:type="dxa"/>
          </w:tcPr>
          <w:p>
            <w:pPr>
              <w:pStyle w:val="7"/>
              <w:spacing w:before="40"/>
              <w:ind w:left="257" w:right="226"/>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1.2</w:t>
            </w:r>
          </w:p>
        </w:tc>
        <w:tc>
          <w:tcPr>
            <w:tcW w:w="3582" w:type="dxa"/>
          </w:tcPr>
          <w:p>
            <w:pPr>
              <w:pStyle w:val="7"/>
              <w:spacing w:before="41" w:line="233" w:lineRule="exact"/>
              <w:ind w:left="30"/>
              <w:jc w:val="left"/>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 xml:space="preserve"> 景观绿化面积</w:t>
            </w:r>
          </w:p>
        </w:tc>
        <w:tc>
          <w:tcPr>
            <w:tcW w:w="928" w:type="dxa"/>
          </w:tcPr>
          <w:p>
            <w:pPr>
              <w:pStyle w:val="7"/>
              <w:spacing w:before="60" w:line="163" w:lineRule="auto"/>
              <w:ind w:left="232" w:right="233"/>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m2</w:t>
            </w:r>
          </w:p>
        </w:tc>
        <w:tc>
          <w:tcPr>
            <w:tcW w:w="928" w:type="dxa"/>
          </w:tcPr>
          <w:p>
            <w:pPr>
              <w:pStyle w:val="7"/>
              <w:spacing w:before="40"/>
              <w:ind w:right="262"/>
              <w:jc w:val="right"/>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8723</w:t>
            </w:r>
          </w:p>
        </w:tc>
        <w:tc>
          <w:tcPr>
            <w:tcW w:w="2287" w:type="dxa"/>
            <w:tcBorders>
              <w:right w:val="single" w:color="000000" w:sz="12" w:space="0"/>
            </w:tcBorders>
          </w:tcPr>
          <w:p>
            <w:pPr>
              <w:pStyle w:val="7"/>
              <w:jc w:val="left"/>
              <w:rPr>
                <w:rFonts w:hint="eastAsia" w:asciiTheme="minorHAnsi" w:hAnsiTheme="minorHAnsi" w:eastAsiaTheme="minorEastAsia" w:cstheme="minorBidi"/>
                <w:b w:val="0"/>
                <w:bCs w:val="0"/>
                <w:color w:val="000000"/>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4" w:hRule="atLeast"/>
        </w:trPr>
        <w:tc>
          <w:tcPr>
            <w:tcW w:w="928" w:type="dxa"/>
          </w:tcPr>
          <w:p>
            <w:pPr>
              <w:pStyle w:val="7"/>
              <w:spacing w:before="40"/>
              <w:ind w:left="257" w:right="226"/>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1.3</w:t>
            </w:r>
          </w:p>
        </w:tc>
        <w:tc>
          <w:tcPr>
            <w:tcW w:w="3582" w:type="dxa"/>
          </w:tcPr>
          <w:p>
            <w:pPr>
              <w:pStyle w:val="7"/>
              <w:spacing w:before="41" w:line="233" w:lineRule="exact"/>
              <w:ind w:left="30"/>
              <w:jc w:val="left"/>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 xml:space="preserve"> 道路广场面积</w:t>
            </w:r>
          </w:p>
        </w:tc>
        <w:tc>
          <w:tcPr>
            <w:tcW w:w="928" w:type="dxa"/>
          </w:tcPr>
          <w:p>
            <w:pPr>
              <w:pStyle w:val="7"/>
              <w:spacing w:before="60" w:line="163" w:lineRule="auto"/>
              <w:ind w:left="232" w:right="233"/>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m2</w:t>
            </w:r>
          </w:p>
        </w:tc>
        <w:tc>
          <w:tcPr>
            <w:tcW w:w="928" w:type="dxa"/>
          </w:tcPr>
          <w:p>
            <w:pPr>
              <w:pStyle w:val="7"/>
              <w:spacing w:before="40"/>
              <w:ind w:right="262"/>
              <w:jc w:val="right"/>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7000</w:t>
            </w:r>
          </w:p>
        </w:tc>
        <w:tc>
          <w:tcPr>
            <w:tcW w:w="2287" w:type="dxa"/>
            <w:tcBorders>
              <w:right w:val="single" w:color="000000" w:sz="12" w:space="0"/>
            </w:tcBorders>
          </w:tcPr>
          <w:p>
            <w:pPr>
              <w:pStyle w:val="7"/>
              <w:jc w:val="left"/>
              <w:rPr>
                <w:rFonts w:hint="eastAsia" w:asciiTheme="minorHAnsi" w:hAnsiTheme="minorHAnsi" w:eastAsiaTheme="minorEastAsia" w:cstheme="minorBidi"/>
                <w:b w:val="0"/>
                <w:bCs w:val="0"/>
                <w:color w:val="000000"/>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4" w:hRule="atLeast"/>
        </w:trPr>
        <w:tc>
          <w:tcPr>
            <w:tcW w:w="928" w:type="dxa"/>
          </w:tcPr>
          <w:p>
            <w:pPr>
              <w:pStyle w:val="7"/>
              <w:spacing w:before="40"/>
              <w:ind w:left="257" w:right="226"/>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1.4</w:t>
            </w:r>
          </w:p>
        </w:tc>
        <w:tc>
          <w:tcPr>
            <w:tcW w:w="3582" w:type="dxa"/>
          </w:tcPr>
          <w:p>
            <w:pPr>
              <w:pStyle w:val="7"/>
              <w:spacing w:before="40" w:line="234" w:lineRule="exact"/>
              <w:ind w:left="30"/>
              <w:jc w:val="left"/>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 xml:space="preserve"> 生态停车场</w:t>
            </w:r>
          </w:p>
        </w:tc>
        <w:tc>
          <w:tcPr>
            <w:tcW w:w="928" w:type="dxa"/>
          </w:tcPr>
          <w:p>
            <w:pPr>
              <w:pStyle w:val="7"/>
              <w:spacing w:before="60" w:line="163" w:lineRule="auto"/>
              <w:ind w:left="232" w:right="233"/>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m2</w:t>
            </w:r>
          </w:p>
        </w:tc>
        <w:tc>
          <w:tcPr>
            <w:tcW w:w="928" w:type="dxa"/>
          </w:tcPr>
          <w:p>
            <w:pPr>
              <w:pStyle w:val="7"/>
              <w:spacing w:before="40"/>
              <w:ind w:right="314"/>
              <w:jc w:val="right"/>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236</w:t>
            </w:r>
          </w:p>
        </w:tc>
        <w:tc>
          <w:tcPr>
            <w:tcW w:w="2287" w:type="dxa"/>
            <w:tcBorders>
              <w:right w:val="single" w:color="000000" w:sz="12" w:space="0"/>
            </w:tcBorders>
          </w:tcPr>
          <w:p>
            <w:pPr>
              <w:pStyle w:val="7"/>
              <w:spacing w:before="28"/>
              <w:ind w:left="133" w:right="96"/>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停车位12个，充电桩2个</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4" w:hRule="atLeast"/>
        </w:trPr>
        <w:tc>
          <w:tcPr>
            <w:tcW w:w="928" w:type="dxa"/>
          </w:tcPr>
          <w:p>
            <w:pPr>
              <w:pStyle w:val="7"/>
              <w:spacing w:before="41"/>
              <w:ind w:left="18"/>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2</w:t>
            </w:r>
          </w:p>
        </w:tc>
        <w:tc>
          <w:tcPr>
            <w:tcW w:w="3582" w:type="dxa"/>
          </w:tcPr>
          <w:p>
            <w:pPr>
              <w:pStyle w:val="7"/>
              <w:spacing w:before="41" w:line="233" w:lineRule="exact"/>
              <w:ind w:left="30"/>
              <w:jc w:val="left"/>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总建筑面积</w:t>
            </w:r>
          </w:p>
        </w:tc>
        <w:tc>
          <w:tcPr>
            <w:tcW w:w="928" w:type="dxa"/>
          </w:tcPr>
          <w:p>
            <w:pPr>
              <w:pStyle w:val="7"/>
              <w:spacing w:before="60" w:line="163" w:lineRule="auto"/>
              <w:ind w:left="232" w:right="233"/>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m2</w:t>
            </w:r>
          </w:p>
        </w:tc>
        <w:tc>
          <w:tcPr>
            <w:tcW w:w="928" w:type="dxa"/>
          </w:tcPr>
          <w:p>
            <w:pPr>
              <w:pStyle w:val="7"/>
              <w:spacing w:before="41"/>
              <w:ind w:right="262"/>
              <w:jc w:val="right"/>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4455</w:t>
            </w:r>
          </w:p>
        </w:tc>
        <w:tc>
          <w:tcPr>
            <w:tcW w:w="2287" w:type="dxa"/>
            <w:tcBorders>
              <w:right w:val="single" w:color="000000" w:sz="12" w:space="0"/>
            </w:tcBorders>
          </w:tcPr>
          <w:p>
            <w:pPr>
              <w:pStyle w:val="7"/>
              <w:jc w:val="left"/>
              <w:rPr>
                <w:rFonts w:hint="eastAsia" w:asciiTheme="minorHAnsi" w:hAnsiTheme="minorHAnsi" w:eastAsiaTheme="minorEastAsia" w:cstheme="minorBidi"/>
                <w:b w:val="0"/>
                <w:bCs w:val="0"/>
                <w:color w:val="000000"/>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4" w:hRule="atLeast"/>
        </w:trPr>
        <w:tc>
          <w:tcPr>
            <w:tcW w:w="928" w:type="dxa"/>
          </w:tcPr>
          <w:p>
            <w:pPr>
              <w:pStyle w:val="7"/>
              <w:spacing w:before="40"/>
              <w:ind w:left="257" w:right="226"/>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2.1</w:t>
            </w:r>
          </w:p>
        </w:tc>
        <w:tc>
          <w:tcPr>
            <w:tcW w:w="3582" w:type="dxa"/>
          </w:tcPr>
          <w:p>
            <w:pPr>
              <w:pStyle w:val="7"/>
              <w:spacing w:before="41" w:line="234" w:lineRule="exact"/>
              <w:ind w:left="30"/>
              <w:jc w:val="left"/>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 xml:space="preserve"> 公共厕所</w:t>
            </w:r>
          </w:p>
        </w:tc>
        <w:tc>
          <w:tcPr>
            <w:tcW w:w="928" w:type="dxa"/>
          </w:tcPr>
          <w:p>
            <w:pPr>
              <w:pStyle w:val="7"/>
              <w:spacing w:before="60" w:line="163" w:lineRule="auto"/>
              <w:ind w:left="232" w:right="233"/>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m2</w:t>
            </w:r>
          </w:p>
        </w:tc>
        <w:tc>
          <w:tcPr>
            <w:tcW w:w="928" w:type="dxa"/>
          </w:tcPr>
          <w:p>
            <w:pPr>
              <w:pStyle w:val="7"/>
              <w:spacing w:before="40"/>
              <w:ind w:right="314"/>
              <w:jc w:val="right"/>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150</w:t>
            </w:r>
          </w:p>
        </w:tc>
        <w:tc>
          <w:tcPr>
            <w:tcW w:w="2287" w:type="dxa"/>
            <w:tcBorders>
              <w:right w:val="single" w:color="000000" w:sz="12" w:space="0"/>
            </w:tcBorders>
          </w:tcPr>
          <w:p>
            <w:pPr>
              <w:pStyle w:val="7"/>
              <w:jc w:val="left"/>
              <w:rPr>
                <w:rFonts w:hint="eastAsia" w:asciiTheme="minorHAnsi" w:hAnsiTheme="minorHAnsi" w:eastAsiaTheme="minorEastAsia" w:cstheme="minorBidi"/>
                <w:b w:val="0"/>
                <w:bCs w:val="0"/>
                <w:color w:val="000000"/>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4" w:hRule="atLeast"/>
        </w:trPr>
        <w:tc>
          <w:tcPr>
            <w:tcW w:w="928" w:type="dxa"/>
          </w:tcPr>
          <w:p>
            <w:pPr>
              <w:pStyle w:val="7"/>
              <w:spacing w:before="40"/>
              <w:ind w:left="257" w:right="226"/>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2.2</w:t>
            </w:r>
          </w:p>
        </w:tc>
        <w:tc>
          <w:tcPr>
            <w:tcW w:w="3582" w:type="dxa"/>
          </w:tcPr>
          <w:p>
            <w:pPr>
              <w:pStyle w:val="7"/>
              <w:spacing w:before="40" w:line="234" w:lineRule="exact"/>
              <w:ind w:left="30"/>
              <w:jc w:val="left"/>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 xml:space="preserve"> 配套游憩用房</w:t>
            </w:r>
          </w:p>
        </w:tc>
        <w:tc>
          <w:tcPr>
            <w:tcW w:w="928" w:type="dxa"/>
          </w:tcPr>
          <w:p>
            <w:pPr>
              <w:pStyle w:val="7"/>
              <w:spacing w:before="60" w:line="163" w:lineRule="auto"/>
              <w:ind w:left="232" w:right="233"/>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m2</w:t>
            </w:r>
          </w:p>
        </w:tc>
        <w:tc>
          <w:tcPr>
            <w:tcW w:w="928" w:type="dxa"/>
          </w:tcPr>
          <w:p>
            <w:pPr>
              <w:pStyle w:val="7"/>
              <w:spacing w:before="40"/>
              <w:ind w:right="262"/>
              <w:jc w:val="right"/>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4305</w:t>
            </w:r>
          </w:p>
        </w:tc>
        <w:tc>
          <w:tcPr>
            <w:tcW w:w="2287" w:type="dxa"/>
            <w:tcBorders>
              <w:right w:val="single" w:color="000000" w:sz="12" w:space="0"/>
            </w:tcBorders>
          </w:tcPr>
          <w:p>
            <w:pPr>
              <w:pStyle w:val="7"/>
              <w:jc w:val="left"/>
              <w:rPr>
                <w:rFonts w:hint="eastAsia" w:asciiTheme="minorHAnsi" w:hAnsiTheme="minorHAnsi" w:eastAsiaTheme="minorEastAsia" w:cstheme="minorBidi"/>
                <w:b w:val="0"/>
                <w:bCs w:val="0"/>
                <w:color w:val="000000"/>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42" w:hRule="atLeast"/>
        </w:trPr>
        <w:tc>
          <w:tcPr>
            <w:tcW w:w="928" w:type="dxa"/>
          </w:tcPr>
          <w:p>
            <w:pPr>
              <w:pStyle w:val="7"/>
              <w:spacing w:before="15" w:line="208" w:lineRule="exact"/>
              <w:ind w:left="18"/>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3</w:t>
            </w:r>
          </w:p>
        </w:tc>
        <w:tc>
          <w:tcPr>
            <w:tcW w:w="3582" w:type="dxa"/>
          </w:tcPr>
          <w:p>
            <w:pPr>
              <w:pStyle w:val="7"/>
              <w:spacing w:before="15" w:line="207" w:lineRule="exact"/>
              <w:ind w:left="30"/>
              <w:jc w:val="left"/>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音乐喷泉</w:t>
            </w:r>
          </w:p>
        </w:tc>
        <w:tc>
          <w:tcPr>
            <w:tcW w:w="928" w:type="dxa"/>
          </w:tcPr>
          <w:p>
            <w:pPr>
              <w:pStyle w:val="7"/>
              <w:spacing w:before="15" w:line="207" w:lineRule="exact"/>
              <w:ind w:left="11"/>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项</w:t>
            </w:r>
          </w:p>
        </w:tc>
        <w:tc>
          <w:tcPr>
            <w:tcW w:w="928" w:type="dxa"/>
          </w:tcPr>
          <w:p>
            <w:pPr>
              <w:pStyle w:val="7"/>
              <w:spacing w:before="15" w:line="208" w:lineRule="exact"/>
              <w:ind w:left="16"/>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1</w:t>
            </w:r>
          </w:p>
        </w:tc>
        <w:tc>
          <w:tcPr>
            <w:tcW w:w="2287" w:type="dxa"/>
            <w:tcBorders>
              <w:right w:val="single" w:color="000000" w:sz="12" w:space="0"/>
            </w:tcBorders>
          </w:tcPr>
          <w:p>
            <w:pPr>
              <w:pStyle w:val="7"/>
              <w:jc w:val="left"/>
              <w:rPr>
                <w:rFonts w:hint="eastAsia" w:asciiTheme="minorHAnsi" w:hAnsiTheme="minorHAnsi" w:eastAsiaTheme="minorEastAsia" w:cstheme="minorBidi"/>
                <w:b w:val="0"/>
                <w:bCs w:val="0"/>
                <w:color w:val="000000"/>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42" w:hRule="atLeast"/>
        </w:trPr>
        <w:tc>
          <w:tcPr>
            <w:tcW w:w="928" w:type="dxa"/>
          </w:tcPr>
          <w:p>
            <w:pPr>
              <w:pStyle w:val="7"/>
              <w:spacing w:before="14" w:line="208" w:lineRule="exact"/>
              <w:ind w:left="18"/>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4</w:t>
            </w:r>
          </w:p>
        </w:tc>
        <w:tc>
          <w:tcPr>
            <w:tcW w:w="3582" w:type="dxa"/>
          </w:tcPr>
          <w:p>
            <w:pPr>
              <w:pStyle w:val="7"/>
              <w:spacing w:before="15" w:line="207" w:lineRule="exact"/>
              <w:ind w:left="30"/>
              <w:jc w:val="left"/>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驳坎</w:t>
            </w:r>
          </w:p>
        </w:tc>
        <w:tc>
          <w:tcPr>
            <w:tcW w:w="928" w:type="dxa"/>
          </w:tcPr>
          <w:p>
            <w:pPr>
              <w:pStyle w:val="7"/>
              <w:spacing w:before="14" w:line="208" w:lineRule="exact"/>
              <w:ind w:left="19"/>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m</w:t>
            </w:r>
          </w:p>
        </w:tc>
        <w:tc>
          <w:tcPr>
            <w:tcW w:w="928" w:type="dxa"/>
          </w:tcPr>
          <w:p>
            <w:pPr>
              <w:pStyle w:val="7"/>
              <w:spacing w:before="14" w:line="208" w:lineRule="exact"/>
              <w:ind w:right="314"/>
              <w:jc w:val="right"/>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300</w:t>
            </w:r>
          </w:p>
        </w:tc>
        <w:tc>
          <w:tcPr>
            <w:tcW w:w="2287" w:type="dxa"/>
            <w:tcBorders>
              <w:right w:val="single" w:color="000000" w:sz="12" w:space="0"/>
            </w:tcBorders>
          </w:tcPr>
          <w:p>
            <w:pPr>
              <w:pStyle w:val="7"/>
              <w:jc w:val="left"/>
              <w:rPr>
                <w:rFonts w:hint="eastAsia" w:asciiTheme="minorHAnsi" w:hAnsiTheme="minorHAnsi" w:eastAsiaTheme="minorEastAsia" w:cstheme="minorBidi"/>
                <w:b w:val="0"/>
                <w:bCs w:val="0"/>
                <w:color w:val="000000"/>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42" w:hRule="atLeast"/>
        </w:trPr>
        <w:tc>
          <w:tcPr>
            <w:tcW w:w="928" w:type="dxa"/>
          </w:tcPr>
          <w:p>
            <w:pPr>
              <w:pStyle w:val="7"/>
              <w:spacing w:before="14" w:line="208" w:lineRule="exact"/>
              <w:ind w:left="18"/>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5</w:t>
            </w:r>
          </w:p>
        </w:tc>
        <w:tc>
          <w:tcPr>
            <w:tcW w:w="3582" w:type="dxa"/>
          </w:tcPr>
          <w:p>
            <w:pPr>
              <w:pStyle w:val="7"/>
              <w:spacing w:before="15" w:line="207" w:lineRule="exact"/>
              <w:ind w:left="30"/>
              <w:jc w:val="left"/>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桥梁</w:t>
            </w:r>
          </w:p>
        </w:tc>
        <w:tc>
          <w:tcPr>
            <w:tcW w:w="928" w:type="dxa"/>
          </w:tcPr>
          <w:p>
            <w:pPr>
              <w:pStyle w:val="7"/>
              <w:spacing w:before="14" w:line="208" w:lineRule="exact"/>
              <w:ind w:left="19"/>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m</w:t>
            </w:r>
          </w:p>
        </w:tc>
        <w:tc>
          <w:tcPr>
            <w:tcW w:w="928" w:type="dxa"/>
          </w:tcPr>
          <w:p>
            <w:pPr>
              <w:pStyle w:val="7"/>
              <w:spacing w:before="14" w:line="208" w:lineRule="exact"/>
              <w:ind w:left="255" w:right="233"/>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60</w:t>
            </w:r>
          </w:p>
        </w:tc>
        <w:tc>
          <w:tcPr>
            <w:tcW w:w="2287" w:type="dxa"/>
            <w:tcBorders>
              <w:right w:val="single" w:color="000000" w:sz="12" w:space="0"/>
            </w:tcBorders>
          </w:tcPr>
          <w:p>
            <w:pPr>
              <w:pStyle w:val="7"/>
              <w:jc w:val="left"/>
              <w:rPr>
                <w:rFonts w:hint="eastAsia" w:asciiTheme="minorHAnsi" w:hAnsiTheme="minorHAnsi" w:eastAsiaTheme="minorEastAsia" w:cstheme="minorBidi"/>
                <w:b w:val="0"/>
                <w:bCs w:val="0"/>
                <w:color w:val="000000"/>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93" w:hRule="atLeast"/>
        </w:trPr>
        <w:tc>
          <w:tcPr>
            <w:tcW w:w="928" w:type="dxa"/>
            <w:tcBorders>
              <w:bottom w:val="single" w:color="000000" w:sz="12" w:space="0"/>
            </w:tcBorders>
          </w:tcPr>
          <w:p>
            <w:pPr>
              <w:pStyle w:val="7"/>
              <w:spacing w:before="40"/>
              <w:ind w:left="18"/>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6</w:t>
            </w:r>
          </w:p>
        </w:tc>
        <w:tc>
          <w:tcPr>
            <w:tcW w:w="3582" w:type="dxa"/>
            <w:tcBorders>
              <w:bottom w:val="single" w:color="000000" w:sz="12" w:space="0"/>
            </w:tcBorders>
          </w:tcPr>
          <w:p>
            <w:pPr>
              <w:pStyle w:val="7"/>
              <w:spacing w:before="41" w:line="232" w:lineRule="exact"/>
              <w:ind w:left="30"/>
              <w:jc w:val="left"/>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水体景观</w:t>
            </w:r>
          </w:p>
        </w:tc>
        <w:tc>
          <w:tcPr>
            <w:tcW w:w="928" w:type="dxa"/>
            <w:tcBorders>
              <w:bottom w:val="single" w:color="000000" w:sz="12" w:space="0"/>
            </w:tcBorders>
          </w:tcPr>
          <w:p>
            <w:pPr>
              <w:pStyle w:val="7"/>
              <w:spacing w:before="60" w:line="163" w:lineRule="auto"/>
              <w:ind w:left="232" w:right="233"/>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m2</w:t>
            </w:r>
          </w:p>
        </w:tc>
        <w:tc>
          <w:tcPr>
            <w:tcW w:w="928" w:type="dxa"/>
            <w:tcBorders>
              <w:bottom w:val="single" w:color="000000" w:sz="12" w:space="0"/>
            </w:tcBorders>
          </w:tcPr>
          <w:p>
            <w:pPr>
              <w:pStyle w:val="7"/>
              <w:spacing w:before="40"/>
              <w:ind w:right="314"/>
              <w:jc w:val="right"/>
              <w:rPr>
                <w:rFonts w:hint="eastAsia" w:asciiTheme="minorHAnsi" w:hAnsiTheme="minorHAnsi" w:eastAsiaTheme="minorEastAsia" w:cstheme="minorBidi"/>
                <w:b w:val="0"/>
                <w:bCs w:val="0"/>
                <w:color w:val="000000"/>
                <w:kern w:val="2"/>
                <w:sz w:val="21"/>
                <w:szCs w:val="24"/>
                <w:lang w:val="en-US" w:eastAsia="zh-CN" w:bidi="ar-SA"/>
              </w:rPr>
            </w:pPr>
            <w:r>
              <w:rPr>
                <w:rFonts w:hint="eastAsia" w:asciiTheme="minorHAnsi" w:hAnsiTheme="minorHAnsi" w:eastAsiaTheme="minorEastAsia" w:cstheme="minorBidi"/>
                <w:b w:val="0"/>
                <w:bCs w:val="0"/>
                <w:color w:val="000000"/>
                <w:kern w:val="2"/>
                <w:sz w:val="21"/>
                <w:szCs w:val="24"/>
                <w:lang w:val="en-US" w:eastAsia="zh-CN" w:bidi="ar-SA"/>
              </w:rPr>
              <w:t>411</w:t>
            </w:r>
          </w:p>
        </w:tc>
        <w:tc>
          <w:tcPr>
            <w:tcW w:w="2287" w:type="dxa"/>
            <w:tcBorders>
              <w:bottom w:val="single" w:color="000000" w:sz="12" w:space="0"/>
              <w:right w:val="single" w:color="000000" w:sz="12" w:space="0"/>
            </w:tcBorders>
          </w:tcPr>
          <w:p>
            <w:pPr>
              <w:pStyle w:val="7"/>
              <w:jc w:val="left"/>
              <w:rPr>
                <w:rFonts w:hint="eastAsia" w:asciiTheme="minorHAnsi" w:hAnsiTheme="minorHAnsi" w:eastAsiaTheme="minorEastAsia" w:cstheme="minorBidi"/>
                <w:b w:val="0"/>
                <w:bCs w:val="0"/>
                <w:color w:val="000000"/>
                <w:kern w:val="2"/>
                <w:sz w:val="21"/>
                <w:szCs w:val="24"/>
                <w:lang w:val="en-US" w:eastAsia="zh-CN" w:bidi="ar-SA"/>
              </w:rPr>
            </w:pPr>
          </w:p>
        </w:tc>
      </w:tr>
    </w:tbl>
    <w:p>
      <w:pPr>
        <w:pStyle w:val="2"/>
        <w:numPr>
          <w:numId w:val="0"/>
        </w:numPr>
        <w:jc w:val="both"/>
        <w:rPr>
          <w:rFonts w:hint="default" w:asciiTheme="minorHAnsi" w:hAnsiTheme="minorHAnsi" w:eastAsiaTheme="minorEastAsia" w:cstheme="minorBidi"/>
          <w:b w:val="0"/>
          <w:bCs w:val="0"/>
          <w:color w:val="000000"/>
          <w:kern w:val="2"/>
          <w:sz w:val="21"/>
          <w:szCs w:val="24"/>
          <w:lang w:val="en-US" w:eastAsia="zh-CN" w:bidi="ar-SA"/>
        </w:rPr>
      </w:pPr>
    </w:p>
    <w:p>
      <w:pPr>
        <w:pStyle w:val="2"/>
        <w:numPr>
          <w:numId w:val="0"/>
        </w:numPr>
        <w:jc w:val="both"/>
        <w:rPr>
          <w:rFonts w:hint="eastAsia" w:asciiTheme="minorHAnsi" w:hAnsiTheme="minorHAnsi" w:eastAsiaTheme="minorEastAsia" w:cstheme="minorBidi"/>
          <w:b w:val="0"/>
          <w:bCs w:val="0"/>
          <w:color w:val="000000"/>
          <w:kern w:val="2"/>
          <w:sz w:val="21"/>
          <w:szCs w:val="24"/>
          <w:lang w:val="en-US" w:eastAsia="zh-CN" w:bidi="ar-SA"/>
        </w:rPr>
      </w:pPr>
    </w:p>
    <w:p>
      <w:pPr>
        <w:pStyle w:val="2"/>
        <w:numPr>
          <w:numId w:val="0"/>
        </w:numPr>
        <w:jc w:val="both"/>
        <w:rPr>
          <w:rFonts w:hint="eastAsia"/>
          <w:color w:val="000000"/>
          <w:sz w:val="36"/>
          <w:szCs w:val="36"/>
          <w:lang w:eastAsia="zh-CN"/>
        </w:rPr>
      </w:pPr>
    </w:p>
    <w:p>
      <w:pPr>
        <w:numPr>
          <w:ilvl w:val="0"/>
          <w:numId w:val="1"/>
        </w:numPr>
        <w:spacing w:before="48" w:after="48" w:line="560" w:lineRule="exact"/>
        <w:ind w:left="0" w:leftChars="0" w:firstLine="0" w:firstLineChars="0"/>
        <w:jc w:val="left"/>
        <w:rPr>
          <w:rFonts w:hint="eastAsia"/>
          <w:color w:val="000000"/>
          <w:sz w:val="36"/>
          <w:szCs w:val="36"/>
        </w:rPr>
      </w:pPr>
      <w:r>
        <w:rPr>
          <w:rFonts w:hint="eastAsia"/>
          <w:color w:val="000000"/>
          <w:sz w:val="36"/>
          <w:szCs w:val="36"/>
        </w:rPr>
        <w:t>工程建设方案</w:t>
      </w:r>
    </w:p>
    <w:p>
      <w:pPr>
        <w:numPr>
          <w:numId w:val="0"/>
        </w:numPr>
        <w:spacing w:before="48" w:after="48" w:line="560" w:lineRule="exact"/>
        <w:ind w:leftChars="0"/>
        <w:jc w:val="left"/>
        <w:rPr>
          <w:rFonts w:eastAsia="黑体"/>
          <w:b/>
          <w:bCs/>
          <w:color w:val="000000"/>
          <w:kern w:val="28"/>
          <w:szCs w:val="32"/>
        </w:rPr>
      </w:pPr>
      <w:r>
        <w:rPr>
          <w:rFonts w:hint="eastAsia" w:eastAsia="黑体"/>
          <w:b/>
          <w:bCs/>
          <w:color w:val="000000"/>
          <w:kern w:val="28"/>
          <w:szCs w:val="32"/>
          <w:lang w:val="en-US" w:eastAsia="zh-CN"/>
        </w:rPr>
        <w:t>1、</w:t>
      </w:r>
      <w:r>
        <w:rPr>
          <w:rFonts w:hint="eastAsia" w:eastAsia="黑体"/>
          <w:b/>
          <w:bCs/>
          <w:color w:val="000000"/>
          <w:kern w:val="28"/>
          <w:szCs w:val="32"/>
        </w:rPr>
        <w:t>设计范围</w:t>
      </w:r>
    </w:p>
    <w:p>
      <w:pPr>
        <w:spacing w:after="48" w:afterLines="20"/>
        <w:ind w:firstLine="560"/>
        <w:rPr>
          <w:rFonts w:hint="eastAsia"/>
          <w:color w:val="000000"/>
          <w:szCs w:val="28"/>
        </w:rPr>
      </w:pPr>
      <w:r>
        <w:rPr>
          <w:rFonts w:hint="eastAsia"/>
          <w:color w:val="000000"/>
          <w:szCs w:val="28"/>
        </w:rPr>
        <w:t>总设计面积为</w:t>
      </w:r>
      <w:r>
        <w:rPr>
          <w:color w:val="000000"/>
          <w:szCs w:val="28"/>
        </w:rPr>
        <w:t>22710</w:t>
      </w:r>
      <w:r>
        <w:rPr>
          <w:rFonts w:hint="eastAsia"/>
          <w:color w:val="000000"/>
          <w:szCs w:val="28"/>
        </w:rPr>
        <w:t>平方米,西南侧设计河岸线长为</w:t>
      </w:r>
      <w:r>
        <w:rPr>
          <w:color w:val="000000"/>
          <w:szCs w:val="28"/>
        </w:rPr>
        <w:t>30</w:t>
      </w:r>
      <w:r>
        <w:rPr>
          <w:rFonts w:hint="eastAsia"/>
          <w:color w:val="000000"/>
          <w:szCs w:val="28"/>
        </w:rPr>
        <w:t>0m，设计宽度为12m。工程内容包括亲水广场，文化景墙，树池坐凳，景观廊架，健身绿道，景观游步道，植物景观及路灯。</w:t>
      </w:r>
    </w:p>
    <w:p>
      <w:pPr>
        <w:spacing w:after="48" w:afterLines="20"/>
        <w:rPr>
          <w:rFonts w:eastAsia="黑体"/>
          <w:b/>
          <w:bCs/>
          <w:color w:val="000000"/>
          <w:kern w:val="0"/>
          <w:szCs w:val="28"/>
        </w:rPr>
      </w:pPr>
      <w:r>
        <w:rPr>
          <w:rFonts w:hint="eastAsia" w:eastAsia="黑体"/>
          <w:color w:val="000000"/>
          <w:szCs w:val="28"/>
          <w:lang w:val="en-US" w:eastAsia="zh-CN"/>
        </w:rPr>
        <w:t>2、</w:t>
      </w:r>
      <w:r>
        <w:rPr>
          <w:rFonts w:hint="eastAsia" w:eastAsia="黑体"/>
          <w:b/>
          <w:bCs/>
          <w:color w:val="000000"/>
          <w:kern w:val="0"/>
          <w:szCs w:val="28"/>
        </w:rPr>
        <w:t>总体布局</w:t>
      </w:r>
    </w:p>
    <w:p>
      <w:pPr>
        <w:spacing w:after="48" w:afterLines="20"/>
        <w:ind w:firstLine="560"/>
        <w:rPr>
          <w:color w:val="000000"/>
          <w:kern w:val="0"/>
          <w:szCs w:val="28"/>
        </w:rPr>
      </w:pPr>
      <w:r>
        <w:rPr>
          <w:rFonts w:hint="eastAsia"/>
          <w:color w:val="000000"/>
          <w:kern w:val="0"/>
          <w:szCs w:val="28"/>
        </w:rPr>
        <w:t>根据功能划分，本项目主要分为文化展示区、文化传承区、滨水休闲区等三个功能分区。</w:t>
      </w:r>
    </w:p>
    <w:p>
      <w:pPr>
        <w:spacing w:before="72" w:beforeLines="30" w:after="48" w:afterLines="20"/>
        <w:ind w:firstLine="361" w:firstLineChars="171"/>
        <w:rPr>
          <w:rFonts w:eastAsia="黑体"/>
          <w:b/>
          <w:color w:val="000000"/>
          <w:kern w:val="0"/>
          <w:szCs w:val="28"/>
        </w:rPr>
      </w:pPr>
      <w:r>
        <w:rPr>
          <w:rFonts w:hint="eastAsia" w:eastAsia="黑体"/>
          <w:b/>
          <w:color w:val="000000"/>
          <w:kern w:val="0"/>
          <w:szCs w:val="28"/>
        </w:rPr>
        <w:t>（</w:t>
      </w:r>
      <w:r>
        <w:rPr>
          <w:rFonts w:eastAsia="黑体"/>
          <w:b/>
          <w:color w:val="000000"/>
          <w:kern w:val="0"/>
          <w:szCs w:val="28"/>
        </w:rPr>
        <w:t>1</w:t>
      </w:r>
      <w:r>
        <w:rPr>
          <w:rFonts w:hint="eastAsia" w:eastAsia="黑体"/>
          <w:b/>
          <w:color w:val="000000"/>
          <w:kern w:val="0"/>
          <w:szCs w:val="28"/>
        </w:rPr>
        <w:t>）文化展示区</w:t>
      </w:r>
    </w:p>
    <w:p>
      <w:pPr>
        <w:spacing w:after="48" w:afterLines="20"/>
        <w:ind w:firstLine="560"/>
        <w:rPr>
          <w:color w:val="000000"/>
          <w:kern w:val="0"/>
          <w:szCs w:val="28"/>
        </w:rPr>
      </w:pPr>
      <w:r>
        <w:rPr>
          <w:rFonts w:hint="eastAsia"/>
          <w:color w:val="000000"/>
          <w:kern w:val="0"/>
          <w:szCs w:val="28"/>
        </w:rPr>
        <w:t>文化展示区以隐为主要手法，通过营造植物群落，起到遮蔽建筑、融合环境的效果。使该区域与周边融合为一个整体。</w:t>
      </w:r>
    </w:p>
    <w:p>
      <w:pPr>
        <w:spacing w:after="48" w:afterLines="20"/>
        <w:ind w:firstLine="560"/>
        <w:rPr>
          <w:color w:val="000000"/>
          <w:kern w:val="0"/>
          <w:szCs w:val="28"/>
        </w:rPr>
      </w:pPr>
      <w:r>
        <w:rPr>
          <w:rFonts w:hint="eastAsia"/>
          <w:color w:val="000000"/>
          <w:kern w:val="0"/>
          <w:szCs w:val="28"/>
        </w:rPr>
        <w:t>文化展示区滨河绿地狭窄，不利于营造绿化遮蔽周边建筑。由此对河道进行合理填挖，拓宽滨河绿地空间。优化场地布局。</w:t>
      </w:r>
    </w:p>
    <w:p>
      <w:pPr>
        <w:spacing w:after="48" w:afterLines="20"/>
        <w:ind w:firstLine="560"/>
        <w:rPr>
          <w:color w:val="000000"/>
          <w:kern w:val="0"/>
          <w:szCs w:val="28"/>
        </w:rPr>
      </w:pPr>
      <w:r>
        <w:rPr>
          <w:rFonts w:hint="eastAsia"/>
          <w:color w:val="000000"/>
          <w:kern w:val="0"/>
          <w:szCs w:val="28"/>
        </w:rPr>
        <w:t>营造绿化林地，通过高大植物对场地建筑进行遮蔽，协调现状建筑与周边环境。</w:t>
      </w:r>
    </w:p>
    <w:p>
      <w:pPr>
        <w:spacing w:before="72" w:beforeLines="30" w:after="48" w:afterLines="20"/>
        <w:ind w:firstLine="361" w:firstLineChars="171"/>
        <w:rPr>
          <w:rFonts w:eastAsia="黑体"/>
          <w:b/>
          <w:color w:val="000000"/>
          <w:kern w:val="0"/>
          <w:szCs w:val="28"/>
        </w:rPr>
      </w:pPr>
      <w:r>
        <w:rPr>
          <w:rFonts w:hint="eastAsia" w:eastAsia="黑体"/>
          <w:b/>
          <w:color w:val="000000"/>
          <w:kern w:val="0"/>
          <w:szCs w:val="28"/>
        </w:rPr>
        <w:t>（</w:t>
      </w:r>
      <w:r>
        <w:rPr>
          <w:rFonts w:eastAsia="黑体"/>
          <w:b/>
          <w:color w:val="000000"/>
          <w:kern w:val="0"/>
          <w:szCs w:val="28"/>
        </w:rPr>
        <w:t>2</w:t>
      </w:r>
      <w:r>
        <w:rPr>
          <w:rFonts w:hint="eastAsia" w:eastAsia="黑体"/>
          <w:b/>
          <w:color w:val="000000"/>
          <w:kern w:val="0"/>
          <w:szCs w:val="28"/>
        </w:rPr>
        <w:t>）文化传承区</w:t>
      </w:r>
    </w:p>
    <w:p>
      <w:pPr>
        <w:spacing w:after="48" w:afterLines="20"/>
        <w:ind w:firstLine="560"/>
        <w:rPr>
          <w:color w:val="000000"/>
          <w:kern w:val="0"/>
          <w:szCs w:val="28"/>
        </w:rPr>
      </w:pPr>
      <w:r>
        <w:rPr>
          <w:rFonts w:hint="eastAsia"/>
          <w:color w:val="000000"/>
          <w:kern w:val="0"/>
          <w:szCs w:val="28"/>
        </w:rPr>
        <w:t>文化传承区结合场地牌坊文物，将“湿地文化”进行延展，营造“湿地文化”教育区，传承弘扬中国传统湿地文化。</w:t>
      </w:r>
    </w:p>
    <w:p>
      <w:pPr>
        <w:spacing w:after="48" w:afterLines="20"/>
        <w:ind w:firstLine="560"/>
        <w:rPr>
          <w:color w:val="000000"/>
          <w:kern w:val="0"/>
          <w:szCs w:val="28"/>
        </w:rPr>
      </w:pPr>
      <w:r>
        <w:rPr>
          <w:rFonts w:hint="eastAsia"/>
          <w:color w:val="000000"/>
          <w:kern w:val="0"/>
          <w:szCs w:val="28"/>
        </w:rPr>
        <w:t>“湿地文化”通过书法的融入，结合牌坊文物，强化景点文化核心，强调“湿地文化”的传承。拆除原有围墙，让文物遗迹融入人们的生活，让人们接受“湿地文化”的洗礼。</w:t>
      </w:r>
    </w:p>
    <w:p>
      <w:pPr>
        <w:spacing w:before="72" w:beforeLines="30" w:after="48" w:afterLines="20"/>
        <w:ind w:firstLine="361" w:firstLineChars="171"/>
        <w:rPr>
          <w:rFonts w:eastAsia="黑体"/>
          <w:b/>
          <w:color w:val="000000"/>
          <w:kern w:val="0"/>
          <w:szCs w:val="28"/>
        </w:rPr>
      </w:pPr>
      <w:r>
        <w:rPr>
          <w:rFonts w:hint="eastAsia" w:eastAsia="黑体"/>
          <w:b/>
          <w:color w:val="000000"/>
          <w:kern w:val="0"/>
          <w:szCs w:val="28"/>
        </w:rPr>
        <w:t>（</w:t>
      </w:r>
      <w:r>
        <w:rPr>
          <w:rFonts w:eastAsia="黑体"/>
          <w:b/>
          <w:color w:val="000000"/>
          <w:kern w:val="0"/>
          <w:szCs w:val="28"/>
        </w:rPr>
        <w:t>3</w:t>
      </w:r>
      <w:r>
        <w:rPr>
          <w:rFonts w:hint="eastAsia" w:eastAsia="黑体"/>
          <w:b/>
          <w:color w:val="000000"/>
          <w:kern w:val="0"/>
          <w:szCs w:val="28"/>
        </w:rPr>
        <w:t>）滨水活动休闲区</w:t>
      </w:r>
    </w:p>
    <w:p>
      <w:pPr>
        <w:spacing w:after="48" w:afterLines="20"/>
        <w:ind w:firstLine="560"/>
        <w:rPr>
          <w:color w:val="000000"/>
        </w:rPr>
      </w:pPr>
      <w:r>
        <w:rPr>
          <w:rFonts w:hint="eastAsia"/>
          <w:color w:val="000000"/>
          <w:kern w:val="0"/>
          <w:szCs w:val="28"/>
        </w:rPr>
        <w:t>滨水活动休闲区结合水系，将场地与周边地块进行串联。同时通过桥梁，串联场地内部的文化展示区和文化传承区。同时利用区域内发达的河道水系设施水上运动球、水上三轮车等娱乐项目供游客游玩。</w:t>
      </w:r>
    </w:p>
    <w:p>
      <w:pPr>
        <w:spacing w:after="48" w:afterLines="20"/>
        <w:ind w:firstLine="0" w:firstLineChars="0"/>
        <w:rPr>
          <w:rFonts w:eastAsia="黑体"/>
          <w:b/>
          <w:bCs/>
          <w:color w:val="000000"/>
          <w:kern w:val="0"/>
          <w:szCs w:val="28"/>
        </w:rPr>
      </w:pPr>
      <w:r>
        <w:rPr>
          <w:rFonts w:hint="eastAsia" w:eastAsia="黑体"/>
          <w:b/>
          <w:bCs/>
          <w:color w:val="000000"/>
          <w:kern w:val="0"/>
          <w:szCs w:val="28"/>
          <w:lang w:val="en-US" w:eastAsia="zh-CN"/>
        </w:rPr>
        <w:t>3、</w:t>
      </w:r>
      <w:r>
        <w:rPr>
          <w:rFonts w:hint="eastAsia" w:eastAsia="黑体"/>
          <w:b/>
          <w:bCs/>
          <w:color w:val="000000"/>
          <w:kern w:val="0"/>
          <w:szCs w:val="28"/>
        </w:rPr>
        <w:t>交通组织</w:t>
      </w:r>
    </w:p>
    <w:p>
      <w:pPr>
        <w:adjustRightInd w:val="0"/>
        <w:snapToGrid w:val="0"/>
        <w:ind w:firstLine="315" w:firstLineChars="150"/>
        <w:rPr>
          <w:color w:val="000000"/>
          <w:kern w:val="0"/>
          <w:szCs w:val="28"/>
        </w:rPr>
      </w:pPr>
      <w:r>
        <w:rPr>
          <w:rFonts w:hint="eastAsia"/>
          <w:color w:val="000000"/>
          <w:kern w:val="0"/>
          <w:szCs w:val="28"/>
        </w:rPr>
        <w:t>在沿街道路上布置出入口，满足不同方向的游人，并相应配置必要的公用、服务与管理设施。结合植草砖等材料，设置生态停车场，满足周边停车需求。滨水游览流线更具亲水性，给市民带来更丰富的滨水游赏体验。</w:t>
      </w:r>
    </w:p>
    <w:p>
      <w:pPr>
        <w:spacing w:before="48" w:after="48" w:line="560" w:lineRule="exact"/>
        <w:ind w:firstLine="0" w:firstLineChars="0"/>
        <w:jc w:val="left"/>
        <w:rPr>
          <w:rFonts w:eastAsia="黑体"/>
          <w:b/>
          <w:bCs/>
          <w:color w:val="000000"/>
          <w:kern w:val="28"/>
          <w:szCs w:val="32"/>
        </w:rPr>
      </w:pPr>
      <w:r>
        <w:rPr>
          <w:rFonts w:hint="eastAsia" w:eastAsia="黑体"/>
          <w:b/>
          <w:bCs/>
          <w:color w:val="000000"/>
          <w:kern w:val="28"/>
          <w:szCs w:val="32"/>
          <w:lang w:val="en-US" w:eastAsia="zh-CN"/>
        </w:rPr>
        <w:t>4、</w:t>
      </w:r>
      <w:r>
        <w:rPr>
          <w:rFonts w:hint="eastAsia" w:eastAsia="黑体"/>
          <w:b/>
          <w:bCs/>
          <w:color w:val="000000"/>
          <w:kern w:val="28"/>
          <w:szCs w:val="32"/>
        </w:rPr>
        <w:t>绿化</w:t>
      </w:r>
      <w:r>
        <w:rPr>
          <w:rFonts w:eastAsia="黑体"/>
          <w:b/>
          <w:bCs/>
          <w:color w:val="000000"/>
          <w:kern w:val="28"/>
          <w:szCs w:val="32"/>
        </w:rPr>
        <w:t>方案</w:t>
      </w:r>
    </w:p>
    <w:p>
      <w:pPr>
        <w:ind w:firstLine="560"/>
        <w:rPr>
          <w:color w:val="000000"/>
          <w:szCs w:val="28"/>
        </w:rPr>
      </w:pPr>
      <w:r>
        <w:rPr>
          <w:color w:val="000000"/>
          <w:szCs w:val="28"/>
        </w:rPr>
        <w:t>种植要体现总体布局功能要求，同时重视生态效益，充分发挥亚热带植物造景的特色，确定绿化基调植被。根据形成景观的要求确立合适的植物种类，既要有各个区域的特色，又要和整个地区的氛围相协调，达到林成荫、树成群、草成坪、花成片的优美景观和物种多样性的要求，做到四季常绿，季季有花，景观随季节不同而有鲜明的季节特征。同时可利用色叶树及花灌木，形成大面积的色块效果，采用乔木、花卉、草地、绿篱等，形成多层次的景观效果，并结合图案设计，使绿化充满情趣，成为景观的一道亮丽风景线。</w:t>
      </w:r>
    </w:p>
    <w:p>
      <w:pPr>
        <w:ind w:firstLine="560"/>
        <w:rPr>
          <w:color w:val="000000"/>
          <w:szCs w:val="28"/>
        </w:rPr>
      </w:pPr>
      <w:r>
        <w:rPr>
          <w:color w:val="000000"/>
          <w:szCs w:val="28"/>
        </w:rPr>
        <w:t>强调疏林、密林的运用，建立散植、片植、点植以及观赏树木和景观多样性、整体性兼容得种植框架，精心选择适合本地区气候和地面条件的植被。同时，在大面积草坪上点缀带形花卉、绿篱或单植树形漂亮的树种，形成重点突出、层次丰富的绿化景观。</w:t>
      </w:r>
    </w:p>
    <w:p>
      <w:pPr>
        <w:ind w:firstLine="560"/>
        <w:rPr>
          <w:rFonts w:eastAsia="黑体"/>
          <w:b/>
          <w:bCs/>
          <w:color w:val="000000"/>
          <w:kern w:val="28"/>
          <w:szCs w:val="32"/>
        </w:rPr>
      </w:pPr>
      <w:r>
        <w:rPr>
          <w:color w:val="000000"/>
          <w:szCs w:val="28"/>
        </w:rPr>
        <w:t>树种选择原则上要以温州地区生长良好且易于管理的树种为宜，整体以常绿树种为主，部分种植落叶树，通过控制其生长速度、花期、落叶期，使环境在时间和空间上更显多样性。</w:t>
      </w:r>
      <w:r>
        <w:rPr>
          <w:rFonts w:hint="eastAsia"/>
          <w:color w:val="000000"/>
          <w:szCs w:val="28"/>
          <w:lang w:val="en-US" w:eastAsia="zh-CN"/>
        </w:rPr>
        <w:t>5、</w:t>
      </w:r>
      <w:r>
        <w:rPr>
          <w:rFonts w:eastAsia="黑体"/>
          <w:b/>
          <w:bCs/>
          <w:color w:val="000000"/>
          <w:kern w:val="28"/>
          <w:szCs w:val="32"/>
        </w:rPr>
        <w:t>园路铺装</w:t>
      </w:r>
    </w:p>
    <w:p>
      <w:pPr>
        <w:ind w:firstLine="560"/>
        <w:rPr>
          <w:color w:val="000000"/>
          <w:szCs w:val="28"/>
        </w:rPr>
      </w:pPr>
      <w:r>
        <w:rPr>
          <w:color w:val="000000"/>
          <w:szCs w:val="28"/>
        </w:rPr>
        <w:t>绿地的园路及广场主要采用高压透水砖，并搭配各色花岗岩及水洗石等其它材质，使道路看起来既清爽整洁，又不失变化。对于广场及入口特色铺装则采用了花岗岩材质，除了对各个区域进行界定外，也在变化中代表着空间场所的变化，丰富空间的景观。</w:t>
      </w:r>
    </w:p>
    <w:p>
      <w:pPr>
        <w:spacing w:before="48" w:after="48" w:line="560" w:lineRule="exact"/>
        <w:ind w:firstLine="0" w:firstLineChars="0"/>
        <w:jc w:val="left"/>
        <w:rPr>
          <w:rFonts w:eastAsia="黑体"/>
          <w:b/>
          <w:bCs/>
          <w:color w:val="000000"/>
          <w:kern w:val="28"/>
          <w:szCs w:val="32"/>
        </w:rPr>
      </w:pPr>
      <w:r>
        <w:rPr>
          <w:rFonts w:hint="eastAsia" w:eastAsia="黑体"/>
          <w:b/>
          <w:bCs/>
          <w:color w:val="000000"/>
          <w:kern w:val="28"/>
          <w:szCs w:val="32"/>
          <w:lang w:val="en-US" w:eastAsia="zh-CN"/>
        </w:rPr>
        <w:t>6、</w:t>
      </w:r>
      <w:r>
        <w:rPr>
          <w:rFonts w:eastAsia="黑体"/>
          <w:b/>
          <w:bCs/>
          <w:color w:val="000000"/>
          <w:kern w:val="28"/>
          <w:szCs w:val="32"/>
        </w:rPr>
        <w:t>景观小品</w:t>
      </w:r>
    </w:p>
    <w:p>
      <w:pPr>
        <w:ind w:firstLine="560"/>
        <w:rPr>
          <w:color w:val="000000"/>
          <w:szCs w:val="28"/>
        </w:rPr>
      </w:pPr>
      <w:r>
        <w:rPr>
          <w:color w:val="000000"/>
          <w:szCs w:val="28"/>
        </w:rPr>
        <w:t>结合景观主题和功能需要设置应有的小品。主要考虑小品的整体性和便于实施，景观小品的设计力求在造型、体量、色彩和材料上均与公园总体环境的立意和绿地效果协调，同时突出优异的品质。景观构筑物和小品利用自然材料、人工材料相结合，追求形体的流畅和简洁，突出材料的“自然美”和质感。</w:t>
      </w:r>
    </w:p>
    <w:p>
      <w:pPr>
        <w:pStyle w:val="2"/>
        <w:numPr>
          <w:numId w:val="0"/>
        </w:numPr>
        <w:jc w:val="both"/>
        <w:rPr>
          <w:color w:val="000000"/>
          <w:szCs w:val="28"/>
        </w:rPr>
      </w:pPr>
      <w:r>
        <w:rPr>
          <w:color w:val="000000"/>
          <w:szCs w:val="28"/>
        </w:rPr>
        <w:t>在不阻碍交通的前提下，可适当设置别有情趣的坐凳、雕塑和小品。道路两旁应设置与本案风格相协调的现代化简洁大方标识标牌，在充分发挥其功能的同时也强化主题，为整个公园景观设计增色了不少。</w:t>
      </w:r>
    </w:p>
    <w:p>
      <w:pPr>
        <w:pStyle w:val="2"/>
        <w:numPr>
          <w:numId w:val="0"/>
        </w:numPr>
        <w:jc w:val="both"/>
        <w:rPr>
          <w:color w:val="000000"/>
          <w:szCs w:val="28"/>
        </w:rPr>
      </w:pPr>
    </w:p>
    <w:p>
      <w:pPr>
        <w:numPr>
          <w:ilvl w:val="0"/>
          <w:numId w:val="1"/>
        </w:numPr>
        <w:spacing w:before="48" w:after="48" w:line="560" w:lineRule="exact"/>
        <w:ind w:left="0" w:leftChars="0" w:firstLine="0" w:firstLineChars="0"/>
        <w:jc w:val="left"/>
        <w:rPr>
          <w:rFonts w:hint="eastAsia"/>
          <w:color w:val="000000"/>
          <w:sz w:val="36"/>
          <w:szCs w:val="36"/>
          <w:lang w:val="en-US" w:eastAsia="zh-CN"/>
        </w:rPr>
      </w:pPr>
      <w:r>
        <w:rPr>
          <w:rFonts w:hint="eastAsia"/>
          <w:color w:val="000000"/>
          <w:sz w:val="36"/>
          <w:szCs w:val="36"/>
          <w:lang w:val="en-US" w:eastAsia="zh-CN"/>
        </w:rPr>
        <w:t>设计依据</w:t>
      </w:r>
    </w:p>
    <w:p>
      <w:pPr>
        <w:rPr>
          <w:rFonts w:ascii="宋体" w:hAnsi="宋体" w:eastAsia="宋体" w:cs="宋体"/>
          <w:sz w:val="24"/>
          <w:szCs w:val="24"/>
        </w:rPr>
      </w:pPr>
      <w:r>
        <w:rPr>
          <w:rFonts w:ascii="宋体" w:hAnsi="宋体" w:eastAsia="宋体" w:cs="宋体"/>
          <w:sz w:val="24"/>
          <w:szCs w:val="24"/>
        </w:rPr>
        <w:t>《公园设计规范》(GB51192-2016)；</w:t>
      </w:r>
    </w:p>
    <w:p>
      <w:pPr>
        <w:rPr>
          <w:rFonts w:ascii="宋体" w:hAnsi="宋体" w:eastAsia="宋体" w:cs="宋体"/>
          <w:sz w:val="24"/>
          <w:szCs w:val="24"/>
        </w:rPr>
      </w:pPr>
      <w:r>
        <w:rPr>
          <w:rFonts w:ascii="宋体" w:hAnsi="宋体" w:eastAsia="宋体" w:cs="宋体"/>
          <w:sz w:val="24"/>
          <w:szCs w:val="24"/>
        </w:rPr>
        <w:t xml:space="preserve"> 《城市居住区规划设计规范》(GB50180-93)； </w:t>
      </w:r>
    </w:p>
    <w:p>
      <w:pPr>
        <w:rPr>
          <w:rFonts w:ascii="宋体" w:hAnsi="宋体" w:eastAsia="宋体" w:cs="宋体"/>
          <w:sz w:val="24"/>
          <w:szCs w:val="24"/>
        </w:rPr>
      </w:pPr>
      <w:r>
        <w:rPr>
          <w:rFonts w:ascii="宋体" w:hAnsi="宋体" w:eastAsia="宋体" w:cs="宋体"/>
          <w:sz w:val="24"/>
          <w:szCs w:val="24"/>
        </w:rPr>
        <w:t xml:space="preserve">《钢结构设计规范》(GB50017-2003)； </w:t>
      </w:r>
    </w:p>
    <w:p>
      <w:pPr>
        <w:rPr>
          <w:rFonts w:ascii="宋体" w:hAnsi="宋体" w:eastAsia="宋体" w:cs="宋体"/>
          <w:sz w:val="24"/>
          <w:szCs w:val="24"/>
        </w:rPr>
      </w:pPr>
      <w:r>
        <w:rPr>
          <w:rFonts w:ascii="宋体" w:hAnsi="宋体" w:eastAsia="宋体" w:cs="宋体"/>
          <w:sz w:val="24"/>
          <w:szCs w:val="24"/>
        </w:rPr>
        <w:t>《混凝土设计规范》(GB50010-2010)；</w:t>
      </w:r>
    </w:p>
    <w:p>
      <w:pPr>
        <w:rPr>
          <w:rFonts w:ascii="宋体" w:hAnsi="宋体" w:eastAsia="宋体" w:cs="宋体"/>
          <w:sz w:val="24"/>
          <w:szCs w:val="24"/>
        </w:rPr>
      </w:pPr>
      <w:r>
        <w:rPr>
          <w:rFonts w:ascii="宋体" w:hAnsi="宋体" w:eastAsia="宋体" w:cs="宋体"/>
          <w:sz w:val="24"/>
          <w:szCs w:val="24"/>
        </w:rPr>
        <w:t xml:space="preserve"> 《砌体结构计规范》(GB50010-2011)；</w:t>
      </w:r>
    </w:p>
    <w:p>
      <w:pPr>
        <w:rPr>
          <w:rFonts w:ascii="宋体" w:hAnsi="宋体" w:eastAsia="宋体" w:cs="宋体"/>
          <w:sz w:val="24"/>
          <w:szCs w:val="24"/>
        </w:rPr>
      </w:pPr>
      <w:r>
        <w:rPr>
          <w:rFonts w:ascii="宋体" w:hAnsi="宋体" w:eastAsia="宋体" w:cs="宋体"/>
          <w:sz w:val="24"/>
          <w:szCs w:val="24"/>
        </w:rPr>
        <w:t xml:space="preserve"> 《民用建设设计通则》(GB50352-2005)； </w:t>
      </w:r>
    </w:p>
    <w:p>
      <w:pPr>
        <w:rPr>
          <w:rFonts w:ascii="宋体" w:hAnsi="宋体" w:eastAsia="宋体" w:cs="宋体"/>
          <w:sz w:val="24"/>
          <w:szCs w:val="24"/>
        </w:rPr>
      </w:pPr>
      <w:r>
        <w:rPr>
          <w:rFonts w:ascii="宋体" w:hAnsi="宋体" w:eastAsia="宋体" w:cs="宋体"/>
          <w:sz w:val="24"/>
          <w:szCs w:val="24"/>
        </w:rPr>
        <w:t xml:space="preserve">《民用设计防火规范》(GB50016-2014)； </w:t>
      </w:r>
    </w:p>
    <w:p>
      <w:pPr>
        <w:rPr>
          <w:rFonts w:ascii="宋体" w:hAnsi="宋体" w:eastAsia="宋体" w:cs="宋体"/>
          <w:sz w:val="24"/>
          <w:szCs w:val="24"/>
        </w:rPr>
      </w:pPr>
      <w:r>
        <w:rPr>
          <w:rFonts w:ascii="宋体" w:hAnsi="宋体" w:eastAsia="宋体" w:cs="宋体"/>
          <w:sz w:val="24"/>
          <w:szCs w:val="24"/>
        </w:rPr>
        <w:t xml:space="preserve">《汽车库、修车库、停车场设计防火规范》(GB50067-2014)； </w:t>
      </w:r>
    </w:p>
    <w:p>
      <w:pPr>
        <w:rPr>
          <w:rFonts w:ascii="宋体" w:hAnsi="宋体" w:eastAsia="宋体" w:cs="宋体"/>
          <w:sz w:val="24"/>
          <w:szCs w:val="24"/>
        </w:rPr>
      </w:pPr>
      <w:r>
        <w:rPr>
          <w:rFonts w:ascii="宋体" w:hAnsi="宋体" w:eastAsia="宋体" w:cs="宋体"/>
          <w:sz w:val="24"/>
          <w:szCs w:val="24"/>
        </w:rPr>
        <w:t xml:space="preserve">《建筑结构载荷规范》(GB50009-2012)； </w:t>
      </w:r>
    </w:p>
    <w:p>
      <w:pPr>
        <w:pStyle w:val="2"/>
        <w:numPr>
          <w:numId w:val="0"/>
        </w:numPr>
        <w:ind w:leftChars="0"/>
        <w:rPr>
          <w:rFonts w:ascii="宋体" w:hAnsi="宋体" w:eastAsia="宋体" w:cs="宋体"/>
          <w:color w:val="auto"/>
          <w:kern w:val="2"/>
          <w:sz w:val="24"/>
          <w:szCs w:val="24"/>
          <w:lang w:val="en-US" w:eastAsia="zh-CN" w:bidi="ar-SA"/>
        </w:rPr>
      </w:pPr>
      <w:r>
        <w:rPr>
          <w:rFonts w:ascii="宋体" w:hAnsi="宋体" w:eastAsia="宋体" w:cs="宋体"/>
          <w:color w:val="auto"/>
          <w:kern w:val="2"/>
          <w:sz w:val="24"/>
          <w:szCs w:val="24"/>
          <w:lang w:val="en-US" w:eastAsia="zh-CN" w:bidi="ar-SA"/>
        </w:rPr>
        <w:t>《木结构设计标准》(GB50005-2017)；</w:t>
      </w:r>
    </w:p>
    <w:p>
      <w:pPr>
        <w:pStyle w:val="2"/>
        <w:numPr>
          <w:numId w:val="0"/>
        </w:numPr>
        <w:ind w:leftChars="0"/>
        <w:rPr>
          <w:rFonts w:ascii="宋体" w:hAnsi="宋体" w:eastAsia="宋体" w:cs="宋体"/>
          <w:color w:val="auto"/>
          <w:kern w:val="2"/>
          <w:sz w:val="24"/>
          <w:szCs w:val="24"/>
          <w:lang w:val="en-US" w:eastAsia="zh-CN" w:bidi="ar-SA"/>
        </w:rPr>
      </w:pPr>
    </w:p>
    <w:p>
      <w:pPr>
        <w:pStyle w:val="2"/>
        <w:numPr>
          <w:numId w:val="0"/>
        </w:numPr>
        <w:ind w:leftChars="0"/>
        <w:rPr>
          <w:rFonts w:ascii="宋体" w:hAnsi="宋体" w:eastAsia="宋体" w:cs="宋体"/>
          <w:color w:val="auto"/>
          <w:kern w:val="2"/>
          <w:sz w:val="24"/>
          <w:szCs w:val="24"/>
          <w:lang w:val="en-US" w:eastAsia="zh-CN" w:bidi="ar-SA"/>
        </w:rPr>
      </w:pPr>
    </w:p>
    <w:p>
      <w:pPr>
        <w:pStyle w:val="2"/>
        <w:numPr>
          <w:ilvl w:val="0"/>
          <w:numId w:val="1"/>
        </w:numPr>
        <w:ind w:left="0" w:leftChars="0" w:firstLine="0" w:firstLineChars="0"/>
        <w:rPr>
          <w:rFonts w:hint="eastAsia" w:asciiTheme="minorHAnsi" w:hAnsiTheme="minorHAnsi" w:eastAsiaTheme="minorEastAsia" w:cstheme="minorBidi"/>
          <w:color w:val="000000"/>
          <w:kern w:val="2"/>
          <w:sz w:val="36"/>
          <w:szCs w:val="36"/>
          <w:lang w:val="en-US" w:eastAsia="zh-CN" w:bidi="ar-SA"/>
        </w:rPr>
      </w:pPr>
      <w:r>
        <w:rPr>
          <w:rFonts w:hint="eastAsia" w:asciiTheme="minorHAnsi" w:hAnsiTheme="minorHAnsi" w:eastAsiaTheme="minorEastAsia" w:cstheme="minorBidi"/>
          <w:color w:val="000000"/>
          <w:kern w:val="2"/>
          <w:sz w:val="36"/>
          <w:szCs w:val="36"/>
          <w:lang w:val="en-US" w:eastAsia="zh-CN" w:bidi="ar-SA"/>
        </w:rPr>
        <w:t>工程建设原则</w:t>
      </w:r>
    </w:p>
    <w:p>
      <w:pPr>
        <w:numPr>
          <w:ilvl w:val="0"/>
          <w:numId w:val="2"/>
        </w:numPr>
        <w:spacing w:line="360" w:lineRule="auto"/>
        <w:rPr>
          <w:rFonts w:ascii="宋体" w:hAnsi="宋体" w:eastAsia="宋体" w:cs="宋体"/>
          <w:sz w:val="24"/>
          <w:szCs w:val="24"/>
        </w:rPr>
      </w:pPr>
      <w:r>
        <w:rPr>
          <w:rFonts w:ascii="宋体" w:hAnsi="宋体" w:eastAsia="宋体" w:cs="宋体"/>
          <w:sz w:val="24"/>
          <w:szCs w:val="24"/>
        </w:rPr>
        <w:t>功能性原则</w:t>
      </w:r>
      <w:r>
        <w:rPr>
          <w:rFonts w:hint="eastAsia" w:ascii="宋体" w:hAnsi="宋体" w:eastAsia="宋体" w:cs="宋体"/>
          <w:sz w:val="24"/>
          <w:szCs w:val="24"/>
          <w:lang w:eastAsia="zh-CN"/>
        </w:rPr>
        <w:t>：</w:t>
      </w:r>
      <w:r>
        <w:rPr>
          <w:rFonts w:ascii="宋体" w:hAnsi="宋体" w:eastAsia="宋体" w:cs="宋体"/>
          <w:sz w:val="24"/>
          <w:szCs w:val="24"/>
        </w:rPr>
        <w:t xml:space="preserve">项目的建设应能满足人们休闲、娱乐的需求，同时考虑人们对开放空间的需要。 </w:t>
      </w:r>
    </w:p>
    <w:p>
      <w:pPr>
        <w:numPr>
          <w:ilvl w:val="0"/>
          <w:numId w:val="2"/>
        </w:numPr>
        <w:spacing w:line="360" w:lineRule="auto"/>
        <w:ind w:left="0" w:leftChars="0" w:firstLine="0" w:firstLineChars="0"/>
        <w:rPr>
          <w:rFonts w:ascii="宋体" w:hAnsi="宋体" w:eastAsia="宋体" w:cs="宋体"/>
          <w:sz w:val="24"/>
          <w:szCs w:val="24"/>
        </w:rPr>
      </w:pPr>
      <w:r>
        <w:rPr>
          <w:rFonts w:ascii="宋体" w:hAnsi="宋体" w:eastAsia="宋体" w:cs="宋体"/>
          <w:sz w:val="24"/>
          <w:szCs w:val="24"/>
        </w:rPr>
        <w:t>人性化原则</w:t>
      </w:r>
      <w:r>
        <w:rPr>
          <w:rFonts w:hint="eastAsia" w:ascii="宋体" w:hAnsi="宋体" w:eastAsia="宋体" w:cs="宋体"/>
          <w:sz w:val="24"/>
          <w:szCs w:val="24"/>
          <w:lang w:eastAsia="zh-CN"/>
        </w:rPr>
        <w:t>：</w:t>
      </w:r>
      <w:r>
        <w:rPr>
          <w:rFonts w:ascii="宋体" w:hAnsi="宋体" w:eastAsia="宋体" w:cs="宋体"/>
          <w:sz w:val="24"/>
          <w:szCs w:val="24"/>
        </w:rPr>
        <w:t>景观环境设计要考虑人际交往和感情沟通的需要，合理布局交往空 间的场地，作为“以人为本”的景观环境设计。不仅有足够的绿地空间， 还要有游憩活动设施，作为群众性文化、娱乐、休息的场所，参加各种 有益身心的活动，充分体现亲和力和人性化。</w:t>
      </w:r>
    </w:p>
    <w:p>
      <w:pPr>
        <w:numPr>
          <w:ilvl w:val="0"/>
          <w:numId w:val="2"/>
        </w:numPr>
        <w:spacing w:line="360" w:lineRule="auto"/>
        <w:ind w:left="0" w:leftChars="0" w:firstLine="0" w:firstLineChars="0"/>
        <w:rPr>
          <w:rFonts w:ascii="宋体" w:hAnsi="宋体" w:eastAsia="宋体" w:cs="宋体"/>
          <w:sz w:val="24"/>
          <w:szCs w:val="24"/>
        </w:rPr>
      </w:pPr>
      <w:r>
        <w:rPr>
          <w:rFonts w:ascii="宋体" w:hAnsi="宋体" w:eastAsia="宋体" w:cs="宋体"/>
          <w:sz w:val="24"/>
          <w:szCs w:val="24"/>
        </w:rPr>
        <w:t>布局简洁明快</w:t>
      </w:r>
      <w:r>
        <w:rPr>
          <w:rFonts w:hint="eastAsia" w:ascii="宋体" w:hAnsi="宋体" w:eastAsia="宋体" w:cs="宋体"/>
          <w:sz w:val="24"/>
          <w:szCs w:val="24"/>
          <w:lang w:eastAsia="zh-CN"/>
        </w:rPr>
        <w:t>：</w:t>
      </w:r>
      <w:r>
        <w:rPr>
          <w:rFonts w:ascii="宋体" w:hAnsi="宋体" w:eastAsia="宋体" w:cs="宋体"/>
          <w:sz w:val="24"/>
          <w:szCs w:val="24"/>
        </w:rPr>
        <w:t xml:space="preserve">绿化景观平面布局不宜复杂，应当使用简洁的几何图形。明确的几 何图形要素之间具有严格制约关系，最能引起人的美感；同时对于整体 效果、远距离及运动过程中的观赏效果形成十分有利，具有较强的时代 感。 </w:t>
      </w:r>
    </w:p>
    <w:p>
      <w:pPr>
        <w:numPr>
          <w:ilvl w:val="0"/>
          <w:numId w:val="0"/>
        </w:numPr>
        <w:spacing w:line="360" w:lineRule="auto"/>
        <w:ind w:leftChars="0"/>
        <w:rPr>
          <w:rFonts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ascii="宋体" w:hAnsi="宋体" w:eastAsia="宋体" w:cs="宋体"/>
          <w:sz w:val="24"/>
          <w:szCs w:val="24"/>
        </w:rPr>
        <w:t>绿化体现地方风格</w:t>
      </w:r>
      <w:r>
        <w:rPr>
          <w:rFonts w:hint="eastAsia" w:ascii="宋体" w:hAnsi="宋体" w:eastAsia="宋体" w:cs="宋体"/>
          <w:sz w:val="24"/>
          <w:szCs w:val="24"/>
          <w:lang w:eastAsia="zh-CN"/>
        </w:rPr>
        <w:t>：</w:t>
      </w:r>
      <w:r>
        <w:rPr>
          <w:rFonts w:ascii="宋体" w:hAnsi="宋体" w:eastAsia="宋体" w:cs="宋体"/>
          <w:sz w:val="24"/>
          <w:szCs w:val="24"/>
        </w:rPr>
        <w:t>严格选择主调树种，考虑主调树种，除注意其色彩美和形态美外， 更多地要注意其风韵美，使其姿态与周围的环境气氛相协调，并实现公 园内四季常绿。</w:t>
      </w:r>
    </w:p>
    <w:p>
      <w:pPr>
        <w:numPr>
          <w:ilvl w:val="0"/>
          <w:numId w:val="0"/>
        </w:numPr>
        <w:spacing w:line="360" w:lineRule="auto"/>
        <w:ind w:leftChars="0"/>
        <w:rPr>
          <w:rFonts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w:t>
      </w:r>
      <w:r>
        <w:rPr>
          <w:rFonts w:ascii="宋体" w:hAnsi="宋体" w:eastAsia="宋体" w:cs="宋体"/>
          <w:sz w:val="24"/>
          <w:szCs w:val="24"/>
        </w:rPr>
        <w:t>可达性原则</w:t>
      </w:r>
      <w:r>
        <w:rPr>
          <w:rFonts w:hint="eastAsia" w:ascii="宋体" w:hAnsi="宋体" w:eastAsia="宋体" w:cs="宋体"/>
          <w:sz w:val="24"/>
          <w:szCs w:val="24"/>
          <w:lang w:eastAsia="zh-CN"/>
        </w:rPr>
        <w:t>：</w:t>
      </w:r>
      <w:r>
        <w:rPr>
          <w:rFonts w:ascii="宋体" w:hAnsi="宋体" w:eastAsia="宋体" w:cs="宋体"/>
          <w:sz w:val="24"/>
          <w:szCs w:val="24"/>
        </w:rPr>
        <w:t xml:space="preserve">本方案应重点考虑交通的便捷性，做好公园内交通线的设计。 </w:t>
      </w:r>
    </w:p>
    <w:p>
      <w:pPr>
        <w:numPr>
          <w:ilvl w:val="0"/>
          <w:numId w:val="0"/>
        </w:numPr>
        <w:spacing w:line="360" w:lineRule="auto"/>
        <w:ind w:leftChars="0"/>
        <w:rPr>
          <w:rFonts w:ascii="宋体" w:hAnsi="宋体" w:eastAsia="宋体" w:cs="宋体"/>
          <w:sz w:val="24"/>
          <w:szCs w:val="24"/>
        </w:rPr>
      </w:pPr>
      <w:r>
        <w:rPr>
          <w:rFonts w:ascii="宋体" w:hAnsi="宋体" w:eastAsia="宋体" w:cs="宋体"/>
          <w:sz w:val="24"/>
          <w:szCs w:val="24"/>
        </w:rPr>
        <w:t>（6）硬质景观与软质景观兼顾</w:t>
      </w:r>
      <w:r>
        <w:rPr>
          <w:rFonts w:hint="eastAsia" w:ascii="宋体" w:hAnsi="宋体" w:eastAsia="宋体" w:cs="宋体"/>
          <w:sz w:val="24"/>
          <w:szCs w:val="24"/>
          <w:lang w:eastAsia="zh-CN"/>
        </w:rPr>
        <w:t>：</w:t>
      </w:r>
      <w:r>
        <w:rPr>
          <w:rFonts w:ascii="宋体" w:hAnsi="宋体" w:eastAsia="宋体" w:cs="宋体"/>
          <w:sz w:val="24"/>
          <w:szCs w:val="24"/>
        </w:rPr>
        <w:t>硬质景观与软质景观要按互补的原则进行处理</w:t>
      </w:r>
      <w:r>
        <w:rPr>
          <w:rFonts w:hint="eastAsia" w:ascii="宋体" w:hAnsi="宋体" w:eastAsia="宋体" w:cs="宋体"/>
          <w:sz w:val="24"/>
          <w:szCs w:val="24"/>
          <w:lang w:eastAsia="zh-CN"/>
        </w:rPr>
        <w:t>，</w:t>
      </w:r>
      <w:r>
        <w:rPr>
          <w:rFonts w:ascii="宋体" w:hAnsi="宋体" w:eastAsia="宋体" w:cs="宋体"/>
          <w:sz w:val="24"/>
          <w:szCs w:val="24"/>
        </w:rPr>
        <w:t>硬质景观突出点题入境，象征与装饰等表意作用；软质景观则突出情趣、和谐、舒畅、自 然等特点。</w:t>
      </w:r>
    </w:p>
    <w:p>
      <w:pPr>
        <w:pStyle w:val="2"/>
        <w:rPr>
          <w:rFonts w:ascii="宋体" w:hAnsi="宋体" w:eastAsia="宋体" w:cs="宋体"/>
          <w:sz w:val="24"/>
          <w:szCs w:val="24"/>
        </w:rPr>
      </w:pPr>
    </w:p>
    <w:p>
      <w:pPr>
        <w:pStyle w:val="4"/>
        <w:numPr>
          <w:ilvl w:val="0"/>
          <w:numId w:val="1"/>
        </w:numPr>
        <w:bidi w:val="0"/>
        <w:ind w:left="0" w:leftChars="0" w:firstLine="0" w:firstLineChars="0"/>
        <w:rPr>
          <w:rFonts w:hint="eastAsia"/>
          <w:lang w:eastAsia="zh-CN"/>
        </w:rPr>
      </w:pPr>
      <w:r>
        <w:rPr>
          <w:rFonts w:hint="eastAsia" w:asciiTheme="minorHAnsi" w:hAnsiTheme="minorHAnsi" w:eastAsiaTheme="minorEastAsia" w:cstheme="minorBidi"/>
          <w:b w:val="0"/>
          <w:color w:val="000000"/>
          <w:kern w:val="2"/>
          <w:sz w:val="36"/>
          <w:szCs w:val="36"/>
          <w:lang w:val="en-US" w:eastAsia="zh-CN" w:bidi="ar-SA"/>
        </w:rPr>
        <w:t>建、构筑物</w:t>
      </w:r>
      <w:r>
        <w:rPr>
          <w:rFonts w:hint="eastAsia" w:asciiTheme="minorHAnsi" w:hAnsiTheme="minorHAnsi" w:eastAsiaTheme="minorEastAsia" w:cstheme="minorBidi"/>
          <w:b w:val="0"/>
          <w:color w:val="000000"/>
          <w:kern w:val="2"/>
          <w:sz w:val="36"/>
          <w:szCs w:val="36"/>
          <w:lang w:val="en-US" w:eastAsia="zh-CN" w:bidi="ar-SA"/>
        </w:rPr>
        <w:t>建设方案</w:t>
      </w:r>
    </w:p>
    <w:p>
      <w:pPr>
        <w:numPr>
          <w:ilvl w:val="0"/>
          <w:numId w:val="0"/>
        </w:numPr>
        <w:spacing w:line="360" w:lineRule="auto"/>
        <w:ind w:leftChars="0"/>
        <w:rPr>
          <w:rFonts w:ascii="宋体" w:hAnsi="宋体" w:eastAsia="宋体" w:cs="宋体"/>
          <w:sz w:val="24"/>
          <w:szCs w:val="24"/>
        </w:rPr>
      </w:pPr>
      <w:r>
        <w:rPr>
          <w:rFonts w:ascii="宋体" w:hAnsi="宋体" w:eastAsia="宋体" w:cs="宋体"/>
          <w:sz w:val="24"/>
          <w:szCs w:val="24"/>
        </w:rPr>
        <w:t>停车场、跨溪坝体、桥廊等的建设既能给游人提供方便也能完善景 观带的基础设施，不仅以景观工程增添现代化时尚元素,还能提升景观的价值品位。</w:t>
      </w:r>
    </w:p>
    <w:p>
      <w:pPr>
        <w:numPr>
          <w:ilvl w:val="0"/>
          <w:numId w:val="0"/>
        </w:numPr>
        <w:spacing w:line="360" w:lineRule="auto"/>
        <w:ind w:leftChars="0"/>
        <w:rPr>
          <w:rFonts w:ascii="宋体" w:hAnsi="宋体" w:eastAsia="宋体" w:cs="宋体"/>
          <w:sz w:val="24"/>
          <w:szCs w:val="24"/>
        </w:rPr>
      </w:pPr>
      <w:r>
        <w:rPr>
          <w:rFonts w:hint="eastAsia" w:ascii="宋体" w:hAnsi="宋体" w:eastAsia="宋体" w:cs="宋体"/>
          <w:sz w:val="24"/>
          <w:szCs w:val="24"/>
          <w:lang w:val="en-US" w:eastAsia="zh-CN"/>
        </w:rPr>
        <w:t>1、</w:t>
      </w:r>
      <w:r>
        <w:rPr>
          <w:rFonts w:ascii="宋体" w:hAnsi="宋体" w:eastAsia="宋体" w:cs="宋体"/>
          <w:sz w:val="24"/>
          <w:szCs w:val="24"/>
        </w:rPr>
        <w:t>绿化工程</w:t>
      </w:r>
    </w:p>
    <w:p>
      <w:pPr>
        <w:numPr>
          <w:ilvl w:val="0"/>
          <w:numId w:val="0"/>
        </w:numPr>
        <w:spacing w:line="360" w:lineRule="auto"/>
        <w:ind w:leftChars="0"/>
        <w:rPr>
          <w:rFonts w:ascii="宋体" w:hAnsi="宋体" w:eastAsia="宋体" w:cs="宋体"/>
          <w:sz w:val="24"/>
          <w:szCs w:val="24"/>
        </w:rPr>
      </w:pPr>
      <w:r>
        <w:rPr>
          <w:rFonts w:ascii="宋体" w:hAnsi="宋体" w:eastAsia="宋体" w:cs="宋体"/>
          <w:sz w:val="24"/>
          <w:szCs w:val="24"/>
        </w:rPr>
        <w:t>本项目的景观设计主要结合景观总体规划，使得景观的规划布局、 园林植物景观设计与总体规划、建筑布局造型风格及环境要求相协调。 并配置具有当地气候生态特色的园林植物，形成绿化特色。</w:t>
      </w:r>
    </w:p>
    <w:p>
      <w:pPr>
        <w:numPr>
          <w:ilvl w:val="0"/>
          <w:numId w:val="0"/>
        </w:numPr>
        <w:spacing w:line="360" w:lineRule="auto"/>
        <w:ind w:leftChars="0" w:firstLine="240" w:firstLineChars="100"/>
        <w:rPr>
          <w:rFonts w:ascii="宋体" w:hAnsi="宋体" w:eastAsia="宋体" w:cs="宋体"/>
          <w:sz w:val="24"/>
          <w:szCs w:val="24"/>
        </w:rPr>
      </w:pPr>
      <w:r>
        <w:rPr>
          <w:rFonts w:hint="eastAsia" w:ascii="宋体" w:hAnsi="宋体" w:eastAsia="宋体" w:cs="宋体"/>
          <w:sz w:val="24"/>
          <w:szCs w:val="24"/>
          <w:lang w:val="en-US" w:eastAsia="zh-CN"/>
        </w:rPr>
        <w:t>2、</w:t>
      </w:r>
      <w:r>
        <w:rPr>
          <w:rFonts w:ascii="宋体" w:hAnsi="宋体" w:eastAsia="宋体" w:cs="宋体"/>
          <w:sz w:val="24"/>
          <w:szCs w:val="24"/>
        </w:rPr>
        <w:t>铺装工程</w:t>
      </w:r>
    </w:p>
    <w:p>
      <w:pPr>
        <w:numPr>
          <w:ilvl w:val="0"/>
          <w:numId w:val="0"/>
        </w:numPr>
        <w:spacing w:line="360" w:lineRule="auto"/>
        <w:ind w:leftChars="0"/>
        <w:rPr>
          <w:rFonts w:ascii="宋体" w:hAnsi="宋体" w:eastAsia="宋体" w:cs="宋体"/>
          <w:sz w:val="24"/>
          <w:szCs w:val="24"/>
        </w:rPr>
      </w:pPr>
      <w:r>
        <w:rPr>
          <w:rFonts w:ascii="宋体" w:hAnsi="宋体" w:eastAsia="宋体" w:cs="宋体"/>
          <w:sz w:val="24"/>
          <w:szCs w:val="24"/>
        </w:rPr>
        <w:t>景观绿化、道路硬化及铺装不但能够将不同景观有机的联系起来， 同时作为重要的景观带组成要素，也可成为观赏焦点。景观绿化入口位 于埭头村。道路布局与地形、绿化、建筑物、铺装场地及其他设施相结 合，形成完整的风景构图。</w:t>
      </w:r>
    </w:p>
    <w:p>
      <w:pPr>
        <w:numPr>
          <w:ilvl w:val="0"/>
          <w:numId w:val="0"/>
        </w:numPr>
        <w:spacing w:line="360" w:lineRule="auto"/>
        <w:ind w:leftChars="0" w:firstLine="240" w:firstLineChars="100"/>
        <w:rPr>
          <w:rFonts w:ascii="宋体" w:hAnsi="宋体" w:eastAsia="宋体" w:cs="宋体"/>
          <w:sz w:val="24"/>
          <w:szCs w:val="24"/>
        </w:rPr>
      </w:pPr>
      <w:r>
        <w:rPr>
          <w:rFonts w:hint="eastAsia" w:ascii="宋体" w:hAnsi="宋体" w:eastAsia="宋体" w:cs="宋体"/>
          <w:sz w:val="24"/>
          <w:szCs w:val="24"/>
          <w:lang w:val="en-US" w:eastAsia="zh-CN"/>
        </w:rPr>
        <w:t>3、</w:t>
      </w:r>
      <w:r>
        <w:rPr>
          <w:rFonts w:ascii="宋体" w:hAnsi="宋体" w:eastAsia="宋体" w:cs="宋体"/>
          <w:sz w:val="24"/>
          <w:szCs w:val="24"/>
        </w:rPr>
        <w:t>给排水工程</w:t>
      </w:r>
    </w:p>
    <w:p>
      <w:pPr>
        <w:numPr>
          <w:ilvl w:val="0"/>
          <w:numId w:val="0"/>
        </w:numPr>
        <w:spacing w:line="360" w:lineRule="auto"/>
        <w:ind w:leftChars="0"/>
        <w:rPr>
          <w:rFonts w:ascii="宋体" w:hAnsi="宋体" w:eastAsia="宋体" w:cs="宋体"/>
          <w:sz w:val="24"/>
          <w:szCs w:val="24"/>
        </w:rPr>
      </w:pPr>
      <w:r>
        <w:rPr>
          <w:rFonts w:ascii="宋体" w:hAnsi="宋体" w:eastAsia="宋体" w:cs="宋体"/>
          <w:sz w:val="24"/>
          <w:szCs w:val="24"/>
        </w:rPr>
        <w:t>用水量：项目用水主要来源为生活用水和绿化洒水等，根据《建筑 给排水设计规范》中相关规定，地面用水指标 6L/m2/d。室外排水系统： 室外排水系统采用雨污分流。污水由污水管网接出，经化粪池处理后， 再由污水主干管接入就近市政污水管网。</w:t>
      </w:r>
    </w:p>
    <w:p>
      <w:pPr>
        <w:numPr>
          <w:ilvl w:val="0"/>
          <w:numId w:val="0"/>
        </w:numPr>
        <w:spacing w:line="360" w:lineRule="auto"/>
        <w:ind w:leftChars="0"/>
        <w:rPr>
          <w:rFonts w:ascii="宋体" w:hAnsi="宋体" w:eastAsia="宋体" w:cs="宋体"/>
          <w:sz w:val="24"/>
          <w:szCs w:val="24"/>
        </w:rPr>
      </w:pPr>
      <w:r>
        <w:rPr>
          <w:rFonts w:ascii="宋体" w:hAnsi="宋体" w:eastAsia="宋体" w:cs="宋体"/>
          <w:sz w:val="24"/>
          <w:szCs w:val="24"/>
        </w:rPr>
        <w:t>景观绿地率比较大，地块地势较平坦，对于绿地雨水采用顺地形自 然放坡排放，依据《公园设计规范》要求，采用坡度为 3%~5%地下设 排水沟排放雨水。同时，景观绿化硬质铺装面产生雨水原则上主要就近 排入附近河道或市政雨水管网，同时加入海绵城市 系统进行消化。通过将防、排、渗、蓄、滞、处理等措施有效融合， 减少景观绿化内因不透水范围的增加所导致的在短时局部强降雨出现 下而引起的地面径流汇集速度增快、流量加大等带来的影响，极大限度 的减轻河道景观防洪排涝的压力，有利于提高河道景观及周边区域水资源利用率。</w:t>
      </w:r>
    </w:p>
    <w:p>
      <w:pPr>
        <w:numPr>
          <w:ilvl w:val="0"/>
          <w:numId w:val="0"/>
        </w:numPr>
        <w:spacing w:line="360" w:lineRule="auto"/>
        <w:ind w:leftChars="0"/>
        <w:rPr>
          <w:rFonts w:ascii="宋体" w:hAnsi="宋体" w:eastAsia="宋体" w:cs="宋体"/>
          <w:sz w:val="24"/>
          <w:szCs w:val="24"/>
        </w:rPr>
      </w:pPr>
      <w:r>
        <w:rPr>
          <w:rFonts w:ascii="宋体" w:hAnsi="宋体" w:eastAsia="宋体" w:cs="宋体"/>
          <w:sz w:val="24"/>
          <w:szCs w:val="24"/>
        </w:rPr>
        <w:t>雨水系统：就近排入河道。</w:t>
      </w:r>
    </w:p>
    <w:p>
      <w:pPr>
        <w:numPr>
          <w:ilvl w:val="0"/>
          <w:numId w:val="0"/>
        </w:numPr>
        <w:spacing w:line="360" w:lineRule="auto"/>
        <w:ind w:leftChars="0" w:firstLine="240" w:firstLineChars="100"/>
        <w:rPr>
          <w:rFonts w:ascii="宋体" w:hAnsi="宋体" w:eastAsia="宋体" w:cs="宋体"/>
          <w:sz w:val="24"/>
          <w:szCs w:val="24"/>
        </w:rPr>
      </w:pPr>
      <w:r>
        <w:rPr>
          <w:rFonts w:hint="eastAsia" w:ascii="宋体" w:hAnsi="宋体" w:eastAsia="宋体" w:cs="宋体"/>
          <w:sz w:val="24"/>
          <w:szCs w:val="24"/>
          <w:lang w:val="en-US" w:eastAsia="zh-CN"/>
        </w:rPr>
        <w:t>4、</w:t>
      </w:r>
      <w:r>
        <w:rPr>
          <w:rFonts w:ascii="宋体" w:hAnsi="宋体" w:eastAsia="宋体" w:cs="宋体"/>
          <w:sz w:val="24"/>
          <w:szCs w:val="24"/>
        </w:rPr>
        <w:t>照明工程</w:t>
      </w:r>
    </w:p>
    <w:p>
      <w:pPr>
        <w:numPr>
          <w:ilvl w:val="0"/>
          <w:numId w:val="0"/>
        </w:numPr>
        <w:spacing w:line="360" w:lineRule="auto"/>
        <w:ind w:leftChars="0"/>
        <w:rPr>
          <w:rFonts w:hint="eastAsia" w:ascii="宋体" w:hAnsi="宋体" w:eastAsia="宋体" w:cs="宋体"/>
          <w:sz w:val="24"/>
          <w:szCs w:val="24"/>
          <w:lang w:eastAsia="zh-CN"/>
        </w:rPr>
      </w:pPr>
      <w:r>
        <w:rPr>
          <w:rFonts w:ascii="宋体" w:hAnsi="宋体" w:eastAsia="宋体" w:cs="宋体"/>
          <w:sz w:val="24"/>
          <w:szCs w:val="24"/>
        </w:rPr>
        <w:t>本项目室外配电箱的进线电源采用集中供电的方式，总电源配电接 已敷设至项目所在区域的市政供电线路。 平阳县万全镇共同富裕项目（二期） 可行性研究报告 58 光源及灯具：照明光源采用光色好、光效高、寿命长的 LED 节能 光源。灯具制造均应满足相关国家灯具标准(GB7000)，广场照明灯具主 要包括景观灯柱、投光灯、草坪灯及 LED 灯带。 照明线路敷设：照明供电为 AC380V/220V 供电，照明灯具均使用 单相电源供电，单相不平衡负荷应不得大于 15%。</w:t>
      </w:r>
      <w:r>
        <w:rPr>
          <w:rFonts w:hint="eastAsia" w:ascii="宋体" w:hAnsi="宋体" w:eastAsia="宋体" w:cs="宋体"/>
          <w:sz w:val="24"/>
          <w:szCs w:val="24"/>
          <w:lang w:eastAsia="zh-CN"/>
        </w:rPr>
        <w:t>、</w:t>
      </w:r>
    </w:p>
    <w:p>
      <w:pPr>
        <w:numPr>
          <w:ilvl w:val="0"/>
          <w:numId w:val="0"/>
        </w:numPr>
        <w:spacing w:line="360" w:lineRule="auto"/>
        <w:ind w:leftChars="0" w:firstLine="240" w:firstLineChars="100"/>
        <w:rPr>
          <w:rFonts w:ascii="宋体" w:hAnsi="宋体" w:eastAsia="宋体" w:cs="宋体"/>
          <w:sz w:val="24"/>
          <w:szCs w:val="24"/>
        </w:rPr>
      </w:pPr>
      <w:r>
        <w:rPr>
          <w:rFonts w:hint="eastAsia" w:ascii="宋体" w:hAnsi="宋体" w:eastAsia="宋体" w:cs="宋体"/>
          <w:sz w:val="24"/>
          <w:szCs w:val="24"/>
          <w:lang w:val="en-US" w:eastAsia="zh-CN"/>
        </w:rPr>
        <w:t>5、</w:t>
      </w:r>
      <w:r>
        <w:rPr>
          <w:rFonts w:ascii="宋体" w:hAnsi="宋体" w:eastAsia="宋体" w:cs="宋体"/>
          <w:sz w:val="24"/>
          <w:szCs w:val="24"/>
        </w:rPr>
        <w:t>弱电工程</w:t>
      </w:r>
    </w:p>
    <w:p>
      <w:pPr>
        <w:numPr>
          <w:ilvl w:val="0"/>
          <w:numId w:val="0"/>
        </w:numPr>
        <w:spacing w:line="360" w:lineRule="auto"/>
        <w:ind w:leftChars="0"/>
        <w:rPr>
          <w:rFonts w:ascii="宋体" w:hAnsi="宋体" w:eastAsia="宋体" w:cs="宋体"/>
          <w:sz w:val="24"/>
          <w:szCs w:val="24"/>
        </w:rPr>
      </w:pPr>
      <w:r>
        <w:rPr>
          <w:rFonts w:ascii="宋体" w:hAnsi="宋体" w:eastAsia="宋体" w:cs="宋体"/>
          <w:sz w:val="24"/>
          <w:szCs w:val="24"/>
        </w:rPr>
        <w:t>监控系统包括监控系统，同时配合摄像机、隐蔽式紧急报警按键及 控制主机联动成为-套保安系统，同时进行主动人防；各个子系统间能实 现系统集成，系统发生报警时，能够联动监控系统，使工作人员能及时 地观察到现场的图像信息，并能自动录制联动的摄像机图像，以便事后 进行分析；在主要出入口、通道等场所设置双鉴防盜探测器；专用电源 统一供给摄像机、监视器及其它安防设备所需的电源。</w:t>
      </w:r>
    </w:p>
    <w:p>
      <w:pPr>
        <w:numPr>
          <w:ilvl w:val="0"/>
          <w:numId w:val="0"/>
        </w:numPr>
        <w:spacing w:line="360" w:lineRule="auto"/>
        <w:ind w:leftChars="0" w:firstLine="240" w:firstLineChars="100"/>
        <w:rPr>
          <w:rFonts w:ascii="宋体" w:hAnsi="宋体" w:eastAsia="宋体" w:cs="宋体"/>
          <w:sz w:val="24"/>
          <w:szCs w:val="24"/>
        </w:rPr>
      </w:pPr>
      <w:r>
        <w:rPr>
          <w:rFonts w:hint="eastAsia" w:ascii="宋体" w:hAnsi="宋体" w:eastAsia="宋体" w:cs="宋体"/>
          <w:sz w:val="24"/>
          <w:szCs w:val="24"/>
          <w:lang w:val="en-US" w:eastAsia="zh-CN"/>
        </w:rPr>
        <w:t>6、</w:t>
      </w:r>
      <w:r>
        <w:rPr>
          <w:rFonts w:ascii="宋体" w:hAnsi="宋体" w:eastAsia="宋体" w:cs="宋体"/>
          <w:sz w:val="24"/>
          <w:szCs w:val="24"/>
        </w:rPr>
        <w:t xml:space="preserve">材料要求 </w:t>
      </w:r>
    </w:p>
    <w:p>
      <w:pPr>
        <w:numPr>
          <w:ilvl w:val="0"/>
          <w:numId w:val="0"/>
        </w:numPr>
        <w:spacing w:line="360" w:lineRule="auto"/>
        <w:ind w:leftChars="0"/>
        <w:rPr>
          <w:rFonts w:ascii="宋体" w:hAnsi="宋体" w:eastAsia="宋体" w:cs="宋体"/>
          <w:sz w:val="24"/>
          <w:szCs w:val="24"/>
        </w:rPr>
      </w:pPr>
      <w:r>
        <w:rPr>
          <w:rFonts w:ascii="宋体" w:hAnsi="宋体" w:eastAsia="宋体" w:cs="宋体"/>
          <w:sz w:val="24"/>
          <w:szCs w:val="24"/>
        </w:rPr>
        <w:t xml:space="preserve">（1）所有材料均有出厂合格证。 </w:t>
      </w:r>
    </w:p>
    <w:p>
      <w:pPr>
        <w:numPr>
          <w:ilvl w:val="0"/>
          <w:numId w:val="3"/>
        </w:numPr>
        <w:spacing w:line="360" w:lineRule="auto"/>
        <w:ind w:leftChars="0"/>
        <w:rPr>
          <w:rFonts w:ascii="宋体" w:hAnsi="宋体" w:eastAsia="宋体" w:cs="宋体"/>
          <w:sz w:val="24"/>
          <w:szCs w:val="24"/>
        </w:rPr>
      </w:pPr>
      <w:r>
        <w:rPr>
          <w:rFonts w:ascii="宋体" w:hAnsi="宋体" w:eastAsia="宋体" w:cs="宋体"/>
          <w:sz w:val="24"/>
          <w:szCs w:val="24"/>
        </w:rPr>
        <w:t xml:space="preserve">装饰品品种、色彩、质地、规格应符合设计要求。石质材料要求强度均匀、抗压强度大于 30MPC,卵石要求细滑、耐磨、表面清洁。 </w:t>
      </w:r>
    </w:p>
    <w:p>
      <w:pPr>
        <w:numPr>
          <w:ilvl w:val="0"/>
          <w:numId w:val="3"/>
        </w:numPr>
        <w:spacing w:line="360" w:lineRule="auto"/>
        <w:ind w:leftChars="0"/>
        <w:rPr>
          <w:rFonts w:hint="eastAsia" w:ascii="宋体" w:hAnsi="宋体" w:eastAsia="宋体" w:cs="宋体"/>
          <w:sz w:val="24"/>
          <w:szCs w:val="24"/>
          <w:lang w:eastAsia="zh-CN"/>
        </w:rPr>
      </w:pPr>
      <w:r>
        <w:rPr>
          <w:rFonts w:ascii="宋体" w:hAnsi="宋体" w:eastAsia="宋体" w:cs="宋体"/>
          <w:sz w:val="24"/>
          <w:szCs w:val="24"/>
        </w:rPr>
        <w:t>钢筋、水泥砂、石等主要材料试验，合格后方能用于施工。</w:t>
      </w:r>
    </w:p>
    <w:p>
      <w:pPr>
        <w:numPr>
          <w:ilvl w:val="0"/>
          <w:numId w:val="3"/>
        </w:numPr>
        <w:spacing w:line="360" w:lineRule="auto"/>
        <w:ind w:left="0" w:leftChars="0" w:firstLine="0" w:firstLineChars="0"/>
        <w:rPr>
          <w:rFonts w:ascii="宋体" w:hAnsi="宋体" w:eastAsia="宋体" w:cs="宋体"/>
          <w:sz w:val="24"/>
          <w:szCs w:val="24"/>
        </w:rPr>
      </w:pPr>
      <w:r>
        <w:rPr>
          <w:rFonts w:ascii="宋体" w:hAnsi="宋体" w:eastAsia="宋体" w:cs="宋体"/>
          <w:sz w:val="24"/>
          <w:szCs w:val="24"/>
        </w:rPr>
        <w:t xml:space="preserve">所有铁件均防锈漆两道；所有木件防腐脱脂处理，外涂专用户外木材油漆。 （5）土方密实度：路面以下 80cm 之内，密实度≥93%。 5.2.3.10 </w:t>
      </w:r>
    </w:p>
    <w:p>
      <w:pPr>
        <w:numPr>
          <w:ilvl w:val="0"/>
          <w:numId w:val="0"/>
        </w:numPr>
        <w:spacing w:line="360" w:lineRule="auto"/>
        <w:ind w:leftChars="0" w:firstLine="240" w:firstLineChars="100"/>
        <w:rPr>
          <w:rFonts w:ascii="宋体" w:hAnsi="宋体" w:eastAsia="宋体" w:cs="宋体"/>
          <w:sz w:val="24"/>
          <w:szCs w:val="24"/>
        </w:rPr>
      </w:pPr>
      <w:r>
        <w:rPr>
          <w:rFonts w:hint="eastAsia" w:ascii="宋体" w:hAnsi="宋体" w:eastAsia="宋体" w:cs="宋体"/>
          <w:sz w:val="24"/>
          <w:szCs w:val="24"/>
          <w:lang w:val="en-US" w:eastAsia="zh-CN"/>
        </w:rPr>
        <w:t>7、</w:t>
      </w:r>
      <w:r>
        <w:rPr>
          <w:rFonts w:ascii="宋体" w:hAnsi="宋体" w:eastAsia="宋体" w:cs="宋体"/>
          <w:sz w:val="24"/>
          <w:szCs w:val="24"/>
        </w:rPr>
        <w:t xml:space="preserve">施工要求 </w:t>
      </w:r>
    </w:p>
    <w:p>
      <w:pPr>
        <w:numPr>
          <w:ilvl w:val="0"/>
          <w:numId w:val="0"/>
        </w:numPr>
        <w:spacing w:line="360" w:lineRule="auto"/>
        <w:ind w:leftChars="0"/>
        <w:rPr>
          <w:rFonts w:hint="eastAsia" w:ascii="宋体" w:hAnsi="宋体" w:eastAsia="宋体" w:cs="宋体"/>
          <w:sz w:val="24"/>
          <w:szCs w:val="24"/>
          <w:lang w:eastAsia="zh-CN"/>
        </w:rPr>
      </w:pPr>
      <w:r>
        <w:rPr>
          <w:rFonts w:ascii="宋体" w:hAnsi="宋体" w:eastAsia="宋体" w:cs="宋体"/>
          <w:sz w:val="24"/>
          <w:szCs w:val="24"/>
        </w:rPr>
        <w:t>（1）施工单位严格按图纸施工，施工放线定位全部完成确认无误 后方可进行施工。 （2）施工顺序为：先基础、后侧石、最后铺装。道路基础要求稳 定，平面线要求光滑流畅。 （3）按产品施工工艺要求施工，注意与相邻道路、铺装的衔接。（4）监理单位要严格报关，确保设计意向图的实现。 （5）做好隐蔽验收，检测等工作，作为对施工质量进行控制。</w:t>
      </w:r>
    </w:p>
    <w:p>
      <w:pPr>
        <w:rPr>
          <w:rFonts w:hint="eastAsia"/>
          <w:lang w:eastAsia="zh-CN"/>
        </w:rPr>
      </w:pPr>
    </w:p>
    <w:p>
      <w:pPr>
        <w:rPr>
          <w:rFonts w:hint="eastAsia"/>
          <w:lang w:eastAsia="zh-CN"/>
        </w:rPr>
      </w:pPr>
    </w:p>
    <w:p>
      <w:pPr>
        <w:pStyle w:val="2"/>
        <w:numPr>
          <w:numId w:val="0"/>
        </w:numPr>
        <w:ind w:leftChars="0"/>
        <w:rPr>
          <w:rFonts w:hint="default" w:asciiTheme="minorHAnsi" w:hAnsiTheme="minorHAnsi" w:eastAsiaTheme="minorEastAsia" w:cstheme="minorBidi"/>
          <w:color w:val="000000"/>
          <w:kern w:val="2"/>
          <w:sz w:val="36"/>
          <w:szCs w:val="36"/>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0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E635C33"/>
    <w:multiLevelType w:val="singleLevel"/>
    <w:tmpl w:val="BE635C33"/>
    <w:lvl w:ilvl="0" w:tentative="0">
      <w:start w:val="2"/>
      <w:numFmt w:val="decimal"/>
      <w:suff w:val="nothing"/>
      <w:lvlText w:val="（%1）"/>
      <w:lvlJc w:val="left"/>
    </w:lvl>
  </w:abstractNum>
  <w:abstractNum w:abstractNumId="1">
    <w:nsid w:val="CC54B017"/>
    <w:multiLevelType w:val="singleLevel"/>
    <w:tmpl w:val="CC54B017"/>
    <w:lvl w:ilvl="0" w:tentative="0">
      <w:start w:val="1"/>
      <w:numFmt w:val="decimal"/>
      <w:suff w:val="nothing"/>
      <w:lvlText w:val="（%1）"/>
      <w:lvlJc w:val="left"/>
    </w:lvl>
  </w:abstractNum>
  <w:abstractNum w:abstractNumId="2">
    <w:nsid w:val="61FE4B0E"/>
    <w:multiLevelType w:val="singleLevel"/>
    <w:tmpl w:val="61FE4B0E"/>
    <w:lvl w:ilvl="0" w:tentative="0">
      <w:start w:val="2"/>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6710E6"/>
    <w:rsid w:val="556710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1"/>
    <w:pPr>
      <w:spacing w:before="187"/>
      <w:outlineLvl w:val="1"/>
    </w:pPr>
    <w:rPr>
      <w:rFonts w:ascii="黑体" w:hAnsi="黑体" w:eastAsia="黑体" w:cs="黑体"/>
      <w:b/>
      <w:bCs/>
      <w:sz w:val="28"/>
      <w:szCs w:val="28"/>
      <w:lang w:val="zh-CN" w:eastAsia="zh-CN" w:bidi="zh-CN"/>
    </w:rPr>
  </w:style>
  <w:style w:type="paragraph" w:styleId="4">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6">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uiPriority w:val="0"/>
    <w:rPr>
      <w:color w:val="FF0000"/>
    </w:rPr>
  </w:style>
  <w:style w:type="paragraph" w:customStyle="1" w:styleId="7">
    <w:name w:val="Table Paragraph"/>
    <w:basedOn w:val="1"/>
    <w:qFormat/>
    <w:uiPriority w:val="1"/>
    <w:pPr>
      <w:jc w:val="center"/>
    </w:pPr>
    <w:rPr>
      <w:rFonts w:ascii="Times New Roman" w:hAnsi="Times New Roman" w:eastAsia="Times New Roman" w:cs="Times New Roman"/>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emf"/><Relationship Id="rId5" Type="http://schemas.openxmlformats.org/officeDocument/2006/relationships/image" Target="media/image2.png"/><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2023-04-19T05:40:00Z</dcterms:created>
  <dc:creator>admin</dc:creator>
  <cp:lastModifiedBy>落梁家</cp:lastModifiedBy>
  <dcterms:modified xsi:type="dcterms:W3CDTF">2023-04-19T06:28:34Z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ies>
</file>