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240" w:lineRule="auto"/>
        <w:ind w:right="0"/>
        <w:jc w:val="both"/>
        <w:rPr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u w:val="none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color="auto" w:fill="FFFFFF"/>
          <w:lang w:val="en-US" w:eastAsia="zh-CN"/>
        </w:rPr>
        <w:t>1.采购预算清单更正后如下</w:t>
      </w: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u w:val="none"/>
          <w:shd w:val="clear" w:color="auto" w:fill="FFFFFF"/>
          <w:lang w:val="en-US" w:eastAsia="zh-CN"/>
        </w:rPr>
        <w:t>：</w:t>
      </w:r>
    </w:p>
    <w:tbl>
      <w:tblPr>
        <w:tblStyle w:val="7"/>
        <w:tblpPr w:leftFromText="180" w:rightFromText="180" w:vertAnchor="text" w:horzAnchor="page" w:tblpX="1549" w:tblpY="393"/>
        <w:tblOverlap w:val="never"/>
        <w:tblW w:w="931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"/>
        <w:gridCol w:w="3577"/>
        <w:gridCol w:w="717"/>
        <w:gridCol w:w="910"/>
        <w:gridCol w:w="1062"/>
        <w:gridCol w:w="1200"/>
        <w:gridCol w:w="10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7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357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1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计量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91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22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 额  (元)</w:t>
            </w:r>
          </w:p>
        </w:tc>
        <w:tc>
          <w:tcPr>
            <w:tcW w:w="1073" w:type="dxa"/>
            <w:vMerge w:val="restart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7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7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1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综合单价</w:t>
            </w: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合价</w:t>
            </w: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7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7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1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鳌江镇车站大道（养护期为一年）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1517970.12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常绿乔木胸径（cm）10以内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1787</w:t>
            </w:r>
          </w:p>
        </w:tc>
        <w:tc>
          <w:tcPr>
            <w:tcW w:w="1062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46.31</w:t>
            </w:r>
          </w:p>
        </w:tc>
        <w:tc>
          <w:tcPr>
            <w:tcW w:w="1200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82755.97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常绿乔木胸径（cm）15以内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2114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179732.28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常绿乔木胸径（cm）20以内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1269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107890.38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常绿乔木胸径（cm）30以内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647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131.25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84918.75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常绿乔木胸径（cm）40以内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178.33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5171.57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球形植物养护 球形植物蓬径（cm）150以内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933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23.44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21869.52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球形植物养护 球形植物蓬径（cm）200以内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209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37.59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7856.31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灌木养护 片植灌木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52594.01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11.52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605883.00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草坪养护 暖地型草坪满铺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55879.78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7.55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421892.34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鳌江镇疏港大道（养护期为一年）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253981.01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常绿乔木胸径（cm）10以内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46.31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11114.40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常绿乔木胸径（cm）15以内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298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25335.96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常绿乔木胸径（cm）20以内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3825.90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常绿乔木胸径（cm）30以内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131.25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5250.00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球形植物养护 球形植物蓬径（cm）150以内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163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23.44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3820.72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球形植物养护 球形植物蓬径（cm）200以内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37.59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2067.45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灌木养护 片植灌木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15244.8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11.52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175620.10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草坪养护 暖地型草坪满铺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3569.07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7.55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26946.48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鳌江镇胜利路（养护期为一年）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122352.68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常绿乔木胸径（cm）10以内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46.31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3658.49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常绿乔木胸径（cm）15以内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5016.18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常绿乔木胸径（cm）20以内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139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11817.78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常绿乔木胸径（cm）30以内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131.25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11025.00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常绿乔木胸径（cm）40以内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178.33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356.66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球形植物养护 球形植物蓬径（cm）150以内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23.44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890.72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球形植物养护 球形植物蓬径（cm）200以内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37.59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1127.70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灌木养护 片植灌木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7078.07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11.52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81539.37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草坪养护 暖地型草坪满铺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916.66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7.55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6920.78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鳌江镇新河路（养护期为一年）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71251.53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常绿乔木胸径（cm）10以内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46.31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1528.23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常绿乔木胸径（cm）15以内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3230.76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常绿乔木胸径（cm）20以内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5696.34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常绿乔木胸径（cm）30以内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286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131.25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37537.50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球形植物养护 球形植物蓬径（cm）150以内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23.44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1992.40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球形植物养护 球形植物蓬径（cm）200以内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37.59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1954.68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灌木养护 片植灌木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149.82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11.52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1725.93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草坪养护 暖地型草坪满铺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2329.23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7.55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17585.69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鳌江镇吉祥路（养护期为一年）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19751.35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常绿乔木胸径（cm）10以内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46.31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370.48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常绿乔木胸径（cm）15以内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3485.82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常绿乔木胸径（cm）20以内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5526.30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常绿乔木胸径（cm）30以内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131.25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10368.75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水头镇（养护期为一年）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137843.09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常绿乔木胸径（cm）10以内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241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46.31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11160.71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常绿乔木胸径（cm）15以内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187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15898.74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常绿乔木胸径（cm）20以内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6546.54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常绿乔木胸径（cm）30以内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131.25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8400.00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常绿乔木胸径（cm）40以内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178.33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1426.64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球形植物养护 球形植物蓬径（cm）150以内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176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23.44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4125.44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球形植物养护 球形植物蓬径（cm）200以内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37.59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977.34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灌木养护 片植灌木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3858.11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11.52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44445.43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草坪养护 暖地型草坪满铺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5942.02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7.55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44862.25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山门镇（养护期为一年）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403465.53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常绿乔木胸径（cm）10以内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46.31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2176.57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常绿乔木胸径（cm）15以内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620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52712.40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常绿乔木胸径（cm）20以内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609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51777.18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常绿乔木胸径（cm）30以内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816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131.25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107100.00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常绿乔木胸径（cm）40以内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107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178.33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19081.31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球形植物养护 球形植物蓬径（cm）150以内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507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23.44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11884.08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球形植物养护 球形植物蓬径（cm）200以内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37.59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639.03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灌木养护 片植灌木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12121.04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11.52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139634.38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草坪养护 暖地型草坪满铺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2445.11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7.55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18460.58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凤卧镇（养护期为一年）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272885.53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常绿乔木胸径（cm）10以内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1111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46.31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51450.41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常绿乔木胸径（cm）15以内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243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20659.86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常绿乔木胸径（cm）20以内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17089.02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常绿乔木胸径（cm）30以内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142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131.25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18637.50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常绿乔木胸径（cm）40以内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178.33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1069.98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球形植物养护 球形植物蓬径（cm）150以内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584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23.44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13688.96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球形植物养护 球形植物蓬径（cm）200以内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37.59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3646.23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灌木养护 片植灌木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1593.6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11.52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18358.27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草坪养护 暖地型草坪满铺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16991.43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7.55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128285.30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平阳城市中心区绿化养护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2123821.81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万联路（养护期为一年）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12506.40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常绿乔木胸径（cm）20以内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10202.40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灌木养护 片植灌木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11.52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2304.00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横阳路（养护期为一年）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6801.60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常绿乔木胸径（cm）20以内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6801.60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昆阳镇白垟路（县公安局门口段）绿化小公园（养护期为一年）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6121.47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常绿乔木胸径（cm）20以内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935.22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常绿乔木胸径（cm）30以内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131.25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656.25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草坪养护 暖地型草坪满铺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7.55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4530.00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昆阳镇B66、B67南侧、C22地块北侧绿化（养护期为一年）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46341.01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常绿乔木胸径（cm）10以内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46.31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9262.00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常绿乔木胸径（cm）20以内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170.04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球形植物养护 球形植物蓬径（cm）200以内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37.59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150.36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灌木养护 灌木高度（cm）200以内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7.50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172.50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灌木养护 灌木高度（cm）250以内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11.25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56.25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草坪养护 暖地型草坪满铺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4153.6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7.55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31359.68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灌木养护 片植灌木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448.8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11.52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5170.18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万鳌公路中间绿化带提升工程（养护期为一年）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133129.06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常绿乔木胸径（cm）30以内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131.25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12468.75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常绿乔木胸径（cm）20以内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680.16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常绿乔木胸径（cm）10以内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781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46.31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36168.11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灌木养护 片植灌木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1539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11.52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17729.28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灌木养护 灌木高度（cm）100以内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3.34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146.96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灌木养护 灌木高度（cm）200以内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571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7.50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4282.50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草坪养护 暖地型草坪满铺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8166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7.55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61653.30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昆二中二期围墙绿化整治工程（养护期为一年）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2114.00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草坪养护 暖地型草坪满铺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280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7.55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2114.00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昆阳镇横阳路街边绿化提升工程（养护期为一年）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6990.38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草坪养护 暖地型草坪满铺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7.55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3624.00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灌木养护 片植灌木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11.52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2073.60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常绿乔木胸径（cm）10以内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46.31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324.17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常绿乔木胸径（cm）20以内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595.14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常绿乔木胸径（cm）40以内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178.33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356.66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灌木养护 灌木高度（cm）250以上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16.81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16.81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经五路（状元路-万联路）行道树（养护期为一年）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6801.60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常绿乔木胸径（cm）20以内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6801.60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东垟路行道树（养护期为一年）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2550.60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常绿乔木胸径（cm）20以内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2550.60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昆阳镇兴工路行道树工程（养护期为一年）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5502.78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灌木养护 片植灌木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11.52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656.64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常绿乔木胸径（cm）20以内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4846.14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平阳县城投公司新办公楼绿化提升工程（养护期为一年）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3779.58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草坪养护 暖地型草坪满铺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7.55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604.00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灌木养护 片植灌木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11.52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2188.80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常绿乔木胸径（cm）40以内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178.33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356.66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灌木养护 灌木高度（cm）200以内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7.50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120.00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常绿乔木胸径（cm）20以内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510.12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平阳县城东新区联华路两侧提升工程（养护期为一年）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23253.88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灌木养护 片植灌木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1440.8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11.52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16598.02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灌木养护 灌木高度（cm）200以内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7.50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3000.00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常绿乔木胸径（cm）20以内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3655.86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C28地块安置房两侧和南侧行道树（养护期为一年）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10367.34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灌木养护 片植灌木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11.52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1382.40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常绿乔木胸径（cm）20以内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425.10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107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常绿乔木胸径（cm）40以内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178.33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8559.84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白垟路北侧（养护期为一年）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61161.50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108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草坪养护 暖地型草坪满铺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2371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7.55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17901.05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灌木养护 片植灌木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2260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11.52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26035.20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灌木养护 灌木高度（cm）200以内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7.50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105.00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常绿乔木胸径（cm）30以内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131.25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1443.75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常绿乔木胸径（cm）20以内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5951.40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常绿乔木胸径（cm）10以内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46.31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9725.10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万鳌路森林式道路景观示范带工程（养护期为一年）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226990.03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草坪养护 暖地型草坪满铺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3030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7.55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22876.50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灌木养护 片植灌木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8743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11.52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100719.36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常绿乔木胸径（cm）40以内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178.33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30316.10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常绿乔木胸径（cm）20以内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725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61639.50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常绿乔木胸径（cm）10以内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247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46.31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11438.57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昆宋大道中间绿化带（万鳌公路-经十三路）（养护期为一年）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29309.93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灌木养护 片植灌木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2000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11.52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23040.00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灌木养护 灌木高度（cm）200以内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7.50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1500.00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常绿乔木胸径（cm）10以内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46.31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4769.93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京都红墅湾旁滨水小公园（养护期为一年）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41084.73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草坪养护 暖地型草坪满铺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965.8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7.55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7291.79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灌木养护 片植灌木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1764.1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11.52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20322.43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124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常绿乔木胸径（cm）40以内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178.33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534.99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常绿乔木胸径（cm）20以内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151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12838.02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灌木养护 灌木高度（cm）200以内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7.50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97.50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三号路（昆宋大道-临区街）行道树（养护期为一年）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16662.00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127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常绿乔木胸径（cm）20以内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13943.28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灌木养护 片植灌木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236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11.52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2718.72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纬二十路及万联路延伸段行道树（养护期为一年）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6433.62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129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常绿乔木胸径（cm）20以内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5696.34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灌木养护 片植灌木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11.52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737.28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昆宋大道两侧绿化带（万鳌公路-经十三路）养护周期为一年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756139.58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球形植物养护 球形植物蓬径（cm）200以内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230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37.59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8645.70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球形植物养护 球形植物蓬径（cm）300以内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177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74.02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13101.54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133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常绿乔木胸径（cm）10以内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1266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46.31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58628.46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常绿乔木胸径（cm）20以内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1579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134246.58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常绿乔木胸径（cm）30以内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654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131.25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85837.50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灌木养护 片植灌木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19105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11.52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220089.60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137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草坪养护 暖地型草坪满铺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31204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7.55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235590.20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平阳县城东新区万鳌公路（西浦河-昆宋大道段）养护周期为一年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219780.72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138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常绿乔木胸径（cm）10以内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326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46.31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15097.06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139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常绿乔木胸径（cm）15以内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155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13178.10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常绿乔木胸径（cm）20以内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1020.24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141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常绿乔木胸径（cm）30以内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355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131.25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46593.75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142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乔木养护 常绿乔木胸径（cm）40以内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178.33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14801.39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143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球形植物养护 球形植物蓬径（cm）150以内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529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23.44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12399.76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球形植物养护 球形植物蓬径（cm）200以内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37.59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4548.39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灌木养护 灌木高度（cm）100以内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3.34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183.70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146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灌木养护 片植灌木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8245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11.52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94982.40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147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草坪养护 暖地型草坪满铺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2463.85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6.89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16975.93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草籽籽播费用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50000.00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148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草籽籽播费用根据实际发生按实结算，但该费用上限按下浮后的投标价计，用完停止。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50000.00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50000.00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苗木补植费用和临时应急费用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250000.00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149</w:t>
            </w: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采购服务期内苗木补植费用和临时应急产生的费用，根据实际发生按实结算，但该费用上限按下浮后的投标价计，用完停止。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250000.00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250000.00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不可抗力费用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200000.00</w:t>
            </w:r>
          </w:p>
        </w:tc>
        <w:tc>
          <w:tcPr>
            <w:tcW w:w="1073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3577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采购服务期内因不可抗力损坏造成的费用，根据实际发生按实结算，但该费用上限按下浮后的投标价计，用完停止。</w:t>
            </w:r>
          </w:p>
        </w:tc>
        <w:tc>
          <w:tcPr>
            <w:tcW w:w="717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910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200000.00</w:t>
            </w:r>
          </w:p>
        </w:tc>
        <w:tc>
          <w:tcPr>
            <w:tcW w:w="1200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200000.00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一年养护费 合计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4923327 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240" w:lineRule="auto"/>
        <w:ind w:right="0"/>
        <w:jc w:val="both"/>
        <w:rPr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u w:val="none"/>
          <w:shd w:val="clear" w:color="auto" w:fill="FFFFFF"/>
          <w:lang w:val="en-US" w:eastAsia="zh-CN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240" w:lineRule="auto"/>
        <w:ind w:right="0"/>
        <w:jc w:val="both"/>
        <w:rPr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u w:val="none"/>
          <w:shd w:val="clear" w:color="auto" w:fill="FFFFFF"/>
          <w:lang w:val="en-US" w:eastAsia="zh-CN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240" w:lineRule="auto"/>
        <w:ind w:right="0"/>
        <w:jc w:val="both"/>
        <w:rPr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u w:val="none"/>
          <w:shd w:val="clear" w:color="auto" w:fill="FFFFFF"/>
          <w:lang w:val="en-US" w:eastAsia="zh-CN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240" w:lineRule="auto"/>
        <w:ind w:right="0"/>
        <w:jc w:val="both"/>
        <w:rPr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u w:val="none"/>
          <w:shd w:val="clear" w:color="auto" w:fill="FFFFFF"/>
          <w:lang w:val="en-US" w:eastAsia="zh-CN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240" w:lineRule="auto"/>
        <w:ind w:right="0"/>
        <w:jc w:val="both"/>
        <w:rPr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u w:val="none"/>
          <w:shd w:val="clear" w:color="auto" w:fill="FFFFFF"/>
          <w:lang w:val="en-US" w:eastAsia="zh-CN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240" w:lineRule="auto"/>
        <w:ind w:right="0"/>
        <w:jc w:val="both"/>
        <w:rPr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u w:val="none"/>
          <w:shd w:val="clear" w:color="auto" w:fill="FFFFFF"/>
          <w:lang w:val="en-US" w:eastAsia="zh-CN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240" w:lineRule="auto"/>
        <w:ind w:right="0"/>
        <w:jc w:val="both"/>
        <w:rPr>
          <w:rFonts w:hint="eastAsia" w:ascii="宋体" w:hAnsi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color="auto" w:fill="FFFFFF"/>
          <w:lang w:val="en-US" w:eastAsia="zh-CN"/>
        </w:rPr>
        <w:t>2.附件2.2开标一览表</w:t>
      </w:r>
      <w:bookmarkStart w:id="0" w:name="_GoBack"/>
      <w:bookmarkEnd w:id="0"/>
      <w:r>
        <w:rPr>
          <w:rFonts w:hint="eastAsia" w:ascii="宋体" w:hAnsi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color="auto" w:fill="FFFFFF"/>
          <w:lang w:val="en-US" w:eastAsia="zh-CN"/>
        </w:rPr>
        <w:t>更正后如下：</w:t>
      </w:r>
    </w:p>
    <w:p>
      <w:pPr>
        <w:pStyle w:val="4"/>
        <w:adjustRightInd w:val="0"/>
        <w:snapToGrid w:val="0"/>
        <w:spacing w:line="400" w:lineRule="exact"/>
        <w:jc w:val="center"/>
        <w:rPr>
          <w:rFonts w:hint="eastAsia" w:hAnsi="宋体"/>
          <w:color w:val="auto"/>
          <w:sz w:val="36"/>
          <w:szCs w:val="36"/>
          <w:highlight w:val="none"/>
        </w:rPr>
      </w:pPr>
    </w:p>
    <w:p>
      <w:pPr>
        <w:pStyle w:val="4"/>
        <w:adjustRightInd w:val="0"/>
        <w:snapToGrid w:val="0"/>
        <w:spacing w:line="400" w:lineRule="exact"/>
        <w:jc w:val="center"/>
        <w:rPr>
          <w:rFonts w:hAnsi="宋体"/>
          <w:color w:val="auto"/>
          <w:sz w:val="36"/>
          <w:szCs w:val="36"/>
          <w:highlight w:val="none"/>
        </w:rPr>
      </w:pPr>
      <w:r>
        <w:rPr>
          <w:rFonts w:hint="eastAsia" w:hAnsi="宋体"/>
          <w:color w:val="auto"/>
          <w:sz w:val="36"/>
          <w:szCs w:val="36"/>
          <w:highlight w:val="none"/>
        </w:rPr>
        <w:t>开标一览表</w:t>
      </w:r>
    </w:p>
    <w:p>
      <w:pPr>
        <w:pStyle w:val="4"/>
        <w:adjustRightInd w:val="0"/>
        <w:snapToGrid w:val="0"/>
        <w:spacing w:line="400" w:lineRule="exact"/>
        <w:rPr>
          <w:rFonts w:hint="eastAsia" w:hAnsi="宋体"/>
          <w:color w:val="auto"/>
          <w:sz w:val="36"/>
          <w:szCs w:val="36"/>
          <w:highlight w:val="none"/>
        </w:rPr>
      </w:pPr>
    </w:p>
    <w:p>
      <w:pPr>
        <w:pStyle w:val="4"/>
        <w:adjustRightInd w:val="0"/>
        <w:snapToGrid w:val="0"/>
        <w:spacing w:line="400" w:lineRule="exact"/>
        <w:rPr>
          <w:rFonts w:hint="eastAsia" w:hAnsi="宋体"/>
          <w:color w:val="auto"/>
          <w:sz w:val="36"/>
          <w:szCs w:val="36"/>
          <w:highlight w:val="none"/>
        </w:rPr>
      </w:pPr>
    </w:p>
    <w:p>
      <w:pPr>
        <w:pStyle w:val="4"/>
        <w:adjustRightInd w:val="0"/>
        <w:snapToGrid w:val="0"/>
        <w:spacing w:line="400" w:lineRule="exact"/>
        <w:rPr>
          <w:rFonts w:hAnsi="宋体"/>
          <w:color w:val="000000"/>
          <w:sz w:val="24"/>
          <w:szCs w:val="24"/>
        </w:rPr>
      </w:pPr>
      <w:r>
        <w:rPr>
          <w:rFonts w:hint="eastAsia" w:hAnsi="宋体"/>
          <w:color w:val="000000"/>
          <w:sz w:val="24"/>
          <w:szCs w:val="24"/>
        </w:rPr>
        <w:t>供应商名称：</w:t>
      </w:r>
      <w:r>
        <w:rPr>
          <w:rFonts w:hAnsi="宋体"/>
          <w:color w:val="000000"/>
          <w:sz w:val="24"/>
          <w:szCs w:val="24"/>
        </w:rPr>
        <w:t xml:space="preserve">                </w:t>
      </w:r>
      <w:r>
        <w:rPr>
          <w:rFonts w:hint="eastAsia" w:hAnsi="宋体"/>
          <w:color w:val="000000"/>
          <w:sz w:val="24"/>
          <w:szCs w:val="24"/>
        </w:rPr>
        <w:t xml:space="preserve">      </w:t>
      </w:r>
      <w:r>
        <w:rPr>
          <w:rFonts w:hAnsi="宋体"/>
          <w:color w:val="000000"/>
          <w:sz w:val="24"/>
          <w:szCs w:val="24"/>
        </w:rPr>
        <w:t xml:space="preserve">  </w:t>
      </w:r>
      <w:r>
        <w:rPr>
          <w:rFonts w:hint="eastAsia" w:hAnsi="宋体"/>
          <w:color w:val="000000"/>
          <w:sz w:val="24"/>
          <w:szCs w:val="24"/>
        </w:rPr>
        <w:t>招标编号：</w:t>
      </w:r>
      <w:r>
        <w:rPr>
          <w:rFonts w:hAnsi="宋体"/>
          <w:color w:val="000000"/>
          <w:sz w:val="24"/>
          <w:szCs w:val="24"/>
        </w:rPr>
        <w:t xml:space="preserve">          </w:t>
      </w:r>
    </w:p>
    <w:tbl>
      <w:tblPr>
        <w:tblStyle w:val="7"/>
        <w:tblW w:w="96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3"/>
        <w:gridCol w:w="1352"/>
        <w:gridCol w:w="1050"/>
        <w:gridCol w:w="3174"/>
        <w:gridCol w:w="14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6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项目名称</w:t>
            </w:r>
          </w:p>
        </w:tc>
        <w:tc>
          <w:tcPr>
            <w:tcW w:w="13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highlight w:val="none"/>
              </w:rPr>
              <w:t>最高限价（万元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投标下浮率</w:t>
            </w:r>
          </w:p>
        </w:tc>
        <w:tc>
          <w:tcPr>
            <w:tcW w:w="317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投标报价（元）</w:t>
            </w:r>
          </w:p>
        </w:tc>
        <w:tc>
          <w:tcPr>
            <w:tcW w:w="14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1" w:hRule="atLeast"/>
        </w:trPr>
        <w:tc>
          <w:tcPr>
            <w:tcW w:w="2623" w:type="dxa"/>
            <w:noWrap w:val="0"/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w w:val="8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w w:val="90"/>
                <w:sz w:val="24"/>
                <w:szCs w:val="24"/>
                <w:highlight w:val="none"/>
                <w:lang w:eastAsia="zh-CN"/>
              </w:rPr>
              <w:t>2022-2023年平阳县县管绿地养护项目一期</w:t>
            </w: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35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u w:val="none"/>
                <w:lang w:val="en-US" w:eastAsia="zh-CN"/>
              </w:rPr>
              <w:t>492.3327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u w:val="singl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 xml:space="preserve">    % </w:t>
            </w:r>
          </w:p>
        </w:tc>
        <w:tc>
          <w:tcPr>
            <w:tcW w:w="3174" w:type="dxa"/>
            <w:noWrap w:val="0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小写：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single"/>
              </w:rPr>
              <w:t xml:space="preserve">  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single"/>
              </w:rPr>
              <w:t xml:space="preserve">    </w:t>
            </w:r>
          </w:p>
          <w:p>
            <w:pPr>
              <w:pStyle w:val="9"/>
              <w:ind w:left="0" w:leftChars="0" w:firstLine="0" w:firstLineChars="0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  <w:p>
            <w:pPr>
              <w:pStyle w:val="9"/>
              <w:ind w:left="0" w:leftChars="0" w:firstLine="0" w:firstLineChars="0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大写：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single"/>
              </w:rPr>
              <w:t xml:space="preserve">                        </w:t>
            </w:r>
          </w:p>
        </w:tc>
        <w:tc>
          <w:tcPr>
            <w:tcW w:w="1487" w:type="dxa"/>
            <w:noWrap w:val="0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投标下浮率如有小数点，保持小数点后面两位数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  <w:t>。</w:t>
            </w:r>
          </w:p>
        </w:tc>
      </w:tr>
    </w:tbl>
    <w:p>
      <w:pPr>
        <w:pStyle w:val="4"/>
        <w:numPr>
          <w:ilvl w:val="0"/>
          <w:numId w:val="1"/>
        </w:numPr>
        <w:adjustRightInd w:val="0"/>
        <w:snapToGrid w:val="0"/>
        <w:spacing w:line="460" w:lineRule="atLeast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▲开标一览表中报价为符合采购文件要求的项目投标价，包括整个项目实施过程中所有费用。</w:t>
      </w:r>
    </w:p>
    <w:p>
      <w:pPr>
        <w:pStyle w:val="4"/>
        <w:numPr>
          <w:ilvl w:val="0"/>
          <w:numId w:val="1"/>
        </w:numPr>
        <w:adjustRightInd w:val="0"/>
        <w:snapToGrid w:val="0"/>
        <w:spacing w:line="480" w:lineRule="exact"/>
        <w:ind w:left="0" w:leftChars="0" w:firstLine="0" w:firstLineChars="0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▲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本项目采购预算价为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492.3327万元，最高限价492.3327万元，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超出最高限价的投标报价为无效标，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投标下浮率计算公式为：(1-投标供应商投标报价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/采购预算价492.3327万元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)*100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</w:t>
      </w:r>
    </w:p>
    <w:p>
      <w:pPr>
        <w:pStyle w:val="4"/>
        <w:numPr>
          <w:ilvl w:val="0"/>
          <w:numId w:val="1"/>
        </w:numPr>
        <w:adjustRightInd w:val="0"/>
        <w:snapToGrid w:val="0"/>
        <w:spacing w:line="480" w:lineRule="exact"/>
        <w:ind w:left="0" w:leftChars="0" w:firstLine="0" w:firstLine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▲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本项目采购单价按此投标下浮率统一结算，结算单价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计算公式为：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采购预算单价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(1-投标下浮率)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</w:t>
      </w:r>
    </w:p>
    <w:p>
      <w:pPr>
        <w:pStyle w:val="5"/>
        <w:numPr>
          <w:ilvl w:val="0"/>
          <w:numId w:val="0"/>
        </w:numPr>
        <w:ind w:leftChars="0"/>
        <w:rPr>
          <w:rFonts w:hint="eastAsia" w:hAnsi="宋体" w:cs="宋体"/>
          <w:b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4、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▲不提供此表格的将视为没有实质性响应招标文件。</w:t>
      </w:r>
    </w:p>
    <w:p>
      <w:pPr>
        <w:autoSpaceDE w:val="0"/>
        <w:autoSpaceDN w:val="0"/>
        <w:adjustRightInd w:val="0"/>
        <w:spacing w:line="440" w:lineRule="atLeast"/>
        <w:rPr>
          <w:rFonts w:hint="eastAsia"/>
          <w:color w:val="000000"/>
          <w:sz w:val="24"/>
          <w:szCs w:val="24"/>
          <w:lang w:val="zh-CN"/>
        </w:rPr>
      </w:pPr>
    </w:p>
    <w:p>
      <w:pPr>
        <w:autoSpaceDE w:val="0"/>
        <w:autoSpaceDN w:val="0"/>
        <w:adjustRightInd w:val="0"/>
        <w:spacing w:line="440" w:lineRule="atLeast"/>
        <w:rPr>
          <w:rFonts w:hint="eastAsia"/>
          <w:color w:val="000000"/>
          <w:sz w:val="24"/>
          <w:szCs w:val="24"/>
          <w:lang w:val="zh-CN"/>
        </w:rPr>
      </w:pPr>
    </w:p>
    <w:p>
      <w:pPr>
        <w:autoSpaceDE w:val="0"/>
        <w:autoSpaceDN w:val="0"/>
        <w:adjustRightInd w:val="0"/>
        <w:spacing w:line="440" w:lineRule="atLeast"/>
        <w:rPr>
          <w:rFonts w:hint="eastAsia"/>
          <w:color w:val="000000"/>
          <w:sz w:val="24"/>
          <w:szCs w:val="24"/>
          <w:lang w:val="zh-CN"/>
        </w:rPr>
      </w:pPr>
      <w:r>
        <w:rPr>
          <w:rFonts w:hint="eastAsia"/>
          <w:color w:val="000000"/>
          <w:sz w:val="24"/>
          <w:szCs w:val="24"/>
          <w:lang w:val="zh-CN"/>
        </w:rPr>
        <w:t>供应商全称（盖章）：</w:t>
      </w:r>
    </w:p>
    <w:p>
      <w:pPr>
        <w:autoSpaceDE w:val="0"/>
        <w:autoSpaceDN w:val="0"/>
        <w:adjustRightInd w:val="0"/>
        <w:spacing w:line="440" w:lineRule="atLeast"/>
        <w:rPr>
          <w:rFonts w:hint="eastAsia"/>
          <w:color w:val="000000"/>
          <w:sz w:val="24"/>
          <w:szCs w:val="24"/>
          <w:lang w:val="zh-CN"/>
        </w:rPr>
      </w:pPr>
      <w:r>
        <w:rPr>
          <w:rFonts w:hint="eastAsia"/>
          <w:color w:val="000000"/>
          <w:sz w:val="24"/>
          <w:szCs w:val="24"/>
          <w:lang w:val="zh-CN"/>
        </w:rPr>
        <w:t>法定代表人或授权代表（签字或盖章）：</w:t>
      </w:r>
    </w:p>
    <w:p>
      <w:pPr>
        <w:autoSpaceDE w:val="0"/>
        <w:autoSpaceDN w:val="0"/>
        <w:adjustRightInd w:val="0"/>
        <w:spacing w:line="460" w:lineRule="atLeast"/>
        <w:rPr>
          <w:rFonts w:hint="eastAsia"/>
          <w:b/>
          <w:color w:val="auto"/>
          <w:sz w:val="24"/>
          <w:szCs w:val="24"/>
          <w:highlight w:val="none"/>
          <w:lang w:val="zh-CN"/>
        </w:rPr>
      </w:pPr>
      <w:r>
        <w:rPr>
          <w:rFonts w:hint="eastAsia"/>
          <w:color w:val="000000"/>
          <w:sz w:val="24"/>
          <w:szCs w:val="24"/>
          <w:lang w:val="zh-CN"/>
        </w:rPr>
        <w:t>日期：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240" w:lineRule="auto"/>
        <w:ind w:right="0"/>
        <w:jc w:val="both"/>
        <w:rPr>
          <w:rFonts w:hint="default" w:ascii="宋体" w:hAnsi="宋体" w:cs="宋体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u w:val="none"/>
          <w:shd w:val="clear" w:color="auto" w:fill="FFFFFF"/>
          <w:lang w:val="en-US" w:eastAsia="zh-CN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240" w:lineRule="auto"/>
        <w:ind w:right="0"/>
        <w:jc w:val="both"/>
        <w:rPr>
          <w:rFonts w:hint="default" w:ascii="宋体" w:hAnsi="宋体" w:cs="宋体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u w:val="none"/>
          <w:shd w:val="clear" w:color="auto" w:fill="FFFFFF"/>
          <w:lang w:val="en-US" w:eastAsia="zh-CN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240" w:lineRule="auto"/>
        <w:ind w:right="0"/>
        <w:jc w:val="both"/>
        <w:rPr>
          <w:rFonts w:hint="default" w:ascii="宋体" w:hAnsi="宋体" w:cs="宋体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u w:val="none"/>
          <w:shd w:val="clear" w:color="auto" w:fill="FFFFFF"/>
          <w:lang w:val="en-US" w:eastAsia="zh-CN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240" w:lineRule="auto"/>
        <w:ind w:right="0"/>
        <w:jc w:val="both"/>
        <w:rPr>
          <w:rFonts w:hint="default" w:ascii="宋体" w:hAnsi="宋体" w:cs="宋体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u w:val="none"/>
          <w:shd w:val="clear" w:color="auto" w:fill="FFFFFF"/>
          <w:lang w:val="en-US" w:eastAsia="zh-CN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240" w:lineRule="auto"/>
        <w:ind w:right="0"/>
        <w:jc w:val="both"/>
        <w:rPr>
          <w:rFonts w:hint="default" w:ascii="宋体" w:hAnsi="宋体" w:cs="宋体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u w:val="none"/>
          <w:shd w:val="clear" w:color="auto" w:fill="FFFFFF"/>
          <w:lang w:val="en-US" w:eastAsia="zh-CN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240" w:lineRule="auto"/>
        <w:ind w:right="0"/>
        <w:jc w:val="both"/>
        <w:rPr>
          <w:rFonts w:hint="default" w:ascii="宋体" w:hAnsi="宋体" w:cs="宋体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u w:val="none"/>
          <w:shd w:val="clear" w:color="auto" w:fill="FFFFFF"/>
          <w:lang w:val="en-US" w:eastAsia="zh-CN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240" w:lineRule="auto"/>
        <w:ind w:right="0"/>
        <w:jc w:val="both"/>
        <w:rPr>
          <w:rFonts w:hint="default" w:ascii="宋体" w:hAnsi="宋体" w:cs="宋体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u w:val="none"/>
          <w:shd w:val="clear" w:color="auto" w:fill="FFFFFF"/>
          <w:lang w:val="en-US" w:eastAsia="zh-CN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240" w:lineRule="auto"/>
        <w:ind w:right="0"/>
        <w:jc w:val="both"/>
        <w:rPr>
          <w:rFonts w:hint="default" w:ascii="宋体" w:hAnsi="宋体" w:cs="宋体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u w:val="none"/>
          <w:shd w:val="clear" w:color="auto" w:fill="FFFFFF"/>
          <w:lang w:val="en-US" w:eastAsia="zh-CN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240" w:lineRule="auto"/>
        <w:ind w:right="0"/>
        <w:jc w:val="both"/>
        <w:rPr>
          <w:rFonts w:hint="default" w:ascii="宋体" w:hAnsi="宋体" w:cs="宋体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u w:val="none"/>
          <w:shd w:val="clear" w:color="auto" w:fill="FFFFFF"/>
          <w:lang w:val="en-US" w:eastAsia="zh-CN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240" w:lineRule="auto"/>
        <w:ind w:right="0"/>
        <w:jc w:val="both"/>
        <w:rPr>
          <w:rFonts w:hint="default" w:ascii="宋体" w:hAnsi="宋体" w:cs="宋体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u w:val="none"/>
          <w:shd w:val="clear" w:color="auto" w:fill="FFFFFF"/>
          <w:lang w:val="en-US" w:eastAsia="zh-CN"/>
        </w:rPr>
      </w:pPr>
    </w:p>
    <w:p>
      <w:pPr>
        <w:pStyle w:val="6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240" w:lineRule="auto"/>
        <w:ind w:right="0" w:rightChars="0"/>
        <w:jc w:val="both"/>
        <w:rPr>
          <w:rFonts w:hint="default" w:ascii="宋体" w:hAnsi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color="auto" w:fill="FFFFFF"/>
          <w:lang w:val="en-US" w:eastAsia="zh-CN"/>
        </w:rPr>
        <w:t>3.附件2.3分项报价明细表更正后如下：</w:t>
      </w:r>
    </w:p>
    <w:p>
      <w:pPr>
        <w:pStyle w:val="4"/>
        <w:adjustRightInd w:val="0"/>
        <w:snapToGrid w:val="0"/>
        <w:spacing w:line="460" w:lineRule="atLeast"/>
        <w:ind w:firstLine="160" w:firstLineChars="50"/>
        <w:jc w:val="center"/>
        <w:rPr>
          <w:rFonts w:hint="eastAsia" w:hAnsi="宋体" w:cs="宋体"/>
          <w:color w:val="000000"/>
          <w:sz w:val="32"/>
        </w:rPr>
      </w:pPr>
      <w:r>
        <w:rPr>
          <w:rFonts w:hint="eastAsia" w:hAnsi="宋体" w:cs="宋体"/>
          <w:color w:val="000000"/>
          <w:sz w:val="32"/>
        </w:rPr>
        <w:t>分项报价明细表</w:t>
      </w:r>
    </w:p>
    <w:tbl>
      <w:tblPr>
        <w:tblStyle w:val="7"/>
        <w:tblW w:w="9600" w:type="dxa"/>
        <w:tblInd w:w="-44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2"/>
        <w:gridCol w:w="4092"/>
        <w:gridCol w:w="416"/>
        <w:gridCol w:w="957"/>
        <w:gridCol w:w="739"/>
        <w:gridCol w:w="784"/>
        <w:gridCol w:w="925"/>
        <w:gridCol w:w="1075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40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计量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9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352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 额  (元)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4" w:hRule="atLeast"/>
        </w:trPr>
        <w:tc>
          <w:tcPr>
            <w:tcW w:w="6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0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综合单价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投标下浮率  %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投标单价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投标合价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鳌江镇车站大道（养护期为一年）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常绿乔木胸径（cm）10以内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1787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46.31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常绿乔木胸径（cm）15以内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2114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常绿乔木胸径（cm）20以内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1269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常绿乔木胸径（cm）30以内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647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131.25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常绿乔木胸径（cm）40以内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178.33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球形植物养护 球形植物蓬径（cm）150以内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933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23.44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球形植物养护 球形植物蓬径（cm）200以内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37.59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灌木养护 片植灌木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52594.01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11.52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草坪养护 暖地型草坪满铺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55879.78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7.55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鳌江镇疏港大道（养护期为一年）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常绿乔木胸径（cm）10以内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46.31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常绿乔木胸径（cm）15以内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298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常绿乔木胸径（cm）20以内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常绿乔木胸径（cm）30以内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131.25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球形植物养护 球形植物蓬径（cm）150以内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23.44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球形植物养护 球形植物蓬径（cm）200以内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37.59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灌木养护 片植灌木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15244.8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11.52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草坪养护 暖地型草坪满铺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3569.07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7.55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鳌江镇胜利路（养护期为一年）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常绿乔木胸径（cm）10以内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46.31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常绿乔木胸径（cm）15以内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常绿乔木胸径（cm）20以内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常绿乔木胸径（cm）30以内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131.25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常绿乔木胸径（cm）40以内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178.33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球形植物养护 球形植物蓬径（cm）150以内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23.44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球形植物养护 球形植物蓬径（cm）200以内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37.59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灌木养护 片植灌木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7078.07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11.52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草坪养护 暖地型草坪满铺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916.66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7.55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鳌江镇新河路（养护期为一年）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常绿乔木胸径（cm）10以内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46.31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常绿乔木胸径（cm）15以内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常绿乔木胸径（cm）20以内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常绿乔木胸径（cm）30以内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286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131.25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球形植物养护 球形植物蓬径（cm）150以内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23.44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球形植物养护 球形植物蓬径（cm）200以内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37.59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灌木养护 片植灌木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149.82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11.52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草坪养护 暖地型草坪满铺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2329.23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7.55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鳌江镇吉祥路（养护期为一年）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常绿乔木胸径（cm）10以内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46.31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常绿乔木胸径（cm）15以内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常绿乔木胸径（cm）20以内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常绿乔木胸径（cm）30以内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131.25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水头镇（养护期为一年）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常绿乔木胸径（cm）10以内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46.31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常绿乔木胸径（cm）15以内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常绿乔木胸径（cm）20以内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常绿乔木胸径（cm）30以内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131.25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常绿乔木胸径（cm）40以内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178.33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球形植物养护 球形植物蓬径（cm）150以内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23.44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球形植物养护 球形植物蓬径（cm）200以内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37.59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灌木养护 片植灌木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3858.11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11.52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草坪养护 暖地型草坪满铺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5942.02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7.55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山门镇（养护期为一年）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常绿乔木胸径（cm）10以内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46.31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常绿乔木胸径（cm）15以内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620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常绿乔木胸径（cm）20以内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609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常绿乔木胸径（cm）30以内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816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131.25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常绿乔木胸径（cm）40以内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178.33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球形植物养护 球形植物蓬径（cm）150以内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507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23.44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球形植物养护 球形植物蓬径（cm）200以内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37.59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灌木养护 片植灌木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12121.04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11.52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草坪养护 暖地型草坪满铺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2445.11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7.55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凤卧镇（养护期为一年）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常绿乔木胸径（cm）10以内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1111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46.31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常绿乔木胸径（cm）15以内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243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常绿乔木胸径（cm）20以内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常绿乔木胸径（cm）30以内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131.25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常绿乔木胸径（cm）40以内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178.33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球形植物养护 球形植物蓬径（cm）150以内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584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23.44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球形植物养护 球形植物蓬径（cm）200以内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37.59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灌木养护 片植灌木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1593.6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11.52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草坪养护 暖地型草坪满铺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16991.43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7.55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平阳城市中心区绿化养护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万联路（养护期为一年）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常绿乔木胸径（cm）20以内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灌木养护 片植灌木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11.52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横阳路（养护期为一年）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常绿乔木胸径（cm）20以内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昆阳镇白垟路（县公安局门口段）绿化小公园（养护期为一年）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常绿乔木胸径（cm）20以内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常绿乔木胸径（cm）30以内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131.25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草坪养护 暖地型草坪满铺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7.55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昆阳镇B66、B67南侧、C22地块北侧绿化（养护期为一年）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常绿乔木胸径（cm）10以内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46.31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常绿乔木胸径（cm）20以内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球形植物养护 球形植物蓬径（cm）200以内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37.59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灌木养护 灌木高度（cm）200以内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7.50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灌木养护 灌木高度（cm）250以内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11.25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草坪养护 暖地型草坪满铺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4153.6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7.55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灌木养护 片植灌木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448.8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11.52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万鳌公路中间绿化带提升工程（养护期为一年）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常绿乔木胸径（cm）30以内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131.25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常绿乔木胸径（cm）20以内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常绿乔木胸径（cm）10以内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781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46.31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灌木养护 片植灌木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1539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11.52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灌木养护 灌木高度（cm）100以内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3.34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灌木养护 灌木高度（cm）200以内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571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7.50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草坪养护 暖地型草坪满铺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8166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7.55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昆二中二期围墙绿化整治工程（养护期为一年）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草坪养护 暖地型草坪满铺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7.55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昆阳镇横阳路街边绿化提升工程（养护期为一年）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草坪养护 暖地型草坪满铺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7.55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灌木养护 片植灌木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11.52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常绿乔木胸径（cm）10以内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46.31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常绿乔木胸径（cm）20以内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常绿乔木胸径（cm）40以内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178.33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灌木养护 灌木高度（cm）250以上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16.81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经五路（状元路-万联路）行道树（养护期为一年）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常绿乔木胸径（cm）20以内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东垟路行道树（养护期为一年）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常绿乔木胸径（cm）20以内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昆阳镇兴工路行道树工程（养护期为一年）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灌木养护 片植灌木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11.52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常绿乔木胸径（cm）20以内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平阳县城投公司新办公楼绿化提升工程（养护期为一年）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草坪养护 暖地型草坪满铺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7.55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灌木养护 片植灌木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11.52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常绿乔木胸径（cm）40以内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178.33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灌木养护 灌木高度（cm）200以内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7.50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常绿乔木胸径（cm）20以内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平阳县城东新区联华路两侧提升工程（养护期为一年）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灌木养护 片植灌木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1440.8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11.52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灌木养护 灌木高度（cm）200以内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7.50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常绿乔木胸径（cm）20以内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C28地块安置房两侧和南侧行道树（养护期为一年）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灌木养护 片植灌木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11.52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常绿乔木胸径（cm）20以内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常绿乔木胸径（cm）40以内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178.33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白垟路北侧（养护期为一年）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草坪养护 暖地型草坪满铺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2371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7.55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灌木养护 片植灌木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2260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11.52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灌木养护 灌木高度（cm）200以内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7.50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常绿乔木胸径（cm）30以内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131.25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常绿乔木胸径（cm）20以内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常绿乔木胸径（cm）10以内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46.31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万鳌路森林式道路景观示范带工程（养护期为一年）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草坪养护 暖地型草坪满铺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3030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7.55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灌木养护 片植灌木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8743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11.52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常绿乔木胸径（cm）40以内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178.33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常绿乔木胸径（cm）20以内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725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常绿乔木胸径（cm）10以内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247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46.31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昆宋大道中间绿化带（万鳌公路-经十三路）（养护期为一年）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灌木养护 片植灌木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11.52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灌木养护 灌木高度（cm）200以内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7.50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常绿乔木胸径（cm）10以内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46.31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京都红墅湾旁滨水小公园（养护期为一年）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草坪养护 暖地型草坪满铺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965.8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7.55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灌木养护 片植灌木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1764.1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11.52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常绿乔木胸径（cm）40以内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178.33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常绿乔木胸径（cm）20以内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灌木养护 灌木高度（cm）200以内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7.50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三号路（昆宋大道-临区街）行道树（养护期为一年）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常绿乔木胸径（cm）20以内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灌木养护 片植灌木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11.52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纬二十路及万联路延伸段行道树（养护期为一年）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常绿乔木胸径（cm）20以内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灌木养护 片植灌木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11.52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昆宋大道两侧绿化带（万鳌公路-经十三路）养护周期为一年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球形植物养护 球形植物蓬径（cm）200以内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37.59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球形植物养护 球形植物蓬径（cm）300以内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74.02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常绿乔木胸径（cm）10以内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1266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46.31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常绿乔木胸径（cm）20以内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1579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常绿乔木胸径（cm）30以内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131.25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灌木养护 片植灌木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19105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11.52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草坪养护 暖地型草坪满铺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31204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7.55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平阳县城东新区万鳌公路（西浦河-昆宋大道段）养护周期为一年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常绿乔木胸径（cm）10以内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326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46.31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常绿乔木胸径（cm）15以内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常绿乔木胸径（cm）20以内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85.02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常绿乔木胸径（cm）30以内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355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131.25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乔木养护 常绿乔木胸径（cm）40以内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178.33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球形植物养护 球形植物蓬径（cm）150以内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529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23.44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球形植物养护 球形植物蓬径（cm）200以内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37.59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灌木养护 灌木高度（cm）100以内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3.34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灌木养护 片植灌木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8245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11.52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草坪养护 暖地型草坪满铺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2463.85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6.89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草籽籽播费用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草籽籽播费用根据实际发生按实结算，但该费用上限按下浮后的投标价计，用完停止。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50000.00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苗木补植费用和临时应急费用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采购服务期内苗木补植费用和临时应急产生的费用，根据实际发生按实结算，但该费用上限按下浮后的投标价计，用完停止。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250000.00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不可抗力费用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采购服务期内因不可抗力损坏造成的费用，根据实际发生按实结算，但该费用上限按下浮后的投标价计，用完停止。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200000.00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firstLine="402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1~150    一年养护费合计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3" w:hRule="atLeast"/>
        </w:trPr>
        <w:tc>
          <w:tcPr>
            <w:tcW w:w="960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val="en-US" w:eastAsia="zh-CN"/>
              </w:rPr>
              <w:t>投标总价（小写）：                   元； （大写）：                         元整</w:t>
            </w:r>
          </w:p>
        </w:tc>
      </w:tr>
    </w:tbl>
    <w:p>
      <w:pPr>
        <w:spacing w:line="360" w:lineRule="auto"/>
        <w:rPr>
          <w:rFonts w:hint="eastAsia"/>
          <w:b/>
          <w:bCs/>
          <w:color w:val="000000"/>
          <w:sz w:val="21"/>
          <w:szCs w:val="21"/>
        </w:rPr>
      </w:pPr>
      <w:r>
        <w:rPr>
          <w:rFonts w:hint="eastAsia"/>
          <w:b/>
          <w:bCs/>
          <w:sz w:val="21"/>
          <w:szCs w:val="21"/>
        </w:rPr>
        <w:t>注：</w:t>
      </w:r>
      <w:r>
        <w:rPr>
          <w:rFonts w:hint="eastAsia"/>
          <w:b/>
          <w:bCs/>
          <w:color w:val="000000"/>
          <w:sz w:val="21"/>
          <w:szCs w:val="21"/>
        </w:rPr>
        <w:t>1、表格可延续或自行编制。</w:t>
      </w:r>
    </w:p>
    <w:p>
      <w:pPr>
        <w:spacing w:line="360" w:lineRule="auto"/>
        <w:ind w:firstLine="413" w:firstLineChars="196"/>
        <w:rPr>
          <w:rFonts w:hint="eastAsia"/>
          <w:b/>
          <w:bCs/>
          <w:color w:val="000000"/>
          <w:sz w:val="21"/>
          <w:szCs w:val="21"/>
        </w:rPr>
      </w:pPr>
      <w:r>
        <w:rPr>
          <w:rFonts w:hint="eastAsia"/>
          <w:b/>
          <w:bCs/>
          <w:color w:val="000000"/>
          <w:sz w:val="21"/>
          <w:szCs w:val="21"/>
        </w:rPr>
        <w:t>2、</w:t>
      </w:r>
      <w:r>
        <w:rPr>
          <w:rFonts w:hint="eastAsia"/>
          <w:b/>
          <w:bCs/>
          <w:color w:val="000000"/>
          <w:sz w:val="21"/>
          <w:szCs w:val="21"/>
          <w:lang w:bidi="ar"/>
        </w:rPr>
        <w:t>投标总价</w:t>
      </w:r>
      <w:r>
        <w:rPr>
          <w:rFonts w:hint="eastAsia"/>
          <w:b/>
          <w:bCs/>
          <w:color w:val="000000"/>
          <w:sz w:val="21"/>
          <w:szCs w:val="21"/>
        </w:rPr>
        <w:t>应与附件</w:t>
      </w:r>
      <w:r>
        <w:rPr>
          <w:rFonts w:hint="eastAsia"/>
          <w:b/>
          <w:bCs/>
          <w:color w:val="000000"/>
          <w:sz w:val="21"/>
          <w:szCs w:val="21"/>
          <w:lang w:val="en-US" w:eastAsia="zh-CN"/>
        </w:rPr>
        <w:t>2.2</w:t>
      </w:r>
      <w:r>
        <w:rPr>
          <w:rFonts w:hint="eastAsia"/>
          <w:b/>
          <w:bCs/>
          <w:color w:val="000000"/>
          <w:sz w:val="21"/>
          <w:szCs w:val="21"/>
        </w:rPr>
        <w:t>“开标一览表”中投标报价相一致。</w:t>
      </w:r>
    </w:p>
    <w:p>
      <w:pPr>
        <w:spacing w:line="360" w:lineRule="auto"/>
        <w:ind w:firstLine="422" w:firstLineChars="200"/>
        <w:rPr>
          <w:rFonts w:hint="eastAsia"/>
          <w:b/>
          <w:bCs/>
          <w:sz w:val="21"/>
          <w:szCs w:val="21"/>
        </w:rPr>
      </w:pPr>
      <w:r>
        <w:rPr>
          <w:rFonts w:hint="eastAsia"/>
          <w:b/>
          <w:bCs/>
          <w:color w:val="000000"/>
          <w:sz w:val="21"/>
          <w:szCs w:val="21"/>
        </w:rPr>
        <w:t>3、报价中须包含养护费及验收费、税费、措施费、采购代理服务费及其它需要的</w:t>
      </w:r>
      <w:r>
        <w:rPr>
          <w:rFonts w:hint="eastAsia"/>
          <w:b/>
          <w:bCs/>
          <w:color w:val="000000"/>
          <w:sz w:val="21"/>
          <w:szCs w:val="21"/>
          <w:lang w:eastAsia="zh-CN"/>
        </w:rPr>
        <w:t>一切</w:t>
      </w:r>
      <w:r>
        <w:rPr>
          <w:rFonts w:hint="eastAsia"/>
          <w:b/>
          <w:bCs/>
          <w:color w:val="000000"/>
          <w:sz w:val="21"/>
          <w:szCs w:val="21"/>
        </w:rPr>
        <w:t>费用。</w:t>
      </w:r>
      <w:r>
        <w:rPr>
          <w:rFonts w:hint="eastAsia"/>
          <w:b/>
          <w:bCs/>
          <w:sz w:val="21"/>
          <w:szCs w:val="21"/>
        </w:rPr>
        <w:t xml:space="preserve">                      </w:t>
      </w:r>
    </w:p>
    <w:p>
      <w:pPr>
        <w:pStyle w:val="3"/>
        <w:spacing w:before="120" w:after="120" w:line="360" w:lineRule="auto"/>
        <w:ind w:left="428" w:hanging="428"/>
        <w:rPr>
          <w:rFonts w:hint="eastAsia" w:eastAsia="宋体"/>
          <w:sz w:val="21"/>
          <w:szCs w:val="21"/>
          <w:lang w:eastAsia="zh-CN"/>
        </w:rPr>
      </w:pPr>
      <w:r>
        <w:rPr>
          <w:rFonts w:hint="eastAsia" w:eastAsia="宋体"/>
          <w:b/>
          <w:bCs/>
          <w:sz w:val="21"/>
          <w:szCs w:val="21"/>
        </w:rPr>
        <w:t xml:space="preserve">    </w:t>
      </w:r>
      <w:r>
        <w:rPr>
          <w:rFonts w:hint="eastAsia" w:eastAsia="宋体"/>
          <w:b/>
          <w:bCs/>
          <w:sz w:val="21"/>
          <w:szCs w:val="21"/>
          <w:lang w:val="en-US" w:eastAsia="zh-CN"/>
        </w:rPr>
        <w:t>4</w:t>
      </w:r>
      <w:r>
        <w:rPr>
          <w:rFonts w:hint="eastAsia" w:eastAsia="宋体"/>
          <w:b/>
          <w:bCs/>
          <w:sz w:val="21"/>
          <w:szCs w:val="21"/>
        </w:rPr>
        <w:t>、所有项目</w:t>
      </w:r>
      <w:r>
        <w:rPr>
          <w:rFonts w:hint="eastAsia" w:eastAsia="宋体"/>
          <w:b/>
          <w:bCs/>
          <w:sz w:val="21"/>
          <w:szCs w:val="21"/>
          <w:lang w:eastAsia="zh-CN"/>
        </w:rPr>
        <w:t>投标</w:t>
      </w:r>
      <w:r>
        <w:rPr>
          <w:rFonts w:hint="eastAsia" w:eastAsia="宋体"/>
          <w:b/>
          <w:bCs/>
          <w:sz w:val="21"/>
          <w:szCs w:val="21"/>
        </w:rPr>
        <w:t>下浮率</w:t>
      </w:r>
      <w:r>
        <w:rPr>
          <w:rFonts w:hint="eastAsia" w:eastAsia="宋体"/>
          <w:b/>
          <w:bCs/>
          <w:sz w:val="21"/>
          <w:szCs w:val="21"/>
          <w:lang w:eastAsia="zh-CN"/>
        </w:rPr>
        <w:t>均</w:t>
      </w:r>
      <w:r>
        <w:rPr>
          <w:rFonts w:hint="eastAsia" w:eastAsia="宋体"/>
          <w:b/>
          <w:bCs/>
          <w:sz w:val="21"/>
          <w:szCs w:val="21"/>
        </w:rPr>
        <w:t>须一致，</w:t>
      </w:r>
      <w:r>
        <w:rPr>
          <w:rFonts w:hint="eastAsia" w:eastAsia="宋体"/>
          <w:b/>
          <w:bCs/>
          <w:color w:val="000000"/>
          <w:sz w:val="21"/>
          <w:szCs w:val="21"/>
        </w:rPr>
        <w:t>投标不得超过最高限价</w:t>
      </w:r>
      <w:r>
        <w:rPr>
          <w:rFonts w:hint="eastAsia" w:eastAsia="宋体"/>
          <w:b/>
          <w:bCs/>
          <w:sz w:val="21"/>
          <w:szCs w:val="21"/>
        </w:rPr>
        <w:t>，否则按无效标处理</w:t>
      </w:r>
      <w:r>
        <w:rPr>
          <w:rFonts w:hint="eastAsia" w:eastAsia="宋体"/>
          <w:b/>
          <w:bCs/>
          <w:sz w:val="21"/>
          <w:szCs w:val="21"/>
          <w:lang w:eastAsia="zh-CN"/>
        </w:rPr>
        <w:t>。</w:t>
      </w:r>
    </w:p>
    <w:p>
      <w:pPr>
        <w:pStyle w:val="4"/>
        <w:spacing w:line="460" w:lineRule="atLeast"/>
        <w:rPr>
          <w:rFonts w:hint="eastAsia"/>
          <w:color w:val="000000"/>
          <w:sz w:val="22"/>
          <w:szCs w:val="22"/>
          <w:lang w:val="zh-CN"/>
        </w:rPr>
      </w:pPr>
      <w:r>
        <w:rPr>
          <w:rFonts w:hint="eastAsia"/>
          <w:color w:val="000000"/>
          <w:sz w:val="22"/>
          <w:szCs w:val="22"/>
          <w:lang w:val="zh-CN"/>
        </w:rPr>
        <w:t>供应商全称（盖章）：</w:t>
      </w:r>
    </w:p>
    <w:p>
      <w:pPr>
        <w:autoSpaceDE w:val="0"/>
        <w:autoSpaceDN w:val="0"/>
        <w:adjustRightInd w:val="0"/>
        <w:spacing w:line="440" w:lineRule="atLeast"/>
        <w:rPr>
          <w:rFonts w:hint="eastAsia"/>
          <w:color w:val="000000"/>
          <w:sz w:val="22"/>
          <w:szCs w:val="22"/>
          <w:lang w:val="zh-CN"/>
        </w:rPr>
      </w:pPr>
      <w:r>
        <w:rPr>
          <w:rFonts w:hint="eastAsia"/>
          <w:color w:val="000000"/>
          <w:sz w:val="22"/>
          <w:szCs w:val="22"/>
          <w:lang w:val="zh-CN"/>
        </w:rPr>
        <w:t>法定代表人（负责人）或授权代表（签字或盖章）：</w:t>
      </w:r>
    </w:p>
    <w:p>
      <w:pPr>
        <w:autoSpaceDE w:val="0"/>
        <w:autoSpaceDN w:val="0"/>
        <w:adjustRightInd w:val="0"/>
        <w:spacing w:line="440" w:lineRule="atLeast"/>
        <w:rPr>
          <w:rFonts w:hint="eastAsia"/>
          <w:color w:val="000000"/>
          <w:sz w:val="22"/>
          <w:szCs w:val="22"/>
          <w:lang w:val="zh-CN"/>
        </w:rPr>
      </w:pPr>
      <w:r>
        <w:rPr>
          <w:rFonts w:hint="eastAsia"/>
          <w:color w:val="000000"/>
          <w:sz w:val="22"/>
          <w:szCs w:val="22"/>
          <w:lang w:val="zh-CN"/>
        </w:rPr>
        <w:t>日期：</w:t>
      </w:r>
    </w:p>
    <w:p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06B7A8"/>
    <w:multiLevelType w:val="singleLevel"/>
    <w:tmpl w:val="7A06B7A8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5B54DD"/>
    <w:rsid w:val="0B5B54DD"/>
    <w:rsid w:val="6E0A1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99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jc w:val="left"/>
      <w:outlineLvl w:val="0"/>
    </w:pPr>
    <w:rPr>
      <w:rFonts w:ascii="Calibri" w:hAnsi="Calibri"/>
      <w:b/>
      <w:sz w:val="28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lock Text"/>
    <w:basedOn w:val="1"/>
    <w:qFormat/>
    <w:uiPriority w:val="99"/>
    <w:pPr>
      <w:spacing w:before="156" w:beforeLines="50" w:after="156" w:afterLines="50"/>
      <w:ind w:left="426" w:right="-11" w:hanging="426" w:hangingChars="203"/>
    </w:pPr>
    <w:rPr>
      <w:rFonts w:eastAsia="楷体_GB2312"/>
    </w:rPr>
  </w:style>
  <w:style w:type="paragraph" w:styleId="4">
    <w:name w:val="Plain Text"/>
    <w:basedOn w:val="1"/>
    <w:next w:val="5"/>
    <w:qFormat/>
    <w:uiPriority w:val="0"/>
    <w:rPr>
      <w:rFonts w:hAnsi="Courier New"/>
      <w:kern w:val="2"/>
      <w:sz w:val="21"/>
    </w:rPr>
  </w:style>
  <w:style w:type="paragraph" w:styleId="5">
    <w:name w:val="toc 2"/>
    <w:basedOn w:val="1"/>
    <w:next w:val="1"/>
    <w:qFormat/>
    <w:uiPriority w:val="0"/>
    <w:pPr>
      <w:ind w:left="420" w:leftChars="200"/>
    </w:pPr>
    <w:rPr>
      <w:szCs w:val="20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9">
    <w:name w:val="BodyText1I2"/>
    <w:basedOn w:val="10"/>
    <w:qFormat/>
    <w:uiPriority w:val="0"/>
    <w:pPr>
      <w:widowControl w:val="0"/>
      <w:spacing w:after="120"/>
      <w:ind w:left="420" w:leftChars="200" w:firstLine="420" w:firstLineChars="200"/>
      <w:jc w:val="both"/>
      <w:textAlignment w:val="baseline"/>
    </w:pPr>
    <w:rPr>
      <w:rFonts w:ascii="Times New Roman" w:hAnsi="Times New Roman" w:cs="Times New Roman"/>
      <w:color w:val="000000"/>
      <w:kern w:val="2"/>
      <w:sz w:val="21"/>
    </w:rPr>
  </w:style>
  <w:style w:type="paragraph" w:customStyle="1" w:styleId="10">
    <w:name w:val="BodyTextIndent"/>
    <w:basedOn w:val="1"/>
    <w:qFormat/>
    <w:uiPriority w:val="0"/>
    <w:pPr>
      <w:spacing w:after="120" w:line="240" w:lineRule="auto"/>
      <w:ind w:left="420" w:leftChars="200"/>
      <w:jc w:val="both"/>
      <w:textAlignment w:val="baseline"/>
    </w:pPr>
    <w:rPr>
      <w:rFonts w:ascii="Times New Roman" w:hAnsi="Times New Roman" w:eastAsia="宋体"/>
      <w:color w:val="000000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2022-01-27T01:04:00Z</dcterms:created>
  <dc:creator>Administrator</dc:creator>
  <cp:lastModifiedBy>Administrator</cp:lastModifiedBy>
  <cp:lastPrinted>2022-01-27T05:42:34Z</cp:lastPrinted>
  <dcterms:modified xsi:type="dcterms:W3CDTF">2022-01-27T06:50:12Z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