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2"/>
          <w:szCs w:val="22"/>
          <w:lang w:val="en-US" w:eastAsia="zh-CN"/>
        </w:rPr>
      </w:pPr>
      <w:r>
        <w:rPr>
          <w:rFonts w:hint="eastAsia"/>
          <w:sz w:val="32"/>
          <w:szCs w:val="40"/>
          <w:lang w:val="en-US" w:eastAsia="zh-CN"/>
        </w:rPr>
        <w:t>关于</w:t>
      </w:r>
      <w:r>
        <w:rPr>
          <w:rFonts w:hint="eastAsia"/>
          <w:sz w:val="32"/>
          <w:szCs w:val="40"/>
          <w:lang w:eastAsia="zh-CN"/>
        </w:rPr>
        <w:t>平阳县中医院迁扩建工程—智能化二期工程</w:t>
      </w:r>
      <w:r>
        <w:rPr>
          <w:rFonts w:hint="eastAsia"/>
          <w:sz w:val="32"/>
          <w:szCs w:val="40"/>
          <w:lang w:val="en-US" w:eastAsia="zh-CN"/>
        </w:rPr>
        <w:t>的答疑</w:t>
      </w:r>
    </w:p>
    <w:p>
      <w:pPr>
        <w:keepNext w:val="0"/>
        <w:keepLines w:val="0"/>
        <w:pageBreakBefore w:val="0"/>
        <w:numPr>
          <w:ilvl w:val="0"/>
          <w:numId w:val="0"/>
        </w:numPr>
        <w:kinsoku/>
        <w:overflowPunct/>
        <w:topLinePunct w:val="0"/>
        <w:bidi w:val="0"/>
        <w:spacing w:line="400" w:lineRule="exact"/>
        <w:jc w:val="both"/>
        <w:textAlignment w:val="auto"/>
        <w:rPr>
          <w:rFonts w:hint="eastAsia"/>
          <w:sz w:val="24"/>
          <w:szCs w:val="24"/>
          <w:lang w:val="en-US" w:eastAsia="zh-CN"/>
        </w:rPr>
      </w:pPr>
      <w:r>
        <w:rPr>
          <w:rFonts w:hint="eastAsia"/>
          <w:sz w:val="24"/>
          <w:szCs w:val="24"/>
          <w:lang w:val="en-US" w:eastAsia="zh-CN"/>
        </w:rPr>
        <w:t>各投标人：</w:t>
      </w:r>
    </w:p>
    <w:p>
      <w:pPr>
        <w:keepNext w:val="0"/>
        <w:keepLines w:val="0"/>
        <w:pageBreakBefore w:val="0"/>
        <w:numPr>
          <w:ilvl w:val="0"/>
          <w:numId w:val="0"/>
        </w:numPr>
        <w:kinsoku/>
        <w:overflowPunct/>
        <w:topLinePunct w:val="0"/>
        <w:bidi w:val="0"/>
        <w:spacing w:line="400" w:lineRule="exact"/>
        <w:ind w:firstLine="480" w:firstLineChars="200"/>
        <w:jc w:val="both"/>
        <w:textAlignment w:val="auto"/>
        <w:rPr>
          <w:rFonts w:hint="default"/>
          <w:sz w:val="24"/>
          <w:szCs w:val="24"/>
          <w:lang w:val="en-US" w:eastAsia="zh-CN"/>
        </w:rPr>
      </w:pPr>
      <w:r>
        <w:rPr>
          <w:rFonts w:hint="eastAsia"/>
          <w:sz w:val="24"/>
          <w:szCs w:val="24"/>
          <w:lang w:val="en-US" w:eastAsia="zh-CN"/>
        </w:rPr>
        <w:t>根据本工程网上质疑内容现作如下答复：</w:t>
      </w:r>
    </w:p>
    <w:p>
      <w:pPr>
        <w:keepNext w:val="0"/>
        <w:keepLines w:val="0"/>
        <w:pageBreakBefore w:val="0"/>
        <w:numPr>
          <w:ilvl w:val="0"/>
          <w:numId w:val="0"/>
        </w:numPr>
        <w:kinsoku/>
        <w:overflowPunct/>
        <w:topLinePunct w:val="0"/>
        <w:bidi w:val="0"/>
        <w:spacing w:line="400" w:lineRule="exact"/>
        <w:ind w:firstLine="482" w:firstLineChars="200"/>
        <w:jc w:val="both"/>
        <w:textAlignment w:val="auto"/>
        <w:rPr>
          <w:rFonts w:hint="eastAsia"/>
          <w:sz w:val="24"/>
          <w:szCs w:val="24"/>
          <w:lang w:val="en-US" w:eastAsia="zh-CN"/>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sz w:val="24"/>
          <w:szCs w:val="24"/>
          <w:lang w:val="en-US" w:eastAsia="zh-CN"/>
        </w:rPr>
        <w:t>1、本工程BIM模型可视化系统演示中，不同投标人是否允许使用同一厂商制作的BIM演示视频?2、招标清单中项目特征需要提供的ISO9001、ISO14001、ISO27001、ISO20000、ISO28000认证、中国信息安全认证中心《信息安全应急处理服务资质（一级）》和《信息系统安全集成服务资质（一级）》、CNAS认证、《计算机软件著作权登记证书》、提供最终服务单位为平阳县中医院的原厂服务承诺函、《GA/T 686-2007信息安全技术虚拟专用网安全技术要求》、多核并行安全操作系统”的证书、国信息安全测评中心颁发的信息安全服务安全工程类三级资质证书、是微软MAPP（Microsoft Active Protection Program）计划战略合作伙伴、产品功能截图、3C和CQC节能认证证书等等所有要求提供的证明资料，是否可以中标后提供？</w:t>
      </w:r>
    </w:p>
    <w:p>
      <w:pPr>
        <w:keepNext w:val="0"/>
        <w:keepLines w:val="0"/>
        <w:pageBreakBefore w:val="0"/>
        <w:numPr>
          <w:ilvl w:val="0"/>
          <w:numId w:val="0"/>
        </w:numPr>
        <w:kinsoku/>
        <w:overflowPunct/>
        <w:topLinePunct w:val="0"/>
        <w:bidi w:val="0"/>
        <w:spacing w:line="400" w:lineRule="exact"/>
        <w:ind w:firstLine="480" w:firstLineChars="200"/>
        <w:jc w:val="both"/>
        <w:textAlignment w:val="auto"/>
        <w:rPr>
          <w:rFonts w:hint="eastAsia"/>
          <w:color w:val="FF0000"/>
          <w:sz w:val="24"/>
          <w:szCs w:val="24"/>
          <w:u w:val="single"/>
          <w:lang w:val="en-US" w:eastAsia="zh-CN"/>
        </w:rPr>
      </w:pPr>
      <w:r>
        <w:rPr>
          <w:rFonts w:hint="eastAsia"/>
          <w:color w:val="FF0000"/>
          <w:sz w:val="24"/>
          <w:szCs w:val="24"/>
          <w:u w:val="single"/>
          <w:lang w:val="en-US" w:eastAsia="zh-CN"/>
        </w:rPr>
        <w:t>回答：1、可以，但是不建议使用同一厂商制作的演示视频，若出现雷同，导致评标委员会认定串标嫌疑的，后果由投标人自行承担；2、可以。</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bidi w:val="0"/>
        <w:spacing w:line="400" w:lineRule="exact"/>
        <w:ind w:firstLine="482" w:firstLineChars="200"/>
        <w:jc w:val="left"/>
        <w:textAlignment w:val="auto"/>
        <w:rPr>
          <w:rFonts w:hint="eastAsia"/>
          <w:sz w:val="24"/>
          <w:szCs w:val="24"/>
          <w:lang w:val="en-US" w:eastAsia="zh-CN"/>
        </w:rPr>
      </w:pPr>
      <w:r>
        <w:rPr>
          <w:rFonts w:hint="eastAsia" w:ascii="宋体" w:hAnsi="宋体" w:eastAsia="宋体" w:cs="宋体"/>
          <w:b/>
          <w:bCs/>
          <w:sz w:val="24"/>
          <w:szCs w:val="24"/>
          <w:lang w:val="en-US" w:eastAsia="zh-CN"/>
        </w:rPr>
        <w:t>※提问：</w:t>
      </w:r>
      <w:r>
        <w:rPr>
          <w:rFonts w:hint="eastAsia"/>
          <w:sz w:val="24"/>
          <w:szCs w:val="24"/>
          <w:lang w:val="en-US" w:eastAsia="zh-CN"/>
        </w:rPr>
        <w:t xml:space="preserve">招标文件规定“取技术标加资信标最终得分排名前7的有效投标人的商务报价进行评标基准价确定评审。若有效投标人少于7家的，则全部入围评审;若出现两家或多家有效投标人技术标加资信标得分并列第7名时，则并列第7名的有效投标人全部进入后续评审，将上述投标人的商务报价的平均值作为评标基准价。”请问技术标加资信标最终得分未排名在前7的投标人只是不能参与评标基准价确定评审，还是其商务标也是不能参与后续评审是无效的？ </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bidi w:val="0"/>
        <w:spacing w:line="400" w:lineRule="exact"/>
        <w:ind w:firstLine="480" w:firstLineChars="200"/>
        <w:jc w:val="left"/>
        <w:textAlignment w:val="auto"/>
        <w:rPr>
          <w:rFonts w:hint="default"/>
          <w:color w:val="FF0000"/>
          <w:sz w:val="24"/>
          <w:szCs w:val="24"/>
          <w:u w:val="single"/>
          <w:lang w:val="en-US" w:eastAsia="zh-CN"/>
        </w:rPr>
      </w:pPr>
      <w:r>
        <w:rPr>
          <w:rFonts w:hint="eastAsia"/>
          <w:color w:val="FF0000"/>
          <w:sz w:val="24"/>
          <w:szCs w:val="24"/>
          <w:u w:val="single"/>
          <w:lang w:val="en-US" w:eastAsia="zh-CN"/>
        </w:rPr>
        <w:t>回答：技术标</w:t>
      </w:r>
      <w:r>
        <w:rPr>
          <w:rFonts w:hint="eastAsia" w:eastAsia="宋体" w:cs="Times New Roman"/>
          <w:color w:val="FF0000"/>
          <w:sz w:val="24"/>
          <w:szCs w:val="24"/>
          <w:u w:val="single"/>
          <w:lang w:val="en-US" w:eastAsia="zh-CN"/>
        </w:rPr>
        <w:t>加资信标</w:t>
      </w:r>
      <w:r>
        <w:rPr>
          <w:rFonts w:hint="eastAsia"/>
          <w:color w:val="FF0000"/>
          <w:sz w:val="24"/>
          <w:szCs w:val="24"/>
          <w:u w:val="single"/>
          <w:lang w:val="en-US" w:eastAsia="zh-CN"/>
        </w:rPr>
        <w:t>最终得分未排名在前7的投标人只是不参与评标基准价的计算，其商务标依然有效，并且计算商务标得分。</w:t>
      </w:r>
    </w:p>
    <w:p>
      <w:pPr>
        <w:keepNext w:val="0"/>
        <w:keepLines w:val="0"/>
        <w:pageBreakBefore w:val="0"/>
        <w:numPr>
          <w:ilvl w:val="0"/>
          <w:numId w:val="0"/>
        </w:numPr>
        <w:kinsoku/>
        <w:overflowPunct/>
        <w:topLinePunct w:val="0"/>
        <w:bidi w:val="0"/>
        <w:spacing w:line="400" w:lineRule="exact"/>
        <w:ind w:firstLine="482" w:firstLineChars="200"/>
        <w:jc w:val="both"/>
        <w:textAlignment w:val="auto"/>
        <w:rPr>
          <w:rFonts w:hint="default"/>
          <w:sz w:val="24"/>
          <w:szCs w:val="24"/>
          <w:lang w:val="en-US" w:eastAsia="zh-CN"/>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sz w:val="24"/>
          <w:szCs w:val="24"/>
          <w:lang w:val="en-US" w:eastAsia="zh-CN"/>
        </w:rPr>
        <w:t>1、招标工程量清单参数中提到的“入网证书、检测报告、截图、认证、证书、证明文件等等”，根据招投标相关法律及条例，保证招投标的公平、公正原则，建议招标文件参数中要求提供的文件全部标后提供。 2、本工程第三方检测费是否需要计入投标报价？ 3、是否无需考虑总包配合费？ 4、是否可以提供招标控制价清单？ 5、招标工程量清单第312项综合运维管理系统（接智能化一期该系统），请提供该系统一期使用品牌。 6、本工程信息安全等级保护测评费是否需要计入投标报价，按几级等保？ 7、本次技术标总分26分，其中后勤运维管理系统演示4分，预估综合运维管理系统（接智能化一期该系统）100万-200万，招标控制价32933397元，占比6%，建议根据造价比例，修改为BIM演示1分。 8、本项目技术评分中要求视频演示基于本医院真实BIM模型为基础的综合运维系统，请招标人提供土建的BIM建模素材，以便投标人制作基于本医院真实BIM模型演示。 9、招标文件投标人须知前附表，投标人提出问题的截止时间：2022年3月19日，招标人书面澄清的时间：2022年3月22日开始提供下载，开标时间：2022年3月29日上午09时30分。根据《中华人民共和国招标投标法实施条例》“第二十一条 招标人可以对已发出的资格预审文件或者招标文件进行必要的澄清或者修改。澄清或者修改的内容可能影响资格预审申请文件或者投标文件编制的，招标人应当在提交资格预审申请文件截止时间至少3日前，或者投标截止时间至少15日前，以书面形式通知所有获取资格预审文件或者招标文件的潜在投标人；不足3日或者15日的，招标人应当顺延提交资格预审申请文件或者投标文件的截止时间。”技术标评分中“后勤运维管理系统（4分）（视频演示基于本医院真实BIM模型为基础的综合运维系统，演示需要提供视频录频，演示系统需采用C/S架构。系统数据可点击，页面可跳转、系统界面与系统界面间可联动，包括但不限于:支持界面穿透、数据钻取。演示时长8分钟以内，超过时长的酌情扣分。）”但招标资料中却没有提医院真实BIM模型，如果在澄清时提供，仅给投标人7天时间，是不可能完成本项投标工作，请招标人按相关规定给予延长投标截止时间。 10、KVM系统推荐品牌“RECENT、kingkun、HP”，RECENT为国产品牌，招标清单里的KVM集中管理软件指定国产品牌，而且HP品牌KVM设备为进口产品，而且HP主要产品是不做KVM的，市场渠道很难找到，Kingkun和RECENT两者为合作伙伴关系，建议增加Kinan、ATEN等在市场上具有相当的知名度的品牌。 11、数字化手术室推荐品牌“巨鲨、迈瑞、艺卓”，巨鲨、迈瑞是国产品牌，艺卓是进口品牌，主要做显示器的，建议推荐品牌增加艾康、神州视翰、海康等品牌。 12、服务器、虚拟化服务器推荐品牌“HPE、IBM(联想)、DELL”，目前国内主流服务器厂商前三名依次为浪潮、华三、华为，国际主流市场为DELL、HPE、浪潮，且目前政府、事业单位对国产化要求不断加深，此次推荐品牌没有国产主流厂商，建议推荐品牌增加“浪潮”等国产品牌。 13、HIS主存储（双活）推荐品牌“华为、HDS、NETAPP”，目前政府、事业单位对存储产品采购国产化要求不断加深，目前在存储产品领域中国区主流存储厂商为华为、华三（HPE）、浪潮。国内存储厂商得到业内Gartner魔力四象限认可厂商为华为、浪潮。建议推荐品牌增加国内主流厂商如“浪潮”等品牌。 14、PACS分布式存储推荐品牌“华为、H3C、深信服”，目前分布式存储产品领域中国区主流存储厂商为华为、华三（HPE）、浪潮。国内分布式存储厂商得到业内Gartner魔力四象限认可厂商为华为、浪潮。建议推荐品牌增加“浪潮”等品牌。 15、资信评分标准规定：“拟派的项目负责人具有电子与智能化相关专业的高级及以上职称得1分，投标文件中应提供职称证书复印件，否则不得分。” 建造师的报考资格并未对职称做要求，而且项目负责人的经验是否丰富主要应该考察其项目管理的多少、管理项目的获奖情况等，职称的高低与其管理经验并不相关。这条的设置有一定倾向性，违反了招标的公平公正原则，建议取消职称的评分。 16、资信评分标准规定：“投标人具有建筑机电安装工程专业承包一级资质的得1分；具有安防工程一级资质（中国安全防范产品行业协会颁发）的得1分，本项最高得2分。” 本项目为智能化项目招标，其招标内容中涉及机电安装的范围很小，而且通常也是放在智能化施工范围内招标的，规定具有建筑机电安装工程专业承包一级资质的得1分这条的设置有一定倾向性，违反了招标的公平公正原则，建议更改为：投标人具有建筑机电安装工程专业承包资质的得1分；浙江省的通用的安防资质是由浙江省安全技术防范行业协会颁发的，而且浙江省的招投标中一直也是使用此证书，此处规定</w:t>
      </w:r>
    </w:p>
    <w:p>
      <w:pPr>
        <w:pStyle w:val="7"/>
        <w:keepNext w:val="0"/>
        <w:keepLines w:val="0"/>
        <w:pageBreakBefore w:val="0"/>
        <w:kinsoku/>
        <w:overflowPunct/>
        <w:topLinePunct w:val="0"/>
        <w:bidi w:val="0"/>
        <w:spacing w:line="400" w:lineRule="exact"/>
        <w:ind w:firstLine="480" w:firstLineChars="200"/>
        <w:textAlignment w:val="auto"/>
        <w:rPr>
          <w:rFonts w:hint="eastAsia" w:eastAsia="宋体" w:cs="Times New Roman"/>
          <w:color w:val="FF0000"/>
          <w:sz w:val="24"/>
          <w:szCs w:val="24"/>
          <w:u w:val="single"/>
          <w:lang w:val="en-US" w:eastAsia="zh-CN"/>
        </w:rPr>
      </w:pPr>
      <w:r>
        <w:rPr>
          <w:rFonts w:hint="eastAsia"/>
          <w:color w:val="FF0000"/>
          <w:sz w:val="24"/>
          <w:szCs w:val="24"/>
          <w:u w:val="single"/>
          <w:lang w:val="en-US" w:eastAsia="zh-CN"/>
        </w:rPr>
        <w:t>回答：1、中标后提供；2、需要计入；3、无需考虑；4、本工程工程量清单即为招标控制价的清单，请投标人根据清单自主报价，控制价不能提供。5、</w:t>
      </w:r>
      <w:r>
        <w:rPr>
          <w:rFonts w:hint="eastAsia" w:eastAsia="宋体" w:cs="Times New Roman"/>
          <w:color w:val="FF0000"/>
          <w:sz w:val="24"/>
          <w:szCs w:val="24"/>
          <w:u w:val="single"/>
          <w:lang w:val="en-US" w:eastAsia="zh-CN"/>
        </w:rPr>
        <w:t>该系统一期厂商（品牌）为上海医广科技有限公司；6、计入，按三级考虑；7、按招标文件执行；8、投标人自行根据主体图纸制作，BIM费用已含在本工程清单报价中，主体图纸现已随答疑上传；9、本工程网上信息录入截止时间、投标截止时间、开标时间现更改为2022年4月</w:t>
      </w:r>
      <w:r>
        <w:rPr>
          <w:rFonts w:hint="eastAsia" w:cs="Times New Roman"/>
          <w:color w:val="FF0000"/>
          <w:sz w:val="24"/>
          <w:szCs w:val="24"/>
          <w:u w:val="single"/>
          <w:lang w:val="en-US" w:eastAsia="zh-CN"/>
        </w:rPr>
        <w:t>7</w:t>
      </w:r>
      <w:r>
        <w:rPr>
          <w:rFonts w:hint="eastAsia" w:eastAsia="宋体" w:cs="Times New Roman"/>
          <w:color w:val="FF0000"/>
          <w:sz w:val="24"/>
          <w:szCs w:val="24"/>
          <w:u w:val="single"/>
          <w:lang w:val="en-US" w:eastAsia="zh-CN"/>
        </w:rPr>
        <w:t>日上午09时30分；保证金（银行转账）截止时间现更改为2022年4月</w:t>
      </w:r>
      <w:r>
        <w:rPr>
          <w:rFonts w:hint="eastAsia" w:cs="Times New Roman"/>
          <w:color w:val="FF0000"/>
          <w:sz w:val="24"/>
          <w:szCs w:val="24"/>
          <w:u w:val="single"/>
          <w:lang w:val="en-US" w:eastAsia="zh-CN"/>
        </w:rPr>
        <w:t>7</w:t>
      </w:r>
      <w:r>
        <w:rPr>
          <w:rFonts w:hint="eastAsia" w:eastAsia="宋体" w:cs="Times New Roman"/>
          <w:color w:val="FF0000"/>
          <w:sz w:val="24"/>
          <w:szCs w:val="24"/>
          <w:u w:val="single"/>
          <w:lang w:val="en-US" w:eastAsia="zh-CN"/>
        </w:rPr>
        <w:t>日上午09时30分，保险电子保函、银行保函及融资担保机构保函办理截止时间（以保费支付到账时间为准）现更改为2022年4月</w:t>
      </w:r>
      <w:r>
        <w:rPr>
          <w:rFonts w:hint="eastAsia" w:cs="Times New Roman"/>
          <w:color w:val="FF0000"/>
          <w:sz w:val="24"/>
          <w:szCs w:val="24"/>
          <w:u w:val="single"/>
          <w:lang w:val="en-US" w:eastAsia="zh-CN"/>
        </w:rPr>
        <w:t>6</w:t>
      </w:r>
      <w:r>
        <w:rPr>
          <w:rFonts w:hint="eastAsia" w:eastAsia="宋体" w:cs="Times New Roman"/>
          <w:color w:val="FF0000"/>
          <w:sz w:val="24"/>
          <w:szCs w:val="24"/>
          <w:u w:val="single"/>
          <w:lang w:val="en-US" w:eastAsia="zh-CN"/>
        </w:rPr>
        <w:t>日下午17时；10-14、作统一回复，本工程招标文件中推荐的品牌非强制性要求的品牌，投标人可以选择优于或相当于的其他品牌；15、按照《浙江省房屋建筑和市政基础设施施工招标文件示范文本》（2021版）资信分可根据项目负责人及项目班子人员能力等因素进行设置，本工程资信部分要求提供建造师职称证书，设置属于合理的设置范围，请按招标文件执行；16、按照《浙江省房屋建筑和市政基础设施施工招标文件示范文本》（2021版）资信分可根据投标单位的企业综合实力进行设置，另外本工程范围内确实涉及机电安装，设置属于合理的设置范围，请按招标文件执行；另外关于安防资质，由于每个省的资质标准可能不一样，因此要求统一按照中国安全防范产品行业协会颁发的资质为准。</w:t>
      </w:r>
    </w:p>
    <w:p>
      <w:pPr>
        <w:pStyle w:val="7"/>
        <w:keepNext w:val="0"/>
        <w:keepLines w:val="0"/>
        <w:pageBreakBefore w:val="0"/>
        <w:kinsoku/>
        <w:overflowPunct/>
        <w:topLinePunct w:val="0"/>
        <w:bidi w:val="0"/>
        <w:spacing w:line="400" w:lineRule="exact"/>
        <w:ind w:firstLine="482" w:firstLineChars="200"/>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1. 第三章评标办法，评标办法前附表中2.2.2评标基准价“1、技术标、资信标经评标委员会评审完毕后当场公布技术标加资信标最终得分。取技术标加资信标最终得分排名前7的有效投标人的商务报价进行评标基准价确定评审。若有效投标人少于7家的，则全部入围评审;若出现两家或多家有效投标人技术标加资信标得分并列第7名时，则并列第7名的有效投标人全部进入后续评审，将上述投标人的商务报价的平均值作为评标基准价。 ”建议修改为：“技术标、资信标经评标委员会评审完毕后当场公布技术标加资信标最终得分。取技术标加资信标最终得分排名前7的有效投标人的商务报价进行评标基准价确定评审。若有效投标人少于7家的，则全部入围评审;若出现两家或多家有效投标人技术标加资信标得分并列第7名时，则并列第7名的有效投标人全部进入后续评审” 再将进入后续评审投标人的商务报价去掉1个最高价，去掉1个最低价后，以剩余投标人的商务报价的平均值作为评标基准价。 2. 招标清单第12条，WEB防火墙项目特征：“硬件采用模块化设计，可以通过扩展卡来增减业务接口，而非软件WAF；为保障产品运行的安全及稳定性，要求产品设计、开发、生产及售后服务符合TL9000-H-S-V相关标准要求。” 为保障产品质量，一般要求厂商满足CMMI5资质，则可以完全证明产品设计、开发、生产等多个标准符合国家高要求。而参数要求满足特定“TL9000-H-S-V”标准实属罕见，并且要求出具证明材料。具有控标性质和排他性。建议删除以上参数。 3. 招标清单第17条，入侵防护IPS项目特征：“厂商具备中国电子工业标准化技术协会颁发的信息技术服务运行维护标准符合性证书（运行维护三级）；”、“厂商具备中国电子信息行业联合会颁发的信息系统建设及服务能力评估资质CS4；” 根据中国电子工业标准化技术协会官网（www.itss.cn）、信息系统建设和服务能力评估网（www.cs-cas.cn）详细查询，满足信息技术服务运行维护标准符合性证书（运行维护三级）、信息系统建设及服务能力评估资质CS4的入侵防护IPS安全厂商只有北京网御星云信息技术有限公司、北京启明星辰信息安全技术有限公司，推荐品牌均不满足。建议删除以上参数。 4. 招标清单第18条，漏洞扫描项目特征：“采用专用硬件架构与安全操作系统，硬件设备可以机架安装。为保障产品运行的安全及稳定性，要求产品设计、开发、生产及售后服务符合TL9000-H-S-V相关标准要求”、“要求具备《计算机信息系统安全专用产品销售许可证》（增强级）”、“产品具备IPv6 Ready Logo认证证书，提供证书复印件”、“厂商具备中国电子信息行业联合会颁发的信息系统建设及服务能力评估资质CS4”。” 一般要求厂商满足CMMI5资质，则可以完全证明产品设计、开发、生产等多个标准符合国家高要求。而参数要求满足特定“TL9000-H-S-V”标准实属罕见，并且要求出具证明材料。具有控标性质和排他性。根据计算机信息系统安全专用产品销售许可服务平台（https://ispl.mps.gov.cn/ispl/jsp/common/ProductList_Public.jsp）、全球IPv6测试中心（https://www.ipv6ready.org.cn）详细查询，同时满足《计算机信息系统安全专用产品销售许可证》（增强级）、IPv6 Ready Logo认证的漏洞扫描安全厂商只有北京网御星云信息技术有限公司，（3）根据信息系统建设和服务能力评估网（www.cs-cas.cn）详细查询，满足信息技术服务运行维护标准符合性证书（运行维护三级）、信息系统建设及服务能力评估资质CS4的漏洞扫描安全厂商有北京网御星云信息技术有限公司、北京启明星辰信息安全技术有限公司、北京天融信网络安全技术有限公司、亚信科技有限公司。结合以上参数，同时满足以上参数漏洞扫描安全厂商只有北京网御星云信息技术有限公司，推荐品牌均不满足。建议删除以上参数。</w:t>
      </w:r>
    </w:p>
    <w:p>
      <w:pPr>
        <w:keepNext w:val="0"/>
        <w:keepLines w:val="0"/>
        <w:pageBreakBefore w:val="0"/>
        <w:kinsoku/>
        <w:overflowPunct/>
        <w:topLinePunct w:val="0"/>
        <w:bidi w:val="0"/>
        <w:spacing w:line="400" w:lineRule="exact"/>
        <w:ind w:firstLine="240" w:firstLineChars="100"/>
        <w:jc w:val="both"/>
        <w:textAlignment w:val="auto"/>
        <w:rPr>
          <w:rFonts w:hint="eastAsia" w:ascii="宋体" w:hAnsi="宋体" w:eastAsia="宋体" w:cs="宋体"/>
          <w:b/>
          <w:bCs/>
          <w:sz w:val="24"/>
          <w:szCs w:val="24"/>
          <w:lang w:val="en-US" w:eastAsia="zh-CN"/>
        </w:rPr>
      </w:pPr>
      <w:r>
        <w:rPr>
          <w:rFonts w:hint="eastAsia" w:ascii="Calibri" w:hAnsi="Calibri" w:eastAsia="宋体" w:cs="Times New Roman"/>
          <w:color w:val="FF0000"/>
          <w:kern w:val="2"/>
          <w:sz w:val="24"/>
          <w:szCs w:val="24"/>
          <w:u w:val="single"/>
          <w:lang w:val="en-US" w:eastAsia="zh-CN" w:bidi="ar-SA"/>
        </w:rPr>
        <w:t>回答：</w:t>
      </w:r>
      <w:r>
        <w:rPr>
          <w:rFonts w:hint="eastAsia" w:cs="Times New Roman"/>
          <w:color w:val="FF0000"/>
          <w:sz w:val="24"/>
          <w:szCs w:val="24"/>
          <w:u w:val="single"/>
          <w:lang w:val="en-US" w:eastAsia="zh-CN"/>
        </w:rPr>
        <w:t>按招标文件执行，</w:t>
      </w:r>
      <w:bookmarkStart w:id="0" w:name="_GoBack"/>
      <w:bookmarkEnd w:id="0"/>
      <w:r>
        <w:rPr>
          <w:rFonts w:hint="eastAsia" w:ascii="Calibri" w:hAnsi="Calibri" w:eastAsia="宋体" w:cs="Times New Roman"/>
          <w:color w:val="FF0000"/>
          <w:kern w:val="2"/>
          <w:sz w:val="24"/>
          <w:szCs w:val="24"/>
          <w:u w:val="single"/>
          <w:lang w:val="en-US" w:eastAsia="zh-CN" w:bidi="ar-SA"/>
        </w:rPr>
        <w:t>本工程的设备参数作为施工图纸的组成部分，是经设计方考虑满足招标人后期使用要求而确定的。另外本工程招标文件中推荐的品牌非强制性要求的品牌，投标人可以选择满足参数要求的优于或相当于的其他品牌。</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bidi w:val="0"/>
        <w:spacing w:line="400" w:lineRule="exact"/>
        <w:ind w:firstLine="482" w:firstLineChars="200"/>
        <w:jc w:val="left"/>
        <w:textAlignment w:val="auto"/>
        <w:rPr>
          <w:rFonts w:ascii="微软雅黑" w:hAnsi="微软雅黑" w:eastAsia="微软雅黑" w:cs="微软雅黑"/>
          <w:color w:val="333333"/>
          <w:sz w:val="24"/>
          <w:szCs w:val="24"/>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eastAsia="宋体" w:cs="Times New Roman"/>
          <w:color w:val="000000"/>
          <w:sz w:val="24"/>
          <w:szCs w:val="24"/>
          <w:lang w:val="en-US" w:eastAsia="zh-CN"/>
        </w:rPr>
        <w:t xml:space="preserve">技术标评分：后勤运维管理系统演示（4分）：视频演示基于本医院真实BIM模型为基础的综合运维系统，演示需要提供视频录频，演示系统需采用C/S架构。系统数据可点击，页面可跳转、系统界面与系统界面间可联动，包括但不限于:支持界面穿透、数据钻取。演示时长8分钟以内，超过时长的酌情扣分。目前招标资料未提供土建的BIM建模素材，招标人书面澄清的时间2022年3月22日，投标截止时间2022年3月29日，在如此短的时间根本不可能完成基于本医院真实BIM模型为基础的综合运维系统的视频演示，并且BIM演示花费十几万；而且本项目采用取“技术标加资信标最终得分排名前7的有效投标人的商务报价进行评标基准价确定评审，将上述投标人的商务报价的平均值作为评标基准价”，招标人明知视频演示基于本医院真实BIM模型却不提供BIM建模素材，本项目为二期工程，极少部分投标人可能存在提前取得BIM建模素材，达到控标的力度。强烈建议取消取“技术标加资信标最终得分排名前7的有效投标人的商务报价进行评标基准价确定评审，将上述投标人的商务报价的平均值作为评标基准价”确定评审方式，建议取消后勤运维管理系统演示，采用全部有效投标人的商务报价进入后续评审且“评标基准价计算方式更改为：工程招标控制价×（1-1%×X-0.1%×Y）；X、Y 为调整系数；X 值在开标会议上从 10、11、12、13、14（五）个数中随机抽取，以抽中值为准；Y 值在开标会议上从 0～9（整数）十个数字中抽取，以抽中值为准。如果投标人的报价≥评标基准价，则投标报价得分＝E-偏差率×100×E1； 如果投标人的报价＜评标基准价，则投标报价得分＝E+偏差率×100×E2；其中：E1=3，E2=2,E=70” </w:t>
      </w:r>
    </w:p>
    <w:p>
      <w:pPr>
        <w:pStyle w:val="7"/>
        <w:keepNext w:val="0"/>
        <w:keepLines w:val="0"/>
        <w:pageBreakBefore w:val="0"/>
        <w:kinsoku/>
        <w:overflowPunct/>
        <w:topLinePunct w:val="0"/>
        <w:bidi w:val="0"/>
        <w:spacing w:line="400" w:lineRule="exact"/>
        <w:ind w:firstLine="480" w:firstLineChars="200"/>
        <w:textAlignment w:val="auto"/>
        <w:rPr>
          <w:rFonts w:hint="eastAsia" w:eastAsia="宋体" w:cs="Times New Roman"/>
          <w:color w:val="FF0000"/>
          <w:sz w:val="24"/>
          <w:szCs w:val="24"/>
          <w:u w:val="single"/>
          <w:lang w:val="en-US" w:eastAsia="zh-CN"/>
        </w:rPr>
      </w:pPr>
      <w:r>
        <w:rPr>
          <w:rFonts w:hint="eastAsia" w:eastAsia="宋体" w:cs="Times New Roman"/>
          <w:color w:val="FF0000"/>
          <w:sz w:val="24"/>
          <w:szCs w:val="24"/>
          <w:u w:val="single"/>
          <w:lang w:val="en-US" w:eastAsia="zh-CN"/>
        </w:rPr>
        <w:t>回答：本工程网上信息录入截止时间、投标截止时间、开标时间现更改为2022年4月</w:t>
      </w:r>
      <w:r>
        <w:rPr>
          <w:rFonts w:hint="eastAsia" w:cs="Times New Roman"/>
          <w:color w:val="FF0000"/>
          <w:sz w:val="24"/>
          <w:szCs w:val="24"/>
          <w:u w:val="single"/>
          <w:lang w:val="en-US" w:eastAsia="zh-CN"/>
        </w:rPr>
        <w:t>7</w:t>
      </w:r>
      <w:r>
        <w:rPr>
          <w:rFonts w:hint="eastAsia" w:eastAsia="宋体" w:cs="Times New Roman"/>
          <w:color w:val="FF0000"/>
          <w:sz w:val="24"/>
          <w:szCs w:val="24"/>
          <w:u w:val="single"/>
          <w:lang w:val="en-US" w:eastAsia="zh-CN"/>
        </w:rPr>
        <w:t>日上午09时30分；保证金（银行转账）截止时间现更改为2022年4月</w:t>
      </w:r>
      <w:r>
        <w:rPr>
          <w:rFonts w:hint="eastAsia" w:cs="Times New Roman"/>
          <w:color w:val="FF0000"/>
          <w:sz w:val="24"/>
          <w:szCs w:val="24"/>
          <w:u w:val="single"/>
          <w:lang w:val="en-US" w:eastAsia="zh-CN"/>
        </w:rPr>
        <w:t>7</w:t>
      </w:r>
      <w:r>
        <w:rPr>
          <w:rFonts w:hint="eastAsia" w:eastAsia="宋体" w:cs="Times New Roman"/>
          <w:color w:val="FF0000"/>
          <w:sz w:val="24"/>
          <w:szCs w:val="24"/>
          <w:u w:val="single"/>
          <w:lang w:val="en-US" w:eastAsia="zh-CN"/>
        </w:rPr>
        <w:t>日上午09时30分，保险电子保函、银行保函及融资担保机构保函办理截止时间（以保费支付到账时间为准）现更改为2022年4月</w:t>
      </w:r>
      <w:r>
        <w:rPr>
          <w:rFonts w:hint="eastAsia" w:cs="Times New Roman"/>
          <w:color w:val="FF0000"/>
          <w:sz w:val="24"/>
          <w:szCs w:val="24"/>
          <w:u w:val="single"/>
          <w:lang w:val="en-US" w:eastAsia="zh-CN"/>
        </w:rPr>
        <w:t>6</w:t>
      </w:r>
      <w:r>
        <w:rPr>
          <w:rFonts w:hint="eastAsia" w:eastAsia="宋体" w:cs="Times New Roman"/>
          <w:color w:val="FF0000"/>
          <w:sz w:val="24"/>
          <w:szCs w:val="24"/>
          <w:u w:val="single"/>
          <w:lang w:val="en-US" w:eastAsia="zh-CN"/>
        </w:rPr>
        <w:t>日下午17时；投标人自行根据主体图纸制作，主体图纸现已随</w:t>
      </w:r>
      <w:r>
        <w:rPr>
          <w:rFonts w:hint="eastAsia" w:cs="Times New Roman"/>
          <w:color w:val="FF0000"/>
          <w:sz w:val="24"/>
          <w:szCs w:val="24"/>
          <w:u w:val="single"/>
          <w:lang w:val="en-US" w:eastAsia="zh-CN"/>
        </w:rPr>
        <w:t>答疑</w:t>
      </w:r>
      <w:r>
        <w:rPr>
          <w:rFonts w:hint="eastAsia" w:eastAsia="宋体" w:cs="Times New Roman"/>
          <w:color w:val="FF0000"/>
          <w:sz w:val="24"/>
          <w:szCs w:val="24"/>
          <w:u w:val="single"/>
          <w:lang w:val="en-US" w:eastAsia="zh-CN"/>
        </w:rPr>
        <w:t>上传；</w:t>
      </w:r>
      <w:r>
        <w:rPr>
          <w:rFonts w:hint="eastAsia" w:cs="Times New Roman"/>
          <w:color w:val="FF0000"/>
          <w:sz w:val="24"/>
          <w:szCs w:val="24"/>
          <w:u w:val="single"/>
          <w:lang w:val="en-US" w:eastAsia="zh-CN"/>
        </w:rPr>
        <w:t>商务标评标方式按</w:t>
      </w:r>
      <w:r>
        <w:rPr>
          <w:rFonts w:hint="eastAsia" w:eastAsia="宋体" w:cs="Times New Roman"/>
          <w:color w:val="FF0000"/>
          <w:sz w:val="24"/>
          <w:szCs w:val="24"/>
          <w:u w:val="single"/>
          <w:lang w:val="en-US" w:eastAsia="zh-CN"/>
        </w:rPr>
        <w:t>招标文件执行。</w:t>
      </w:r>
    </w:p>
    <w:p>
      <w:pPr>
        <w:pStyle w:val="7"/>
        <w:keepNext w:val="0"/>
        <w:keepLines w:val="0"/>
        <w:pageBreakBefore w:val="0"/>
        <w:kinsoku/>
        <w:overflowPunct/>
        <w:topLinePunct w:val="0"/>
        <w:bidi w:val="0"/>
        <w:spacing w:line="400" w:lineRule="exact"/>
        <w:ind w:firstLine="482" w:firstLineChars="200"/>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 xml:space="preserve"> 1、标书第27页2.1.5资信评分标准里的，“至今已完成合同金额3000 万元以上公共建筑类智能化系统工程业绩得1分，” 建议把“公共建筑类”删除。改成“至今已完成合同金额3000万元智能化系统工程业绩得1分，”因为本身就是智能化工程，存在有故意设置门槛的嫌疑。 2、标书第27页2.1.5资信评分标准里的，“投标人具有建筑机电安装工程专业一级资质得一分，” 建议此项应该去掉，机电安装工程跟智能化项目没关系，放在此处不符合招标原则，有故意抬高投标门槛，限制有能力的单位投不了标。建议可以换成相关联的资质，如ICSCE信息化能力和信用评价证书一级或ITSS信息技术服务运行维护标准符合性证书参级及以上等级证书等。 3、投标文件第26页，有关后勤运维管理系统（4分）（视频演示基于本医院</w:t>
      </w: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真实BIM模型为基础的综合运维系统，演示需要提供视频录频，演示系统需采用C/S架构。系统数据可点击，页面可跳转、系统界面与系统界面间可联动，包括但不限于:支持界面穿透、数据钻取。演示时长8分钟以内，超过时长的酌情扣分。）建议取消该项或把视频演示基于本医院真实BIM模型中改成视频演示基于BIM模型，因为任何投标单位在未参与过本项目的前期设计及前期工作的情况下，不可能提前准备好基于本医院的真实BIM模型，该项有严重控标嫌疑。</w:t>
      </w:r>
    </w:p>
    <w:p>
      <w:pPr>
        <w:pStyle w:val="7"/>
        <w:keepNext w:val="0"/>
        <w:keepLines w:val="0"/>
        <w:pageBreakBefore w:val="0"/>
        <w:kinsoku/>
        <w:overflowPunct/>
        <w:topLinePunct w:val="0"/>
        <w:bidi w:val="0"/>
        <w:spacing w:line="400" w:lineRule="exact"/>
        <w:ind w:firstLine="480" w:firstLineChars="200"/>
        <w:textAlignment w:val="auto"/>
        <w:rPr>
          <w:rFonts w:hint="eastAsia" w:eastAsia="宋体" w:cs="Times New Roman"/>
          <w:color w:val="FF0000"/>
          <w:sz w:val="24"/>
          <w:szCs w:val="24"/>
          <w:u w:val="single"/>
          <w:lang w:val="en-US" w:eastAsia="zh-CN"/>
        </w:rPr>
      </w:pPr>
      <w:r>
        <w:rPr>
          <w:rFonts w:hint="eastAsia" w:ascii="Calibri" w:hAnsi="Calibri" w:eastAsia="宋体" w:cs="Times New Roman"/>
          <w:color w:val="FF0000"/>
          <w:kern w:val="2"/>
          <w:sz w:val="24"/>
          <w:szCs w:val="24"/>
          <w:u w:val="single"/>
          <w:lang w:val="en-US" w:eastAsia="zh-CN" w:bidi="ar-SA"/>
        </w:rPr>
        <w:t>回答：1、医院属于大型公共建筑，不同于民用住宅建筑的智能化，具有更强的专业性，因此要求公共建筑类业绩属于合理设置，请按招标文件执行；2、</w:t>
      </w:r>
      <w:r>
        <w:rPr>
          <w:rFonts w:hint="eastAsia" w:eastAsia="宋体" w:cs="Times New Roman"/>
          <w:color w:val="FF0000"/>
          <w:sz w:val="24"/>
          <w:szCs w:val="24"/>
          <w:u w:val="single"/>
          <w:lang w:val="en-US" w:eastAsia="zh-CN"/>
        </w:rPr>
        <w:t>按照《浙江省房屋建筑和市政基础设施施工招标文件示范文本》（2021版）资信分可根据投标单位的企业综合实力进行设置，另外本工程范围内确实涉及机电安装，设置属于合理的设置范围，请按招标文件执行；3、投标人自行根据主体图纸制作，主体图纸现已随答疑上传。</w:t>
      </w:r>
    </w:p>
    <w:p>
      <w:pPr>
        <w:pStyle w:val="7"/>
        <w:keepNext w:val="0"/>
        <w:keepLines w:val="0"/>
        <w:pageBreakBefore w:val="0"/>
        <w:kinsoku/>
        <w:overflowPunct/>
        <w:topLinePunct w:val="0"/>
        <w:bidi w:val="0"/>
        <w:spacing w:line="400" w:lineRule="exact"/>
        <w:ind w:firstLine="482" w:firstLineChars="200"/>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296 汇聚交换机 1、支持交换容量≥600Tbps，支持包转发率≥100000Mpps；事实依据：国内主流的数通产品供应商，如思科、锐捷、新华三等在同档次的核心交换机中，交换容量均小于上述要求。通过各家官网查询，发现有且仅有华为在同档次产品中满足上述指标要求。上述指标为华为惯用的控标手段，存在明显的唯一性。质疑请求：综上所述，建议招标人修改参数为：“支持交换容量≥500Tbps，支持包转发率≥80000Mpps”。 2、主控引擎≥2个；整机业务板槽位数≥12个；电源模块槽位数≥4个；风扇模块槽位数≥4个；事实依据：国内主流的数通产品供应商，如思科、锐捷、新华三等在同档次的核心交换机中，业务板槽位数是10个，电源模块槽位数是2个，风扇模块槽位数是2个。通过各家官网查询，发现有且仅有华为在同档次产品中满足上述指标要求。上述指标为华为惯用的控标手段，存在明显的唯一性。且电源主要功能是给设备供电，满足电源冗余即可；风扇模块主要功能是进行散热，实际应用中散热效果都能够满足。因此该参数是抬高其他厂商商务指标项。质疑请求：综上所述，建议招标人修改参数为：“主控引擎≥2个；整机业务板槽位数≥10个；电源模块槽位数≥2个；风扇模块槽位数≥2个”。 3、考虑机房环境，要求主控、业务板卡、独立监控板卡、电源模块采用统一前侧维护；事实依据： 通过主流交换机厂商官网查询，发现 “独立监控板卡”是华为独家指标，其他交换机厂商都不具备该功能，因此该条参数具有明显的唯一性。 质疑请求：综上所述，建议招标人删除该条参数。 13、双引擎模块，4块电源模块，四块风扇模块，前后风道机框；业务用万兆以太网光口≥48个；40G光口≥4个，100G光口≥2个；1根5M 40G堆叠电缆，2个40G光模块(1310nm,10km,LC)；事实依据： 电源主要功能是给设备供电，满足电源冗余即可；风扇模块主要功能是进行散热，实际应用中散热效果都能够满足。要求“4块电源模块，四块风扇模块”是明显抬高其他厂商商务行为。质疑请求：综上所述，建议招标人修改参数为：“双引擎模块，2块电源模块，2个风扇模块；业务用万兆以太网光口≥48个；40G光口≥4个，100G光口≥2个；1根5M 40G堆叠电缆，2个40G光模块(1310nm,10km,LC)”。法律依据：根据《中华人民共和国政府采购法》第二十五条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bidi w:val="0"/>
        <w:spacing w:line="400" w:lineRule="exact"/>
        <w:ind w:firstLine="482" w:firstLineChars="200"/>
        <w:jc w:val="left"/>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：294 融合网络核心交换机 3、本次实际配置N+N电源，为保证设备电源稳定运行，要求单电源功率≥3000W，保证一个电源故障后电源仍然能承担整机工作；事实依据：一般电源主要功能是给设备供电，满足电源冗余即可；且各家厂商电源设计功率不同，不应该要求“单电源功率≥3000W”。质疑请求：综上所述，建议招标人修改参数为：“本次实际配置N+N电源，为保证设备电源稳定运行，保证一个电源故障后电源仍然能承担整机工作”。 6、支持硬件BFD OAM，支持每3.5ms内发送一个BFD监控报文以实现对故障快速感知，支持支持设备级、链路路级、和网络级丢包检测，其中网络级支持端到端、逐跳或区域的丢包检测，无额外流量开销，提供国际权威第三方Tolly或Miercom机构测试报告证明；事实依据：各家厂商的产品设计理念不同，测试报告的检测内容不同。此项属于设备的功能指标，在国家的各项强制标准中没有对此项功能要求必须有严格的检测报告，目前国家专业机构的测试报告均为厂家委托测试的方式进行，属于功能委托测试，不是国家强制测试内容，同时该功能的测试报告只有华为能提供。质疑请求：综上所述，建议招标人删除该条参数。 7、配置独立的硬件监控板卡, 控制平面和监控平面物理槽位分离，支持1+1备份，能集中监控板卡、风扇、电源、环境，能调节能耗，提供设备图样证明并标出插槽位置。事实依据：要求“配置独立的硬件监控板卡”是华为独家指标，该条参数具有明显的唯一性。且对交换机的部件管理（板卡、风扇、电源等）也可以通过管理平台实现，能更直观地实现管理。 质疑请求：综上所述，建议招标人删除该条参数。 8、采用国产自研ARM机构CPU和交换芯片，支持五万用户在线；事实依据：除华为外的主流交换机厂商同档次设备的CPU和交换芯片均采用国际主流芯片，要求“采用国产自研芯片”是华为独家指标，该条参数具有明显的唯一性，明显是不想其他交换机厂商参与。且一般来说，国产芯片的性能要比同规格的国际主流芯片低20%-30%，在医院这类高要求的场景下，核心交换机反而不应该用国产自研芯片。质疑请求：综上所述，建议招标人删除该条参数。 11、为保证后期扩容，要求无线控制器管理AP能力≥10K；本次配置所需授权；事实依据： 通过查询主流交换机厂商，“交换机支持随板AC且管理AP能力≥10K”只有华为S12700E系列交换机支持，是华为独家指标，该条参数具有明显的唯一性。且通过查看工程量清单，本次项目采购AP数量小于1K个，为什么参数要求“AP能力≥10K”，是明显的抬高其他厂商商务的行为。 质疑请求：综上所述，建议招标人修改参数为：“为保证后期扩容，要求无线控制器管理AP能力≥1K；本次配置所需授权”。 12、可采用独立无线控制器设备，需要配置双电源及不少于4个40G光口及所需互联模块；事实依据： 首先华为会通过随板AC实现AP管理，采用独立无线控制器设备也是一种方式。参数中要求“配置双电源及40G光口”是明显的其他要求，是华为对其他厂商的商务成本抬高。质疑请求：综上所述，建议招标人修改参数为：“可采用独立无线控制器设备，需要配置双电源”。 17、本次产品配置：配置双主控、4块独立交换网板，4块3000W交流电源，配置96个万兆以太网光接口、12个40G以太网光接口、6个100G以太网光接口；配置2块100G 10KM 单模模块；事实依据：一般电源主要功能是给设备供电，满足电源冗余即可；且各家厂商电源设计功率不同，不应该指定电源功率。质疑请求：综上所述，建议招标人修改参数为：“本次产品配置：配置双主控、4块独立交换网板，4块可热插拔交流电源，配置96个万兆以太网光接口、12个40G以太网光接口、6个100G以太网光接口；配置2块100G 10KM 单模模块”。 18、配置无线控制器功能或独立设备（需满足AC参数要求），配置所需AP管理授权，并实现AC 1+1热备；事实依据：首先华为会通过随板AC实现AP管理，采用独立无线控制器设备也是一种方式。参数中要求“实现AC 1+1热备”是明显的其他要求，是华为对其他厂商的商务成本抬高。质疑请求：综上所述，建议招标人修改参数为：“配置无线控制器功能或独立设备（需满足AC参数要求），配置所需AP管理授权”。 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w:t>
      </w:r>
    </w:p>
    <w:p>
      <w:pPr>
        <w:pStyle w:val="7"/>
        <w:keepNext w:val="0"/>
        <w:keepLines w:val="0"/>
        <w:pageBreakBefore w:val="0"/>
        <w:kinsoku/>
        <w:overflowPunct/>
        <w:topLinePunct w:val="0"/>
        <w:bidi w:val="0"/>
        <w:spacing w:line="400" w:lineRule="exact"/>
        <w:ind w:firstLine="240" w:firstLineChars="100"/>
        <w:textAlignment w:val="auto"/>
        <w:rPr>
          <w:rFonts w:hint="eastAsia"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291 大数据分析运维平台（绿洲管理平台） 1、系统基于Spark、Kafka、HDFS等大数据技术构建，满足海量数据的实时分析处理能力。提供证明材料；事实依据：通过主流交换机厂商官网查询，思科、锐捷、新华三的SDN分析运维平台均不是基于Spark、Kafka、HDFS等大数据技术构建，要求“基于Spark、Kafka、HDFS等大数据技术”是华为iMaster NCE-CampusInsight的独家指标，具有明显的唯一性。质疑请求：综上所述，建议招标人删除该条参数。 2、系统提供无线网络健康度评估体系，通过对接入成功率、接入耗时、漫游达标率、信号与干扰、容量健康度、吞吐达标率这六大维度指标进行无线网络健康度评估和达标率排名，并给出影响排名的劣化指标；支持劣化指标钻取能力，并给出指标劣化的根因和排障建议，提供功能截图证明；事实依据：各家厂商有自己的产品设计理念，因此检测无线网络健康度指标会不同，且在国家的各项强制标准中没有对此项功能要求必须有严格的证明材料。 质疑请求：综上所述，建议招标人删除该条参数。 5、系统支持AP实时的全信道状态监测，直观数字呈现信道的Wi-Fi干扰占比、非Wi-Fi干扰占比和正常占用占比，支持查看历史趋势图，以及Wi-Fi和非Wi-Fi干扰源类型与RSSI，提供功能截图证明；事实依据：各家厂商有自己的产品设计理念，因此监测AP实时全信道状态指标会不同，且在国家的各项强制标准中没有对此项功能要求必须有严格的证明材料。 质疑请求：综上所述，建议招标人删除该条参数。 6、系统支持精准识别1K+主流应用，支持基于多种维度的应用流量统计，支持感知主流应用质量，识别质差应用，并对质差应用流进行故障定界。应用可视和质量感知支持边缘设备检测，可识别和感知东西、南北向应用及其质量，应用故障定界通过IPCA2.0技术，进行应用路径呈现和应用故障定界定位。支持对接Zoom、Teams视频会议服务器，可对会议状态及与会人终端侧情况进行质量监控和分析；事实依据：通过各家官网查询，发现“IPCA2.0技术”是华为iMaster NCE-CampusInsight独家指标，其他交换机厂商均不支持。且通过阅读iMaster NCE-CampusInsight彩页，“1K+主流应用”、“iPCA 2.0”等字眼均在彩页中出现，该条参数明显是参照华为彩页撰写。质疑请求：建议招标人删除该条参数。 7、系统支持质差用户相关性分析，提供质差情况说明，主要体现该用户在哪些AP上表现质差、质差时间分布等，并分别从覆盖类、干扰类、吞吐类、硬件类四个维度智能识别出影响用户质量的指标及相关性占比，找出问题的根因和排障建议；事实依据：通过各家官网查询，发现“质差”是华为iMaster NCE-CampusInsight独家指标，其他交换机厂商均不支持。且通过阅读iMaster NCE-CampusInsight彩页，“质差”字眼多次在彩页上出现，该条参数明显是参照华为彩页撰写。质疑请求：建议招标人删除该条参数。法律依据：根据《中华人民共和国政府采购法》第二十五条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14 数据中心防火墙 2、配置千兆电口≥12个，万兆光口≥12个，40G光口≥2个，配置内置交流冗余电源，冗余风扇模块，机箱为严格前进后出的风道设计；事实依据：各家厂商产品设计理念不同，各功能实现也不同。设备散热有后出风风道设计，也有前后通风设计，主要目的是保证设备散热效果。为什么要强调“严格前进后出的风道设计”？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修改参数为：“配置千兆电口≥12个，万兆光口≥12个，40G光口≥2个，配置内置交流冗余电源，冗余风扇模块”。 3、配置SSLVPN并发数2000个，配置100个虚拟防火墙授权数，满配IPSECVPN隧道数，配置应用识别、带宽管理、Ddos防御等功能；事实依据：各家厂商产品设计理念不同，各功能实现不同，因此虚拟防火墙实现方式不同，不应该对虚拟防火墙配置数量有要求。且“配置100个虚拟化防火墙”是华为独家指标，主流安全厂商如思科、新华三、深信服均不满足，该条参数具备明显的唯一性。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修改参数为：“配置SSLVPN并发数2000个，满配IPSECVPN隧道数，配置应用识别、带宽管理、Ddos防御等功能”。 4、配置3年云沙箱检测授权；事实依据： 通过各家官网查询，发现“云沙箱”是华为USG系列防火墙独家指标，且通过阅读华为USG系列防火墙彩页，“云沙箱”是华为license组件之一，该条参数明显具备唯一性。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招标文件不得要求或者标明特定的生产供应者以及含有倾向或者排斥潜在投标人的其他内容。质疑请求：综上所述，建议招标人删除该条参数。 10、支持防火墙与云沙箱，本地沙箱混合联动，敏感文件在本地沙箱检测，普通文件上传到云沙箱，及保护了客户敏感数据有提高了云检测能力；事实依据： 通过各家官网查询，发现“云沙箱”是华为USG系列防火墙独家指标，且通过阅读华为USG系列防火墙彩页，“云沙箱”是华为license组件之一，该条参数明显具备唯一性。质疑请求：建议招标人删除该条参数。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招标文件不得要求或者标明特定的生产供应者以及含有倾向或者排斥潜在投标人的其他内容。质疑事项2：16 虚拟防火墙 2、配置千兆电口≥12个，万兆光口≥12个，40G光口≥2个，配置内置交流冗余电源，冗余风扇模块，机箱为严格前进后出的风道设计，提供证明材料；事实依据：各家厂商产品设计理念不同，各功能实现也不同。设备散热有后出风风道设计，也有前后通风设计，主要目的是保证设备散热效果。为什么要强调“严格前进后出的风道设计”？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修改参数为：“配置千兆电口≥12个，万兆光口≥12个，40G光口≥2个，配置内置交流冗余电源，冗余风扇模块”。  3、配置100个虚拟防火墙授权数，配置SSLVPN并发数2000个，满配IPSECVPN隧道数，配置应用识别、带宽管理、Ddos防御等功能；事实依据：各家厂商产品设计理念不同，各功能实现不同，因此虚拟防火墙实现方式不同，不应该对虚拟防火墙配置数量有要求。且“配置100个虚拟化防火墙”是华为独家指标，主流安全厂商如思科、新华三、深信服均不满足，该条参数具备明显的唯一性。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修改参数为：“配置SSLVPN并发数2000个，满配IPSECVPN隧道数，配置应用识别、带宽管理、Ddos防御等功能”。 质疑事项3：288 SDN控制中心 2、提供聚类和AI推理能力，提升未知终端的识别效率，能对未知终端的类型秒级聚类，人工快速标注聚类结果，后续同类型终端上线，系统自动推理识别，快速扩充终端识别指纹库的效果，提供国际权威第三方Tolly或Miercom机构测试报告证明；事实依据：各家厂商的产品设计理念不同，测试报告的检测内容不同。此项属于设备的功能指标，在国家的各项强制标准中没有对此项功能要求必须有严格的检测报告，目前国家专业机构的测试报告均为厂家委托测试的方式进行，属于功能委托测试，不是国家强制测试内容，同时该功能的测试报告只有华为能提供。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招标文件不得要求或者标明特定的生产供应者以及含有倾向或者排斥潜在投标人的其他内容。质疑请求：综上所述，建议招标人删除该条参数。 9、支持在云端进行设备巡检，实现对整网进行在线健康监测和巡检，基于行业故障运维专家库提供专业修复建议，保证网络的健康运行；生成巡检报告，支持系统自动发送巡检报告给管理员；事实依据：实施SDN网络方案，SDN组网内的设备一般是由SDN管理平台统一纳管，进而由SDN控制器实现整网的在线监测等。本地SDN管理平台可以实现的事情，为什么要在云端处理呢？且要求“支持在云端进行设备巡检”是华为独家指标，具有明显的唯一性。法律依据：根据《中华人民共和国政府采购法》第二十五条　政府采购当事人不得相互</w:t>
      </w:r>
      <w:r>
        <w:rPr>
          <w:rFonts w:hint="eastAsia" w:ascii="Calibri" w:hAnsi="Calibri" w:eastAsia="宋体" w:cs="Times New Roman"/>
          <w:color w:val="000000"/>
          <w:kern w:val="2"/>
          <w:sz w:val="24"/>
          <w:szCs w:val="24"/>
          <w:lang w:val="en-US" w:eastAsia="zh-CN" w:bidi="ar-SA"/>
        </w:rPr>
        <w:t>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招标文件不得要求或者标明特定的生产供应者以及含有倾向或者排斥潜在投标人的其他内容。质疑请求：综上所述，建议招标人删除该条参数。质疑事项4：289 网络管理平台（融合网） 7、配置220个有线网元管理单元授权；事实依据： 从整个工程量清单看，本次医院网络建设包括有线设备和无线设备，若需要实现医院全网网络设备统一管理，应该在清单中体现有线授权和无线授权。为什么该条参数中没有写无线管理单元授权数量？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招标文件不得要求或者标明特定的生产供应者以及含有倾向或者排斥潜在投标人的其他内容。质疑请求：综上所述，建议招标人修改参数为：“配置220个有线网元管理单元授权，1000个无线网元管理单元授权”。</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 xml:space="preserve">4 PACS分布式存储单一文件系统所有节点可整合成一个大的虚拟存储池，并向外提供统一的域名或 IP地址访问。并提供具有CNAS认证的权威第三方机构出具的证明材料。事实依据：各家厂商的产品设计理念不同，测试报告的检测内容不同。此项属于设备的功能指标，在国家的各项强制标准中没有对此项功能要求必须有严格的检测报告，目前国家专业机构的测试报告均为厂家委托测试的方式进行，属于功能委托测试，不是国家强制测试内容，同时该功能的测试报告只有深信服能提供。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 建议招标人删除该条参数。最大支持单个文件大小 240TB；事实依据： 据了解数据存储中完全无需240TB文件，且该产品技术要求为深信服存储独有参数，其他厂商均不满足。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 建议招标人删除该条参数支持系统日志、报警日志、设备日志、 操作日志；支持按时间对日志进行检索；支持日志导出到 Excel；事实依据： 通过主流存储厂商官网查询，要求“支持按时间对日志进行检索”、“支持日志导出到 Excel”的技术要求为深信服分布式存储独有参数，其他厂商均不满足。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建议删除该条参数。 </w:t>
      </w:r>
    </w:p>
    <w:p>
      <w:pPr>
        <w:pStyle w:val="7"/>
        <w:keepNext w:val="0"/>
        <w:keepLines w:val="0"/>
        <w:pageBreakBefore w:val="0"/>
        <w:kinsoku/>
        <w:overflowPunct/>
        <w:topLinePunct w:val="0"/>
        <w:bidi w:val="0"/>
        <w:spacing w:line="400" w:lineRule="exact"/>
        <w:ind w:firstLine="240" w:firstLineChars="100"/>
        <w:textAlignment w:val="auto"/>
        <w:rPr>
          <w:rFonts w:hint="eastAsia" w:eastAsia="宋体" w:cs="Times New Roman"/>
          <w:color w:val="0070C0"/>
          <w:sz w:val="24"/>
          <w:szCs w:val="24"/>
          <w:lang w:val="en-US" w:eastAsia="zh-CN"/>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2 HIS主存储（双活）采用多核处理器，配置控制器处理器总物理核心数≥96核（不包含ASIC芯片）系统内控制单元缓存容量配置≥384GB，且任意控制器一级缓存容量≥192GB（不含任何性能加速模块、FlashCache、PAM卡，SSD Cache、SCM等；事实依据：该参数为华为存储独有参数，其他厂商均不具备此项功能。由于主流厂商采用Intel芯片，华为大部分产品采用ARM芯片。ARM芯片性能远低于Intel芯片，此外ARM机制就是内核多。华为链接： https://e.huawei.com/cn/material/enterprise/d9d441832f1a41feade9c34974c7cd41 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 建议修改参数为：“配置不少于两个Active-Active控制器采用多核处理器，系统内控制单元缓存容量配置≥384GB，且任意控制器一级缓存容量≥192GB（不含任何性能加速模块、FlashCache、PAM卡，SSD Cache、SCM等）”。配置≥8个空白PCIE插槽（不包含已占用的槽位），用于主机接口扩展；事实依据：该参数为华为独有功能项，其他厂商均是接口数，只有华为强调接口卡槽。华为链接： https://e.huawei.com/cn/products/storage/all-flash-storage/dorado-5000-6000-v6 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 建议招标人删除该条参数。支持端到端的DIF + T10 PI，防止静默数据错误，存储厂商提供专有多路径（非操作系统自带多路径）软件，提供故障切换和负载均衡功能，支持Windows\Linux。提供国家版权局出具的计算机软件著作权登记证书复印件；事实依据：该参数为华为存储独有参数，其他厂商均不具备此项功能。专有多路径且提供国家版权局出具的计算机软件著作权登记证书复印件目前只有华为以及具备。具备明确的排他性。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 建议招标人删除该条参数。生产厂商具备以下资质，并提供证书：获得ISO9001、ISO14001、ISO27001、ISO20000、ISO28000认证、中国信息安全认证中心《信息安全应急处理服务资质（一级）》和《信息系统安全集成服务资质（一级）》并提供证书复印件并加盖存储厂商有效印章；事实依据：该产品资质为华为存储独有参数，其他厂商均不具备。产品及公司资质目前仅有华为具备，其他厂商产品均不具备。法律依据：该指标明显排斥潜在投标人，这明显违反了《中华人民共和国政府采购法实施条例》第二十条采购人或者采购代理机构有下列情形之一的，属于以不合理的条件对供应商实行差别待遇或者歧视待遇“（三）采购需求中的技术、服务等要求指向特定供应商、特定产品” 建议招标人删除该条参数。</w:t>
      </w:r>
    </w:p>
    <w:p>
      <w:pPr>
        <w:pStyle w:val="7"/>
        <w:keepNext w:val="0"/>
        <w:keepLines w:val="0"/>
        <w:pageBreakBefore w:val="0"/>
        <w:kinsoku/>
        <w:overflowPunct/>
        <w:topLinePunct w:val="0"/>
        <w:bidi w:val="0"/>
        <w:spacing w:line="400" w:lineRule="exact"/>
        <w:ind w:firstLine="240" w:firstLineChars="100"/>
        <w:textAlignment w:val="auto"/>
        <w:rPr>
          <w:rFonts w:hint="eastAsia"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8、招标清单第63条，全网直播平台软件项目特征：“实现智能手术室内医学影像推流至JUSHACLOUD平台，实现在手机、PAD、PC端观看手术直播、对于医院的重大学术活动可提供直播平台服务支持。提供直播平台网站链接和截图，截图需包括公网安备号和ICP备案号，提供全国互联网安全管理平台的公网安备查询截图，提供工业和信息化部政务服务平台ICP备案号查询截图，公网安备号和ICP备案号的主办单位需和能视频传输与归档系统厂家同一制造商。”，此参数为巨鲨自己独有平台，具有严重倾向性和排他性，，建设修改为“实现智能手术室内医学影像推流至阿里云或腾讯云平台，实现在手机、PAD、PC端观看手术直播”，删除后面参数。 9、招标清单第61条，智能手术室综合管理控制软件项目特征：“系统制造商须具备中国医学装备协会医用洁净装备工程分会颁发的《数字化手术室建设标准》T/CAME042-2018证书”，具市场了解，这个中国医学装备协会颁发的这个证书，是之前这个中国医学装备协会出了一版数字化手术室行业标准的文件，然后邀请了一些单位共同参与编写，给了一个这个证明。并无实际意义，且具有倾向性和排他性，我方建议删除以上参数。</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招标清单第20条，数据库审计系统项目特征：“信息系统安全专用产品销售许可证，须符合国标GB/T-增强级的相关的技术要求；提供检测报告；”、“国测信息技术产品安全测评证书-EAL3+”、“厂商应是CNCERTCC网络安全应急服务支撑单位（国家级）。提供有效证书的复印件。” 根据计算机信息系统安全专用产品销售许可服务平台（ispl.mps.gov.cn）、中国信息安全测评中心（www.itsec.gov.cn/）、国家互联网应急中心（www.cert.org.cn）详细查询，同时满足《计算机信息系统安全专用产品销售许可证》（增强级）、国测信息技术产品安全测评证书-EAL3+、CNCERTCC网络安全应急服务支撑单位（国家级）的数据库审计系统安全厂商只有北京启明星辰信息安全技术有限公司，具有控标性质和排他性。推荐品牌均不满足。建议删除以上参数。 6. 招标清单第21条，综合日志审计系统项目特征：“系统能对收集的日志记录并进行数据挖掘，需提供第三方测评机构（必须是公安部三所、国家保密局、ISCCC其中一家）的检测报告：”、“系统能对潜在的危害进行分析，需提供第三方测评机构（必须是公安部三所、国家保密局、ISCCC其中一家）的检测报告；”、“系统具备脆弱性分析功能，拥有开发者脆弱性分析，需提供第三方测评机构（必须是公安部三所、国家保密局、ISCCC其中一家）的检测报告；”、“产品具有ipv6 ready logo 认证证书”，满足的厂家不超过三家，具有严重倾向性和排他性。 根据调研，“对收集的日志记录并进行数据挖掘”、“对潜在的危害进行分析”、“具备脆弱性分析功能”等功能描述为特定厂商日志审计功能描述，且以上功能超出对日志审计系统能力要求；根据全球IPv6测试中心（https://www.ipv6ready.org.cn）详细查询，满足IPv6 Ready Logo认证的综合日志审计系统安全厂商只有杭州安恒信息技术股份有限公司，具有控标性质和排他性。我方建议删除以上参数。 7. 招标清单第27条，内外网隔离网闸项目特征：“产品应能够根据文件类型对邮件附件进行检查，并阻断发送邮件的行为，需提供第三方测评机构（必须是公安部三所、国家保密局、ISCCC其中一家）的检测报告”、“投标产品应具有中华人民共和国公安部颁发的增强级《计算机信息系统安全专用产品销售许可证》”、“投标产品应具有中华人民共和国国家版权局颁发的《计算机软件著作权登记证》”、“通过全球IPv6测试中心IPv6 Ready Logo测试认证”、“厂商应具备足够的信息安全服务技术实力及安全服务保障能力，获得中国信息安全测评中心颁发的信息安全服务安全工程类三级资质证书”、“厂商应是CNCERTCC网络安全应急服务支撑单位（国家级）”、“具备中国网络安全审查技术与认证中心颁发的《信息安全服务资质认证证书》（信息系统安全运维一级）”、“厂商应具备信息技术服务管理体系认证ISO20000。且认证范围必须涵盖向客户提供整体解决方案、安全软件的设计开发和运行维护、硬件的运行维护、安全相关的SAAS及运营服务”、“厂商应是微软MAPP（Microsoft Active Protection Program）计划战略合作伙伴”；满足厂家不超过三家，具有严重倾向性和排他性，” 根据相关官网查询，满足上述资质需求，只有天融信一家，具有严重通过资质要求的排他性和控标性。 附：部分调研数据来源： https://ispl.mps.gov.cn/ispl/jsp/common/ProductList_Public.jsp； https://www.cert.org.cn/publish/main/32/9.html https://www.ipv6ready.org.cn/index.php/readylogo_search/search 我方建议删除以上参数。</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ind w:firstLine="482" w:firstLineChars="200"/>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295 服务器汇聚交换机 1、整机交换容量≥70Tbps，包转发率≥2000Mpps 事实依据：国内主流的数通产品供应商，如思科、锐捷、新华三等在同档次的核心交换机中，交换容量均小于上述要求。通过各家官网查询，发现有且仅有华为在同档次产品中满足上述指标要求。上述指标为华为惯用的控标手段，存在明显的唯一性。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招标文件不得要求或者标明特定的生产供应者以及含有倾向或者排斥潜在投标人的其他内容。质疑请求：综上所述，建议招标人修改参数为：“整机交换容量≥60Tbps，包转发率≥2000Mpps”。 4、缓存≥32MB，证明（附链接）；事实依据：交换机的缓存是数据交换的缓冲区，缓存容量一般不大；且缓存管理是交换机非常底层的东西，一般设备出厂就会调好，来满足场景化的需求。且要求“缓存≥32MB”是华为该款交换机独家指标，存在明显的唯一性。法律依据：根据《中华人民共和国政府采购法》第二十五条　政府采购当事人不得相互串通损害国家利益、社会公共利益和其他当事人的合法权益；不得以任何手段排斥其他供应商参与竞争。根据《中华人民共和国政府采购法实施条例》第二十条　采购人或者采购代理机构有下列情形之一的，属于以不合理的条件对供应商实行差别待遇或者歧视待遇：（三）采购需求中的技术、服务等要求指向特定供应商、特定产品；（六）限定或者指定特定的专利、商标、品牌或者供应商；根据《中华人民共和国招标投标法》第十八条 招标人不得以不合理的条件限制或者排斥潜在投标人，不得对潜在投标人实行歧视待遇；第二十条 招标文件不得要求或者标明特定的生产供应者以及含有倾向或者排斥潜在投标人的其他内容。质疑请求：综上所述，建议招标人删除该条参数。</w:t>
      </w:r>
    </w:p>
    <w:p>
      <w:pPr>
        <w:pStyle w:val="7"/>
        <w:keepNext w:val="0"/>
        <w:keepLines w:val="0"/>
        <w:pageBreakBefore w:val="0"/>
        <w:kinsoku/>
        <w:overflowPunct/>
        <w:topLinePunct w:val="0"/>
        <w:bidi w:val="0"/>
        <w:spacing w:line="400" w:lineRule="exact"/>
        <w:ind w:firstLine="240" w:firstLineChars="100"/>
        <w:textAlignment w:val="auto"/>
        <w:rPr>
          <w:rFonts w:hint="eastAsia"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pStyle w:val="7"/>
        <w:keepNext w:val="0"/>
        <w:keepLines w:val="0"/>
        <w:pageBreakBefore w:val="0"/>
        <w:kinsoku/>
        <w:overflowPunct/>
        <w:topLinePunct w:val="0"/>
        <w:bidi w:val="0"/>
        <w:spacing w:line="400" w:lineRule="exact"/>
        <w:ind w:firstLine="482" w:firstLineChars="200"/>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46. 招标清单第27条，内外网隔离网闸项目特征：“厂商应具备信息技术服务管理体系认证ISO20000。提供有效证书的复印件。且认证范围必须涵盖向客户提供整体解决方案、安全软件的设计开发和运行维护、硬件的运行维护、安全相关的SAAS及运营服务，提供有效证书的复印件”，安全相关的SAAS及运营服务为绿盟独有资质，具有唯一性。综上所述，建议招标人删除该条参数。 47. 招标清单第27条，内外网隔离网闸项目特征：“厂商应是微软MAPP（Microsoft Active Protection Program）计划战略合作伙伴，提供有效证书的复印件” 微软MAPP计划全称为Microsoft Active Protections Program，它是互联网反病毒环境提供一个漏洞信息的共享平台，非国内安全机构，且各个安全厂商加盟的协会不尽相同，以此为招标要求刻意将其他很多安全厂家无法参与到此项目中，具有唯一性。综上所述，建议招标人删除该条参数。 48. 招标清单第8条数据库容灾系统、招标清单第22条数据库防水坝“项目经理同时具备PMP和OCM；及实施工程师同时具有OCP和CISP”，在产品参数中，应该根据实际功能来判断产品的质量，不应该出现人员资质来评定产品的好坏。且CISP作为注册信息安全人员认证证书，OCP证书仅能作为Oracle数据库运维人员拥有的证书，并不能作为实施人员技术能力认证的指标，且此参数具有偏向性及排他性。综上所述，建议招标人删除该条参数。 49. 招标清单第25条，终端防护系统EDR项目特征：“为保障产品安全性和可控性，须为厂家自主研发产品，不接受收购产品或OEM产品, 包括杀毒引擎不得采用第三方产品。因OEM引擎需要在外层再次封装,以符合自身产品的需求，增加成本降低效率，无法精细地调整配置，产品效率低、资源占用高；存在不合作而断供的隐患。其自主研发恶意代码检测引擎为三家或以上国内安全企业提供OEM。投标时提供双方合作证明材料复印件。” 恶意代码引擎作为EDR杀毒的支撑技术，各厂商除火绒外都有自己的杀毒引擎，且杀毒引擎一般用于自家产品内使用，国内做EDR的厂商中，并非安全引擎供应商，为安全企业提供引擎的仅火绒一家，有明显唯一性。综上所述，建议招标人删除该条参数。 50. 招标清单第25条，终端防护系统EDR项目特征：“支持控制中心防暴力破解，采用手机APP动态令牌方式进行二次认证，针对控制中心高危操作支持动态口令验证，要求令牌APP自主研发” 运维人员多数采用电脑运维的方式，采用手机运维多数会造成误操作，且所有厂家除火绒外均不满足此条参数，有明显唯一性。综上所述，建议招标人删除该条参数。 51. 招标清单第25条，终端防护系统EDR项目特征：“要求该品牌集反病毒、主动防御、防火墙“三合一”，并取得与微软的合作关系证明。”终端EDR软件为厂商自研产品，取得微软合作关系证明不能用于招标来限制其他用心研发产品的厂商，终端防御软件的功能和取得微软合作无任何关联。” 综上所述，建议招标人删除该条参数。</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pStyle w:val="7"/>
        <w:keepNext w:val="0"/>
        <w:keepLines w:val="0"/>
        <w:pageBreakBefore w:val="0"/>
        <w:kinsoku/>
        <w:overflowPunct/>
        <w:topLinePunct w:val="0"/>
        <w:bidi w:val="0"/>
        <w:spacing w:line="400" w:lineRule="exact"/>
        <w:ind w:firstLine="482" w:firstLineChars="200"/>
        <w:textAlignment w:val="auto"/>
        <w:rPr>
          <w:rFonts w:hint="default"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41. 招标清单第21条，综合日志审计系统项目特征：“系统具备脆弱性分析功能，拥有开发者脆弱性分析，需提供第三方测评机构（必须是公安部三所、国家保密局、ISCCC其中一家）的检测报告”，系统具备脆弱性分析功能，拥有开发者脆弱性分析，在日志审计中，此参数为个别厂商独有参数，业内无三家厂商满足。综上所述，建议招标人删除该条参数。 42. 招标清单第20条，数据库审计系统项目特征：“厂商应具备信息技术服务管理体系认证ISO20000。提供有效证书的复印件。且认证范围必须涵盖向客户提供整体解决方案、安全软件的设计开发和运行维护、硬件的运行维护、安全相关的SAAS及运营服务，提供有效证书的复印件”，安全相关的SAAS及运营服务为绿盟独有资质，具有唯一性。综上所述，建议招标人删除该条参数。 43. 招标清单第20条，数据库审计系统项目特征：“厂商应是微软MAPP（Microsoft Active Protection Program）计划战略合作伙伴，提供有效证书的复印件”；微软MAPP计划全称为Microsoft Active Protections Program，它是互联网反病毒环境提供一个漏洞信息的共享平台，非国内安全机构，且各个安全厂商加盟的协会不尽相同，以此为招标要求刻意将其他很多安全厂家无法参与到此项目中。综上所述，建议招标人删除该条参数。 44. 招标清单第20条，数据库审计系统项目特征：“提供400个以上虚拟补丁”，数据库审计作为旁路部署的设备，采用安装虚拟补丁毫无意义，虚拟补丁无法发挥作用，只是个别厂商用于独有的参数，具有唯一性。综上所述，建议招标人删除该条参数。 45. 招标清单第27条，内外网隔离网闸项目特征：“支持MODBUS协议传输代理模块，可按照用户需求控制具体功能代码及值域等参数，比如只允许读取，不能设置，只允许设置某一线圈的值在某个范围等，提供产品功能截图。” Modbus是一种串行通信协议，是Modicon公司（现在的施耐德电气 Schneider Electric）于1979年为使用可编程逻辑控制器（PLC）通信而发表。Modbus已经成为工业领域通信协议的业界标准（De facto），并且现在是工业电子设备之间常用的连接方式。而此次信息系统采购所采用的为传统网闸，加入工业控制系统协议实为限制安全厂商参与到此项目中，具有唯一性。综上所述，建议招标人删除该条参数。</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pStyle w:val="7"/>
        <w:keepNext w:val="0"/>
        <w:keepLines w:val="0"/>
        <w:pageBreakBefore w:val="0"/>
        <w:kinsoku/>
        <w:overflowPunct/>
        <w:topLinePunct w:val="0"/>
        <w:bidi w:val="0"/>
        <w:spacing w:line="400" w:lineRule="exact"/>
        <w:ind w:firstLine="482" w:firstLineChars="200"/>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 xml:space="preserve"> 招标清单第14、16条，数据中心防火墙、虚拟化防火墙项目特征：“支持SafeSearch，过滤掉Google等搜索引擎返回的不健康的内容。” google搜索引擎在大陆内部本身就无法进行访问，防火墙需要支持过滤google搜索引擎本身无意义，只是为了作为华为的控标点。综上所述，建议招标人删除该条参数。 37. 招标清单第14、16条，数据中心防火墙、虚拟化防火墙项目特征：“配置3年云沙箱检测授权。支持防火墙与云沙箱，本地沙箱混合联动，敏感文件在本地沙箱检测，普通文件上传到云沙箱，及保护了客户敏感数据有提高了云检测能力；” 数据中心防火墙本身不连接互联网业务，且云沙箱在众多厂商中仅华为一家防火墙可以配置沙箱功能。防火墙作为基础网络安全设备，增加不属于防火墙应有的功能属于限制更多优秀的厂商参与到本项目中。综上所述，建议招标人删除该条参数。 38. 招标清单第21条，综合日志审计系统项目特征：“公安部销售许可证-行标三级”，要求提供公安部销售许可证是为了表示产品正式获准进入计算机信息系统安全市场销售的标志，限制行标三级无疑将多数安全厂商拒之门外。综上所述，建议修改该参数为“公安部销售许可证”。 39. 招标清单第21条，综合日志审计系统项目特征：“厂商应具备信息技术服务管理体系认证ISO20000。提供有效证书的复印件。且认证范围必须涵盖向客户提供整体解决方案、安全软件的设计开发和运行维护、硬件的运行维护、安全相关的SAAS及运营服务，提供有效证书的复印件”， 安全相关的SAAS及运营服务为绿盟独有资质，具有唯一性。综上所述，建议招标人删除该条参数。 40. 招标清单第21条，综合日志审计系统项目特征：“厂商应是微软MAPP（Microsoft Active Protection Program）计划战略合作伙伴，提供有效证书的复印件”，微软MAPP计划全称为Microsoft Active Protections Program，它是互联网反病毒环境提供一个漏洞信息的共享平台，非国内安全机构，且各个安全厂商加盟的协会不尽相同，以此为招标要求刻意将其他很多安全厂家无法参与到此项目中。综上所述，建议招标人删除该条参数。</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pStyle w:val="7"/>
        <w:keepNext w:val="0"/>
        <w:keepLines w:val="0"/>
        <w:pageBreakBefore w:val="0"/>
        <w:kinsoku/>
        <w:overflowPunct/>
        <w:topLinePunct w:val="0"/>
        <w:bidi w:val="0"/>
        <w:spacing w:line="400" w:lineRule="exact"/>
        <w:ind w:firstLine="482" w:firstLineChars="200"/>
        <w:textAlignment w:val="auto"/>
        <w:rPr>
          <w:rFonts w:hint="eastAsia" w:ascii="Calibri" w:hAnsi="Calibri" w:eastAsia="宋体" w:cs="Times New Roman"/>
          <w:color w:val="000000"/>
          <w:kern w:val="2"/>
          <w:sz w:val="24"/>
          <w:szCs w:val="24"/>
          <w:lang w:val="en-US" w:eastAsia="zh-CN" w:bidi="ar-SA"/>
        </w:rPr>
      </w:pPr>
      <w:r>
        <w:rPr>
          <w:rFonts w:hint="eastAsia" w:ascii="宋体" w:hAnsi="宋体" w:eastAsia="宋体" w:cs="宋体"/>
          <w:b/>
          <w:bCs/>
          <w:sz w:val="24"/>
          <w:szCs w:val="24"/>
          <w:lang w:val="en-US" w:eastAsia="zh-CN"/>
        </w:rPr>
        <w:t>※</w:t>
      </w:r>
      <w:r>
        <w:rPr>
          <w:rFonts w:hint="eastAsia"/>
          <w:b/>
          <w:bCs/>
          <w:sz w:val="24"/>
          <w:szCs w:val="24"/>
          <w:lang w:val="en-US" w:eastAsia="zh-CN"/>
        </w:rPr>
        <w:t>提问</w:t>
      </w:r>
      <w:r>
        <w:rPr>
          <w:rFonts w:hint="eastAsia" w:ascii="Calibri" w:hAnsi="Calibri" w:eastAsia="宋体" w:cs="Times New Roman"/>
          <w:color w:val="000000"/>
          <w:kern w:val="2"/>
          <w:sz w:val="24"/>
          <w:szCs w:val="24"/>
          <w:lang w:val="en-US" w:eastAsia="zh-CN" w:bidi="ar-SA"/>
        </w:rPr>
        <w:t>31. 招标清单第23条，态势感知平台SIP项目特征：“平台内置不少于8种机器学习分析场景模型，可检测发现勒索挖矿告警数异常、安全设备日志数异常、网络会话数异常、域名请求数异常等特定场景条件下的安全态势异常”；该功能参数，目前市面上仅有安恒AiLPHA产品满足，该条款为安恒的独有条款。综上所述，建议招标人删除该条参数。 32. 招标清单第23条，态势感知平台SIP项目特征：“支持每个用户配置个人专属的统一门户，可配置项包括门户名称、应用名称、应用图标等”；该功能参数，目前市面上仅有安恒AiLPHA产品满足，该条款为安恒的独有条款。综上所述，建议招标人删除该条参数。 33. 招标清单第23条，态势感知平台SIP项目特征：“碰撞情报IOC支持通过情报源、IOC类型、标签、置信度等多维度进行碰撞分析，内置威胁情报条数不少于400万条”；该功能参数，各家厂商威胁情报库的数量不一，且威胁情报并非越多越好，需要看威胁情报的质量，目前市面上仅有安恒AiLPHA产品满足，该条款为安恒的独有条款。综上所述，建议招标人删除“内置威胁情报条数不少于400万条”。 34. 招标清单第23条，态势感知平台SIP项目特征：“支持大数据平台一键巡检，一键检查项包含但不限于数据健康、探针健康检查、大数据集群健康、Elasticsearch健康、实时流计算引擎健康、管理服务健康、服务器节点健康等多种维度检查，并能提供处置建议，一键导出各类服务的故障日志，包括但不限于Elasticsearch、Logstash、Kafka、实时计算引擎、操作系统等”；该功能参数，目前市面上仅有安恒AiLPHA产品满足，该条款为安恒的独有条款。综上所述，建议招标人删除该条参数。 35. 招标清单第13条，互联网出口防火墙项目特征：“支持发生紧急安全事件时，可通过微信的方式，实时通告给安全管理人员，安全人员可以在微信上一键下发策略至本地防火墙设备进行处置。” 对于防火墙运维的工具有很多种，主流的为网页运维，微信上一键具有极强的误操作，微信做到发送安全报告，仅深信服一家具备，且在网上查到的信息，整份参数为深信服的标底参数（证明附下），此参数为深信服独有参数，具有严重的排他性和偏向性。 综上所述，建议招标人删除该条参数。</w:t>
      </w:r>
    </w:p>
    <w:p>
      <w:pPr>
        <w:pStyle w:val="7"/>
        <w:keepNext w:val="0"/>
        <w:keepLines w:val="0"/>
        <w:pageBreakBefore w:val="0"/>
        <w:kinsoku/>
        <w:overflowPunct/>
        <w:topLinePunct w:val="0"/>
        <w:bidi w:val="0"/>
        <w:spacing w:line="400" w:lineRule="exact"/>
        <w:ind w:firstLine="240" w:firstLineChars="100"/>
        <w:textAlignment w:val="auto"/>
        <w:rPr>
          <w:rFonts w:hint="default" w:ascii="Calibri" w:hAnsi="Calibri" w:eastAsia="宋体" w:cs="Times New Roman"/>
          <w:color w:val="FF0000"/>
          <w:kern w:val="2"/>
          <w:sz w:val="24"/>
          <w:szCs w:val="24"/>
          <w:u w:val="single"/>
          <w:lang w:val="en-US" w:eastAsia="zh-CN" w:bidi="ar-SA"/>
        </w:rPr>
      </w:pPr>
      <w:r>
        <w:rPr>
          <w:rFonts w:hint="eastAsia" w:ascii="Calibri" w:hAnsi="Calibri" w:eastAsia="宋体" w:cs="Times New Roman"/>
          <w:color w:val="FF0000"/>
          <w:kern w:val="2"/>
          <w:sz w:val="24"/>
          <w:szCs w:val="24"/>
          <w:u w:val="single"/>
          <w:lang w:val="en-US" w:eastAsia="zh-CN" w:bidi="ar-SA"/>
        </w:rPr>
        <w:t>回答：</w:t>
      </w:r>
      <w:r>
        <w:rPr>
          <w:rFonts w:hint="eastAsia" w:ascii="Calibri" w:hAnsi="Calibri" w:cs="Times New Roman"/>
          <w:color w:val="FF0000"/>
          <w:kern w:val="2"/>
          <w:sz w:val="24"/>
          <w:szCs w:val="24"/>
          <w:u w:val="single"/>
          <w:lang w:val="en-US" w:eastAsia="zh-CN" w:bidi="ar-SA"/>
        </w:rPr>
        <w:t>按招标文件执行。</w:t>
      </w:r>
    </w:p>
    <w:p>
      <w:pPr>
        <w:pStyle w:val="7"/>
        <w:keepNext w:val="0"/>
        <w:keepLines w:val="0"/>
        <w:pageBreakBefore w:val="0"/>
        <w:kinsoku/>
        <w:overflowPunct/>
        <w:topLinePunct w:val="0"/>
        <w:bidi w:val="0"/>
        <w:spacing w:line="400" w:lineRule="exact"/>
        <w:textAlignment w:val="auto"/>
        <w:rPr>
          <w:rFonts w:hint="default" w:ascii="Calibri" w:hAnsi="Calibri" w:eastAsia="宋体" w:cs="Times New Roman"/>
          <w:color w:val="000000"/>
          <w:kern w:val="2"/>
          <w:sz w:val="24"/>
          <w:szCs w:val="24"/>
          <w:lang w:val="en-US" w:eastAsia="zh-CN" w:bidi="ar-SA"/>
        </w:rPr>
      </w:pPr>
    </w:p>
    <w:p>
      <w:pPr>
        <w:pStyle w:val="7"/>
        <w:keepNext w:val="0"/>
        <w:keepLines w:val="0"/>
        <w:pageBreakBefore w:val="0"/>
        <w:kinsoku/>
        <w:overflowPunct/>
        <w:topLinePunct w:val="0"/>
        <w:bidi w:val="0"/>
        <w:spacing w:line="400" w:lineRule="exact"/>
        <w:textAlignment w:val="auto"/>
        <w:rPr>
          <w:rFonts w:hint="default" w:ascii="Calibri" w:hAnsi="Calibri" w:eastAsia="宋体" w:cs="Times New Roman"/>
          <w:color w:val="000000"/>
          <w:kern w:val="2"/>
          <w:sz w:val="24"/>
          <w:szCs w:val="24"/>
          <w:lang w:val="en-US" w:eastAsia="zh-CN" w:bidi="ar-SA"/>
        </w:rPr>
      </w:pPr>
    </w:p>
    <w:p>
      <w:pPr>
        <w:pStyle w:val="7"/>
        <w:keepNext w:val="0"/>
        <w:keepLines w:val="0"/>
        <w:pageBreakBefore w:val="0"/>
        <w:kinsoku/>
        <w:overflowPunct/>
        <w:topLinePunct w:val="0"/>
        <w:bidi w:val="0"/>
        <w:spacing w:line="400" w:lineRule="exact"/>
        <w:textAlignment w:val="auto"/>
        <w:rPr>
          <w:rFonts w:hint="default" w:ascii="Calibri" w:hAnsi="Calibri" w:eastAsia="宋体" w:cs="Times New Roman"/>
          <w:color w:val="000000"/>
          <w:kern w:val="2"/>
          <w:sz w:val="24"/>
          <w:szCs w:val="24"/>
          <w:lang w:val="en-US" w:eastAsia="zh-CN" w:bidi="ar-SA"/>
        </w:rPr>
      </w:pPr>
      <w:r>
        <w:rPr>
          <w:rFonts w:hint="eastAsia" w:ascii="Calibri" w:hAnsi="Calibri" w:cs="Times New Roman"/>
          <w:color w:val="000000"/>
          <w:kern w:val="2"/>
          <w:sz w:val="24"/>
          <w:szCs w:val="24"/>
          <w:lang w:val="en-US" w:eastAsia="zh-CN" w:bidi="ar-SA"/>
        </w:rPr>
        <w:t>附：上传主体图纸。</w:t>
      </w:r>
    </w:p>
    <w:p>
      <w:pPr>
        <w:pStyle w:val="7"/>
        <w:keepNext w:val="0"/>
        <w:keepLines w:val="0"/>
        <w:pageBreakBefore w:val="0"/>
        <w:kinsoku/>
        <w:overflowPunct/>
        <w:topLinePunct w:val="0"/>
        <w:bidi w:val="0"/>
        <w:spacing w:line="400" w:lineRule="exact"/>
        <w:textAlignment w:val="auto"/>
        <w:rPr>
          <w:rFonts w:hint="default" w:ascii="Calibri" w:hAnsi="Calibri" w:eastAsia="宋体" w:cs="Times New Roman"/>
          <w:color w:val="000000"/>
          <w:kern w:val="2"/>
          <w:sz w:val="24"/>
          <w:szCs w:val="24"/>
          <w:lang w:val="en-US" w:eastAsia="zh-CN" w:bidi="ar-SA"/>
        </w:rPr>
      </w:pP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r>
        <w:rPr>
          <w:rFonts w:hint="eastAsia" w:ascii="Calibri" w:hAnsi="Calibri" w:eastAsia="宋体" w:cs="Times New Roman"/>
          <w:color w:val="000000"/>
          <w:kern w:val="2"/>
          <w:sz w:val="24"/>
          <w:szCs w:val="24"/>
          <w:lang w:val="en-US" w:eastAsia="zh-CN" w:bidi="ar-SA"/>
        </w:rPr>
        <w:t>建设单位：平阳县中医院</w:t>
      </w: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r>
        <w:rPr>
          <w:rFonts w:hint="eastAsia" w:ascii="Calibri" w:hAnsi="Calibri" w:eastAsia="宋体" w:cs="Times New Roman"/>
          <w:color w:val="000000"/>
          <w:kern w:val="2"/>
          <w:sz w:val="24"/>
          <w:szCs w:val="24"/>
          <w:lang w:val="en-US" w:eastAsia="zh-CN" w:bidi="ar-SA"/>
        </w:rPr>
        <w:t>代建单位：平阳县政府投资项目建设中心</w:t>
      </w: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r>
        <w:rPr>
          <w:rFonts w:hint="eastAsia" w:ascii="Calibri" w:hAnsi="Calibri" w:eastAsia="宋体" w:cs="Times New Roman"/>
          <w:color w:val="000000"/>
          <w:kern w:val="2"/>
          <w:sz w:val="24"/>
          <w:szCs w:val="24"/>
          <w:lang w:val="en-US" w:eastAsia="zh-CN" w:bidi="ar-SA"/>
        </w:rPr>
        <w:t>总包单位：海天建设集团有限公司</w:t>
      </w: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p>
    <w:p>
      <w:pPr>
        <w:pStyle w:val="7"/>
        <w:keepNext w:val="0"/>
        <w:keepLines w:val="0"/>
        <w:pageBreakBefore w:val="0"/>
        <w:kinsoku/>
        <w:overflowPunct/>
        <w:topLinePunct w:val="0"/>
        <w:bidi w:val="0"/>
        <w:spacing w:line="400" w:lineRule="exact"/>
        <w:jc w:val="right"/>
        <w:textAlignment w:val="auto"/>
        <w:rPr>
          <w:rFonts w:hint="eastAsia" w:ascii="Calibri" w:hAnsi="Calibri" w:eastAsia="宋体" w:cs="Times New Roman"/>
          <w:color w:val="000000"/>
          <w:kern w:val="2"/>
          <w:sz w:val="24"/>
          <w:szCs w:val="24"/>
          <w:lang w:val="en-US" w:eastAsia="zh-CN" w:bidi="ar-SA"/>
        </w:rPr>
      </w:pPr>
      <w:r>
        <w:rPr>
          <w:rFonts w:hint="eastAsia" w:ascii="Calibri" w:hAnsi="Calibri" w:eastAsia="宋体" w:cs="Times New Roman"/>
          <w:color w:val="000000"/>
          <w:kern w:val="2"/>
          <w:sz w:val="24"/>
          <w:szCs w:val="24"/>
          <w:lang w:val="en-US" w:eastAsia="zh-CN" w:bidi="ar-SA"/>
        </w:rPr>
        <w:t>代理单位：浙江首信工程项目管理有限公司</w:t>
      </w:r>
    </w:p>
    <w:p>
      <w:pPr>
        <w:jc w:val="right"/>
        <w:rPr>
          <w:rFonts w:hint="eastAsia" w:ascii="Calibri" w:hAnsi="Calibri" w:eastAsia="宋体" w:cs="Times New Roman"/>
          <w:color w:val="000000"/>
          <w:kern w:val="2"/>
          <w:sz w:val="24"/>
          <w:szCs w:val="24"/>
          <w:lang w:val="en-US" w:eastAsia="zh-CN" w:bidi="ar-SA"/>
        </w:rPr>
      </w:pPr>
    </w:p>
    <w:p>
      <w:pPr>
        <w:jc w:val="right"/>
      </w:pPr>
      <w:r>
        <w:rPr>
          <w:rFonts w:hint="eastAsia" w:ascii="Calibri" w:hAnsi="Calibri" w:eastAsia="宋体" w:cs="Times New Roman"/>
          <w:color w:val="000000"/>
          <w:kern w:val="2"/>
          <w:sz w:val="24"/>
          <w:szCs w:val="24"/>
          <w:lang w:val="en-US" w:eastAsia="zh-CN" w:bidi="ar-SA"/>
        </w:rPr>
        <w:t>2022年3月</w:t>
      </w:r>
      <w:r>
        <w:rPr>
          <w:rFonts w:hint="eastAsia" w:cs="Times New Roman"/>
          <w:color w:val="000000"/>
          <w:kern w:val="2"/>
          <w:sz w:val="24"/>
          <w:szCs w:val="24"/>
          <w:lang w:val="en-US" w:eastAsia="zh-CN" w:bidi="ar-SA"/>
        </w:rPr>
        <w:t>22</w:t>
      </w:r>
      <w:r>
        <w:rPr>
          <w:rFonts w:hint="eastAsia" w:ascii="Calibri" w:hAnsi="Calibri" w:eastAsia="宋体" w:cs="Times New Roman"/>
          <w:color w:val="000000"/>
          <w:kern w:val="2"/>
          <w:sz w:val="24"/>
          <w:szCs w:val="24"/>
          <w:lang w:val="en-US" w:eastAsia="zh-CN" w:bidi="ar-SA"/>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84F69"/>
    <w:rsid w:val="073A54E7"/>
    <w:rsid w:val="0FD31CDB"/>
    <w:rsid w:val="1D884F69"/>
    <w:rsid w:val="5F626904"/>
    <w:rsid w:val="73947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99"/>
    <w:pPr>
      <w:tabs>
        <w:tab w:val="left" w:pos="9360"/>
      </w:tabs>
      <w:adjustRightInd/>
      <w:ind w:firstLine="420" w:firstLineChars="100"/>
      <w:textAlignment w:val="auto"/>
    </w:pPr>
    <w:rPr>
      <w:b/>
      <w:bCs/>
      <w:sz w:val="21"/>
      <w:szCs w:val="24"/>
    </w:rPr>
  </w:style>
  <w:style w:type="paragraph" w:styleId="3">
    <w:name w:val="Body Text"/>
    <w:basedOn w:val="1"/>
    <w:next w:val="2"/>
    <w:qFormat/>
    <w:uiPriority w:val="99"/>
    <w:pPr>
      <w:tabs>
        <w:tab w:val="left" w:pos="9360"/>
      </w:tabs>
    </w:pPr>
    <w:rPr>
      <w:sz w:val="24"/>
      <w:szCs w:val="20"/>
    </w:rPr>
  </w:style>
  <w:style w:type="paragraph" w:styleId="4">
    <w:name w:val="toc 6"/>
    <w:basedOn w:val="1"/>
    <w:next w:val="1"/>
    <w:qFormat/>
    <w:uiPriority w:val="0"/>
    <w:pPr>
      <w:ind w:left="2100" w:leftChars="1000"/>
    </w:pPr>
    <w:rPr>
      <w:rFonts w:ascii="Calibri" w:hAnsi="Calibri"/>
      <w:szCs w:val="22"/>
    </w:rPr>
  </w:style>
  <w:style w:type="paragraph" w:customStyle="1" w:styleId="7">
    <w:name w:val="样式 正文文本"/>
    <w:basedOn w:val="1"/>
    <w:qFormat/>
    <w:uiPriority w:val="0"/>
    <w:pPr>
      <w:autoSpaceDE/>
      <w:autoSpaceDN/>
      <w:snapToGrid w:val="0"/>
      <w:spacing w:line="400" w:lineRule="exact"/>
      <w:jc w:val="both"/>
    </w:pPr>
    <w:rPr>
      <w:rFonts w:ascii="Arial" w:hAnsi="Arial"/>
      <w:color w:val="000000"/>
      <w:kern w:val="2"/>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24087</Words>
  <Characters>26474</Characters>
  <Lines>0</Lines>
  <Paragraphs>0</Paragraphs>
  <TotalTime>16</TotalTime>
  <ScaleCrop>false</ScaleCrop>
  <LinksUpToDate>false</LinksUpToDate>
  <CharactersWithSpaces>26769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2022-03-21T06:44:00Z</dcterms:created>
  <dc:creator>那么问题来了</dc:creator>
  <cp:lastModifiedBy>那么问题来了</cp:lastModifiedBy>
  <cp:lastPrinted>2022-03-22T07:16:30Z</cp:lastPrinted>
  <dcterms:modified xsi:type="dcterms:W3CDTF">2022-03-22T07:24:05Z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F2DCAA92C1D44569A7A34BCE3AD5E4BB</vt:lpwstr>
  </property>
</Properties>
</file>