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575" w:type="dxa"/>
        <w:tblInd w:w="94" w:type="dxa"/>
        <w:tblLook w:val="04A0"/>
      </w:tblPr>
      <w:tblGrid>
        <w:gridCol w:w="620"/>
        <w:gridCol w:w="4778"/>
        <w:gridCol w:w="766"/>
        <w:gridCol w:w="766"/>
        <w:gridCol w:w="766"/>
        <w:gridCol w:w="766"/>
        <w:gridCol w:w="766"/>
        <w:gridCol w:w="1065"/>
        <w:gridCol w:w="1055"/>
        <w:gridCol w:w="1096"/>
        <w:gridCol w:w="1065"/>
        <w:gridCol w:w="1066"/>
      </w:tblGrid>
      <w:tr w:rsidR="00340644" w:rsidRPr="00340644" w:rsidTr="00340644">
        <w:trPr>
          <w:trHeight w:val="779"/>
        </w:trPr>
        <w:tc>
          <w:tcPr>
            <w:tcW w:w="14575" w:type="dxa"/>
            <w:gridSpan w:val="12"/>
            <w:tcBorders>
              <w:top w:val="nil"/>
              <w:left w:val="nil"/>
              <w:bottom w:val="nil"/>
              <w:right w:val="nil"/>
            </w:tcBorders>
            <w:shd w:val="clear" w:color="auto" w:fill="auto"/>
            <w:vAlign w:val="center"/>
            <w:hideMark/>
          </w:tcPr>
          <w:p w:rsidR="00340644" w:rsidRPr="00340644" w:rsidRDefault="00340644" w:rsidP="00340644">
            <w:pPr>
              <w:widowControl/>
              <w:jc w:val="center"/>
              <w:rPr>
                <w:rFonts w:ascii="宋体" w:eastAsia="宋体" w:hAnsi="宋体" w:cs="宋体"/>
                <w:b/>
                <w:bCs/>
                <w:color w:val="000000"/>
                <w:kern w:val="0"/>
                <w:sz w:val="32"/>
                <w:szCs w:val="32"/>
              </w:rPr>
            </w:pPr>
            <w:r w:rsidRPr="00340644">
              <w:rPr>
                <w:rFonts w:ascii="宋体" w:eastAsia="宋体" w:hAnsi="宋体" w:cs="宋体" w:hint="eastAsia"/>
                <w:b/>
                <w:bCs/>
                <w:color w:val="000000"/>
                <w:kern w:val="0"/>
                <w:sz w:val="32"/>
                <w:szCs w:val="32"/>
              </w:rPr>
              <w:t>红色流域水利整治工程—山门镇沿溪改造提升工程设计采购施工总承包综合得分表</w:t>
            </w:r>
          </w:p>
        </w:tc>
      </w:tr>
      <w:tr w:rsidR="00340644" w:rsidRPr="00340644" w:rsidTr="00340644">
        <w:trPr>
          <w:trHeight w:val="290"/>
        </w:trPr>
        <w:tc>
          <w:tcPr>
            <w:tcW w:w="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序号</w:t>
            </w:r>
          </w:p>
        </w:tc>
        <w:tc>
          <w:tcPr>
            <w:tcW w:w="47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投标人</w:t>
            </w:r>
          </w:p>
        </w:tc>
        <w:tc>
          <w:tcPr>
            <w:tcW w:w="3830" w:type="dxa"/>
            <w:gridSpan w:val="5"/>
            <w:tcBorders>
              <w:top w:val="single" w:sz="4" w:space="0" w:color="auto"/>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4"/>
                <w:szCs w:val="24"/>
              </w:rPr>
            </w:pPr>
            <w:r w:rsidRPr="00340644">
              <w:rPr>
                <w:rFonts w:ascii="宋体" w:eastAsia="宋体" w:hAnsi="宋体" w:cs="宋体" w:hint="eastAsia"/>
                <w:color w:val="000000"/>
                <w:kern w:val="0"/>
                <w:sz w:val="24"/>
                <w:szCs w:val="24"/>
              </w:rPr>
              <w:t>评标委员会技术标独立打分</w:t>
            </w:r>
          </w:p>
        </w:tc>
        <w:tc>
          <w:tcPr>
            <w:tcW w:w="10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技术得分      （67分）</w:t>
            </w:r>
          </w:p>
        </w:tc>
        <w:tc>
          <w:tcPr>
            <w:tcW w:w="10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资信得分      （3分）</w:t>
            </w:r>
          </w:p>
        </w:tc>
        <w:tc>
          <w:tcPr>
            <w:tcW w:w="1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投标报价（元）</w:t>
            </w:r>
          </w:p>
        </w:tc>
        <w:tc>
          <w:tcPr>
            <w:tcW w:w="10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商务得分（30分）</w:t>
            </w:r>
          </w:p>
        </w:tc>
        <w:tc>
          <w:tcPr>
            <w:tcW w:w="10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最终得分</w:t>
            </w:r>
          </w:p>
        </w:tc>
      </w:tr>
      <w:tr w:rsidR="00340644" w:rsidRPr="00340644" w:rsidTr="00340644">
        <w:trPr>
          <w:trHeight w:val="290"/>
        </w:trPr>
        <w:tc>
          <w:tcPr>
            <w:tcW w:w="620" w:type="dxa"/>
            <w:vMerge/>
            <w:tcBorders>
              <w:top w:val="single" w:sz="4" w:space="0" w:color="auto"/>
              <w:left w:val="single" w:sz="4" w:space="0" w:color="auto"/>
              <w:bottom w:val="single" w:sz="4" w:space="0" w:color="auto"/>
              <w:right w:val="single" w:sz="4" w:space="0" w:color="auto"/>
            </w:tcBorders>
            <w:vAlign w:val="center"/>
            <w:hideMark/>
          </w:tcPr>
          <w:p w:rsidR="00340644" w:rsidRPr="00340644" w:rsidRDefault="00340644" w:rsidP="00340644">
            <w:pPr>
              <w:widowControl/>
              <w:jc w:val="left"/>
              <w:rPr>
                <w:rFonts w:ascii="宋体" w:eastAsia="宋体" w:hAnsi="宋体" w:cs="宋体"/>
                <w:color w:val="000000"/>
                <w:kern w:val="0"/>
                <w:sz w:val="22"/>
              </w:rPr>
            </w:pPr>
          </w:p>
        </w:tc>
        <w:tc>
          <w:tcPr>
            <w:tcW w:w="4778" w:type="dxa"/>
            <w:vMerge/>
            <w:tcBorders>
              <w:top w:val="single" w:sz="4" w:space="0" w:color="auto"/>
              <w:left w:val="single" w:sz="4" w:space="0" w:color="auto"/>
              <w:bottom w:val="single" w:sz="4" w:space="0" w:color="auto"/>
              <w:right w:val="single" w:sz="4" w:space="0" w:color="auto"/>
            </w:tcBorders>
            <w:vAlign w:val="center"/>
            <w:hideMark/>
          </w:tcPr>
          <w:p w:rsidR="00340644" w:rsidRPr="00340644" w:rsidRDefault="00340644" w:rsidP="00340644">
            <w:pPr>
              <w:widowControl/>
              <w:jc w:val="left"/>
              <w:rPr>
                <w:rFonts w:ascii="宋体" w:eastAsia="宋体" w:hAnsi="宋体" w:cs="宋体"/>
                <w:color w:val="000000"/>
                <w:kern w:val="0"/>
                <w:sz w:val="22"/>
              </w:rPr>
            </w:pP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4"/>
                <w:szCs w:val="24"/>
              </w:rPr>
            </w:pPr>
            <w:r w:rsidRPr="00340644">
              <w:rPr>
                <w:rFonts w:ascii="宋体" w:eastAsia="宋体" w:hAnsi="宋体" w:cs="宋体" w:hint="eastAsia"/>
                <w:color w:val="000000"/>
                <w:kern w:val="0"/>
                <w:sz w:val="24"/>
                <w:szCs w:val="24"/>
              </w:rPr>
              <w:t>1</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4"/>
                <w:szCs w:val="24"/>
              </w:rPr>
            </w:pPr>
            <w:r w:rsidRPr="00340644">
              <w:rPr>
                <w:rFonts w:ascii="宋体" w:eastAsia="宋体" w:hAnsi="宋体" w:cs="宋体" w:hint="eastAsia"/>
                <w:color w:val="000000"/>
                <w:kern w:val="0"/>
                <w:sz w:val="24"/>
                <w:szCs w:val="24"/>
              </w:rPr>
              <w:t>2</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4"/>
                <w:szCs w:val="24"/>
              </w:rPr>
            </w:pPr>
            <w:r w:rsidRPr="00340644">
              <w:rPr>
                <w:rFonts w:ascii="宋体" w:eastAsia="宋体" w:hAnsi="宋体" w:cs="宋体" w:hint="eastAsia"/>
                <w:color w:val="000000"/>
                <w:kern w:val="0"/>
                <w:sz w:val="24"/>
                <w:szCs w:val="24"/>
              </w:rPr>
              <w:t>3</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4"/>
                <w:szCs w:val="24"/>
              </w:rPr>
            </w:pPr>
            <w:r w:rsidRPr="00340644">
              <w:rPr>
                <w:rFonts w:ascii="宋体" w:eastAsia="宋体" w:hAnsi="宋体" w:cs="宋体" w:hint="eastAsia"/>
                <w:color w:val="000000"/>
                <w:kern w:val="0"/>
                <w:sz w:val="24"/>
                <w:szCs w:val="24"/>
              </w:rPr>
              <w:t>4</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4"/>
                <w:szCs w:val="24"/>
              </w:rPr>
            </w:pPr>
            <w:r w:rsidRPr="00340644">
              <w:rPr>
                <w:rFonts w:ascii="宋体" w:eastAsia="宋体" w:hAnsi="宋体" w:cs="宋体" w:hint="eastAsia"/>
                <w:color w:val="000000"/>
                <w:kern w:val="0"/>
                <w:sz w:val="24"/>
                <w:szCs w:val="24"/>
              </w:rPr>
              <w:t>5</w:t>
            </w:r>
          </w:p>
        </w:tc>
        <w:tc>
          <w:tcPr>
            <w:tcW w:w="1065" w:type="dxa"/>
            <w:vMerge/>
            <w:tcBorders>
              <w:top w:val="single" w:sz="4" w:space="0" w:color="auto"/>
              <w:left w:val="single" w:sz="4" w:space="0" w:color="auto"/>
              <w:bottom w:val="single" w:sz="4" w:space="0" w:color="auto"/>
              <w:right w:val="single" w:sz="4" w:space="0" w:color="auto"/>
            </w:tcBorders>
            <w:vAlign w:val="center"/>
            <w:hideMark/>
          </w:tcPr>
          <w:p w:rsidR="00340644" w:rsidRPr="00340644" w:rsidRDefault="00340644" w:rsidP="00340644">
            <w:pPr>
              <w:widowControl/>
              <w:jc w:val="left"/>
              <w:rPr>
                <w:rFonts w:ascii="宋体" w:eastAsia="宋体" w:hAnsi="宋体" w:cs="宋体"/>
                <w:color w:val="000000"/>
                <w:kern w:val="0"/>
                <w:sz w:val="20"/>
                <w:szCs w:val="20"/>
              </w:rPr>
            </w:pPr>
          </w:p>
        </w:tc>
        <w:tc>
          <w:tcPr>
            <w:tcW w:w="1055" w:type="dxa"/>
            <w:vMerge/>
            <w:tcBorders>
              <w:top w:val="single" w:sz="4" w:space="0" w:color="auto"/>
              <w:left w:val="single" w:sz="4" w:space="0" w:color="auto"/>
              <w:bottom w:val="single" w:sz="4" w:space="0" w:color="auto"/>
              <w:right w:val="single" w:sz="4" w:space="0" w:color="auto"/>
            </w:tcBorders>
            <w:vAlign w:val="center"/>
            <w:hideMark/>
          </w:tcPr>
          <w:p w:rsidR="00340644" w:rsidRPr="00340644" w:rsidRDefault="00340644" w:rsidP="00340644">
            <w:pPr>
              <w:widowControl/>
              <w:jc w:val="left"/>
              <w:rPr>
                <w:rFonts w:ascii="宋体" w:eastAsia="宋体" w:hAnsi="宋体" w:cs="宋体"/>
                <w:color w:val="000000"/>
                <w:kern w:val="0"/>
                <w:sz w:val="20"/>
                <w:szCs w:val="20"/>
              </w:rPr>
            </w:pPr>
          </w:p>
        </w:tc>
        <w:tc>
          <w:tcPr>
            <w:tcW w:w="1096" w:type="dxa"/>
            <w:vMerge/>
            <w:tcBorders>
              <w:top w:val="single" w:sz="4" w:space="0" w:color="auto"/>
              <w:left w:val="single" w:sz="4" w:space="0" w:color="auto"/>
              <w:bottom w:val="single" w:sz="4" w:space="0" w:color="auto"/>
              <w:right w:val="single" w:sz="4" w:space="0" w:color="auto"/>
            </w:tcBorders>
            <w:vAlign w:val="center"/>
            <w:hideMark/>
          </w:tcPr>
          <w:p w:rsidR="00340644" w:rsidRPr="00340644" w:rsidRDefault="00340644" w:rsidP="00340644">
            <w:pPr>
              <w:widowControl/>
              <w:jc w:val="left"/>
              <w:rPr>
                <w:rFonts w:ascii="宋体" w:eastAsia="宋体" w:hAnsi="宋体" w:cs="宋体"/>
                <w:color w:val="000000"/>
                <w:kern w:val="0"/>
                <w:sz w:val="20"/>
                <w:szCs w:val="20"/>
              </w:rPr>
            </w:pPr>
          </w:p>
        </w:tc>
        <w:tc>
          <w:tcPr>
            <w:tcW w:w="1065" w:type="dxa"/>
            <w:vMerge/>
            <w:tcBorders>
              <w:top w:val="single" w:sz="4" w:space="0" w:color="auto"/>
              <w:left w:val="single" w:sz="4" w:space="0" w:color="auto"/>
              <w:bottom w:val="single" w:sz="4" w:space="0" w:color="auto"/>
              <w:right w:val="single" w:sz="4" w:space="0" w:color="auto"/>
            </w:tcBorders>
            <w:vAlign w:val="center"/>
            <w:hideMark/>
          </w:tcPr>
          <w:p w:rsidR="00340644" w:rsidRPr="00340644" w:rsidRDefault="00340644" w:rsidP="00340644">
            <w:pPr>
              <w:widowControl/>
              <w:jc w:val="left"/>
              <w:rPr>
                <w:rFonts w:ascii="宋体" w:eastAsia="宋体" w:hAnsi="宋体" w:cs="宋体"/>
                <w:color w:val="000000"/>
                <w:kern w:val="0"/>
                <w:sz w:val="20"/>
                <w:szCs w:val="20"/>
              </w:rPr>
            </w:pPr>
          </w:p>
        </w:tc>
        <w:tc>
          <w:tcPr>
            <w:tcW w:w="1066" w:type="dxa"/>
            <w:vMerge/>
            <w:tcBorders>
              <w:top w:val="single" w:sz="4" w:space="0" w:color="auto"/>
              <w:left w:val="single" w:sz="4" w:space="0" w:color="auto"/>
              <w:bottom w:val="single" w:sz="4" w:space="0" w:color="auto"/>
              <w:right w:val="single" w:sz="4" w:space="0" w:color="auto"/>
            </w:tcBorders>
            <w:vAlign w:val="center"/>
            <w:hideMark/>
          </w:tcPr>
          <w:p w:rsidR="00340644" w:rsidRPr="00340644" w:rsidRDefault="00340644" w:rsidP="00340644">
            <w:pPr>
              <w:widowControl/>
              <w:jc w:val="left"/>
              <w:rPr>
                <w:rFonts w:ascii="宋体" w:eastAsia="宋体" w:hAnsi="宋体" w:cs="宋体"/>
                <w:color w:val="000000"/>
                <w:kern w:val="0"/>
                <w:sz w:val="20"/>
                <w:szCs w:val="20"/>
              </w:rPr>
            </w:pPr>
          </w:p>
        </w:tc>
      </w:tr>
      <w:tr w:rsidR="00340644" w:rsidRPr="00340644" w:rsidTr="00340644">
        <w:trPr>
          <w:trHeight w:val="71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1</w:t>
            </w:r>
          </w:p>
        </w:tc>
        <w:tc>
          <w:tcPr>
            <w:tcW w:w="4778"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left"/>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浙江永通科技发展有限公司</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25.10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33.00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30.80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29.80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40.60 </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31.86 </w:t>
            </w:r>
          </w:p>
        </w:tc>
        <w:tc>
          <w:tcPr>
            <w:tcW w:w="105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1 </w:t>
            </w:r>
          </w:p>
        </w:tc>
        <w:tc>
          <w:tcPr>
            <w:tcW w:w="3227" w:type="dxa"/>
            <w:gridSpan w:val="3"/>
            <w:tcBorders>
              <w:top w:val="single" w:sz="4" w:space="0" w:color="auto"/>
              <w:left w:val="nil"/>
              <w:bottom w:val="single" w:sz="4" w:space="0" w:color="auto"/>
              <w:right w:val="single" w:sz="4" w:space="0" w:color="000000"/>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未入围商务评审</w:t>
            </w:r>
          </w:p>
        </w:tc>
      </w:tr>
      <w:tr w:rsidR="00340644" w:rsidRPr="00340644" w:rsidTr="00340644">
        <w:trPr>
          <w:trHeight w:val="71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2</w:t>
            </w:r>
          </w:p>
        </w:tc>
        <w:tc>
          <w:tcPr>
            <w:tcW w:w="4778"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left"/>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湖南省</w:t>
            </w:r>
            <w:proofErr w:type="gramStart"/>
            <w:r w:rsidRPr="00340644">
              <w:rPr>
                <w:rFonts w:ascii="宋体" w:eastAsia="宋体" w:hAnsi="宋体" w:cs="宋体" w:hint="eastAsia"/>
                <w:color w:val="000000"/>
                <w:kern w:val="0"/>
                <w:sz w:val="20"/>
                <w:szCs w:val="20"/>
              </w:rPr>
              <w:t>辰波建设</w:t>
            </w:r>
            <w:proofErr w:type="gramEnd"/>
            <w:r w:rsidRPr="00340644">
              <w:rPr>
                <w:rFonts w:ascii="宋体" w:eastAsia="宋体" w:hAnsi="宋体" w:cs="宋体" w:hint="eastAsia"/>
                <w:color w:val="000000"/>
                <w:kern w:val="0"/>
                <w:sz w:val="20"/>
                <w:szCs w:val="20"/>
              </w:rPr>
              <w:t>有限公司与广东南海城乡建筑设计有限公司联合体</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27.10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39.00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32.80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34.90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39.30 </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34.62 </w:t>
            </w:r>
          </w:p>
        </w:tc>
        <w:tc>
          <w:tcPr>
            <w:tcW w:w="105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0 </w:t>
            </w:r>
          </w:p>
        </w:tc>
        <w:tc>
          <w:tcPr>
            <w:tcW w:w="3227" w:type="dxa"/>
            <w:gridSpan w:val="3"/>
            <w:tcBorders>
              <w:top w:val="single" w:sz="4" w:space="0" w:color="auto"/>
              <w:left w:val="nil"/>
              <w:bottom w:val="single" w:sz="4" w:space="0" w:color="auto"/>
              <w:right w:val="single" w:sz="4" w:space="0" w:color="000000"/>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未入围商务评审</w:t>
            </w:r>
          </w:p>
        </w:tc>
      </w:tr>
      <w:tr w:rsidR="00340644" w:rsidRPr="00340644" w:rsidTr="00340644">
        <w:trPr>
          <w:trHeight w:val="71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3</w:t>
            </w:r>
          </w:p>
        </w:tc>
        <w:tc>
          <w:tcPr>
            <w:tcW w:w="4778"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left"/>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山东彩旺建设有限公司</w:t>
            </w:r>
            <w:proofErr w:type="gramStart"/>
            <w:r w:rsidRPr="00340644">
              <w:rPr>
                <w:rFonts w:ascii="宋体" w:eastAsia="宋体" w:hAnsi="宋体" w:cs="宋体" w:hint="eastAsia"/>
                <w:color w:val="000000"/>
                <w:kern w:val="0"/>
                <w:sz w:val="20"/>
                <w:szCs w:val="20"/>
              </w:rPr>
              <w:t>与铭扬工程设计</w:t>
            </w:r>
            <w:proofErr w:type="gramEnd"/>
            <w:r w:rsidRPr="00340644">
              <w:rPr>
                <w:rFonts w:ascii="宋体" w:eastAsia="宋体" w:hAnsi="宋体" w:cs="宋体" w:hint="eastAsia"/>
                <w:color w:val="000000"/>
                <w:kern w:val="0"/>
                <w:sz w:val="20"/>
                <w:szCs w:val="20"/>
              </w:rPr>
              <w:t>集团有限公司联合体</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56.00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53.50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50.10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51.40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47.30 </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51.66 </w:t>
            </w:r>
          </w:p>
        </w:tc>
        <w:tc>
          <w:tcPr>
            <w:tcW w:w="105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3 </w:t>
            </w:r>
          </w:p>
        </w:tc>
        <w:tc>
          <w:tcPr>
            <w:tcW w:w="1096"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25251263</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29.23 </w:t>
            </w:r>
          </w:p>
        </w:tc>
        <w:tc>
          <w:tcPr>
            <w:tcW w:w="1066"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83.89 </w:t>
            </w:r>
          </w:p>
        </w:tc>
      </w:tr>
      <w:tr w:rsidR="00340644" w:rsidRPr="00340644" w:rsidTr="00340644">
        <w:trPr>
          <w:trHeight w:val="71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4</w:t>
            </w:r>
          </w:p>
        </w:tc>
        <w:tc>
          <w:tcPr>
            <w:tcW w:w="4778"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left"/>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广州</w:t>
            </w:r>
            <w:proofErr w:type="gramStart"/>
            <w:r w:rsidRPr="00340644">
              <w:rPr>
                <w:rFonts w:ascii="宋体" w:eastAsia="宋体" w:hAnsi="宋体" w:cs="宋体" w:hint="eastAsia"/>
                <w:color w:val="000000"/>
                <w:kern w:val="0"/>
                <w:sz w:val="20"/>
                <w:szCs w:val="20"/>
              </w:rPr>
              <w:t>耀有光照明科技</w:t>
            </w:r>
            <w:proofErr w:type="gramEnd"/>
            <w:r w:rsidRPr="00340644">
              <w:rPr>
                <w:rFonts w:ascii="宋体" w:eastAsia="宋体" w:hAnsi="宋体" w:cs="宋体" w:hint="eastAsia"/>
                <w:color w:val="000000"/>
                <w:kern w:val="0"/>
                <w:sz w:val="20"/>
                <w:szCs w:val="20"/>
              </w:rPr>
              <w:t>有限公司与浙江城建规划设计院有限公司联合体</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55.50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51.00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60.00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58.60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51.00 </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55.22 </w:t>
            </w:r>
          </w:p>
        </w:tc>
        <w:tc>
          <w:tcPr>
            <w:tcW w:w="105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3 </w:t>
            </w:r>
          </w:p>
        </w:tc>
        <w:tc>
          <w:tcPr>
            <w:tcW w:w="1096"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24763298</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29.41 </w:t>
            </w:r>
          </w:p>
        </w:tc>
        <w:tc>
          <w:tcPr>
            <w:tcW w:w="1066"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87.63 </w:t>
            </w:r>
          </w:p>
        </w:tc>
      </w:tr>
      <w:tr w:rsidR="00340644" w:rsidRPr="00340644" w:rsidTr="00340644">
        <w:trPr>
          <w:trHeight w:val="71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5</w:t>
            </w:r>
          </w:p>
        </w:tc>
        <w:tc>
          <w:tcPr>
            <w:tcW w:w="4778"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left"/>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杭州中元照明工程有限公司</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53.50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48.50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44.70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51.60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58.20 </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51.30 </w:t>
            </w:r>
          </w:p>
        </w:tc>
        <w:tc>
          <w:tcPr>
            <w:tcW w:w="105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3 </w:t>
            </w:r>
          </w:p>
        </w:tc>
        <w:tc>
          <w:tcPr>
            <w:tcW w:w="1096"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25140000</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29.67 </w:t>
            </w:r>
          </w:p>
        </w:tc>
        <w:tc>
          <w:tcPr>
            <w:tcW w:w="1066"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83.97 </w:t>
            </w:r>
          </w:p>
        </w:tc>
      </w:tr>
      <w:tr w:rsidR="00340644" w:rsidRPr="00340644" w:rsidTr="00340644">
        <w:trPr>
          <w:trHeight w:val="71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6</w:t>
            </w:r>
          </w:p>
        </w:tc>
        <w:tc>
          <w:tcPr>
            <w:tcW w:w="4778"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left"/>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北京新时空科技股份有限公司</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31.50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41.00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42.30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48.10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54.70 </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43.52 </w:t>
            </w:r>
          </w:p>
        </w:tc>
        <w:tc>
          <w:tcPr>
            <w:tcW w:w="105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1 </w:t>
            </w:r>
          </w:p>
        </w:tc>
        <w:tc>
          <w:tcPr>
            <w:tcW w:w="1096"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25530683</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28.12 </w:t>
            </w:r>
          </w:p>
        </w:tc>
        <w:tc>
          <w:tcPr>
            <w:tcW w:w="1066"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72.64 </w:t>
            </w:r>
          </w:p>
        </w:tc>
      </w:tr>
      <w:tr w:rsidR="00340644" w:rsidRPr="00340644" w:rsidTr="00340644">
        <w:trPr>
          <w:trHeight w:val="71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7</w:t>
            </w:r>
          </w:p>
        </w:tc>
        <w:tc>
          <w:tcPr>
            <w:tcW w:w="4778"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left"/>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浙江省机电设计研究院有限公司与中科盛博建设集团有限公司联合体</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57.50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54.00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60.00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53.60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61.60 </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57.34 </w:t>
            </w:r>
          </w:p>
        </w:tc>
        <w:tc>
          <w:tcPr>
            <w:tcW w:w="105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3 </w:t>
            </w:r>
          </w:p>
        </w:tc>
        <w:tc>
          <w:tcPr>
            <w:tcW w:w="1096"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24784335</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29.45 </w:t>
            </w:r>
          </w:p>
        </w:tc>
        <w:tc>
          <w:tcPr>
            <w:tcW w:w="1066"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89.79 </w:t>
            </w:r>
          </w:p>
        </w:tc>
      </w:tr>
      <w:tr w:rsidR="00340644" w:rsidRPr="00340644" w:rsidTr="00340644">
        <w:trPr>
          <w:trHeight w:val="71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8</w:t>
            </w:r>
          </w:p>
        </w:tc>
        <w:tc>
          <w:tcPr>
            <w:tcW w:w="4778"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left"/>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深圳市</w:t>
            </w:r>
            <w:proofErr w:type="gramStart"/>
            <w:r w:rsidRPr="00340644">
              <w:rPr>
                <w:rFonts w:ascii="宋体" w:eastAsia="宋体" w:hAnsi="宋体" w:cs="宋体" w:hint="eastAsia"/>
                <w:color w:val="000000"/>
                <w:kern w:val="0"/>
                <w:sz w:val="20"/>
                <w:szCs w:val="20"/>
              </w:rPr>
              <w:t>嘉田峪照明</w:t>
            </w:r>
            <w:proofErr w:type="gramEnd"/>
            <w:r w:rsidRPr="00340644">
              <w:rPr>
                <w:rFonts w:ascii="宋体" w:eastAsia="宋体" w:hAnsi="宋体" w:cs="宋体" w:hint="eastAsia"/>
                <w:color w:val="000000"/>
                <w:kern w:val="0"/>
                <w:sz w:val="20"/>
                <w:szCs w:val="20"/>
              </w:rPr>
              <w:t>艺术有限公司与深圳市东大国际工程设计有限公司联合体</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28.10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45.50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37.60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45.00 </w:t>
            </w:r>
          </w:p>
        </w:tc>
        <w:tc>
          <w:tcPr>
            <w:tcW w:w="766" w:type="dxa"/>
            <w:tcBorders>
              <w:top w:val="nil"/>
              <w:left w:val="nil"/>
              <w:bottom w:val="single" w:sz="4" w:space="0" w:color="auto"/>
              <w:right w:val="single" w:sz="4" w:space="0" w:color="auto"/>
            </w:tcBorders>
            <w:shd w:val="clear" w:color="auto" w:fill="auto"/>
            <w:noWrap/>
            <w:vAlign w:val="center"/>
            <w:hideMark/>
          </w:tcPr>
          <w:p w:rsidR="00340644" w:rsidRPr="00340644" w:rsidRDefault="00340644" w:rsidP="00340644">
            <w:pPr>
              <w:widowControl/>
              <w:jc w:val="center"/>
              <w:rPr>
                <w:rFonts w:ascii="宋体" w:eastAsia="宋体" w:hAnsi="宋体" w:cs="宋体"/>
                <w:color w:val="000000"/>
                <w:kern w:val="0"/>
                <w:sz w:val="22"/>
              </w:rPr>
            </w:pPr>
            <w:r w:rsidRPr="00340644">
              <w:rPr>
                <w:rFonts w:ascii="宋体" w:eastAsia="宋体" w:hAnsi="宋体" w:cs="宋体" w:hint="eastAsia"/>
                <w:color w:val="000000"/>
                <w:kern w:val="0"/>
                <w:sz w:val="22"/>
              </w:rPr>
              <w:t xml:space="preserve">43.20 </w:t>
            </w:r>
          </w:p>
        </w:tc>
        <w:tc>
          <w:tcPr>
            <w:tcW w:w="106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39.88 </w:t>
            </w:r>
          </w:p>
        </w:tc>
        <w:tc>
          <w:tcPr>
            <w:tcW w:w="1055" w:type="dxa"/>
            <w:tcBorders>
              <w:top w:val="nil"/>
              <w:left w:val="nil"/>
              <w:bottom w:val="single" w:sz="4" w:space="0" w:color="auto"/>
              <w:right w:val="single" w:sz="4" w:space="0" w:color="auto"/>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 xml:space="preserve">1 </w:t>
            </w:r>
          </w:p>
        </w:tc>
        <w:tc>
          <w:tcPr>
            <w:tcW w:w="3227" w:type="dxa"/>
            <w:gridSpan w:val="3"/>
            <w:tcBorders>
              <w:top w:val="single" w:sz="4" w:space="0" w:color="auto"/>
              <w:left w:val="nil"/>
              <w:bottom w:val="single" w:sz="4" w:space="0" w:color="auto"/>
              <w:right w:val="single" w:sz="4" w:space="0" w:color="000000"/>
            </w:tcBorders>
            <w:shd w:val="clear" w:color="auto" w:fill="auto"/>
            <w:vAlign w:val="center"/>
            <w:hideMark/>
          </w:tcPr>
          <w:p w:rsidR="00340644" w:rsidRPr="00340644" w:rsidRDefault="00340644" w:rsidP="00340644">
            <w:pPr>
              <w:widowControl/>
              <w:jc w:val="center"/>
              <w:rPr>
                <w:rFonts w:ascii="宋体" w:eastAsia="宋体" w:hAnsi="宋体" w:cs="宋体"/>
                <w:color w:val="000000"/>
                <w:kern w:val="0"/>
                <w:sz w:val="20"/>
                <w:szCs w:val="20"/>
              </w:rPr>
            </w:pPr>
            <w:r w:rsidRPr="00340644">
              <w:rPr>
                <w:rFonts w:ascii="宋体" w:eastAsia="宋体" w:hAnsi="宋体" w:cs="宋体" w:hint="eastAsia"/>
                <w:color w:val="000000"/>
                <w:kern w:val="0"/>
                <w:sz w:val="20"/>
                <w:szCs w:val="20"/>
              </w:rPr>
              <w:t>未入围商务评审</w:t>
            </w:r>
          </w:p>
        </w:tc>
      </w:tr>
    </w:tbl>
    <w:p w:rsidR="00000000" w:rsidRDefault="00340644">
      <w:r>
        <w:rPr>
          <w:rFonts w:hint="eastAsia"/>
        </w:rPr>
        <w:t>备注：</w:t>
      </w:r>
      <w:r w:rsidRPr="00340644">
        <w:rPr>
          <w:rFonts w:hint="eastAsia"/>
        </w:rPr>
        <w:t>本项目的最高限价为</w:t>
      </w:r>
      <w:r w:rsidRPr="00340644">
        <w:rPr>
          <w:rFonts w:hint="eastAsia"/>
        </w:rPr>
        <w:t>2775.1</w:t>
      </w:r>
      <w:r w:rsidRPr="00340644">
        <w:rPr>
          <w:rFonts w:hint="eastAsia"/>
        </w:rPr>
        <w:t>万元（其中设计费最高限价</w:t>
      </w:r>
      <w:r w:rsidRPr="00340644">
        <w:rPr>
          <w:rFonts w:hint="eastAsia"/>
        </w:rPr>
        <w:t>58</w:t>
      </w:r>
      <w:r w:rsidRPr="00340644">
        <w:rPr>
          <w:rFonts w:hint="eastAsia"/>
        </w:rPr>
        <w:t>万元</w:t>
      </w:r>
      <w:r w:rsidRPr="00340644">
        <w:rPr>
          <w:rFonts w:hint="eastAsia"/>
        </w:rPr>
        <w:t>(</w:t>
      </w:r>
      <w:r w:rsidRPr="00340644">
        <w:rPr>
          <w:rFonts w:hint="eastAsia"/>
        </w:rPr>
        <w:t>固定总价</w:t>
      </w:r>
      <w:r w:rsidRPr="00340644">
        <w:rPr>
          <w:rFonts w:hint="eastAsia"/>
        </w:rPr>
        <w:t>)</w:t>
      </w:r>
      <w:r w:rsidRPr="00340644">
        <w:rPr>
          <w:rFonts w:hint="eastAsia"/>
        </w:rPr>
        <w:t>，工程费最高限价</w:t>
      </w:r>
      <w:r w:rsidRPr="00340644">
        <w:rPr>
          <w:rFonts w:hint="eastAsia"/>
        </w:rPr>
        <w:t>2717.1</w:t>
      </w:r>
      <w:r w:rsidRPr="00340644">
        <w:rPr>
          <w:rFonts w:hint="eastAsia"/>
        </w:rPr>
        <w:t>万元）</w:t>
      </w:r>
    </w:p>
    <w:sectPr w:rsidR="00000000" w:rsidSect="00340644">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644" w:rsidRDefault="00340644" w:rsidP="00340644">
      <w:pPr>
        <w:ind w:firstLine="560"/>
      </w:pPr>
      <w:r>
        <w:separator/>
      </w:r>
    </w:p>
  </w:endnote>
  <w:endnote w:type="continuationSeparator" w:id="1">
    <w:p w:rsidR="00340644" w:rsidRDefault="00340644" w:rsidP="00340644">
      <w:pPr>
        <w:ind w:firstLine="56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644" w:rsidRDefault="00340644" w:rsidP="00340644">
      <w:pPr>
        <w:ind w:firstLine="560"/>
      </w:pPr>
      <w:r>
        <w:separator/>
      </w:r>
    </w:p>
  </w:footnote>
  <w:footnote w:type="continuationSeparator" w:id="1">
    <w:p w:rsidR="00340644" w:rsidRDefault="00340644" w:rsidP="00340644">
      <w:pPr>
        <w:ind w:firstLine="56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40644"/>
    <w:rsid w:val="003406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406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40644"/>
    <w:rPr>
      <w:sz w:val="18"/>
      <w:szCs w:val="18"/>
    </w:rPr>
  </w:style>
  <w:style w:type="paragraph" w:styleId="a4">
    <w:name w:val="footer"/>
    <w:basedOn w:val="a"/>
    <w:link w:val="Char0"/>
    <w:uiPriority w:val="99"/>
    <w:semiHidden/>
    <w:unhideWhenUsed/>
    <w:rsid w:val="0034064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40644"/>
    <w:rPr>
      <w:sz w:val="18"/>
      <w:szCs w:val="18"/>
    </w:rPr>
  </w:style>
</w:styles>
</file>

<file path=word/webSettings.xml><?xml version="1.0" encoding="utf-8"?>
<w:webSettings xmlns:r="http://schemas.openxmlformats.org/officeDocument/2006/relationships" xmlns:w="http://schemas.openxmlformats.org/wordprocessingml/2006/main">
  <w:divs>
    <w:div w:id="8190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472</Characters>
  <Application>Microsoft Office Word</Application>
  <DocSecurity>0</DocSecurity>
  <Lines>36</Lines>
  <Paragraphs>39</Paragraphs>
  <ScaleCrop>false</ScaleCrop>
  <Company/>
  <LinksUpToDate>false</LinksUpToDate>
  <CharactersWithSpaces>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2</cp:revision>
  <dcterms:created xsi:type="dcterms:W3CDTF">2020-12-25T08:48:00Z</dcterms:created>
  <dcterms:modified xsi:type="dcterms:W3CDTF">2020-12-25T08:48:00Z</dcterms:modified>
</cp:coreProperties>
</file>