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442" w:type="dxa"/>
        <w:tblInd w:w="94" w:type="dxa"/>
        <w:tblLook w:val="04A0"/>
      </w:tblPr>
      <w:tblGrid>
        <w:gridCol w:w="496"/>
        <w:gridCol w:w="4054"/>
        <w:gridCol w:w="1798"/>
        <w:gridCol w:w="656"/>
        <w:gridCol w:w="656"/>
        <w:gridCol w:w="656"/>
        <w:gridCol w:w="656"/>
        <w:gridCol w:w="656"/>
        <w:gridCol w:w="1252"/>
        <w:gridCol w:w="1252"/>
        <w:gridCol w:w="1252"/>
        <w:gridCol w:w="1058"/>
      </w:tblGrid>
      <w:tr w:rsidR="00594F75" w:rsidRPr="00594F75" w:rsidTr="00594F75">
        <w:trPr>
          <w:trHeight w:val="751"/>
        </w:trPr>
        <w:tc>
          <w:tcPr>
            <w:tcW w:w="14442" w:type="dxa"/>
            <w:gridSpan w:val="12"/>
            <w:tcBorders>
              <w:top w:val="nil"/>
              <w:left w:val="nil"/>
              <w:bottom w:val="nil"/>
              <w:right w:val="nil"/>
            </w:tcBorders>
            <w:shd w:val="clear" w:color="auto" w:fill="auto"/>
            <w:vAlign w:val="center"/>
            <w:hideMark/>
          </w:tcPr>
          <w:p w:rsidR="00594F75" w:rsidRPr="00594F75" w:rsidRDefault="00594F75" w:rsidP="00594F75">
            <w:pPr>
              <w:widowControl/>
              <w:jc w:val="center"/>
              <w:rPr>
                <w:rFonts w:ascii="宋体" w:eastAsia="宋体" w:hAnsi="宋体" w:cs="宋体"/>
                <w:b/>
                <w:bCs/>
                <w:kern w:val="0"/>
                <w:sz w:val="36"/>
                <w:szCs w:val="36"/>
              </w:rPr>
            </w:pPr>
            <w:r w:rsidRPr="00594F75">
              <w:rPr>
                <w:rFonts w:ascii="宋体" w:eastAsia="宋体" w:hAnsi="宋体" w:cs="宋体" w:hint="eastAsia"/>
                <w:b/>
                <w:bCs/>
                <w:kern w:val="0"/>
                <w:sz w:val="36"/>
                <w:szCs w:val="36"/>
              </w:rPr>
              <w:t>港站城大道（鳌江互通至动车站段）工程勘察设计综合得分表</w:t>
            </w:r>
          </w:p>
        </w:tc>
      </w:tr>
      <w:tr w:rsidR="00594F75" w:rsidRPr="00594F75" w:rsidTr="00594F75">
        <w:trPr>
          <w:trHeight w:val="365"/>
        </w:trPr>
        <w:tc>
          <w:tcPr>
            <w:tcW w:w="14442" w:type="dxa"/>
            <w:gridSpan w:val="12"/>
            <w:tcBorders>
              <w:top w:val="nil"/>
              <w:left w:val="nil"/>
              <w:bottom w:val="single" w:sz="4" w:space="0" w:color="auto"/>
              <w:right w:val="nil"/>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Cs w:val="21"/>
              </w:rPr>
            </w:pPr>
            <w:r w:rsidRPr="00594F75">
              <w:rPr>
                <w:rFonts w:ascii="宋体" w:eastAsia="宋体" w:hAnsi="宋体" w:cs="宋体" w:hint="eastAsia"/>
                <w:color w:val="000000"/>
                <w:kern w:val="0"/>
                <w:szCs w:val="21"/>
              </w:rPr>
              <w:t>开标地点：平阳县公共资源交易中心                                                                        开标时间： 2022年3月23日</w:t>
            </w:r>
          </w:p>
        </w:tc>
      </w:tr>
      <w:tr w:rsidR="00594F75" w:rsidRPr="00594F75" w:rsidTr="00594F75">
        <w:trPr>
          <w:trHeight w:val="552"/>
        </w:trPr>
        <w:tc>
          <w:tcPr>
            <w:tcW w:w="496" w:type="dxa"/>
            <w:vMerge w:val="restart"/>
            <w:tcBorders>
              <w:top w:val="nil"/>
              <w:left w:val="single" w:sz="4" w:space="0" w:color="auto"/>
              <w:bottom w:val="single" w:sz="4" w:space="0" w:color="000000"/>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序号</w:t>
            </w:r>
          </w:p>
        </w:tc>
        <w:tc>
          <w:tcPr>
            <w:tcW w:w="4054" w:type="dxa"/>
            <w:vMerge w:val="restart"/>
            <w:tcBorders>
              <w:top w:val="nil"/>
              <w:left w:val="single" w:sz="4" w:space="0" w:color="auto"/>
              <w:bottom w:val="single" w:sz="4" w:space="0" w:color="000000"/>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kern w:val="0"/>
                <w:sz w:val="22"/>
              </w:rPr>
            </w:pPr>
            <w:r w:rsidRPr="00594F75">
              <w:rPr>
                <w:rFonts w:ascii="宋体" w:eastAsia="宋体" w:hAnsi="宋体" w:cs="宋体" w:hint="eastAsia"/>
                <w:kern w:val="0"/>
                <w:sz w:val="22"/>
              </w:rPr>
              <w:t>投标单位</w:t>
            </w:r>
          </w:p>
        </w:tc>
        <w:tc>
          <w:tcPr>
            <w:tcW w:w="1798" w:type="dxa"/>
            <w:vMerge w:val="restart"/>
            <w:tcBorders>
              <w:top w:val="nil"/>
              <w:left w:val="single" w:sz="4" w:space="0" w:color="auto"/>
              <w:bottom w:val="single" w:sz="4" w:space="0" w:color="000000"/>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kern w:val="0"/>
                <w:sz w:val="22"/>
              </w:rPr>
            </w:pPr>
            <w:r w:rsidRPr="00594F75">
              <w:rPr>
                <w:rFonts w:ascii="宋体" w:eastAsia="宋体" w:hAnsi="宋体" w:cs="宋体" w:hint="eastAsia"/>
                <w:kern w:val="0"/>
                <w:sz w:val="22"/>
              </w:rPr>
              <w:t>投标报价（元）</w:t>
            </w:r>
          </w:p>
        </w:tc>
        <w:tc>
          <w:tcPr>
            <w:tcW w:w="4532" w:type="dxa"/>
            <w:gridSpan w:val="6"/>
            <w:tcBorders>
              <w:top w:val="single" w:sz="4" w:space="0" w:color="auto"/>
              <w:left w:val="nil"/>
              <w:bottom w:val="single" w:sz="4" w:space="0" w:color="auto"/>
              <w:right w:val="single" w:sz="4" w:space="0" w:color="000000"/>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Cs w:val="21"/>
              </w:rPr>
            </w:pPr>
            <w:r w:rsidRPr="00594F75">
              <w:rPr>
                <w:rFonts w:ascii="宋体" w:eastAsia="宋体" w:hAnsi="宋体" w:cs="宋体" w:hint="eastAsia"/>
                <w:color w:val="000000"/>
                <w:kern w:val="0"/>
                <w:szCs w:val="21"/>
              </w:rPr>
              <w:t>技术得分（45分）</w:t>
            </w:r>
          </w:p>
        </w:tc>
        <w:tc>
          <w:tcPr>
            <w:tcW w:w="1252" w:type="dxa"/>
            <w:vMerge w:val="restart"/>
            <w:tcBorders>
              <w:top w:val="nil"/>
              <w:left w:val="single" w:sz="4" w:space="0" w:color="auto"/>
              <w:bottom w:val="single" w:sz="4" w:space="0" w:color="000000"/>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color w:val="000000"/>
                <w:kern w:val="0"/>
                <w:szCs w:val="21"/>
              </w:rPr>
            </w:pPr>
            <w:r w:rsidRPr="00594F75">
              <w:rPr>
                <w:rFonts w:ascii="宋体" w:eastAsia="宋体" w:hAnsi="宋体" w:cs="宋体" w:hint="eastAsia"/>
                <w:color w:val="000000"/>
                <w:kern w:val="0"/>
                <w:szCs w:val="21"/>
              </w:rPr>
              <w:t>商务得分（45分）</w:t>
            </w:r>
          </w:p>
        </w:tc>
        <w:tc>
          <w:tcPr>
            <w:tcW w:w="1252" w:type="dxa"/>
            <w:vMerge w:val="restart"/>
            <w:tcBorders>
              <w:top w:val="nil"/>
              <w:left w:val="single" w:sz="4" w:space="0" w:color="auto"/>
              <w:bottom w:val="single" w:sz="4" w:space="0" w:color="000000"/>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kern w:val="0"/>
                <w:sz w:val="22"/>
              </w:rPr>
            </w:pPr>
            <w:r w:rsidRPr="00594F75">
              <w:rPr>
                <w:rFonts w:ascii="宋体" w:eastAsia="宋体" w:hAnsi="宋体" w:cs="宋体" w:hint="eastAsia"/>
                <w:kern w:val="0"/>
                <w:sz w:val="22"/>
              </w:rPr>
              <w:t>报价得分（10分）</w:t>
            </w:r>
          </w:p>
        </w:tc>
        <w:tc>
          <w:tcPr>
            <w:tcW w:w="1058" w:type="dxa"/>
            <w:vMerge w:val="restart"/>
            <w:tcBorders>
              <w:top w:val="nil"/>
              <w:left w:val="single" w:sz="4" w:space="0" w:color="auto"/>
              <w:bottom w:val="single" w:sz="4" w:space="0" w:color="000000"/>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kern w:val="0"/>
                <w:sz w:val="22"/>
              </w:rPr>
            </w:pPr>
            <w:r w:rsidRPr="00594F75">
              <w:rPr>
                <w:rFonts w:ascii="宋体" w:eastAsia="宋体" w:hAnsi="宋体" w:cs="宋体" w:hint="eastAsia"/>
                <w:kern w:val="0"/>
                <w:sz w:val="22"/>
              </w:rPr>
              <w:t>综合得分</w:t>
            </w:r>
          </w:p>
        </w:tc>
      </w:tr>
      <w:tr w:rsidR="00594F75" w:rsidRPr="00594F75" w:rsidTr="00594F75">
        <w:trPr>
          <w:trHeight w:val="979"/>
        </w:trPr>
        <w:tc>
          <w:tcPr>
            <w:tcW w:w="496" w:type="dxa"/>
            <w:vMerge/>
            <w:tcBorders>
              <w:top w:val="nil"/>
              <w:left w:val="single" w:sz="4" w:space="0" w:color="auto"/>
              <w:bottom w:val="single" w:sz="4" w:space="0" w:color="000000"/>
              <w:right w:val="single" w:sz="4" w:space="0" w:color="auto"/>
            </w:tcBorders>
            <w:vAlign w:val="center"/>
            <w:hideMark/>
          </w:tcPr>
          <w:p w:rsidR="00594F75" w:rsidRPr="00594F75" w:rsidRDefault="00594F75" w:rsidP="00594F75">
            <w:pPr>
              <w:widowControl/>
              <w:jc w:val="left"/>
              <w:rPr>
                <w:rFonts w:ascii="宋体" w:eastAsia="宋体" w:hAnsi="宋体" w:cs="宋体"/>
                <w:color w:val="000000"/>
                <w:kern w:val="0"/>
                <w:sz w:val="22"/>
              </w:rPr>
            </w:pPr>
          </w:p>
        </w:tc>
        <w:tc>
          <w:tcPr>
            <w:tcW w:w="4054" w:type="dxa"/>
            <w:vMerge/>
            <w:tcBorders>
              <w:top w:val="nil"/>
              <w:left w:val="single" w:sz="4" w:space="0" w:color="auto"/>
              <w:bottom w:val="single" w:sz="4" w:space="0" w:color="000000"/>
              <w:right w:val="single" w:sz="4" w:space="0" w:color="auto"/>
            </w:tcBorders>
            <w:vAlign w:val="center"/>
            <w:hideMark/>
          </w:tcPr>
          <w:p w:rsidR="00594F75" w:rsidRPr="00594F75" w:rsidRDefault="00594F75" w:rsidP="00594F75">
            <w:pPr>
              <w:widowControl/>
              <w:jc w:val="left"/>
              <w:rPr>
                <w:rFonts w:ascii="宋体" w:eastAsia="宋体" w:hAnsi="宋体" w:cs="宋体"/>
                <w:kern w:val="0"/>
                <w:sz w:val="22"/>
              </w:rPr>
            </w:pPr>
          </w:p>
        </w:tc>
        <w:tc>
          <w:tcPr>
            <w:tcW w:w="1798" w:type="dxa"/>
            <w:vMerge/>
            <w:tcBorders>
              <w:top w:val="nil"/>
              <w:left w:val="single" w:sz="4" w:space="0" w:color="auto"/>
              <w:bottom w:val="single" w:sz="4" w:space="0" w:color="000000"/>
              <w:right w:val="single" w:sz="4" w:space="0" w:color="auto"/>
            </w:tcBorders>
            <w:vAlign w:val="center"/>
            <w:hideMark/>
          </w:tcPr>
          <w:p w:rsidR="00594F75" w:rsidRPr="00594F75" w:rsidRDefault="00594F75" w:rsidP="00594F75">
            <w:pPr>
              <w:widowControl/>
              <w:jc w:val="left"/>
              <w:rPr>
                <w:rFonts w:ascii="宋体" w:eastAsia="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18"/>
                <w:szCs w:val="18"/>
              </w:rPr>
            </w:pPr>
            <w:r w:rsidRPr="00594F75">
              <w:rPr>
                <w:rFonts w:ascii="宋体" w:eastAsia="宋体" w:hAnsi="宋体" w:cs="宋体" w:hint="eastAsia"/>
                <w:color w:val="000000"/>
                <w:kern w:val="0"/>
                <w:sz w:val="18"/>
                <w:szCs w:val="18"/>
              </w:rPr>
              <w:t>各评委打分汇总</w:t>
            </w:r>
          </w:p>
        </w:tc>
        <w:tc>
          <w:tcPr>
            <w:tcW w:w="1252" w:type="dxa"/>
            <w:tcBorders>
              <w:top w:val="nil"/>
              <w:left w:val="nil"/>
              <w:bottom w:val="single" w:sz="4" w:space="0" w:color="auto"/>
              <w:right w:val="single" w:sz="4" w:space="0" w:color="auto"/>
            </w:tcBorders>
            <w:shd w:val="clear" w:color="auto" w:fill="auto"/>
            <w:vAlign w:val="center"/>
            <w:hideMark/>
          </w:tcPr>
          <w:p w:rsidR="00594F75" w:rsidRPr="00594F75" w:rsidRDefault="00594F75" w:rsidP="00594F75">
            <w:pPr>
              <w:widowControl/>
              <w:jc w:val="center"/>
              <w:rPr>
                <w:rFonts w:ascii="宋体" w:eastAsia="宋体" w:hAnsi="宋体" w:cs="宋体"/>
                <w:color w:val="000000"/>
                <w:kern w:val="0"/>
                <w:sz w:val="16"/>
                <w:szCs w:val="16"/>
              </w:rPr>
            </w:pPr>
            <w:r w:rsidRPr="00594F75">
              <w:rPr>
                <w:rFonts w:ascii="宋体" w:eastAsia="宋体" w:hAnsi="宋体" w:cs="宋体" w:hint="eastAsia"/>
                <w:color w:val="000000"/>
                <w:kern w:val="0"/>
                <w:sz w:val="16"/>
                <w:szCs w:val="16"/>
              </w:rPr>
              <w:t>去掉一个最高值和一个最低值后的平均值</w:t>
            </w:r>
          </w:p>
        </w:tc>
        <w:tc>
          <w:tcPr>
            <w:tcW w:w="1252" w:type="dxa"/>
            <w:vMerge/>
            <w:tcBorders>
              <w:top w:val="nil"/>
              <w:left w:val="single" w:sz="4" w:space="0" w:color="auto"/>
              <w:bottom w:val="single" w:sz="4" w:space="0" w:color="000000"/>
              <w:right w:val="single" w:sz="4" w:space="0" w:color="auto"/>
            </w:tcBorders>
            <w:vAlign w:val="center"/>
            <w:hideMark/>
          </w:tcPr>
          <w:p w:rsidR="00594F75" w:rsidRPr="00594F75" w:rsidRDefault="00594F75" w:rsidP="00594F75">
            <w:pPr>
              <w:widowControl/>
              <w:jc w:val="left"/>
              <w:rPr>
                <w:rFonts w:ascii="宋体" w:eastAsia="宋体" w:hAnsi="宋体" w:cs="宋体"/>
                <w:color w:val="000000"/>
                <w:kern w:val="0"/>
                <w:szCs w:val="21"/>
              </w:rPr>
            </w:pPr>
          </w:p>
        </w:tc>
        <w:tc>
          <w:tcPr>
            <w:tcW w:w="1252" w:type="dxa"/>
            <w:vMerge/>
            <w:tcBorders>
              <w:top w:val="nil"/>
              <w:left w:val="single" w:sz="4" w:space="0" w:color="auto"/>
              <w:bottom w:val="single" w:sz="4" w:space="0" w:color="000000"/>
              <w:right w:val="single" w:sz="4" w:space="0" w:color="auto"/>
            </w:tcBorders>
            <w:vAlign w:val="center"/>
            <w:hideMark/>
          </w:tcPr>
          <w:p w:rsidR="00594F75" w:rsidRPr="00594F75" w:rsidRDefault="00594F75" w:rsidP="00594F75">
            <w:pPr>
              <w:widowControl/>
              <w:jc w:val="left"/>
              <w:rPr>
                <w:rFonts w:ascii="宋体" w:eastAsia="宋体" w:hAnsi="宋体" w:cs="宋体"/>
                <w:kern w:val="0"/>
                <w:sz w:val="22"/>
              </w:rPr>
            </w:pPr>
          </w:p>
        </w:tc>
        <w:tc>
          <w:tcPr>
            <w:tcW w:w="1058" w:type="dxa"/>
            <w:vMerge/>
            <w:tcBorders>
              <w:top w:val="nil"/>
              <w:left w:val="single" w:sz="4" w:space="0" w:color="auto"/>
              <w:bottom w:val="single" w:sz="4" w:space="0" w:color="000000"/>
              <w:right w:val="single" w:sz="4" w:space="0" w:color="auto"/>
            </w:tcBorders>
            <w:vAlign w:val="center"/>
            <w:hideMark/>
          </w:tcPr>
          <w:p w:rsidR="00594F75" w:rsidRPr="00594F75" w:rsidRDefault="00594F75" w:rsidP="00594F75">
            <w:pPr>
              <w:widowControl/>
              <w:jc w:val="left"/>
              <w:rPr>
                <w:rFonts w:ascii="宋体" w:eastAsia="宋体" w:hAnsi="宋体" w:cs="宋体"/>
                <w:kern w:val="0"/>
                <w:sz w:val="22"/>
              </w:rPr>
            </w:pPr>
          </w:p>
        </w:tc>
      </w:tr>
      <w:tr w:rsidR="00594F75" w:rsidRPr="00594F75" w:rsidTr="00594F75">
        <w:trPr>
          <w:trHeight w:val="884"/>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1</w:t>
            </w:r>
          </w:p>
        </w:tc>
        <w:tc>
          <w:tcPr>
            <w:tcW w:w="4054" w:type="dxa"/>
            <w:tcBorders>
              <w:top w:val="nil"/>
              <w:left w:val="nil"/>
              <w:bottom w:val="single" w:sz="4" w:space="0" w:color="auto"/>
              <w:right w:val="single" w:sz="4" w:space="0" w:color="auto"/>
            </w:tcBorders>
            <w:shd w:val="clear" w:color="auto" w:fill="auto"/>
            <w:vAlign w:val="center"/>
            <w:hideMark/>
          </w:tcPr>
          <w:p w:rsidR="00594F75" w:rsidRPr="00594F75" w:rsidRDefault="00594F75" w:rsidP="00594F75">
            <w:pPr>
              <w:widowControl/>
              <w:jc w:val="left"/>
              <w:rPr>
                <w:rFonts w:ascii="宋体" w:eastAsia="宋体" w:hAnsi="宋体" w:cs="宋体"/>
                <w:color w:val="000000"/>
                <w:kern w:val="0"/>
                <w:sz w:val="20"/>
                <w:szCs w:val="20"/>
              </w:rPr>
            </w:pPr>
            <w:r w:rsidRPr="00594F75">
              <w:rPr>
                <w:rFonts w:ascii="宋体" w:eastAsia="宋体" w:hAnsi="宋体" w:cs="宋体" w:hint="eastAsia"/>
                <w:color w:val="000000"/>
                <w:kern w:val="0"/>
                <w:sz w:val="20"/>
                <w:szCs w:val="20"/>
              </w:rPr>
              <w:t>中交通力建设股份有限公司</w:t>
            </w:r>
          </w:p>
        </w:tc>
        <w:tc>
          <w:tcPr>
            <w:tcW w:w="1798"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10272263</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37.0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39.8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40.0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37.0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35.2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37.93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43.00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9.82 </w:t>
            </w:r>
          </w:p>
        </w:tc>
        <w:tc>
          <w:tcPr>
            <w:tcW w:w="1058"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90.76 </w:t>
            </w:r>
          </w:p>
        </w:tc>
      </w:tr>
      <w:tr w:rsidR="00594F75" w:rsidRPr="00594F75" w:rsidTr="00594F75">
        <w:trPr>
          <w:trHeight w:val="884"/>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2</w:t>
            </w:r>
          </w:p>
        </w:tc>
        <w:tc>
          <w:tcPr>
            <w:tcW w:w="4054" w:type="dxa"/>
            <w:tcBorders>
              <w:top w:val="nil"/>
              <w:left w:val="nil"/>
              <w:bottom w:val="single" w:sz="4" w:space="0" w:color="auto"/>
              <w:right w:val="single" w:sz="4" w:space="0" w:color="auto"/>
            </w:tcBorders>
            <w:shd w:val="clear" w:color="auto" w:fill="auto"/>
            <w:vAlign w:val="center"/>
            <w:hideMark/>
          </w:tcPr>
          <w:p w:rsidR="00594F75" w:rsidRPr="00594F75" w:rsidRDefault="00594F75" w:rsidP="00594F75">
            <w:pPr>
              <w:widowControl/>
              <w:jc w:val="left"/>
              <w:rPr>
                <w:rFonts w:ascii="宋体" w:eastAsia="宋体" w:hAnsi="宋体" w:cs="宋体"/>
                <w:color w:val="000000"/>
                <w:kern w:val="0"/>
                <w:sz w:val="20"/>
                <w:szCs w:val="20"/>
              </w:rPr>
            </w:pPr>
            <w:r w:rsidRPr="00594F75">
              <w:rPr>
                <w:rFonts w:ascii="宋体" w:eastAsia="宋体" w:hAnsi="宋体" w:cs="宋体" w:hint="eastAsia"/>
                <w:color w:val="000000"/>
                <w:kern w:val="0"/>
                <w:sz w:val="20"/>
                <w:szCs w:val="20"/>
              </w:rPr>
              <w:t>北京建达道桥咨询有限公司</w:t>
            </w:r>
          </w:p>
        </w:tc>
        <w:tc>
          <w:tcPr>
            <w:tcW w:w="1798"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10118298</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37.0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40.0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38.0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36.0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38.5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37.83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45.00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9.94 </w:t>
            </w:r>
          </w:p>
        </w:tc>
        <w:tc>
          <w:tcPr>
            <w:tcW w:w="1058"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92.77 </w:t>
            </w:r>
          </w:p>
        </w:tc>
      </w:tr>
      <w:tr w:rsidR="00594F75" w:rsidRPr="00594F75" w:rsidTr="00594F75">
        <w:trPr>
          <w:trHeight w:val="884"/>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3</w:t>
            </w:r>
          </w:p>
        </w:tc>
        <w:tc>
          <w:tcPr>
            <w:tcW w:w="4054" w:type="dxa"/>
            <w:tcBorders>
              <w:top w:val="nil"/>
              <w:left w:val="nil"/>
              <w:bottom w:val="single" w:sz="4" w:space="0" w:color="auto"/>
              <w:right w:val="single" w:sz="4" w:space="0" w:color="auto"/>
            </w:tcBorders>
            <w:shd w:val="clear" w:color="auto" w:fill="auto"/>
            <w:vAlign w:val="center"/>
            <w:hideMark/>
          </w:tcPr>
          <w:p w:rsidR="00594F75" w:rsidRPr="00594F75" w:rsidRDefault="00594F75" w:rsidP="00594F75">
            <w:pPr>
              <w:widowControl/>
              <w:jc w:val="left"/>
              <w:rPr>
                <w:rFonts w:ascii="宋体" w:eastAsia="宋体" w:hAnsi="宋体" w:cs="宋体"/>
                <w:color w:val="000000"/>
                <w:kern w:val="0"/>
                <w:sz w:val="20"/>
                <w:szCs w:val="20"/>
              </w:rPr>
            </w:pPr>
            <w:r w:rsidRPr="00594F75">
              <w:rPr>
                <w:rFonts w:ascii="宋体" w:eastAsia="宋体" w:hAnsi="宋体" w:cs="宋体" w:hint="eastAsia"/>
                <w:color w:val="000000"/>
                <w:kern w:val="0"/>
                <w:sz w:val="20"/>
                <w:szCs w:val="20"/>
              </w:rPr>
              <w:t>浙江数智交院科技股份有限公司与华汇工程设计集团股份有限公司联合体</w:t>
            </w:r>
          </w:p>
        </w:tc>
        <w:tc>
          <w:tcPr>
            <w:tcW w:w="1798"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10156368</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41.0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40.8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42.5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42.5 </w:t>
            </w:r>
          </w:p>
        </w:tc>
        <w:tc>
          <w:tcPr>
            <w:tcW w:w="656"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41.3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41.60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45.00 </w:t>
            </w:r>
          </w:p>
        </w:tc>
        <w:tc>
          <w:tcPr>
            <w:tcW w:w="1252"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9.97 </w:t>
            </w:r>
          </w:p>
        </w:tc>
        <w:tc>
          <w:tcPr>
            <w:tcW w:w="1058" w:type="dxa"/>
            <w:tcBorders>
              <w:top w:val="nil"/>
              <w:left w:val="nil"/>
              <w:bottom w:val="single" w:sz="4" w:space="0" w:color="auto"/>
              <w:right w:val="single" w:sz="4" w:space="0" w:color="auto"/>
            </w:tcBorders>
            <w:shd w:val="clear" w:color="auto" w:fill="auto"/>
            <w:noWrap/>
            <w:vAlign w:val="center"/>
            <w:hideMark/>
          </w:tcPr>
          <w:p w:rsidR="00594F75" w:rsidRPr="00594F75" w:rsidRDefault="00594F75" w:rsidP="00594F75">
            <w:pPr>
              <w:widowControl/>
              <w:jc w:val="center"/>
              <w:rPr>
                <w:rFonts w:ascii="宋体" w:eastAsia="宋体" w:hAnsi="宋体" w:cs="宋体"/>
                <w:color w:val="000000"/>
                <w:kern w:val="0"/>
                <w:sz w:val="22"/>
              </w:rPr>
            </w:pPr>
            <w:r w:rsidRPr="00594F75">
              <w:rPr>
                <w:rFonts w:ascii="宋体" w:eastAsia="宋体" w:hAnsi="宋体" w:cs="宋体" w:hint="eastAsia"/>
                <w:color w:val="000000"/>
                <w:kern w:val="0"/>
                <w:sz w:val="22"/>
              </w:rPr>
              <w:t xml:space="preserve">96.57 </w:t>
            </w:r>
          </w:p>
        </w:tc>
      </w:tr>
    </w:tbl>
    <w:p w:rsidR="00293C73" w:rsidRDefault="00293C73"/>
    <w:sectPr w:rsidR="00293C73" w:rsidSect="00594F75">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C73" w:rsidRDefault="00293C73" w:rsidP="00594F75">
      <w:r>
        <w:separator/>
      </w:r>
    </w:p>
  </w:endnote>
  <w:endnote w:type="continuationSeparator" w:id="1">
    <w:p w:rsidR="00293C73" w:rsidRDefault="00293C73" w:rsidP="00594F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C73" w:rsidRDefault="00293C73" w:rsidP="00594F75">
      <w:r>
        <w:separator/>
      </w:r>
    </w:p>
  </w:footnote>
  <w:footnote w:type="continuationSeparator" w:id="1">
    <w:p w:rsidR="00293C73" w:rsidRDefault="00293C73" w:rsidP="00594F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4F75"/>
    <w:rsid w:val="00293C73"/>
    <w:rsid w:val="00594F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94F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94F75"/>
    <w:rPr>
      <w:sz w:val="18"/>
      <w:szCs w:val="18"/>
    </w:rPr>
  </w:style>
  <w:style w:type="paragraph" w:styleId="a4">
    <w:name w:val="footer"/>
    <w:basedOn w:val="a"/>
    <w:link w:val="Char0"/>
    <w:uiPriority w:val="99"/>
    <w:semiHidden/>
    <w:unhideWhenUsed/>
    <w:rsid w:val="00594F7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94F75"/>
    <w:rPr>
      <w:sz w:val="18"/>
      <w:szCs w:val="18"/>
    </w:rPr>
  </w:style>
</w:styles>
</file>

<file path=word/webSettings.xml><?xml version="1.0" encoding="utf-8"?>
<w:webSettings xmlns:r="http://schemas.openxmlformats.org/officeDocument/2006/relationships" xmlns:w="http://schemas.openxmlformats.org/wordprocessingml/2006/main">
  <w:divs>
    <w:div w:id="464585434">
      <w:bodyDiv w:val="1"/>
      <w:marLeft w:val="0"/>
      <w:marRight w:val="0"/>
      <w:marTop w:val="0"/>
      <w:marBottom w:val="0"/>
      <w:divBdr>
        <w:top w:val="none" w:sz="0" w:space="0" w:color="auto"/>
        <w:left w:val="none" w:sz="0" w:space="0" w:color="auto"/>
        <w:bottom w:val="none" w:sz="0" w:space="0" w:color="auto"/>
        <w:right w:val="none" w:sz="0" w:space="0" w:color="auto"/>
      </w:divBdr>
    </w:div>
    <w:div w:id="97557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258</Characters>
  <Application>Microsoft Office Word</Application>
  <DocSecurity>0</DocSecurity>
  <Lines>21</Lines>
  <Paragraphs>25</Paragraphs>
  <ScaleCrop>false</ScaleCrop>
  <Company/>
  <LinksUpToDate>false</LinksUpToDate>
  <CharactersWithSpaces>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2022-03-23T03:24:00Z</dcterms:created>
  <dcterms:modified xsi:type="dcterms:W3CDTF">2022-03-23T03:25:00Z</dcterms:modified>
</cp:coreProperties>
</file>