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right="0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2"/>
          <w:szCs w:val="22"/>
        </w:rPr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spacing w:before="75" w:beforeAutospacing="0" w:after="75" w:afterAutospacing="0" w:line="300" w:lineRule="atLeast"/>
        <w:ind w:left="0" w:right="0" w:firstLine="660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2"/>
          <w:szCs w:val="22"/>
        </w:rPr>
      </w:pPr>
    </w:p>
    <w:p>
      <w:pPr>
        <w:rPr>
          <w:rFonts w:hint="default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附件1：</w:t>
      </w:r>
    </w:p>
    <w:tbl>
      <w:tblPr>
        <w:tblStyle w:val="3"/>
        <w:tblpPr w:leftFromText="180" w:rightFromText="180" w:vertAnchor="text" w:horzAnchor="page" w:tblpX="1210" w:tblpY="311"/>
        <w:tblOverlap w:val="never"/>
        <w:tblW w:w="575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2432"/>
        <w:gridCol w:w="6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云安全服务内容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云安全详细要求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网页防篡改服务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软件形态，部署在网站服务器端，支持各种操作系统的文件、目录、断线检测和防护，篡改规则设置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云WEB应用防火墙服务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独立设备，含授权许可，自主管理。提供网站的SQL注入攻击、跨站脚本攻击等防护能力，并可对CC攻击、网页篡改行为进行防护。需要保护站点授权2个，新建5000，并发50000，防护流量50Mbps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运维审计服务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提供堡垒机+SSL VPN，含授权许可+管理服务，具备3个管理对象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日志审计服务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提供综合日志分析能力，可收集服务器、网络设备、安全设备的日志进行分析。支持20个日志源。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云杀毒服务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支持HTTP，FTP，POP3，SMTP，IMAP协议的病毒查杀、病毒库自动更新、虚拟脱壳、自定义查杀文件大小、查杀可疑病毒、可疑脚本、图片病毒、查杀邮件正文、附件、网页及下载文件中包含的病毒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漏洞扫描服务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监测多种网站漏洞，提供准确、全面的漏洞监测服务，每月至少扫描1次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入侵防御服务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具备发现并阻断来自互联网的恶意的网络扫描和攻击行为的能力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65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239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防DDos攻击服务</w:t>
            </w:r>
          </w:p>
        </w:tc>
        <w:tc>
          <w:tcPr>
            <w:tcW w:w="3194" w:type="pct"/>
            <w:noWrap w:val="0"/>
            <w:vAlign w:val="center"/>
          </w:tcPr>
          <w:p>
            <w:pP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具备DDOS畸形报文过滤功能，具备连接型DDoS攻击防护，过滤TCP慢速连接攻击、连接耗尽攻击等</w:t>
            </w:r>
          </w:p>
        </w:tc>
      </w:tr>
    </w:tbl>
    <w:p>
      <w:pPr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</w:p>
    <w:p>
      <w:pPr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附件2：</w:t>
      </w:r>
    </w:p>
    <w:tbl>
      <w:tblPr>
        <w:tblStyle w:val="3"/>
        <w:tblW w:w="10131" w:type="dxa"/>
        <w:tblInd w:w="-9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354"/>
        <w:gridCol w:w="7020"/>
        <w:gridCol w:w="10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37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354" w:type="dxa"/>
            <w:vMerge w:val="restart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软件平台现场演示（1</w:t>
            </w:r>
            <w:r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  <w:t>8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分）</w:t>
            </w: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1、城市综合管理指挥中心、城市综合管理指挥调度中心、统一视频监控智能分析系统，由评委进行打分。其中：完全合理可行2.5-4分，基本合理可行1-2.5分，部分合理可行0-1分。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2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、城市综合管理数据归集共享平台。演示数据归集共享平台的功能实现和先进性，由评委进行打分。其中：完全合理可行2.5-4分，基本合理可行1-2.5分，部分合理可行0-1分。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3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、业务应用集约共享平台。演示统一用户管理、统一GIS服务、统一视频服务等功能和先进性，由评委进行打分。其中：完全合理可行1-2分，基本合理可行0-1分。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  <w:t>2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、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城市综合管理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一张图展示。演示一张图管理的展示模板自定义、交互界面、展示内容、先进性，由评委进行打分。其中：完全合理可行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2.5-4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分，基本合理可行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1-2.5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分，部分合理可行0-1分。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4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5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、智慧综合执法平台。演示非现场执法及执法监督的功能实现和先进性，由评委进行打分。其中：完全合理可行1-2分，基本合理可行0-1分。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  <w:t>2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020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6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、智慧环卫平台。演示智慧环卫平台的功能实现和先进性，由评委进行打分。其中：其中：完全合理可行1-2分，基本合理可行0-1分。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54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8040" w:type="dxa"/>
            <w:gridSpan w:val="2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注：以上演示每家供应商演示时间20分钟。要求使用真实的软件系统进行演示，若只有PPT讲解系统、</w:t>
            </w:r>
            <w:r>
              <w:rPr>
                <w:rFonts w:hint="eastAsia"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  <w:t>视频播放等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演示，则最高得5分；未能进行演示者，此项不得分。</w:t>
            </w: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  <w:t>演示地点：投标截止前到平阳县公共资源交易中心二楼大厅等候。</w:t>
            </w:r>
          </w:p>
        </w:tc>
      </w:tr>
    </w:tbl>
    <w:p>
      <w:pPr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</w:p>
    <w:p>
      <w:pPr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附件3</w:t>
      </w:r>
    </w:p>
    <w:tbl>
      <w:tblPr>
        <w:tblStyle w:val="3"/>
        <w:tblW w:w="10146" w:type="dxa"/>
        <w:tblInd w:w="-9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413"/>
        <w:gridCol w:w="6991"/>
        <w:gridCol w:w="10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37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4</w:t>
            </w:r>
          </w:p>
        </w:tc>
        <w:tc>
          <w:tcPr>
            <w:tcW w:w="1413" w:type="dxa"/>
            <w:vMerge w:val="restart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 w:cs="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软件平台现场演示（17分）</w:t>
            </w:r>
          </w:p>
        </w:tc>
        <w:tc>
          <w:tcPr>
            <w:tcW w:w="6991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1、城市综合管理一张图。演示基于一张图展示人、车、部件、视频监控、智能感知等城市运行数据资源（1分）；能够查看一张图上的车辆信息，并按照设定的起止时间查看车辆轨迹(1分）；能够查看一张图上查看相关人员信息，并且能够查看该人员在预设范围内的相关视频监控信息(1分）。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91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2、城市综合管理数据归集共享平台。演示平台具有可配置化实现数据处理的采集、清洗、处理、校验功能，并对数据处理任务依赖可视化配置(2分）；可对数据进行字段管理、关联建立、血缘展示(1分）；数据进行目录管理，通过便捷生成数据接口进行共享服务(1分）；对系统进行资源和异常监控(1分）。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91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3、数据决策分析平台。演示包括事、部件上报情况、立案总量趋势、事件高发问题等城市综合概况数据（1分）；演示视频智能分析专题，包括今日上报、今日结案情况，各类违章情况占比、每日上报统计可按不同违规类型进行勾选展示，支持按时间筛选（1分）；演示垃圾分类一张图展示，点击某小区可联动地图查看垃圾分类详细信息，信息包括小区户数、参与率、知晓率，并且可查看该小区的投放明细。（1分）。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91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4、智慧综合执法平台。演示对智能视频发现的城市管理违法行为的受理，并能提供短信温馨提醒功能(1分）；实现对视频发现所对应的沿街店铺进行管理，能够实现对沿街店铺的基本信息、违规历史记录 (1分）；实现对各区域的视频发现次数、违规类型进行数据分析统计(1分）。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6991" w:type="dxa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000000"/>
                <w:sz w:val="22"/>
                <w:szCs w:val="22"/>
              </w:rPr>
              <w:t>5、智慧环卫平台。演示对生活垃圾、餐厨垃圾、垃圾焚烧厂相关数据信息展示（1分）；实现对生活垃圾转运车辆、餐厨垃圾清运车辆的轨迹进行实时在线监测、并能够在相关地点显示停留时间（1分）；可以新增环卫车辆作业规划，并且能够在线添加相关车辆至该作业规划路线（1分）。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spacing w:line="320" w:lineRule="exact"/>
              <w:jc w:val="lef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37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新宋体" w:hAnsi="新宋体" w:eastAsia="新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413" w:type="dxa"/>
            <w:vMerge w:val="continue"/>
            <w:noWrap w:val="0"/>
            <w:vAlign w:val="center"/>
          </w:tcPr>
          <w:p>
            <w:pPr>
              <w:spacing w:line="320" w:lineRule="exact"/>
              <w:rPr>
                <w:rFonts w:ascii="新宋体" w:hAnsi="新宋体" w:eastAsia="新宋体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7996" w:type="dxa"/>
            <w:gridSpan w:val="2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ascii="新宋体" w:hAnsi="新宋体" w:eastAsia="新宋体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color w:val="auto"/>
                <w:sz w:val="22"/>
                <w:szCs w:val="22"/>
                <w:highlight w:val="none"/>
              </w:rPr>
              <w:t>注：以上演示每家供应商演示时间20分钟。要求使用真实的软件系统进行演示，若只有PPT讲解系统、视频播放等演示，则最高得5分；未能进行演示者，此项不得分。演示地点：投标截止前到平阳县公共资源交易中心二楼大厅等候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2502C"/>
    <w:rsid w:val="67B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首行缩进"/>
    <w:basedOn w:val="1"/>
    <w:qFormat/>
    <w:uiPriority w:val="0"/>
    <w:pPr>
      <w:ind w:firstLine="480" w:firstLineChars="200"/>
    </w:pPr>
    <w:rPr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2021-03-01T09:15:00Z</dcterms:created>
  <dc:creator>树懒先生</dc:creator>
  <cp:lastModifiedBy>树懒先生</cp:lastModifiedBy>
  <dcterms:modified xsi:type="dcterms:W3CDTF">2021-03-01T09:16:22Z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