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20" w:lineRule="atLeast"/>
        <w:jc w:val="center"/>
        <w:rPr>
          <w:rFonts w:ascii="宋体" w:hAnsi="宋体" w:cs="宋体"/>
          <w:sz w:val="30"/>
          <w:szCs w:val="30"/>
        </w:rPr>
      </w:pPr>
      <w:r>
        <w:rPr>
          <w:rFonts w:hint="eastAsia" w:ascii="宋体" w:hAnsi="宋体" w:cs="宋体"/>
          <w:sz w:val="30"/>
          <w:szCs w:val="30"/>
        </w:rPr>
        <w:t>万全镇金阳村、郑二社区、宋桥社区（潘垟）安置房项目总承包</w:t>
      </w:r>
    </w:p>
    <w:p>
      <w:pPr>
        <w:spacing w:line="220" w:lineRule="atLeast"/>
        <w:jc w:val="center"/>
        <w:rPr>
          <w:rFonts w:asciiTheme="majorEastAsia" w:hAnsiTheme="majorEastAsia" w:eastAsiaTheme="majorEastAsia"/>
          <w:b/>
          <w:color w:val="6E622E"/>
          <w:sz w:val="28"/>
          <w:szCs w:val="28"/>
        </w:rPr>
      </w:pPr>
      <w:r>
        <w:rPr>
          <w:rFonts w:hint="eastAsia" w:asciiTheme="majorEastAsia" w:hAnsiTheme="majorEastAsia" w:eastAsiaTheme="majorEastAsia"/>
          <w:b/>
          <w:color w:val="6E622E"/>
          <w:sz w:val="28"/>
          <w:szCs w:val="28"/>
        </w:rPr>
        <w:t>答疑文件</w:t>
      </w:r>
    </w:p>
    <w:p>
      <w:pPr>
        <w:spacing w:line="360" w:lineRule="auto"/>
      </w:pPr>
      <w:r>
        <w:rPr>
          <w:rFonts w:hint="eastAsia" w:cs="宋体" w:asciiTheme="minorEastAsia" w:hAnsiTheme="minorEastAsia"/>
          <w:color w:val="000000"/>
          <w:szCs w:val="21"/>
        </w:rPr>
        <w:t>致各投标单位:</w:t>
      </w:r>
    </w:p>
    <w:p>
      <w:pPr>
        <w:pStyle w:val="2"/>
        <w:spacing w:line="360" w:lineRule="auto"/>
        <w:ind w:firstLine="0" w:firstLineChars="0"/>
        <w:rPr>
          <w:rFonts w:cs="宋体" w:asciiTheme="minorEastAsia" w:hAnsiTheme="minorEastAsia"/>
          <w:color w:val="000000"/>
          <w:szCs w:val="21"/>
        </w:rPr>
      </w:pPr>
      <w:r>
        <w:rPr>
          <w:rFonts w:hint="eastAsia" w:cs="宋体" w:asciiTheme="minorEastAsia" w:hAnsiTheme="minorEastAsia"/>
          <w:b/>
          <w:color w:val="FF0000"/>
          <w:szCs w:val="21"/>
        </w:rPr>
        <w:t>疑问（一）：</w:t>
      </w:r>
      <w:r>
        <w:rPr>
          <w:rFonts w:hint="eastAsia" w:cs="宋体" w:asciiTheme="minorEastAsia" w:hAnsiTheme="minorEastAsia"/>
          <w:color w:val="000000"/>
          <w:szCs w:val="21"/>
        </w:rPr>
        <w:t xml:space="preserve">根据招标文件要求，在投标人提供的资料中所涉及到原件的需要提供原件，目前因受新冠疫情和当地出行政策影响，许多企业总部在疫情管控区，原件无法借出,且有企业社保人员委托代理人无法到场递交标书。本项目可否用原件复印件加盖公章代替原件？委托代理人是否可不提供企业的社保证明？ </w:t>
      </w:r>
    </w:p>
    <w:p>
      <w:pPr>
        <w:pStyle w:val="2"/>
        <w:spacing w:line="360" w:lineRule="auto"/>
        <w:ind w:firstLine="0" w:firstLineChars="0"/>
        <w:rPr>
          <w:rFonts w:hint="eastAsia" w:cs="宋体" w:asciiTheme="minorEastAsia" w:hAnsiTheme="minorEastAsia"/>
          <w:b/>
          <w:color w:val="000000"/>
          <w:szCs w:val="21"/>
          <w:lang w:eastAsia="zh-CN"/>
        </w:rPr>
      </w:pPr>
      <w:r>
        <w:rPr>
          <w:rFonts w:hint="eastAsia" w:cs="宋体" w:asciiTheme="minorEastAsia" w:hAnsiTheme="minorEastAsia"/>
          <w:b/>
          <w:color w:val="000000"/>
          <w:szCs w:val="21"/>
        </w:rPr>
        <w:t>答：1.鉴于当前新冠疫情形势，现对本项目做如下补充：关于招标文件中涉及资格审查</w:t>
      </w:r>
      <w:r>
        <w:rPr>
          <w:rFonts w:hint="eastAsia" w:cs="宋体" w:asciiTheme="minorEastAsia" w:hAnsiTheme="minorEastAsia"/>
          <w:b/>
          <w:color w:val="000000"/>
          <w:szCs w:val="21"/>
        </w:rPr>
        <w:t>与资信标</w:t>
      </w:r>
      <w:r>
        <w:rPr>
          <w:rFonts w:hint="eastAsia" w:cs="宋体" w:asciiTheme="minorEastAsia" w:hAnsiTheme="minorEastAsia"/>
          <w:b/>
          <w:color w:val="000000"/>
          <w:szCs w:val="21"/>
        </w:rPr>
        <w:t>须提供证明资料原件的要求，现修改为：投标人须提供证明资料原件或提供清晰的原件扫描件（加盖公章），若因扫描件不清晰而引起的一切后果，均由投标单位自行承担。另外提供原件扫描件的，必须保证其真实性，中标之后必须提供原件供招标人核查，若发现中标人提供的原件存在弄虚作假的，招标人有权取消其中标资格，并且其投标保证金不予退还。给招标人造成的损失超过投标保证金数额的，中标人还应当对超过部分予以赔偿。（注：联合体协议书须为原件，具体要求详见原招标文件。）2.本项目并未要求如委托代理人现场递交标书时须提供企业的社保证明</w:t>
      </w:r>
      <w:r>
        <w:rPr>
          <w:rFonts w:hint="eastAsia" w:cs="宋体" w:asciiTheme="minorEastAsia" w:hAnsiTheme="minorEastAsia"/>
          <w:b/>
          <w:color w:val="000000"/>
          <w:szCs w:val="21"/>
          <w:lang w:eastAsia="zh-CN"/>
        </w:rPr>
        <w:t>。</w:t>
      </w:r>
    </w:p>
    <w:p>
      <w:pPr>
        <w:pStyle w:val="2"/>
        <w:spacing w:line="360" w:lineRule="auto"/>
        <w:ind w:firstLine="0" w:firstLineChars="0"/>
        <w:rPr>
          <w:rFonts w:cs="宋体" w:asciiTheme="minorEastAsia" w:hAnsiTheme="minorEastAsia"/>
          <w:b/>
          <w:color w:val="000000"/>
          <w:szCs w:val="21"/>
        </w:rPr>
      </w:pPr>
    </w:p>
    <w:p>
      <w:pPr>
        <w:pStyle w:val="2"/>
        <w:spacing w:line="360" w:lineRule="auto"/>
        <w:ind w:firstLine="0" w:firstLineChars="0"/>
        <w:rPr>
          <w:rFonts w:cs="宋体" w:asciiTheme="minorEastAsia" w:hAnsiTheme="minorEastAsia"/>
          <w:color w:val="000000"/>
          <w:szCs w:val="21"/>
        </w:rPr>
      </w:pPr>
      <w:r>
        <w:rPr>
          <w:rFonts w:hint="eastAsia" w:cs="宋体" w:asciiTheme="minorEastAsia" w:hAnsiTheme="minorEastAsia"/>
          <w:b/>
          <w:color w:val="FF0000"/>
          <w:szCs w:val="21"/>
        </w:rPr>
        <w:t>疑问（二）：</w:t>
      </w:r>
      <w:r>
        <w:rPr>
          <w:rFonts w:hint="eastAsia" w:cs="宋体" w:asciiTheme="minorEastAsia" w:hAnsiTheme="minorEastAsia"/>
          <w:color w:val="000000"/>
          <w:szCs w:val="21"/>
        </w:rPr>
        <w:t xml:space="preserve">拟派施工负责人具备正高级工程师（工业与民用建筑专业）职称证的得1分；【证明材料：① 须提供证书原件或电子证书（电子证书上的二维码需清晰可查询），未提供或电子证书二维码无法查询的不予得分。② 职称的评审结果须在行政主管部门官方网站公布，提供网站链接并提供网页截图，未提供不予得分。原件备查。施工负责人要求的职称证书国企央企单位都是直接自己单位评出来的，都是没有在行政部门备案公布，本要求明显是不公平的条款，排斥潜在投标人 </w:t>
      </w:r>
    </w:p>
    <w:p>
      <w:pPr>
        <w:pStyle w:val="2"/>
        <w:spacing w:line="360" w:lineRule="auto"/>
        <w:ind w:firstLine="0" w:firstLineChars="0"/>
        <w:rPr>
          <w:rFonts w:cs="宋体" w:asciiTheme="minorEastAsia" w:hAnsiTheme="minorEastAsia"/>
          <w:b/>
          <w:color w:val="000000"/>
          <w:szCs w:val="21"/>
        </w:rPr>
      </w:pPr>
      <w:r>
        <w:rPr>
          <w:rFonts w:hint="eastAsia" w:cs="宋体" w:asciiTheme="minorEastAsia" w:hAnsiTheme="minorEastAsia"/>
          <w:b/>
          <w:color w:val="000000"/>
          <w:szCs w:val="21"/>
        </w:rPr>
        <w:t>答:按招标文件执行。</w:t>
      </w:r>
    </w:p>
    <w:p>
      <w:pPr>
        <w:pStyle w:val="2"/>
        <w:spacing w:line="360" w:lineRule="auto"/>
        <w:ind w:firstLine="0" w:firstLineChars="0"/>
        <w:rPr>
          <w:rFonts w:cs="宋体" w:asciiTheme="minorEastAsia" w:hAnsiTheme="minorEastAsia"/>
          <w:b/>
          <w:color w:val="000000"/>
          <w:szCs w:val="21"/>
        </w:rPr>
      </w:pPr>
    </w:p>
    <w:p>
      <w:pPr>
        <w:pStyle w:val="2"/>
        <w:spacing w:line="360" w:lineRule="auto"/>
        <w:ind w:firstLine="0" w:firstLineChars="0"/>
        <w:rPr>
          <w:rFonts w:cs="宋体" w:asciiTheme="minorEastAsia" w:hAnsiTheme="minorEastAsia"/>
          <w:color w:val="000000"/>
          <w:szCs w:val="21"/>
        </w:rPr>
      </w:pPr>
      <w:r>
        <w:rPr>
          <w:rFonts w:hint="eastAsia" w:cs="宋体" w:asciiTheme="minorEastAsia" w:hAnsiTheme="minorEastAsia"/>
          <w:b/>
          <w:color w:val="FF0000"/>
          <w:szCs w:val="21"/>
        </w:rPr>
        <w:t>疑问（三）：</w:t>
      </w:r>
      <w:r>
        <w:rPr>
          <w:rFonts w:hint="eastAsia" w:cs="宋体" w:asciiTheme="minorEastAsia" w:hAnsiTheme="minorEastAsia"/>
          <w:color w:val="000000"/>
          <w:szCs w:val="21"/>
        </w:rPr>
        <w:t>P23页EPC项目管理机构中，（1）拟派施工负责人具备正高级工程师（工业与民用建筑专业）职称证的得1分；【证明材料：① 须提供证书原件或电子证书（电子证书上的二维码需清晰可查询），未提供或电子证书二维码无法查询的不予得分。② 职称的评审结果须在行政主管部门官方网站公布，提供网站链接并提供网页截图，未提供不予得分。原件备查。】其中证明材料②中，职称的评审结果在行政主管部门官方网站公布，提供网站链接并提供网页截图，未提供不予得分，原件备查这项资信得分设置不合理，建筑类央企职称评审经中华人民共和国人力资源和社会保障部同意和备案，具有工程系列（正高和副高）评审委员会（人力资源和社会保障部令第40号），其评审结果只在该企业内部公示，不在行政主管部门官方网站公布，建议修改成，EPC项目管理机构中，（1）拟派施工负责人具备正高级工程师（工业与民用建筑专业）职称证的得1分；【证明材料：① 须提供证书原件备查或电子证书（电子证书上的二维码需清晰可查询），未提供原件或电子证书二维码无法查询的不予得分。</w:t>
      </w:r>
    </w:p>
    <w:p>
      <w:pPr>
        <w:pStyle w:val="2"/>
        <w:spacing w:line="360" w:lineRule="auto"/>
        <w:ind w:firstLine="0" w:firstLineChars="0"/>
        <w:rPr>
          <w:rFonts w:cs="宋体" w:asciiTheme="minorEastAsia" w:hAnsiTheme="minorEastAsia"/>
          <w:b/>
          <w:color w:val="000000"/>
          <w:szCs w:val="21"/>
        </w:rPr>
      </w:pPr>
      <w:r>
        <w:rPr>
          <w:rFonts w:hint="eastAsia" w:cs="宋体" w:asciiTheme="minorEastAsia" w:hAnsiTheme="minorEastAsia"/>
          <w:b/>
          <w:color w:val="000000"/>
          <w:szCs w:val="21"/>
        </w:rPr>
        <w:t>答：按招标文件执行。</w:t>
      </w:r>
    </w:p>
    <w:p>
      <w:pPr>
        <w:pStyle w:val="2"/>
        <w:spacing w:line="360" w:lineRule="auto"/>
        <w:ind w:firstLine="0" w:firstLineChars="0"/>
        <w:rPr>
          <w:rFonts w:cs="宋体" w:asciiTheme="minorEastAsia" w:hAnsiTheme="minorEastAsia"/>
          <w:color w:val="000000"/>
          <w:szCs w:val="21"/>
        </w:rPr>
      </w:pPr>
    </w:p>
    <w:p>
      <w:pPr>
        <w:pStyle w:val="2"/>
        <w:spacing w:line="360" w:lineRule="auto"/>
        <w:ind w:firstLine="0" w:firstLineChars="0"/>
        <w:rPr>
          <w:rFonts w:cs="宋体" w:asciiTheme="minorEastAsia" w:hAnsiTheme="minorEastAsia"/>
          <w:color w:val="000000"/>
          <w:szCs w:val="21"/>
        </w:rPr>
      </w:pPr>
      <w:r>
        <w:rPr>
          <w:rFonts w:hint="eastAsia" w:cs="宋体" w:asciiTheme="minorEastAsia" w:hAnsiTheme="minorEastAsia"/>
          <w:b/>
          <w:color w:val="FF0000"/>
          <w:szCs w:val="21"/>
        </w:rPr>
        <w:t>疑问（四）：</w:t>
      </w:r>
      <w:r>
        <w:rPr>
          <w:rFonts w:hint="eastAsia" w:cs="宋体" w:asciiTheme="minorEastAsia" w:hAnsiTheme="minorEastAsia"/>
          <w:color w:val="000000"/>
          <w:szCs w:val="21"/>
        </w:rPr>
        <w:t>资信评分要求:拟派施工负责人具备正高级工程师（工业与民用建筑专业）职称证的得1分；【证明材料：① 须提供证书原件或电子证书（电子证书上的二维码需清晰可查询），未提供或电子证书二维码无法查询的不予得分。② 职称的评审结果须在行政主管部门官方网站公布，提供网站链接并提供网页截图，未提供不予得分。原件备查。】</w:t>
      </w:r>
      <w:r>
        <w:rPr>
          <w:rFonts w:hint="eastAsia" w:cs="宋体" w:asciiTheme="minorEastAsia" w:hAnsiTheme="minorEastAsia"/>
          <w:color w:val="000000"/>
          <w:szCs w:val="21"/>
        </w:rPr>
        <w:br w:type="textWrapping"/>
      </w:r>
      <w:r>
        <w:rPr>
          <w:rFonts w:hint="eastAsia" w:cs="宋体" w:asciiTheme="minorEastAsia" w:hAnsiTheme="minorEastAsia"/>
          <w:color w:val="000000"/>
          <w:szCs w:val="21"/>
        </w:rPr>
        <w:t>问：施工负责人具备正高级工程师职称证除了（工业与民用建筑专业），其他专业是否符合该要求？管理工程算不算分？原件备查是指开标的时候要带上原件吗？</w:t>
      </w:r>
    </w:p>
    <w:p>
      <w:pPr>
        <w:pStyle w:val="2"/>
        <w:spacing w:line="360" w:lineRule="auto"/>
        <w:ind w:firstLine="0" w:firstLineChars="0"/>
        <w:rPr>
          <w:rFonts w:cs="宋体" w:asciiTheme="minorEastAsia" w:hAnsiTheme="minorEastAsia"/>
          <w:b/>
          <w:color w:val="000000"/>
          <w:szCs w:val="21"/>
        </w:rPr>
      </w:pPr>
      <w:r>
        <w:rPr>
          <w:rFonts w:hint="eastAsia" w:cs="宋体" w:asciiTheme="minorEastAsia" w:hAnsiTheme="minorEastAsia"/>
          <w:b/>
          <w:color w:val="000000"/>
          <w:szCs w:val="21"/>
        </w:rPr>
        <w:t>答:按招标文件执行。原件要求详见疑问（一）回复。</w:t>
      </w:r>
    </w:p>
    <w:p>
      <w:pPr>
        <w:pStyle w:val="2"/>
        <w:spacing w:line="360" w:lineRule="auto"/>
        <w:ind w:firstLine="210"/>
        <w:rPr>
          <w:rFonts w:cs="宋体" w:asciiTheme="minorEastAsia" w:hAnsiTheme="minorEastAsia"/>
          <w:color w:val="000000"/>
          <w:szCs w:val="21"/>
        </w:rPr>
      </w:pPr>
    </w:p>
    <w:p>
      <w:pPr>
        <w:pStyle w:val="2"/>
        <w:spacing w:line="360" w:lineRule="auto"/>
        <w:ind w:firstLine="0" w:firstLineChars="0"/>
        <w:rPr>
          <w:rFonts w:cs="宋体" w:asciiTheme="minorEastAsia" w:hAnsiTheme="minorEastAsia"/>
          <w:color w:val="000000"/>
          <w:szCs w:val="21"/>
        </w:rPr>
      </w:pPr>
      <w:r>
        <w:rPr>
          <w:rFonts w:hint="eastAsia" w:cs="宋体" w:asciiTheme="minorEastAsia" w:hAnsiTheme="minorEastAsia"/>
          <w:b/>
          <w:color w:val="FF0000"/>
          <w:szCs w:val="21"/>
        </w:rPr>
        <w:t>疑问（五）：</w:t>
      </w:r>
      <w:r>
        <w:rPr>
          <w:rFonts w:hint="eastAsia" w:cs="宋体" w:asciiTheme="minorEastAsia" w:hAnsiTheme="minorEastAsia"/>
          <w:color w:val="000000"/>
          <w:szCs w:val="21"/>
        </w:rPr>
        <w:t>1.请提供各地块用地红线图CAD。2.请提供各专业图纸CAD。3.请提供各地块规划条件文件。4.请明确各地块分析文本是否分地块装订成册，还是各地块整合为一本装订?5.各地块总图是否能大调整？6.请明确各地块施工图是否能分专业装订成册？7.各地块平面是否能大调整？8.本次是否需要工程量清单或者概算？</w:t>
      </w:r>
    </w:p>
    <w:p>
      <w:pPr>
        <w:pStyle w:val="2"/>
        <w:spacing w:line="360" w:lineRule="auto"/>
        <w:ind w:firstLine="0" w:firstLineChars="0"/>
        <w:rPr>
          <w:rFonts w:cs="宋体" w:asciiTheme="minorEastAsia" w:hAnsiTheme="minorEastAsia"/>
          <w:b/>
          <w:color w:val="000000"/>
          <w:szCs w:val="21"/>
        </w:rPr>
      </w:pPr>
      <w:r>
        <w:rPr>
          <w:rFonts w:hint="eastAsia" w:cs="宋体" w:asciiTheme="minorEastAsia" w:hAnsiTheme="minorEastAsia"/>
          <w:b/>
          <w:color w:val="000000"/>
          <w:szCs w:val="21"/>
        </w:rPr>
        <w:t>答:</w:t>
      </w:r>
      <w:r>
        <w:rPr>
          <w:rFonts w:hint="eastAsia" w:cs="宋体" w:asciiTheme="minorEastAsia" w:hAnsiTheme="minorEastAsia"/>
          <w:b/>
          <w:color w:val="000000"/>
          <w:szCs w:val="21"/>
          <w:lang w:val="en-US" w:eastAsia="zh-CN"/>
        </w:rPr>
        <w:t>1.2.3请参考现有电子版本图纸及资料做深化设计投标文件；</w:t>
      </w:r>
      <w:r>
        <w:rPr>
          <w:rFonts w:hint="eastAsia" w:cs="宋体" w:asciiTheme="minorEastAsia" w:hAnsiTheme="minorEastAsia"/>
          <w:b/>
          <w:color w:val="000000"/>
          <w:szCs w:val="21"/>
        </w:rPr>
        <w:t>4.</w:t>
      </w:r>
      <w:r>
        <w:rPr>
          <w:rFonts w:hint="eastAsia" w:cs="宋体" w:asciiTheme="minorEastAsia" w:hAnsiTheme="minorEastAsia"/>
          <w:b/>
          <w:color w:val="000000"/>
          <w:szCs w:val="21"/>
        </w:rPr>
        <w:t>允许</w:t>
      </w:r>
      <w:r>
        <w:rPr>
          <w:rFonts w:hint="eastAsia" w:cs="宋体" w:asciiTheme="minorEastAsia" w:hAnsiTheme="minorEastAsia"/>
          <w:b/>
          <w:color w:val="000000"/>
          <w:szCs w:val="21"/>
          <w:lang w:val="en-US" w:eastAsia="zh-CN"/>
        </w:rPr>
        <w:t>分册</w:t>
      </w:r>
      <w:r>
        <w:rPr>
          <w:rFonts w:hint="eastAsia" w:cs="宋体" w:asciiTheme="minorEastAsia" w:hAnsiTheme="minorEastAsia"/>
          <w:b/>
          <w:color w:val="000000"/>
          <w:szCs w:val="21"/>
        </w:rPr>
        <w:t>；5.</w:t>
      </w:r>
      <w:r>
        <w:rPr>
          <w:rFonts w:hint="eastAsia" w:cs="宋体" w:asciiTheme="minorEastAsia" w:hAnsiTheme="minorEastAsia"/>
          <w:b/>
          <w:color w:val="000000"/>
          <w:szCs w:val="21"/>
        </w:rPr>
        <w:t>不能大调整；6.</w:t>
      </w:r>
      <w:r>
        <w:rPr>
          <w:rFonts w:hint="eastAsia" w:cs="宋体" w:asciiTheme="minorEastAsia" w:hAnsiTheme="minorEastAsia"/>
          <w:b/>
          <w:color w:val="000000"/>
          <w:szCs w:val="21"/>
        </w:rPr>
        <w:t>允许分册；7.</w:t>
      </w:r>
      <w:r>
        <w:rPr>
          <w:rFonts w:hint="eastAsia" w:cs="宋体" w:asciiTheme="minorEastAsia" w:hAnsiTheme="minorEastAsia"/>
          <w:b/>
          <w:color w:val="000000"/>
          <w:szCs w:val="21"/>
        </w:rPr>
        <w:t>不能大调整；8.</w:t>
      </w:r>
      <w:r>
        <w:rPr>
          <w:rFonts w:hint="eastAsia" w:cs="宋体" w:asciiTheme="minorEastAsia" w:hAnsiTheme="minorEastAsia"/>
          <w:b/>
          <w:color w:val="000000"/>
          <w:szCs w:val="21"/>
        </w:rPr>
        <w:t>不需要。</w:t>
      </w:r>
    </w:p>
    <w:p>
      <w:pPr>
        <w:pStyle w:val="2"/>
        <w:spacing w:line="360" w:lineRule="auto"/>
        <w:ind w:firstLine="210"/>
        <w:rPr>
          <w:rFonts w:cs="宋体" w:asciiTheme="minorEastAsia" w:hAnsiTheme="minorEastAsia"/>
          <w:color w:val="000000"/>
          <w:szCs w:val="21"/>
        </w:rPr>
      </w:pPr>
    </w:p>
    <w:p>
      <w:pPr>
        <w:pStyle w:val="2"/>
        <w:spacing w:line="360" w:lineRule="auto"/>
        <w:ind w:firstLine="0" w:firstLineChars="0"/>
        <w:rPr>
          <w:rFonts w:cs="宋体" w:asciiTheme="minorEastAsia" w:hAnsiTheme="minorEastAsia"/>
          <w:b/>
          <w:color w:val="000000"/>
          <w:szCs w:val="21"/>
        </w:rPr>
      </w:pPr>
      <w:r>
        <w:rPr>
          <w:rFonts w:hint="eastAsia" w:cs="宋体" w:asciiTheme="minorEastAsia" w:hAnsiTheme="minorEastAsia"/>
          <w:b/>
          <w:color w:val="FF0000"/>
          <w:szCs w:val="21"/>
        </w:rPr>
        <w:t>疑问（六）：</w:t>
      </w:r>
      <w:r>
        <w:rPr>
          <w:rFonts w:hint="eastAsia" w:cs="宋体" w:asciiTheme="minorEastAsia" w:hAnsiTheme="minorEastAsia"/>
          <w:color w:val="000000"/>
          <w:szCs w:val="21"/>
        </w:rPr>
        <w:t>招标文件P22页，3.1.2资信评分，投标人的类似业绩要求：业绩证明材料要求提供②工程竣工验收备案表。请问提供经备案机关盖章的工程竣工验收备案证明书是否予以认可？</w:t>
      </w:r>
    </w:p>
    <w:p>
      <w:pPr>
        <w:pStyle w:val="2"/>
        <w:spacing w:line="360" w:lineRule="auto"/>
        <w:ind w:firstLine="0" w:firstLineChars="0"/>
        <w:rPr>
          <w:rFonts w:cs="宋体" w:asciiTheme="minorEastAsia" w:hAnsiTheme="minorEastAsia"/>
          <w:color w:val="000000"/>
          <w:szCs w:val="21"/>
        </w:rPr>
      </w:pPr>
      <w:r>
        <w:rPr>
          <w:rFonts w:hint="eastAsia" w:cs="宋体" w:asciiTheme="minorEastAsia" w:hAnsiTheme="minorEastAsia"/>
          <w:b/>
          <w:color w:val="000000"/>
          <w:szCs w:val="21"/>
        </w:rPr>
        <w:t>答:予以认可。</w:t>
      </w:r>
    </w:p>
    <w:p>
      <w:pPr>
        <w:pStyle w:val="2"/>
        <w:spacing w:line="360" w:lineRule="auto"/>
        <w:ind w:firstLine="0" w:firstLineChars="0"/>
        <w:rPr>
          <w:rFonts w:cs="宋体" w:asciiTheme="minorEastAsia" w:hAnsiTheme="minorEastAsia"/>
          <w:color w:val="000000"/>
          <w:szCs w:val="21"/>
        </w:rPr>
      </w:pPr>
      <w:r>
        <w:rPr>
          <w:rFonts w:hint="eastAsia" w:cs="宋体" w:asciiTheme="minorEastAsia" w:hAnsiTheme="minorEastAsia"/>
          <w:b/>
          <w:color w:val="FF0000"/>
          <w:szCs w:val="21"/>
        </w:rPr>
        <w:t>疑问（七）：</w:t>
      </w:r>
      <w:r>
        <w:rPr>
          <w:rFonts w:hint="eastAsia" w:cs="宋体" w:asciiTheme="minorEastAsia" w:hAnsiTheme="minorEastAsia"/>
          <w:color w:val="000000"/>
          <w:szCs w:val="21"/>
        </w:rPr>
        <w:t>1、招标文件专用合同条件第15.3.2款“②工程量调整方法：经发包人确认的由发包人原因引起的施工范围调整、工程变更、设计变更，按实际增加或减少的工程量和根据第①条确定的单价调整合同价格。”约定由发包人原因引起变更产生的费用允许进行调整合同额并作为结算价格，但第17.1.1款“8.本项目为总承包工程，除主材动态调整的价差可增减外，其余任何情况合同价款均不予调整，最终结算审计价不得超出正式批复的概算价，超出部分费用由承包人承担。”中并未约定第15.3.2款这一情形，前后约定不一致，请招标人予以明确。</w:t>
      </w:r>
      <w:r>
        <w:rPr>
          <w:rFonts w:hint="eastAsia" w:cs="宋体" w:asciiTheme="minorEastAsia" w:hAnsiTheme="minorEastAsia"/>
          <w:color w:val="000000"/>
          <w:szCs w:val="21"/>
        </w:rPr>
        <w:br w:type="textWrapping"/>
      </w:r>
      <w:r>
        <w:rPr>
          <w:rFonts w:hint="eastAsia" w:cs="宋体" w:asciiTheme="minorEastAsia" w:hAnsiTheme="minorEastAsia"/>
          <w:color w:val="000000"/>
          <w:szCs w:val="21"/>
        </w:rPr>
        <w:t>2、招标文件专用合同条件第16.1.1.1款“（3）除税信息价价格计取②铝合金门窗……”约定了铝合金调差方式，与第16.1.1.1款“（1）分段计算……其中主要材料指：商品混凝土、水泥、钢筋、管材（焊接钢管、无缝钢管，不含配件）、电线电缆。”约定不一致，允许调差的主材中是否应增加铝合金门窗，且本条款材料调差表格中“材料调差名称一列中的支护、地下室结构（钢筋、商品砼）和主体结构（钢筋、商品砼）”是否遗漏了“水泥”，请招标人予以明确</w:t>
      </w:r>
    </w:p>
    <w:p>
      <w:pPr>
        <w:spacing w:line="360" w:lineRule="auto"/>
        <w:ind w:firstLine="422" w:firstLineChars="200"/>
        <w:rPr>
          <w:rFonts w:ascii="宋体" w:hAnsi="宋体"/>
          <w:b/>
          <w:bCs/>
          <w:szCs w:val="21"/>
        </w:rPr>
      </w:pPr>
      <w:r>
        <w:rPr>
          <w:rFonts w:hint="eastAsia" w:cs="宋体" w:asciiTheme="minorEastAsia" w:hAnsiTheme="minorEastAsia"/>
          <w:b/>
          <w:color w:val="000000"/>
          <w:szCs w:val="21"/>
        </w:rPr>
        <w:t>答:</w:t>
      </w:r>
      <w:r>
        <w:rPr>
          <w:rFonts w:cs="宋体" w:asciiTheme="minorEastAsia" w:hAnsiTheme="minorEastAsia"/>
          <w:b/>
          <w:color w:val="000000"/>
          <w:szCs w:val="21"/>
        </w:rPr>
        <w:t>1</w:t>
      </w:r>
      <w:r>
        <w:rPr>
          <w:rFonts w:hint="eastAsia" w:cs="宋体" w:asciiTheme="minorEastAsia" w:hAnsiTheme="minorEastAsia"/>
          <w:b/>
          <w:color w:val="000000"/>
          <w:szCs w:val="21"/>
        </w:rPr>
        <w:t>、</w:t>
      </w:r>
      <w:r>
        <w:rPr>
          <w:rFonts w:hint="eastAsia" w:ascii="宋体" w:hAnsi="宋体"/>
          <w:b/>
          <w:bCs/>
          <w:szCs w:val="21"/>
        </w:rPr>
        <w:t>专用合同条件第1</w:t>
      </w:r>
      <w:r>
        <w:rPr>
          <w:rFonts w:ascii="宋体" w:hAnsi="宋体"/>
          <w:b/>
          <w:bCs/>
          <w:szCs w:val="21"/>
        </w:rPr>
        <w:t>7.1.1</w:t>
      </w:r>
      <w:r>
        <w:rPr>
          <w:rFonts w:hint="eastAsia" w:ascii="宋体" w:hAnsi="宋体"/>
          <w:b/>
          <w:bCs/>
          <w:szCs w:val="21"/>
        </w:rPr>
        <w:t>款第8条调整为“8.本项目为总承包工程，除主材动态调整的价差及由发包人原因引起变更产生的费用可增减外，其余任何情况合同价款均不予调整，最终结算审计价不得超出正式批复的概算价，超出部分费用由承包人承担。”。</w:t>
      </w:r>
    </w:p>
    <w:p>
      <w:pPr>
        <w:spacing w:line="360" w:lineRule="auto"/>
        <w:ind w:firstLine="422" w:firstLineChars="200"/>
        <w:rPr>
          <w:rFonts w:ascii="宋体" w:hAnsi="宋体" w:eastAsia="宋体" w:cs="Times New Roman"/>
          <w:b/>
          <w:bCs/>
          <w:szCs w:val="21"/>
        </w:rPr>
      </w:pPr>
      <w:r>
        <w:rPr>
          <w:rFonts w:hint="eastAsia" w:ascii="宋体" w:hAnsi="宋体"/>
          <w:b/>
          <w:bCs/>
          <w:szCs w:val="21"/>
        </w:rPr>
        <w:t>2</w:t>
      </w:r>
      <w:r>
        <w:rPr>
          <w:rFonts w:hint="eastAsia" w:ascii="宋体" w:hAnsi="宋体" w:eastAsia="宋体"/>
          <w:b/>
          <w:bCs/>
          <w:szCs w:val="21"/>
        </w:rPr>
        <w:t>、第1</w:t>
      </w:r>
      <w:r>
        <w:rPr>
          <w:rFonts w:ascii="宋体" w:hAnsi="宋体" w:eastAsia="宋体"/>
          <w:b/>
          <w:bCs/>
          <w:szCs w:val="21"/>
        </w:rPr>
        <w:t>6.1.1</w:t>
      </w:r>
      <w:r>
        <w:rPr>
          <w:rFonts w:ascii="宋体" w:hAnsi="宋体" w:eastAsia="宋体" w:cs="Times New Roman"/>
          <w:b/>
          <w:bCs/>
          <w:szCs w:val="21"/>
        </w:rPr>
        <w:t>.1</w:t>
      </w:r>
      <w:r>
        <w:rPr>
          <w:rFonts w:hint="eastAsia" w:ascii="宋体" w:hAnsi="宋体" w:eastAsia="宋体" w:cs="Times New Roman"/>
          <w:b/>
          <w:bCs/>
          <w:szCs w:val="21"/>
        </w:rPr>
        <w:t>款第（1）条调整为：</w:t>
      </w:r>
    </w:p>
    <w:p>
      <w:pPr>
        <w:spacing w:line="360" w:lineRule="auto"/>
        <w:ind w:firstLine="422" w:firstLineChars="200"/>
        <w:rPr>
          <w:rFonts w:ascii="宋体" w:hAnsi="宋体" w:eastAsia="宋体" w:cs="Times New Roman"/>
          <w:b/>
          <w:bCs/>
          <w:szCs w:val="21"/>
        </w:rPr>
      </w:pPr>
      <w:r>
        <w:rPr>
          <w:rFonts w:hint="eastAsia" w:ascii="宋体" w:hAnsi="宋体" w:eastAsia="宋体" w:cs="Times New Roman"/>
          <w:b/>
          <w:bCs/>
          <w:szCs w:val="21"/>
        </w:rPr>
        <w:t>（1）分段计算</w:t>
      </w:r>
    </w:p>
    <w:p>
      <w:pPr>
        <w:spacing w:line="360" w:lineRule="auto"/>
        <w:ind w:firstLine="422" w:firstLineChars="200"/>
        <w:rPr>
          <w:rFonts w:ascii="宋体" w:hAnsi="宋体" w:eastAsia="宋体" w:cs="Times New Roman"/>
          <w:b/>
          <w:bCs/>
          <w:szCs w:val="21"/>
        </w:rPr>
      </w:pPr>
      <w:r>
        <w:rPr>
          <w:rFonts w:hint="eastAsia" w:ascii="宋体" w:hAnsi="宋体" w:eastAsia="宋体" w:cs="Times New Roman"/>
          <w:b/>
          <w:bCs/>
          <w:szCs w:val="21"/>
        </w:rPr>
        <w:t>取形象进度施工期间《平阳县建材价格信息》除税信息价算术平均分段计算，与16.1.1款约定的基期的《平阳县建材价格信息》进行比较，确定价差调整幅度，经监理审核报送发包人批准后，并根据现行有关规定在结算款中支付或扣回价差款；其中主要材料指：商品混凝土、水泥、钢筋、管材（焊接钢管、无缝钢管，不含配件）、电线电缆、铝合金门窗。</w:t>
      </w:r>
    </w:p>
    <w:p>
      <w:pPr>
        <w:spacing w:line="360" w:lineRule="auto"/>
        <w:ind w:firstLine="422" w:firstLineChars="200"/>
        <w:rPr>
          <w:rFonts w:ascii="宋体" w:hAnsi="宋体" w:eastAsia="宋体" w:cs="Times New Roman"/>
          <w:b/>
          <w:bCs/>
          <w:szCs w:val="21"/>
        </w:rPr>
      </w:pPr>
      <w:r>
        <w:rPr>
          <w:rFonts w:hint="eastAsia" w:ascii="宋体" w:hAnsi="宋体" w:eastAsia="宋体" w:cs="Times New Roman"/>
          <w:b/>
          <w:bCs/>
          <w:szCs w:val="21"/>
        </w:rPr>
        <w:t>各形象进度时间节点必须经监理人和发包人审核确认。形象进度施工期间的计算按照日历月份计，遇有小数即进位取整数。</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6"/>
        <w:gridCol w:w="2268"/>
        <w:gridCol w:w="2268"/>
        <w:gridCol w:w="43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6" w:type="dxa"/>
            <w:vMerge w:val="restart"/>
            <w:vAlign w:val="center"/>
          </w:tcPr>
          <w:p>
            <w:pPr>
              <w:spacing w:line="360" w:lineRule="auto"/>
              <w:jc w:val="center"/>
              <w:rPr>
                <w:rFonts w:ascii="宋体" w:hAnsi="宋体" w:eastAsia="宋体" w:cs="Times New Roman"/>
                <w:szCs w:val="21"/>
              </w:rPr>
            </w:pPr>
            <w:r>
              <w:rPr>
                <w:rFonts w:hint="eastAsia" w:ascii="宋体" w:hAnsi="宋体" w:eastAsia="宋体" w:cs="Times New Roman"/>
                <w:szCs w:val="21"/>
              </w:rPr>
              <w:t>序号</w:t>
            </w:r>
          </w:p>
        </w:tc>
        <w:tc>
          <w:tcPr>
            <w:tcW w:w="4536" w:type="dxa"/>
            <w:gridSpan w:val="2"/>
            <w:vAlign w:val="center"/>
          </w:tcPr>
          <w:p>
            <w:pPr>
              <w:spacing w:line="360" w:lineRule="auto"/>
              <w:jc w:val="center"/>
              <w:rPr>
                <w:rFonts w:ascii="宋体" w:hAnsi="宋体" w:eastAsia="宋体" w:cs="Times New Roman"/>
                <w:szCs w:val="21"/>
              </w:rPr>
            </w:pPr>
            <w:r>
              <w:rPr>
                <w:rFonts w:hint="eastAsia" w:ascii="宋体" w:hAnsi="宋体" w:eastAsia="宋体" w:cs="Times New Roman"/>
                <w:szCs w:val="21"/>
              </w:rPr>
              <w:t>形象进度</w:t>
            </w:r>
          </w:p>
        </w:tc>
        <w:tc>
          <w:tcPr>
            <w:tcW w:w="4363" w:type="dxa"/>
            <w:vMerge w:val="restart"/>
            <w:vAlign w:val="center"/>
          </w:tcPr>
          <w:p>
            <w:pPr>
              <w:spacing w:line="360" w:lineRule="auto"/>
              <w:jc w:val="center"/>
              <w:rPr>
                <w:rFonts w:ascii="宋体" w:hAnsi="宋体" w:eastAsia="宋体" w:cs="Times New Roman"/>
                <w:szCs w:val="21"/>
              </w:rPr>
            </w:pPr>
            <w:r>
              <w:rPr>
                <w:rFonts w:hint="eastAsia" w:ascii="宋体" w:hAnsi="宋体" w:eastAsia="宋体" w:cs="Times New Roman"/>
                <w:szCs w:val="21"/>
              </w:rPr>
              <w:t>材料调差名称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6" w:type="dxa"/>
            <w:vMerge w:val="continue"/>
            <w:vAlign w:val="center"/>
          </w:tcPr>
          <w:p>
            <w:pPr>
              <w:spacing w:line="360" w:lineRule="auto"/>
              <w:ind w:firstLine="420" w:firstLineChars="200"/>
              <w:jc w:val="center"/>
              <w:rPr>
                <w:rFonts w:ascii="宋体" w:hAnsi="宋体" w:eastAsia="宋体" w:cs="Times New Roman"/>
                <w:szCs w:val="21"/>
              </w:rPr>
            </w:pPr>
          </w:p>
        </w:tc>
        <w:tc>
          <w:tcPr>
            <w:tcW w:w="2268" w:type="dxa"/>
            <w:vAlign w:val="center"/>
          </w:tcPr>
          <w:p>
            <w:pPr>
              <w:spacing w:line="360" w:lineRule="auto"/>
              <w:jc w:val="center"/>
              <w:rPr>
                <w:rFonts w:ascii="宋体" w:hAnsi="宋体" w:eastAsia="宋体" w:cs="Times New Roman"/>
                <w:szCs w:val="21"/>
              </w:rPr>
            </w:pPr>
            <w:r>
              <w:rPr>
                <w:rFonts w:hint="eastAsia" w:ascii="宋体" w:hAnsi="宋体" w:eastAsia="宋体" w:cs="Times New Roman"/>
                <w:szCs w:val="21"/>
              </w:rPr>
              <w:t>开始</w:t>
            </w:r>
          </w:p>
        </w:tc>
        <w:tc>
          <w:tcPr>
            <w:tcW w:w="2268" w:type="dxa"/>
            <w:vAlign w:val="center"/>
          </w:tcPr>
          <w:p>
            <w:pPr>
              <w:spacing w:line="360" w:lineRule="auto"/>
              <w:jc w:val="center"/>
              <w:rPr>
                <w:rFonts w:ascii="宋体" w:hAnsi="宋体" w:eastAsia="宋体" w:cs="Times New Roman"/>
                <w:szCs w:val="21"/>
              </w:rPr>
            </w:pPr>
            <w:r>
              <w:rPr>
                <w:rFonts w:hint="eastAsia" w:ascii="宋体" w:hAnsi="宋体" w:eastAsia="宋体" w:cs="Times New Roman"/>
                <w:szCs w:val="21"/>
              </w:rPr>
              <w:t>截止</w:t>
            </w:r>
          </w:p>
        </w:tc>
        <w:tc>
          <w:tcPr>
            <w:tcW w:w="4363" w:type="dxa"/>
            <w:vMerge w:val="continue"/>
            <w:vAlign w:val="center"/>
          </w:tcPr>
          <w:p>
            <w:pPr>
              <w:spacing w:line="360" w:lineRule="auto"/>
              <w:ind w:firstLine="420" w:firstLineChars="200"/>
              <w:rPr>
                <w:rFonts w:ascii="宋体" w:hAnsi="宋体"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6" w:type="dxa"/>
            <w:vAlign w:val="center"/>
          </w:tcPr>
          <w:p>
            <w:pPr>
              <w:spacing w:line="360" w:lineRule="auto"/>
              <w:jc w:val="center"/>
              <w:rPr>
                <w:rFonts w:ascii="宋体" w:hAnsi="宋体" w:eastAsia="宋体" w:cs="Times New Roman"/>
                <w:szCs w:val="21"/>
              </w:rPr>
            </w:pPr>
            <w:r>
              <w:rPr>
                <w:rFonts w:hint="eastAsia" w:ascii="宋体" w:hAnsi="宋体" w:eastAsia="宋体" w:cs="Times New Roman"/>
                <w:szCs w:val="21"/>
              </w:rPr>
              <w:t>1</w:t>
            </w:r>
          </w:p>
        </w:tc>
        <w:tc>
          <w:tcPr>
            <w:tcW w:w="2268" w:type="dxa"/>
            <w:vAlign w:val="center"/>
          </w:tcPr>
          <w:p>
            <w:pPr>
              <w:spacing w:line="360" w:lineRule="auto"/>
              <w:jc w:val="center"/>
              <w:rPr>
                <w:rFonts w:ascii="宋体" w:hAnsi="宋体" w:eastAsia="宋体" w:cs="Times New Roman"/>
                <w:szCs w:val="21"/>
              </w:rPr>
            </w:pPr>
            <w:r>
              <w:rPr>
                <w:rFonts w:hint="eastAsia" w:ascii="宋体" w:hAnsi="宋体" w:eastAsia="宋体" w:cs="Times New Roman"/>
                <w:szCs w:val="21"/>
              </w:rPr>
              <w:t>试桩</w:t>
            </w:r>
          </w:p>
        </w:tc>
        <w:tc>
          <w:tcPr>
            <w:tcW w:w="2268" w:type="dxa"/>
            <w:vAlign w:val="center"/>
          </w:tcPr>
          <w:p>
            <w:pPr>
              <w:spacing w:line="360" w:lineRule="auto"/>
              <w:jc w:val="center"/>
              <w:rPr>
                <w:rFonts w:ascii="宋体" w:hAnsi="宋体" w:eastAsia="宋体" w:cs="Times New Roman"/>
                <w:szCs w:val="21"/>
              </w:rPr>
            </w:pPr>
            <w:r>
              <w:rPr>
                <w:rFonts w:hint="eastAsia" w:ascii="宋体" w:hAnsi="宋体" w:eastAsia="宋体" w:cs="Times New Roman"/>
                <w:szCs w:val="21"/>
              </w:rPr>
              <w:t>桩基完成</w:t>
            </w:r>
          </w:p>
        </w:tc>
        <w:tc>
          <w:tcPr>
            <w:tcW w:w="4363" w:type="dxa"/>
            <w:vAlign w:val="center"/>
          </w:tcPr>
          <w:p>
            <w:pPr>
              <w:spacing w:line="360" w:lineRule="auto"/>
              <w:jc w:val="center"/>
              <w:rPr>
                <w:rFonts w:ascii="宋体" w:hAnsi="宋体" w:eastAsia="宋体" w:cs="Times New Roman"/>
                <w:szCs w:val="21"/>
              </w:rPr>
            </w:pPr>
            <w:r>
              <w:rPr>
                <w:rFonts w:hint="eastAsia" w:ascii="宋体" w:hAnsi="宋体" w:eastAsia="宋体" w:cs="Times New Roman"/>
                <w:szCs w:val="21"/>
              </w:rPr>
              <w:t>桩基础（钢筋、商品砼、水泥）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6" w:type="dxa"/>
            <w:vAlign w:val="center"/>
          </w:tcPr>
          <w:p>
            <w:pPr>
              <w:spacing w:line="360" w:lineRule="auto"/>
              <w:jc w:val="center"/>
              <w:rPr>
                <w:rFonts w:ascii="宋体" w:hAnsi="宋体" w:eastAsia="宋体" w:cs="Times New Roman"/>
                <w:szCs w:val="21"/>
              </w:rPr>
            </w:pPr>
            <w:r>
              <w:rPr>
                <w:rFonts w:hint="eastAsia" w:ascii="宋体" w:hAnsi="宋体" w:eastAsia="宋体" w:cs="Times New Roman"/>
                <w:szCs w:val="21"/>
              </w:rPr>
              <w:t>2</w:t>
            </w:r>
          </w:p>
        </w:tc>
        <w:tc>
          <w:tcPr>
            <w:tcW w:w="2268" w:type="dxa"/>
            <w:vAlign w:val="center"/>
          </w:tcPr>
          <w:p>
            <w:pPr>
              <w:spacing w:line="360" w:lineRule="auto"/>
              <w:jc w:val="center"/>
              <w:rPr>
                <w:rFonts w:ascii="宋体" w:hAnsi="宋体" w:eastAsia="宋体" w:cs="Times New Roman"/>
                <w:szCs w:val="21"/>
              </w:rPr>
            </w:pPr>
            <w:r>
              <w:rPr>
                <w:rFonts w:hint="eastAsia" w:ascii="宋体" w:hAnsi="宋体" w:eastAsia="宋体" w:cs="Times New Roman"/>
                <w:szCs w:val="21"/>
              </w:rPr>
              <w:t>桩基完成</w:t>
            </w:r>
          </w:p>
        </w:tc>
        <w:tc>
          <w:tcPr>
            <w:tcW w:w="2268" w:type="dxa"/>
            <w:vAlign w:val="center"/>
          </w:tcPr>
          <w:p>
            <w:pPr>
              <w:spacing w:line="360" w:lineRule="auto"/>
              <w:jc w:val="center"/>
              <w:rPr>
                <w:rFonts w:ascii="宋体" w:hAnsi="宋体" w:eastAsia="宋体" w:cs="Times New Roman"/>
                <w:szCs w:val="21"/>
              </w:rPr>
            </w:pPr>
            <w:r>
              <w:rPr>
                <w:rFonts w:hint="eastAsia" w:ascii="宋体" w:hAnsi="宋体" w:eastAsia="宋体" w:cs="Times New Roman"/>
                <w:szCs w:val="21"/>
              </w:rPr>
              <w:t>±0.00以下结构完成</w:t>
            </w:r>
          </w:p>
        </w:tc>
        <w:tc>
          <w:tcPr>
            <w:tcW w:w="4363" w:type="dxa"/>
            <w:vAlign w:val="center"/>
          </w:tcPr>
          <w:p>
            <w:pPr>
              <w:spacing w:line="360" w:lineRule="auto"/>
              <w:jc w:val="center"/>
              <w:rPr>
                <w:rFonts w:ascii="宋体" w:hAnsi="宋体" w:eastAsia="宋体" w:cs="Times New Roman"/>
                <w:szCs w:val="21"/>
              </w:rPr>
            </w:pPr>
            <w:r>
              <w:rPr>
                <w:rFonts w:hint="eastAsia" w:ascii="宋体" w:hAnsi="宋体" w:eastAsia="宋体" w:cs="Times New Roman"/>
                <w:szCs w:val="21"/>
              </w:rPr>
              <w:t>支护、地下室结构（钢筋、商品砼、水泥）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6" w:type="dxa"/>
            <w:vAlign w:val="center"/>
          </w:tcPr>
          <w:p>
            <w:pPr>
              <w:spacing w:line="360" w:lineRule="auto"/>
              <w:jc w:val="center"/>
              <w:rPr>
                <w:rFonts w:ascii="宋体" w:hAnsi="宋体" w:eastAsia="宋体" w:cs="Times New Roman"/>
                <w:szCs w:val="21"/>
              </w:rPr>
            </w:pPr>
            <w:r>
              <w:rPr>
                <w:rFonts w:hint="eastAsia" w:ascii="宋体" w:hAnsi="宋体" w:eastAsia="宋体" w:cs="Times New Roman"/>
                <w:szCs w:val="21"/>
              </w:rPr>
              <w:t>3</w:t>
            </w:r>
          </w:p>
        </w:tc>
        <w:tc>
          <w:tcPr>
            <w:tcW w:w="2268" w:type="dxa"/>
            <w:vAlign w:val="center"/>
          </w:tcPr>
          <w:p>
            <w:pPr>
              <w:spacing w:line="360" w:lineRule="auto"/>
              <w:jc w:val="center"/>
              <w:rPr>
                <w:rFonts w:ascii="宋体" w:hAnsi="宋体" w:eastAsia="宋体" w:cs="Times New Roman"/>
                <w:szCs w:val="21"/>
              </w:rPr>
            </w:pPr>
            <w:r>
              <w:rPr>
                <w:rFonts w:hint="eastAsia" w:ascii="宋体" w:hAnsi="宋体" w:eastAsia="宋体" w:cs="Times New Roman"/>
                <w:szCs w:val="21"/>
              </w:rPr>
              <w:t>±0.00以下结构完成</w:t>
            </w:r>
          </w:p>
        </w:tc>
        <w:tc>
          <w:tcPr>
            <w:tcW w:w="2268" w:type="dxa"/>
            <w:vAlign w:val="center"/>
          </w:tcPr>
          <w:p>
            <w:pPr>
              <w:spacing w:line="360" w:lineRule="auto"/>
              <w:jc w:val="center"/>
              <w:rPr>
                <w:rFonts w:ascii="宋体" w:hAnsi="宋体" w:eastAsia="宋体" w:cs="Times New Roman"/>
                <w:szCs w:val="21"/>
              </w:rPr>
            </w:pPr>
            <w:r>
              <w:rPr>
                <w:rFonts w:hint="eastAsia" w:ascii="宋体" w:hAnsi="宋体" w:eastAsia="宋体" w:cs="Times New Roman"/>
                <w:szCs w:val="21"/>
              </w:rPr>
              <w:t>主体结顶</w:t>
            </w:r>
          </w:p>
        </w:tc>
        <w:tc>
          <w:tcPr>
            <w:tcW w:w="4363" w:type="dxa"/>
            <w:vAlign w:val="center"/>
          </w:tcPr>
          <w:p>
            <w:pPr>
              <w:spacing w:line="360" w:lineRule="auto"/>
              <w:jc w:val="center"/>
              <w:rPr>
                <w:rFonts w:ascii="宋体" w:hAnsi="宋体" w:eastAsia="宋体" w:cs="Times New Roman"/>
                <w:szCs w:val="21"/>
              </w:rPr>
            </w:pPr>
            <w:r>
              <w:rPr>
                <w:rFonts w:hint="eastAsia" w:ascii="宋体" w:hAnsi="宋体" w:eastAsia="宋体" w:cs="Times New Roman"/>
                <w:szCs w:val="21"/>
              </w:rPr>
              <w:t>主体结构（钢筋、商品砼、水泥）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6" w:type="dxa"/>
            <w:vAlign w:val="center"/>
          </w:tcPr>
          <w:p>
            <w:pPr>
              <w:spacing w:line="360" w:lineRule="auto"/>
              <w:jc w:val="center"/>
              <w:rPr>
                <w:rFonts w:ascii="宋体" w:hAnsi="宋体" w:eastAsia="宋体" w:cs="Times New Roman"/>
                <w:szCs w:val="21"/>
              </w:rPr>
            </w:pPr>
            <w:r>
              <w:rPr>
                <w:rFonts w:hint="eastAsia" w:ascii="宋体" w:hAnsi="宋体" w:eastAsia="宋体" w:cs="Times New Roman"/>
                <w:szCs w:val="21"/>
              </w:rPr>
              <w:t>4</w:t>
            </w:r>
          </w:p>
        </w:tc>
        <w:tc>
          <w:tcPr>
            <w:tcW w:w="2268" w:type="dxa"/>
            <w:vAlign w:val="center"/>
          </w:tcPr>
          <w:p>
            <w:pPr>
              <w:spacing w:line="360" w:lineRule="auto"/>
              <w:jc w:val="center"/>
              <w:rPr>
                <w:rFonts w:ascii="宋体" w:hAnsi="宋体" w:eastAsia="宋体" w:cs="Times New Roman"/>
                <w:szCs w:val="21"/>
              </w:rPr>
            </w:pPr>
            <w:r>
              <w:rPr>
                <w:rFonts w:hint="eastAsia" w:ascii="宋体" w:hAnsi="宋体" w:eastAsia="宋体" w:cs="Times New Roman"/>
                <w:szCs w:val="21"/>
              </w:rPr>
              <w:t>±0.00以上结构完成</w:t>
            </w:r>
          </w:p>
        </w:tc>
        <w:tc>
          <w:tcPr>
            <w:tcW w:w="2268" w:type="dxa"/>
            <w:vAlign w:val="center"/>
          </w:tcPr>
          <w:p>
            <w:pPr>
              <w:spacing w:line="360" w:lineRule="auto"/>
              <w:jc w:val="center"/>
              <w:rPr>
                <w:rFonts w:ascii="宋体" w:hAnsi="宋体" w:eastAsia="宋体" w:cs="Times New Roman"/>
                <w:szCs w:val="21"/>
              </w:rPr>
            </w:pPr>
            <w:r>
              <w:rPr>
                <w:rFonts w:hint="eastAsia" w:ascii="宋体" w:hAnsi="宋体" w:eastAsia="宋体" w:cs="Times New Roman"/>
                <w:szCs w:val="21"/>
              </w:rPr>
              <w:t>竣工预验收</w:t>
            </w:r>
          </w:p>
        </w:tc>
        <w:tc>
          <w:tcPr>
            <w:tcW w:w="4363" w:type="dxa"/>
            <w:vAlign w:val="center"/>
          </w:tcPr>
          <w:p>
            <w:pPr>
              <w:spacing w:line="360" w:lineRule="auto"/>
              <w:jc w:val="center"/>
              <w:rPr>
                <w:rFonts w:ascii="宋体" w:hAnsi="宋体" w:eastAsia="宋体" w:cs="Times New Roman"/>
                <w:szCs w:val="21"/>
              </w:rPr>
            </w:pPr>
            <w:r>
              <w:rPr>
                <w:rFonts w:hint="eastAsia" w:ascii="宋体" w:hAnsi="宋体" w:eastAsia="宋体" w:cs="Times New Roman"/>
                <w:szCs w:val="21"/>
              </w:rPr>
              <w:t>钢筋、商品砼、水泥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6" w:type="dxa"/>
            <w:vAlign w:val="center"/>
          </w:tcPr>
          <w:p>
            <w:pPr>
              <w:spacing w:line="360" w:lineRule="auto"/>
              <w:jc w:val="center"/>
              <w:rPr>
                <w:rFonts w:ascii="宋体" w:hAnsi="宋体" w:eastAsia="宋体" w:cs="Times New Roman"/>
                <w:szCs w:val="21"/>
              </w:rPr>
            </w:pPr>
            <w:r>
              <w:rPr>
                <w:rFonts w:hint="eastAsia" w:ascii="宋体" w:hAnsi="宋体" w:eastAsia="宋体" w:cs="Times New Roman"/>
                <w:szCs w:val="21"/>
              </w:rPr>
              <w:t>5</w:t>
            </w:r>
          </w:p>
        </w:tc>
        <w:tc>
          <w:tcPr>
            <w:tcW w:w="2268" w:type="dxa"/>
            <w:vAlign w:val="center"/>
          </w:tcPr>
          <w:p>
            <w:pPr>
              <w:spacing w:line="360" w:lineRule="auto"/>
              <w:jc w:val="center"/>
              <w:rPr>
                <w:rFonts w:ascii="宋体" w:hAnsi="宋体" w:eastAsia="宋体" w:cs="Times New Roman"/>
                <w:szCs w:val="21"/>
              </w:rPr>
            </w:pPr>
            <w:r>
              <w:rPr>
                <w:rFonts w:hint="eastAsia" w:ascii="宋体" w:hAnsi="宋体" w:eastAsia="宋体" w:cs="Times New Roman"/>
                <w:szCs w:val="21"/>
              </w:rPr>
              <w:t>主体结顶</w:t>
            </w:r>
          </w:p>
        </w:tc>
        <w:tc>
          <w:tcPr>
            <w:tcW w:w="2268" w:type="dxa"/>
            <w:vAlign w:val="center"/>
          </w:tcPr>
          <w:p>
            <w:pPr>
              <w:spacing w:line="360" w:lineRule="auto"/>
              <w:jc w:val="center"/>
              <w:rPr>
                <w:rFonts w:ascii="宋体" w:hAnsi="宋体" w:eastAsia="宋体" w:cs="Times New Roman"/>
                <w:szCs w:val="21"/>
              </w:rPr>
            </w:pPr>
            <w:r>
              <w:rPr>
                <w:rFonts w:hint="eastAsia" w:ascii="宋体" w:hAnsi="宋体" w:eastAsia="宋体" w:cs="Times New Roman"/>
                <w:szCs w:val="21"/>
              </w:rPr>
              <w:t>竣工预验收</w:t>
            </w:r>
          </w:p>
        </w:tc>
        <w:tc>
          <w:tcPr>
            <w:tcW w:w="4363" w:type="dxa"/>
            <w:vAlign w:val="center"/>
          </w:tcPr>
          <w:p>
            <w:pPr>
              <w:spacing w:line="360" w:lineRule="auto"/>
              <w:jc w:val="center"/>
              <w:rPr>
                <w:rFonts w:ascii="宋体" w:hAnsi="宋体" w:eastAsia="宋体" w:cs="Times New Roman"/>
                <w:szCs w:val="21"/>
              </w:rPr>
            </w:pPr>
            <w:r>
              <w:rPr>
                <w:rFonts w:hint="eastAsia" w:ascii="宋体" w:hAnsi="宋体" w:eastAsia="宋体" w:cs="Times New Roman"/>
                <w:szCs w:val="21"/>
              </w:rPr>
              <w:t>管材（焊接钢管、无缝钢管、铸铁管）、电线电缆、铝合金门窗</w:t>
            </w:r>
          </w:p>
        </w:tc>
      </w:tr>
    </w:tbl>
    <w:p>
      <w:pPr>
        <w:rPr>
          <w:rFonts w:ascii="宋体" w:hAnsi="宋体"/>
          <w:b/>
          <w:bCs/>
          <w:szCs w:val="21"/>
        </w:rPr>
      </w:pPr>
      <w:r>
        <w:rPr>
          <w:rFonts w:hint="eastAsia" w:ascii="宋体" w:hAnsi="宋体" w:eastAsia="宋体" w:cs="Times New Roman"/>
          <w:szCs w:val="21"/>
        </w:rPr>
        <w:t xml:space="preserve"> 注：单体主体结顶分栋分别计算，未列材料不计算动态调整。</w:t>
      </w:r>
    </w:p>
    <w:p>
      <w:pPr>
        <w:pStyle w:val="2"/>
        <w:spacing w:line="360" w:lineRule="auto"/>
        <w:ind w:firstLine="0" w:firstLineChars="0"/>
        <w:rPr>
          <w:rFonts w:cs="宋体" w:asciiTheme="minorEastAsia" w:hAnsiTheme="minorEastAsia"/>
          <w:color w:val="000000"/>
          <w:szCs w:val="21"/>
        </w:rPr>
      </w:pPr>
    </w:p>
    <w:p>
      <w:pPr>
        <w:pStyle w:val="2"/>
        <w:spacing w:line="360" w:lineRule="auto"/>
        <w:ind w:firstLine="0" w:firstLineChars="0"/>
        <w:rPr>
          <w:rFonts w:cs="宋体" w:asciiTheme="minorEastAsia" w:hAnsiTheme="minorEastAsia"/>
          <w:color w:val="000000"/>
          <w:szCs w:val="21"/>
        </w:rPr>
      </w:pPr>
      <w:r>
        <w:rPr>
          <w:rFonts w:hint="eastAsia" w:cs="宋体" w:asciiTheme="minorEastAsia" w:hAnsiTheme="minorEastAsia"/>
          <w:b/>
          <w:color w:val="FF0000"/>
          <w:szCs w:val="21"/>
        </w:rPr>
        <w:t>疑问（八）：</w:t>
      </w:r>
      <w:r>
        <w:rPr>
          <w:rFonts w:hint="eastAsia" w:cs="宋体" w:asciiTheme="minorEastAsia" w:hAnsiTheme="minorEastAsia"/>
          <w:color w:val="000000"/>
          <w:szCs w:val="21"/>
        </w:rPr>
        <w:t>3、根据发布的初步设计资料发现下列设计问题：“一地上部分问题：（1）担架电梯井道尺寸、电梯候梯厅和楼梯平台共用时，平台净深不满足《浙江省住宅设计标准》 DB33/1006-2017 第5.3.2条井道净尺寸≥2.20m×2.20m及第5.3.5条不宜小于2.10m的要求。（2）消防电梯前室尺寸不满足《建筑设计防火规范》 GB 50016-2014（2018年版）第7.3.5条短边不应小于2.4m的要求。（3）厨房的使用面积、三件卫生设备集中配置的卫生间面积不满足《浙江省住宅设计标准》 DB33/1006-2017 第4.3.1条不应小于4㎡及第4.4.2条不应小于2.50㎡的要求。（4）外走廊通道的净尺寸不满足《浙江省住宅设计标准》 DB33/1006-2017 第5.1.7条不应小于1.20m的要求；套内入口过道净宽不满足《浙江省住宅设计标准》 DB33/1006-2017 第4.6.2条不宜小于1.20m的要求；通往卧室、起居室（厅）的过道净宽不满足《住宅设计规范》 GB20096-2011第5.7.1条不应小于1.00m的要求。（5）住宅内天井设置挑板的方向扣除挑板宽度后净尺寸、住宅建筑各层开向天井的门窗洞口距离敞廊不满足浙消〔2020〕166 号 第2.3.18条不小于2m及第2.3.17条不得不小于1.0m的要求。（6）住宅主要房间不满足《浙江省住宅设计标准》 DB33/1006-2017 第6.5.1条应设置安装空调室外机、热水系统机组等设施的设备平台或室外搁板的要求。（7）电梯不得不紧邻兼起居的卧室布置时不满足《浙江省住宅设计标准》 DB33/1006-2017 第5.3.6条应采取隔声、减振构造措施的要求。请问招标人，投标人是否应根据规范标准进行图纸优化调整后，在此基础上进行施工图设计</w:t>
      </w:r>
    </w:p>
    <w:p>
      <w:pPr>
        <w:pStyle w:val="2"/>
        <w:spacing w:line="360" w:lineRule="auto"/>
        <w:ind w:firstLine="0" w:firstLineChars="0"/>
        <w:rPr>
          <w:rFonts w:cs="宋体" w:asciiTheme="minorEastAsia" w:hAnsiTheme="minorEastAsia"/>
          <w:b/>
          <w:color w:val="000000"/>
          <w:szCs w:val="21"/>
        </w:rPr>
      </w:pPr>
      <w:r>
        <w:rPr>
          <w:rFonts w:hint="eastAsia" w:cs="宋体" w:asciiTheme="minorEastAsia" w:hAnsiTheme="minorEastAsia"/>
          <w:b/>
          <w:color w:val="000000"/>
          <w:szCs w:val="21"/>
        </w:rPr>
        <w:t>答:各投标人可自行根据规范及标准调整初步设计后再进行施工图设计为佳，或按发布的原初步设计图纸进行施工图设计皆可。</w:t>
      </w:r>
    </w:p>
    <w:p>
      <w:pPr>
        <w:pStyle w:val="2"/>
        <w:spacing w:line="360" w:lineRule="auto"/>
        <w:ind w:firstLine="0" w:firstLineChars="0"/>
        <w:rPr>
          <w:rFonts w:cs="宋体" w:asciiTheme="minorEastAsia" w:hAnsiTheme="minorEastAsia"/>
          <w:color w:val="000000"/>
          <w:szCs w:val="21"/>
        </w:rPr>
      </w:pPr>
      <w:r>
        <w:rPr>
          <w:rFonts w:hint="eastAsia" w:cs="宋体" w:asciiTheme="minorEastAsia" w:hAnsiTheme="minorEastAsia"/>
          <w:b/>
          <w:color w:val="FF0000"/>
          <w:szCs w:val="21"/>
        </w:rPr>
        <w:t>疑问（九）：</w:t>
      </w:r>
      <w:r>
        <w:rPr>
          <w:rFonts w:hint="eastAsia" w:cs="宋体" w:asciiTheme="minorEastAsia" w:hAnsiTheme="minorEastAsia"/>
          <w:color w:val="000000"/>
          <w:szCs w:val="21"/>
        </w:rPr>
        <w:t>4、根据发布的初步设计资料发现下列设计问题：二、总图部分问题：（1）机动车停车库出入口的坡道终点面向基地内部道路时，停车库出入口坡道终点距基地内部道路边线的距离不满足《浙江省城市建筑工程停车场（库）设置规则和配建标准》 DB33/1021-2013 第4.3.2条不得小于6m的要求。（2）社区配套用房南侧机动车停车道路转弯内侧缘石半径不满足《浙江省城市建筑工程停车场（库）设置规则和配建标准》 DB33/1021-2013 第4.2.1条不应小于5.0米的要求。（3）地面停车不满足《浙江省城市建筑工程停车场（库）设置规则和配建标准》 DB33/1021-2013 第4.4.10条停车场(库)内尽端式通道长度大于26米时，应满足回车条件的要求。三、地下室部分问题：（1）汽车坡道U型掉头不满足《浙江省城市建筑工程停车场（库）设置规则和配建标准》 DB33/1021-2013 第4.2.7条U型流线的通道边线应大于或等于6米的要求。（2）汽车库内配建的分散充电设施不满足《电动汽车分散充电设施工程技术标准》 GB/T51313-2018第6.1.5条应设置独立的防火单元的要求。（3）汽车库内尽端车道长度大于26米时不满足《浙江省城市建筑工程停车场（库）设置规则和配建标准》 DB33/1021-2013 第4.4.10条应满足回车条件的要求。（4）汽车库内车道转弯处不满足《浙江省城市建筑工程停车场（库）设置规则和配建标准》 DB33/1021-2013 第4.2.7条应保证视线通透，满足有关安全视距三角形的要求。（5）靠墙车位不满足《浙江省城市建筑工程停车场（库）设置规则和配建标准》 DB33/1021-2013 第4.4.6条的停车场（库）内车辆与车辆之间、车辆与其它物体之间的纵、横向净距不应小于表格要求。请问招标人，投标人是否应根据规范标准进行图纸优化调整后，在此基础上进行施工图设计？</w:t>
      </w:r>
    </w:p>
    <w:p>
      <w:pPr>
        <w:pStyle w:val="2"/>
        <w:spacing w:line="360" w:lineRule="auto"/>
        <w:ind w:firstLine="0" w:firstLineChars="0"/>
        <w:rPr>
          <w:rFonts w:cs="宋体" w:asciiTheme="minorEastAsia" w:hAnsiTheme="minorEastAsia"/>
          <w:b/>
          <w:color w:val="000000"/>
          <w:szCs w:val="21"/>
        </w:rPr>
      </w:pPr>
      <w:r>
        <w:rPr>
          <w:rFonts w:hint="eastAsia" w:cs="宋体" w:asciiTheme="minorEastAsia" w:hAnsiTheme="minorEastAsia"/>
          <w:b/>
          <w:color w:val="000000"/>
          <w:szCs w:val="21"/>
        </w:rPr>
        <w:t>答:各投标人可自行根据规范及标准调整初步设计后再进行施工图设计为佳，或按发布的原初步设计图纸进行施工图设计皆可。</w:t>
      </w:r>
    </w:p>
    <w:p>
      <w:pPr>
        <w:pStyle w:val="2"/>
        <w:spacing w:line="360" w:lineRule="auto"/>
        <w:ind w:firstLine="210"/>
        <w:rPr>
          <w:rFonts w:cs="宋体" w:asciiTheme="minorEastAsia" w:hAnsiTheme="minorEastAsia"/>
          <w:color w:val="000000"/>
          <w:szCs w:val="21"/>
        </w:rPr>
      </w:pPr>
    </w:p>
    <w:p>
      <w:pPr>
        <w:pStyle w:val="2"/>
        <w:spacing w:line="360" w:lineRule="auto"/>
        <w:ind w:firstLine="0" w:firstLineChars="0"/>
        <w:rPr>
          <w:rFonts w:cs="宋体" w:asciiTheme="minorEastAsia" w:hAnsiTheme="minorEastAsia"/>
          <w:color w:val="000000"/>
          <w:szCs w:val="21"/>
        </w:rPr>
      </w:pPr>
      <w:r>
        <w:rPr>
          <w:rFonts w:hint="eastAsia" w:cs="宋体" w:asciiTheme="minorEastAsia" w:hAnsiTheme="minorEastAsia"/>
          <w:b/>
          <w:color w:val="FF0000"/>
          <w:szCs w:val="21"/>
        </w:rPr>
        <w:t>疑问（十）：</w:t>
      </w:r>
      <w:r>
        <w:rPr>
          <w:rFonts w:hint="eastAsia" w:cs="宋体" w:asciiTheme="minorEastAsia" w:hAnsiTheme="minorEastAsia"/>
          <w:color w:val="000000"/>
          <w:szCs w:val="21"/>
        </w:rPr>
        <w:t>5、招标文件“附表3 项目部人员配备情况”表中约定“1、我单位拟派本工程的项目总负责人、设计负责人、设计人员均已列入本表；2、我方保证标后组建的项目部人员满足招标项目设计、施工班组需求。”。是否可以理解为在编制投标文件时仅要求配备项目总负责人、设计负责人、施工负责人、设计人员并附上相关证书复印件，开标时提供表中人员相关证书原件即可。其他项目部人员在投标时不作要求。</w:t>
      </w:r>
      <w:r>
        <w:rPr>
          <w:rFonts w:hint="eastAsia" w:cs="宋体" w:asciiTheme="minorEastAsia" w:hAnsiTheme="minorEastAsia"/>
          <w:color w:val="000000"/>
          <w:szCs w:val="21"/>
        </w:rPr>
        <w:br w:type="textWrapping"/>
      </w:r>
      <w:r>
        <w:rPr>
          <w:rFonts w:hint="eastAsia" w:cs="宋体" w:asciiTheme="minorEastAsia" w:hAnsiTheme="minorEastAsia"/>
          <w:color w:val="000000"/>
          <w:szCs w:val="21"/>
        </w:rPr>
        <w:t>6、拟配备的项目总负责人、设计负责人、施工负责人、设计人员应提供的原件是否仅包括注册证、职称证、B证、社保证明即可？</w:t>
      </w:r>
      <w:r>
        <w:rPr>
          <w:rFonts w:hint="eastAsia" w:cs="宋体" w:asciiTheme="minorEastAsia" w:hAnsiTheme="minorEastAsia"/>
          <w:color w:val="000000"/>
          <w:szCs w:val="21"/>
        </w:rPr>
        <w:br w:type="textWrapping"/>
      </w:r>
      <w:r>
        <w:rPr>
          <w:rFonts w:hint="eastAsia" w:cs="宋体" w:asciiTheme="minorEastAsia" w:hAnsiTheme="minorEastAsia"/>
          <w:color w:val="000000"/>
          <w:szCs w:val="21"/>
        </w:rPr>
        <w:t>7、本项目技术标是否允许分册装订？</w:t>
      </w:r>
      <w:r>
        <w:rPr>
          <w:rFonts w:hint="eastAsia" w:cs="宋体" w:asciiTheme="minorEastAsia" w:hAnsiTheme="minorEastAsia"/>
          <w:color w:val="000000"/>
          <w:szCs w:val="21"/>
        </w:rPr>
        <w:br w:type="textWrapping"/>
      </w:r>
      <w:r>
        <w:rPr>
          <w:rFonts w:hint="eastAsia" w:cs="宋体" w:asciiTheme="minorEastAsia" w:hAnsiTheme="minorEastAsia"/>
          <w:color w:val="000000"/>
          <w:szCs w:val="21"/>
        </w:rPr>
        <w:t>8、招标文件P22页，3.1.2资信评分，投标人的类似业绩要求：业绩证明材料要求提供②工程竣工验收备案表。请问提供经备案机关盖章的工程竣工验收备案证明书是否予以认可？</w:t>
      </w:r>
    </w:p>
    <w:p>
      <w:pPr>
        <w:pStyle w:val="2"/>
        <w:spacing w:line="360" w:lineRule="auto"/>
        <w:ind w:firstLine="0" w:firstLineChars="0"/>
        <w:rPr>
          <w:rFonts w:cs="宋体" w:asciiTheme="minorEastAsia" w:hAnsiTheme="minorEastAsia"/>
          <w:b/>
          <w:color w:val="000000"/>
          <w:szCs w:val="21"/>
        </w:rPr>
      </w:pPr>
      <w:r>
        <w:rPr>
          <w:rFonts w:hint="eastAsia" w:cs="宋体" w:asciiTheme="minorEastAsia" w:hAnsiTheme="minorEastAsia"/>
          <w:b/>
          <w:color w:val="000000"/>
          <w:szCs w:val="21"/>
        </w:rPr>
        <w:t>答:</w:t>
      </w:r>
      <w:r>
        <w:rPr>
          <w:rFonts w:cs="宋体" w:asciiTheme="minorEastAsia" w:hAnsiTheme="minorEastAsia"/>
          <w:b/>
          <w:color w:val="000000"/>
          <w:szCs w:val="21"/>
        </w:rPr>
        <w:t>5</w:t>
      </w:r>
      <w:r>
        <w:rPr>
          <w:rFonts w:hint="eastAsia" w:cs="宋体" w:asciiTheme="minorEastAsia" w:hAnsiTheme="minorEastAsia"/>
          <w:b/>
          <w:color w:val="000000"/>
          <w:szCs w:val="21"/>
        </w:rPr>
        <w:t>、是，原件要求按疑问（一）回复要求；6、按照招标文件要求提供，</w:t>
      </w:r>
      <w:r>
        <w:rPr>
          <w:rFonts w:hint="eastAsia" w:cs="宋体" w:asciiTheme="minorEastAsia" w:hAnsiTheme="minorEastAsia"/>
          <w:b/>
          <w:color w:val="000000"/>
          <w:szCs w:val="21"/>
        </w:rPr>
        <w:t>原件要求按疑问（一）回复要求；7、允许分册；8、予以认可。</w:t>
      </w:r>
    </w:p>
    <w:p>
      <w:pPr>
        <w:pStyle w:val="2"/>
        <w:ind w:firstLine="210"/>
      </w:pPr>
    </w:p>
    <w:p>
      <w:pPr>
        <w:rPr>
          <w:rFonts w:asciiTheme="minorEastAsia" w:hAnsiTheme="minorEastAsia"/>
          <w:b/>
          <w:szCs w:val="21"/>
        </w:rPr>
      </w:pPr>
      <w:r>
        <w:rPr>
          <w:rFonts w:asciiTheme="minorEastAsia" w:hAnsiTheme="minorEastAsia"/>
          <w:b/>
          <w:szCs w:val="21"/>
        </w:rPr>
        <w:t>本</w:t>
      </w:r>
      <w:r>
        <w:rPr>
          <w:rFonts w:hint="eastAsia" w:asciiTheme="minorEastAsia" w:hAnsiTheme="minorEastAsia"/>
          <w:b/>
          <w:szCs w:val="21"/>
        </w:rPr>
        <w:t>答疑</w:t>
      </w:r>
      <w:r>
        <w:rPr>
          <w:rFonts w:asciiTheme="minorEastAsia" w:hAnsiTheme="minorEastAsia"/>
          <w:b/>
          <w:szCs w:val="21"/>
        </w:rPr>
        <w:t>文件作为招标文件的组成部分，与招标文件有不一致之处，以本文件为准</w:t>
      </w:r>
      <w:r>
        <w:rPr>
          <w:rFonts w:hint="eastAsia" w:asciiTheme="minorEastAsia" w:hAnsiTheme="minorEastAsia"/>
          <w:b/>
          <w:szCs w:val="21"/>
        </w:rPr>
        <w:t>。</w:t>
      </w:r>
    </w:p>
    <w:p>
      <w:pPr>
        <w:pStyle w:val="2"/>
        <w:ind w:firstLine="211"/>
        <w:rPr>
          <w:rFonts w:asciiTheme="minorEastAsia" w:hAnsiTheme="minorEastAsia"/>
          <w:b/>
          <w:szCs w:val="21"/>
        </w:rPr>
      </w:pPr>
    </w:p>
    <w:p>
      <w:pPr>
        <w:pStyle w:val="2"/>
        <w:ind w:firstLine="211"/>
        <w:rPr>
          <w:rFonts w:asciiTheme="minorEastAsia" w:hAnsiTheme="minorEastAsia"/>
          <w:b/>
          <w:szCs w:val="21"/>
        </w:rPr>
      </w:pPr>
    </w:p>
    <w:p>
      <w:pPr>
        <w:widowControl/>
        <w:adjustRightInd w:val="0"/>
        <w:snapToGrid w:val="0"/>
        <w:ind w:firstLine="440" w:firstLineChars="200"/>
        <w:jc w:val="right"/>
        <w:rPr>
          <w:rFonts w:ascii="宋体" w:hAnsi="宋体" w:eastAsia="微软雅黑" w:cs="宋体"/>
          <w:color w:val="000000"/>
          <w:kern w:val="0"/>
          <w:sz w:val="22"/>
          <w:szCs w:val="21"/>
        </w:rPr>
      </w:pPr>
    </w:p>
    <w:p>
      <w:pPr>
        <w:widowControl/>
        <w:adjustRightInd w:val="0"/>
        <w:snapToGrid w:val="0"/>
        <w:ind w:firstLine="440" w:firstLineChars="200"/>
        <w:jc w:val="right"/>
        <w:rPr>
          <w:rFonts w:ascii="宋体" w:hAnsi="宋体" w:eastAsia="微软雅黑" w:cs="宋体"/>
          <w:color w:val="000000"/>
          <w:kern w:val="0"/>
          <w:sz w:val="22"/>
          <w:szCs w:val="21"/>
        </w:rPr>
      </w:pPr>
      <w:bookmarkStart w:id="0" w:name="_GoBack"/>
      <w:bookmarkEnd w:id="0"/>
    </w:p>
    <w:p>
      <w:pPr>
        <w:widowControl/>
        <w:adjustRightInd w:val="0"/>
        <w:snapToGrid w:val="0"/>
        <w:ind w:firstLine="420" w:firstLineChars="200"/>
        <w:jc w:val="right"/>
        <w:rPr>
          <w:rFonts w:ascii="宋体" w:hAnsi="宋体" w:cs="宋体"/>
        </w:rPr>
      </w:pPr>
    </w:p>
    <w:p>
      <w:pPr>
        <w:widowControl/>
        <w:adjustRightInd w:val="0"/>
        <w:snapToGrid w:val="0"/>
        <w:ind w:firstLine="420" w:firstLineChars="200"/>
        <w:jc w:val="right"/>
        <w:rPr>
          <w:rFonts w:ascii="宋体" w:hAnsi="宋体" w:cs="宋体"/>
        </w:rPr>
      </w:pPr>
    </w:p>
    <w:p>
      <w:pPr>
        <w:widowControl/>
        <w:adjustRightInd w:val="0"/>
        <w:snapToGrid w:val="0"/>
        <w:ind w:firstLine="420" w:firstLineChars="200"/>
        <w:jc w:val="right"/>
        <w:rPr>
          <w:rFonts w:ascii="宋体" w:hAnsi="宋体" w:cs="宋体"/>
        </w:rPr>
      </w:pPr>
    </w:p>
    <w:p>
      <w:pPr>
        <w:widowControl/>
        <w:adjustRightInd w:val="0"/>
        <w:snapToGrid w:val="0"/>
        <w:ind w:firstLine="420" w:firstLineChars="200"/>
        <w:jc w:val="right"/>
        <w:rPr>
          <w:rFonts w:ascii="宋体" w:hAnsi="宋体" w:cs="宋体"/>
        </w:rPr>
      </w:pPr>
      <w:r>
        <w:rPr>
          <w:rFonts w:hint="eastAsia" w:ascii="宋体" w:hAnsi="宋体" w:cs="宋体"/>
        </w:rPr>
        <w:t>平阳县万全新农村建设投资有限公司</w:t>
      </w:r>
    </w:p>
    <w:p>
      <w:pPr>
        <w:widowControl/>
        <w:adjustRightInd w:val="0"/>
        <w:snapToGrid w:val="0"/>
        <w:ind w:firstLine="420" w:firstLineChars="200"/>
        <w:jc w:val="right"/>
        <w:rPr>
          <w:rFonts w:ascii="宋体" w:hAnsi="宋体" w:eastAsia="微软雅黑" w:cs="宋体"/>
          <w:color w:val="000000"/>
          <w:kern w:val="0"/>
          <w:sz w:val="22"/>
          <w:szCs w:val="21"/>
        </w:rPr>
      </w:pPr>
      <w:r>
        <w:rPr>
          <w:rFonts w:hint="eastAsia" w:ascii="宋体" w:hAnsi="宋体" w:cs="宋体"/>
        </w:rPr>
        <w:t>浙江之信工程项目管理有限公司</w:t>
      </w:r>
    </w:p>
    <w:p>
      <w:pPr>
        <w:pStyle w:val="2"/>
        <w:ind w:firstLine="220"/>
        <w:jc w:val="right"/>
        <w:rPr>
          <w:rFonts w:ascii="宋体" w:hAnsi="宋体" w:eastAsia="微软雅黑" w:cs="宋体"/>
          <w:color w:val="000000"/>
          <w:kern w:val="0"/>
          <w:sz w:val="22"/>
          <w:szCs w:val="21"/>
        </w:rPr>
      </w:pPr>
      <w:r>
        <w:rPr>
          <w:rFonts w:hint="eastAsia" w:ascii="宋体" w:hAnsi="宋体" w:eastAsia="微软雅黑" w:cs="宋体"/>
          <w:color w:val="000000"/>
          <w:kern w:val="0"/>
          <w:sz w:val="22"/>
          <w:szCs w:val="21"/>
        </w:rPr>
        <w:t>2022年5月11日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monospace">
    <w:altName w:val="Segoe Print"/>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swiss"/>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M2N2M2YTI0MTI2MjMzNzQ5MzlkMDIwMjMyZmQ1MGMifQ=="/>
  </w:docVars>
  <w:rsids>
    <w:rsidRoot w:val="13CA4882"/>
    <w:rsid w:val="00090CFF"/>
    <w:rsid w:val="00200242"/>
    <w:rsid w:val="00295182"/>
    <w:rsid w:val="003E0393"/>
    <w:rsid w:val="004037CB"/>
    <w:rsid w:val="004C6730"/>
    <w:rsid w:val="005065B4"/>
    <w:rsid w:val="00527468"/>
    <w:rsid w:val="006A38D5"/>
    <w:rsid w:val="006C38C5"/>
    <w:rsid w:val="0071237C"/>
    <w:rsid w:val="007926E3"/>
    <w:rsid w:val="008D35F8"/>
    <w:rsid w:val="009D40BB"/>
    <w:rsid w:val="00A261C9"/>
    <w:rsid w:val="00A57B7E"/>
    <w:rsid w:val="00AA5DFB"/>
    <w:rsid w:val="00B06732"/>
    <w:rsid w:val="00B63AE2"/>
    <w:rsid w:val="00BD05B4"/>
    <w:rsid w:val="00BF28C7"/>
    <w:rsid w:val="00C86D2D"/>
    <w:rsid w:val="00CF78C3"/>
    <w:rsid w:val="00D72423"/>
    <w:rsid w:val="00DB056A"/>
    <w:rsid w:val="00DE4850"/>
    <w:rsid w:val="00E042C1"/>
    <w:rsid w:val="00E07D18"/>
    <w:rsid w:val="00ED751F"/>
    <w:rsid w:val="00FE1B01"/>
    <w:rsid w:val="10D21C6C"/>
    <w:rsid w:val="10FF457A"/>
    <w:rsid w:val="13CA4882"/>
    <w:rsid w:val="234B705C"/>
    <w:rsid w:val="41F82970"/>
    <w:rsid w:val="55863330"/>
    <w:rsid w:val="570927EF"/>
    <w:rsid w:val="66575823"/>
    <w:rsid w:val="67006ED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qFormat="1"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qFormat="1" w:unhideWhenUsed="0" w:uiPriority="0" w:semiHidden="0" w:name="HTML Acronym"/>
    <w:lsdException w:uiPriority="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iPriority="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qFormat/>
    <w:uiPriority w:val="0"/>
    <w:pPr>
      <w:ind w:firstLine="420" w:firstLineChars="100"/>
    </w:pPr>
  </w:style>
  <w:style w:type="paragraph" w:styleId="3">
    <w:name w:val="Body Text"/>
    <w:basedOn w:val="1"/>
    <w:next w:val="2"/>
    <w:qFormat/>
    <w:uiPriority w:val="0"/>
    <w:pPr>
      <w:spacing w:after="120"/>
    </w:pPr>
  </w:style>
  <w:style w:type="paragraph" w:styleId="4">
    <w:name w:val="Balloon Text"/>
    <w:basedOn w:val="1"/>
    <w:link w:val="21"/>
    <w:qFormat/>
    <w:uiPriority w:val="0"/>
    <w:rPr>
      <w:sz w:val="18"/>
      <w:szCs w:val="18"/>
    </w:rPr>
  </w:style>
  <w:style w:type="paragraph" w:styleId="5">
    <w:name w:val="footer"/>
    <w:basedOn w:val="1"/>
    <w:link w:val="23"/>
    <w:qFormat/>
    <w:uiPriority w:val="0"/>
    <w:pPr>
      <w:tabs>
        <w:tab w:val="center" w:pos="4153"/>
        <w:tab w:val="right" w:pos="8306"/>
      </w:tabs>
      <w:snapToGrid w:val="0"/>
      <w:jc w:val="left"/>
    </w:pPr>
    <w:rPr>
      <w:sz w:val="18"/>
      <w:szCs w:val="18"/>
    </w:rPr>
  </w:style>
  <w:style w:type="paragraph" w:styleId="6">
    <w:name w:val="header"/>
    <w:basedOn w:val="1"/>
    <w:link w:val="22"/>
    <w:qFormat/>
    <w:uiPriority w:val="0"/>
    <w:pPr>
      <w:pBdr>
        <w:bottom w:val="single" w:color="auto" w:sz="6" w:space="1"/>
      </w:pBdr>
      <w:tabs>
        <w:tab w:val="center" w:pos="4153"/>
        <w:tab w:val="right" w:pos="8306"/>
      </w:tabs>
      <w:snapToGrid w:val="0"/>
      <w:jc w:val="center"/>
    </w:pPr>
    <w:rPr>
      <w:sz w:val="18"/>
      <w:szCs w:val="18"/>
    </w:rPr>
  </w:style>
  <w:style w:type="character" w:styleId="9">
    <w:name w:val="Strong"/>
    <w:basedOn w:val="8"/>
    <w:qFormat/>
    <w:uiPriority w:val="0"/>
  </w:style>
  <w:style w:type="character" w:styleId="10">
    <w:name w:val="FollowedHyperlink"/>
    <w:basedOn w:val="8"/>
    <w:qFormat/>
    <w:uiPriority w:val="0"/>
    <w:rPr>
      <w:color w:val="4A4A4A"/>
      <w:u w:val="none"/>
    </w:rPr>
  </w:style>
  <w:style w:type="character" w:styleId="11">
    <w:name w:val="Emphasis"/>
    <w:basedOn w:val="8"/>
    <w:qFormat/>
    <w:uiPriority w:val="0"/>
  </w:style>
  <w:style w:type="character" w:styleId="12">
    <w:name w:val="HTML Definition"/>
    <w:basedOn w:val="8"/>
    <w:qFormat/>
    <w:uiPriority w:val="0"/>
  </w:style>
  <w:style w:type="character" w:styleId="13">
    <w:name w:val="HTML Typewriter"/>
    <w:basedOn w:val="8"/>
    <w:qFormat/>
    <w:uiPriority w:val="0"/>
    <w:rPr>
      <w:rFonts w:hint="default" w:ascii="monospace" w:hAnsi="monospace" w:eastAsia="monospace" w:cs="monospace"/>
      <w:sz w:val="20"/>
    </w:rPr>
  </w:style>
  <w:style w:type="character" w:styleId="14">
    <w:name w:val="HTML Acronym"/>
    <w:basedOn w:val="8"/>
    <w:qFormat/>
    <w:uiPriority w:val="0"/>
  </w:style>
  <w:style w:type="character" w:styleId="15">
    <w:name w:val="HTML Variable"/>
    <w:basedOn w:val="8"/>
    <w:qFormat/>
    <w:uiPriority w:val="0"/>
  </w:style>
  <w:style w:type="character" w:styleId="16">
    <w:name w:val="Hyperlink"/>
    <w:basedOn w:val="8"/>
    <w:qFormat/>
    <w:uiPriority w:val="0"/>
    <w:rPr>
      <w:color w:val="4A4A4A"/>
      <w:u w:val="none"/>
    </w:rPr>
  </w:style>
  <w:style w:type="character" w:styleId="17">
    <w:name w:val="HTML Code"/>
    <w:basedOn w:val="8"/>
    <w:qFormat/>
    <w:uiPriority w:val="0"/>
    <w:rPr>
      <w:rFonts w:hint="default" w:ascii="monospace" w:hAnsi="monospace" w:eastAsia="monospace" w:cs="monospace"/>
      <w:sz w:val="20"/>
    </w:rPr>
  </w:style>
  <w:style w:type="character" w:styleId="18">
    <w:name w:val="HTML Cite"/>
    <w:basedOn w:val="8"/>
    <w:qFormat/>
    <w:uiPriority w:val="0"/>
  </w:style>
  <w:style w:type="character" w:styleId="19">
    <w:name w:val="HTML Keyboard"/>
    <w:basedOn w:val="8"/>
    <w:qFormat/>
    <w:uiPriority w:val="0"/>
    <w:rPr>
      <w:rFonts w:ascii="monospace" w:hAnsi="monospace" w:eastAsia="monospace" w:cs="monospace"/>
      <w:sz w:val="20"/>
    </w:rPr>
  </w:style>
  <w:style w:type="character" w:styleId="20">
    <w:name w:val="HTML Sample"/>
    <w:basedOn w:val="8"/>
    <w:qFormat/>
    <w:uiPriority w:val="0"/>
    <w:rPr>
      <w:rFonts w:hint="default" w:ascii="monospace" w:hAnsi="monospace" w:eastAsia="monospace" w:cs="monospace"/>
    </w:rPr>
  </w:style>
  <w:style w:type="character" w:customStyle="1" w:styleId="21">
    <w:name w:val="批注框文本 Char"/>
    <w:basedOn w:val="8"/>
    <w:link w:val="4"/>
    <w:qFormat/>
    <w:uiPriority w:val="0"/>
    <w:rPr>
      <w:rFonts w:asciiTheme="minorHAnsi" w:hAnsiTheme="minorHAnsi" w:eastAsiaTheme="minorEastAsia" w:cstheme="minorBidi"/>
      <w:kern w:val="2"/>
      <w:sz w:val="18"/>
      <w:szCs w:val="18"/>
    </w:rPr>
  </w:style>
  <w:style w:type="character" w:customStyle="1" w:styleId="22">
    <w:name w:val="页眉 Char"/>
    <w:basedOn w:val="8"/>
    <w:link w:val="6"/>
    <w:qFormat/>
    <w:uiPriority w:val="0"/>
    <w:rPr>
      <w:rFonts w:asciiTheme="minorHAnsi" w:hAnsiTheme="minorHAnsi" w:eastAsiaTheme="minorEastAsia" w:cstheme="minorBidi"/>
      <w:kern w:val="2"/>
      <w:sz w:val="18"/>
      <w:szCs w:val="18"/>
    </w:rPr>
  </w:style>
  <w:style w:type="character" w:customStyle="1" w:styleId="23">
    <w:name w:val="页脚 Char"/>
    <w:basedOn w:val="8"/>
    <w:link w:val="5"/>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4452</Words>
  <Characters>4893</Characters>
  <Lines>35</Lines>
  <Paragraphs>10</Paragraphs>
  <TotalTime>0</TotalTime>
  <ScaleCrop>false</ScaleCrop>
  <LinksUpToDate>false</LinksUpToDate>
  <CharactersWithSpaces>4936</CharactersWithSpaces>
  <Application>WPS Office_11.1.0.11636_F1E327BC-269C-435d-A152-05C5408002CA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2021-09-26T03:36:00Z</dcterms:created>
  <dc:creator>lenovo</dc:creator>
  <cp:lastModifiedBy>大树</cp:lastModifiedBy>
  <cp:lastPrinted>2021-10-18T07:30:00Z</cp:lastPrinted>
  <dcterms:modified xsi:type="dcterms:W3CDTF">2022-05-12T01:25:49Z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ICV">
    <vt:lpwstr>A5FE9103C992466294AE31FA09166599</vt:lpwstr>
  </property>
</Properties>
</file>