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49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2117"/>
        <w:gridCol w:w="1283"/>
        <w:gridCol w:w="817"/>
        <w:gridCol w:w="767"/>
        <w:gridCol w:w="800"/>
        <w:gridCol w:w="883"/>
        <w:gridCol w:w="783"/>
        <w:gridCol w:w="717"/>
        <w:gridCol w:w="850"/>
        <w:gridCol w:w="733"/>
        <w:gridCol w:w="650"/>
        <w:gridCol w:w="817"/>
        <w:gridCol w:w="933"/>
        <w:gridCol w:w="711"/>
        <w:gridCol w:w="143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49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甬台温高速鳌江互通至 218省道连接线工程(港站城大道鳌江互通至动车站段工程)设计施工总承包评审综合记录表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49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开标地点：平阳县公共资源交易中心                                                                开标时间： 2023年2月23日09:30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投标人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投标报价（元）</w:t>
            </w:r>
          </w:p>
        </w:tc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专家一</w:t>
            </w:r>
          </w:p>
        </w:tc>
        <w:tc>
          <w:tcPr>
            <w:tcW w:w="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专家二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专家三</w:t>
            </w:r>
          </w:p>
        </w:tc>
        <w:tc>
          <w:tcPr>
            <w:tcW w:w="8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专家四</w:t>
            </w:r>
          </w:p>
        </w:tc>
        <w:tc>
          <w:tcPr>
            <w:tcW w:w="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专家五</w:t>
            </w:r>
          </w:p>
        </w:tc>
        <w:tc>
          <w:tcPr>
            <w:tcW w:w="7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专家六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专家七</w:t>
            </w:r>
          </w:p>
        </w:tc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专家八</w:t>
            </w:r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专家九</w:t>
            </w:r>
          </w:p>
        </w:tc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技术得分（去高去低）</w:t>
            </w:r>
          </w:p>
        </w:tc>
        <w:tc>
          <w:tcPr>
            <w:tcW w:w="9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资信及其他因素得分</w:t>
            </w:r>
          </w:p>
        </w:tc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商务得分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综合得分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(资信+技术+商务)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中铁六局集团有限公司（联合体成员：中交公路规划设计院有限公司）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455781110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30.7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31.2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31.2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32.3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30.1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54.54 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浙江正方交通建设有限公司（联合体成员：辽宁省交通规划设计院有限责任公司）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456706553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30.8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30.8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31.7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31.2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33.8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29.5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31.2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30.7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31.20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2.00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54.43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87.63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/>
                <w:b/>
                <w:bCs/>
                <w:sz w:val="24"/>
                <w:szCs w:val="28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中铁七局集团有限公司（联合体成员：浙江八达隧道工程股份有限公司、苏交科集团股份有限公司）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453429598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34.7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33.8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33.8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32.3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34.1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54.82 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中铁一局集团有限公司（联合体成员：安徽省交通规划设计研究总院股份有限公司）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452542057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33.7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32.8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34.3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33.5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32.4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28.4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32.79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54.93 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92.22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A值</w:t>
            </w:r>
          </w:p>
        </w:tc>
        <w:tc>
          <w:tcPr>
            <w:tcW w:w="12183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技术分占比</w:t>
            </w:r>
          </w:p>
        </w:tc>
        <w:tc>
          <w:tcPr>
            <w:tcW w:w="12183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B值</w:t>
            </w:r>
          </w:p>
        </w:tc>
        <w:tc>
          <w:tcPr>
            <w:tcW w:w="12183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4.5%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资信及其他因素分占比</w:t>
            </w:r>
          </w:p>
        </w:tc>
        <w:tc>
          <w:tcPr>
            <w:tcW w:w="12183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C值</w:t>
            </w:r>
          </w:p>
        </w:tc>
        <w:tc>
          <w:tcPr>
            <w:tcW w:w="12183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60%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商务分占比</w:t>
            </w:r>
          </w:p>
        </w:tc>
        <w:tc>
          <w:tcPr>
            <w:tcW w:w="12183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评标基准价（元）</w:t>
            </w:r>
          </w:p>
        </w:tc>
        <w:tc>
          <w:tcPr>
            <w:tcW w:w="1218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410897082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最高限价</w:t>
            </w:r>
          </w:p>
        </w:tc>
        <w:tc>
          <w:tcPr>
            <w:tcW w:w="1218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本项目最高限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  <w:t>价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>46272.1939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万元（其中工程费用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>46023.4284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万元、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  <w:t>勘察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设计费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>248.7655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万元）</w:t>
            </w:r>
          </w:p>
        </w:tc>
      </w:tr>
    </w:tbl>
    <w:p/>
    <w:sectPr>
      <w:pgSz w:w="16840" w:h="11910" w:orient="landscape"/>
      <w:pgMar w:top="1200" w:right="1582" w:bottom="1180" w:left="278" w:header="720" w:footer="72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B06F41"/>
    <w:rsid w:val="320C3F3C"/>
    <w:rsid w:val="53CA0EB4"/>
    <w:rsid w:val="5439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1"/>
    <w:pPr>
      <w:ind w:left="1300"/>
    </w:pPr>
    <w:rPr>
      <w:sz w:val="21"/>
      <w:szCs w:val="21"/>
    </w:rPr>
  </w:style>
  <w:style w:type="paragraph" w:styleId="4">
    <w:name w:val="toc 6"/>
    <w:basedOn w:val="1"/>
    <w:next w:val="1"/>
    <w:unhideWhenUsed/>
    <w:uiPriority w:val="39"/>
    <w:pPr>
      <w:ind w:left="2100" w:leftChars="10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2022-02-12T07:05:00Z</dcterms:created>
  <dc:creator>Administrator</dc:creator>
  <cp:lastModifiedBy>NTKO</cp:lastModifiedBy>
  <dcterms:modified xsi:type="dcterms:W3CDTF">2023-02-23T12:12:54Z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