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5"/>
      </w:tblGrid>
      <w:tr w14:paraId="1A115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66" w:hRule="atLeast"/>
        </w:trPr>
        <w:tc>
          <w:tcPr>
            <w:tcW w:w="9025" w:type="dxa"/>
            <w:vAlign w:val="top"/>
          </w:tcPr>
          <w:p w14:paraId="2E4A7AC0">
            <w:pPr>
              <w:tabs>
                <w:tab w:val="left" w:pos="6477"/>
              </w:tabs>
              <w:jc w:val="center"/>
              <w:rPr>
                <w:rFonts w:ascii="宋体" w:hAnsi="宋体"/>
                <w:b/>
                <w:color w:val="auto"/>
                <w:sz w:val="36"/>
                <w:highlight w:val="none"/>
              </w:rPr>
            </w:pPr>
            <w:bookmarkStart w:id="0" w:name="OLE_LINK2"/>
            <w:bookmarkStart w:id="1" w:name="OLE_LINK3"/>
            <w:bookmarkStart w:id="2" w:name="OLE_LINK1"/>
          </w:p>
          <w:p w14:paraId="0EE74A60">
            <w:pPr>
              <w:jc w:val="center"/>
              <w:rPr>
                <w:rFonts w:hint="eastAsia" w:ascii="宋体" w:hAnsi="宋体"/>
                <w:color w:val="auto"/>
                <w:sz w:val="84"/>
                <w:szCs w:val="84"/>
                <w:highlight w:val="none"/>
              </w:rPr>
            </w:pPr>
            <w:r>
              <w:rPr>
                <w:rFonts w:hint="eastAsia" w:ascii="宋体" w:hAnsi="宋体"/>
                <w:color w:val="auto"/>
                <w:sz w:val="84"/>
                <w:szCs w:val="84"/>
                <w:highlight w:val="none"/>
              </w:rPr>
              <w:t>平  阳  县</w:t>
            </w:r>
          </w:p>
          <w:p w14:paraId="6C7AB52B">
            <w:pPr>
              <w:jc w:val="center"/>
              <w:rPr>
                <w:rFonts w:hint="eastAsia" w:ascii="宋体" w:hAnsi="宋体"/>
                <w:color w:val="auto"/>
                <w:sz w:val="84"/>
                <w:szCs w:val="84"/>
                <w:highlight w:val="none"/>
              </w:rPr>
            </w:pPr>
            <w:r>
              <w:rPr>
                <w:rFonts w:hint="eastAsia" w:ascii="宋体" w:hAnsi="宋体"/>
                <w:color w:val="auto"/>
                <w:sz w:val="84"/>
                <w:szCs w:val="84"/>
                <w:highlight w:val="none"/>
              </w:rPr>
              <w:t>国有企业采购招标文件</w:t>
            </w:r>
          </w:p>
          <w:p w14:paraId="0C2543DA">
            <w:pPr>
              <w:spacing w:line="440" w:lineRule="exact"/>
              <w:ind w:left="1148" w:firstLine="1968" w:firstLineChars="700"/>
              <w:rPr>
                <w:rFonts w:hint="eastAsia" w:ascii="宋体" w:hAnsi="宋体"/>
                <w:b/>
                <w:bCs/>
                <w:color w:val="auto"/>
                <w:sz w:val="28"/>
                <w:highlight w:val="none"/>
              </w:rPr>
            </w:pPr>
            <w:r>
              <w:rPr>
                <w:rFonts w:hint="eastAsia" w:ascii="宋体" w:hAnsi="宋体"/>
                <w:b/>
                <w:bCs/>
                <w:color w:val="auto"/>
                <w:sz w:val="28"/>
                <w:highlight w:val="none"/>
              </w:rPr>
              <w:t>（线上电子招投标）</w:t>
            </w:r>
          </w:p>
          <w:p w14:paraId="53BFB75B">
            <w:pPr>
              <w:widowControl/>
              <w:tabs>
                <w:tab w:val="left" w:pos="2019"/>
              </w:tabs>
              <w:rPr>
                <w:rFonts w:hint="eastAsia" w:ascii="宋体" w:hAnsi="宋体"/>
                <w:b/>
                <w:bCs/>
                <w:color w:val="auto"/>
                <w:sz w:val="28"/>
                <w:highlight w:val="none"/>
              </w:rPr>
            </w:pPr>
          </w:p>
          <w:p w14:paraId="45036C87">
            <w:pPr>
              <w:widowControl/>
              <w:tabs>
                <w:tab w:val="left" w:pos="2019"/>
              </w:tabs>
              <w:ind w:left="3606" w:leftChars="1000" w:hanging="1506" w:hangingChars="500"/>
              <w:rPr>
                <w:rFonts w:hint="eastAsia" w:ascii="宋体" w:hAnsi="宋体"/>
                <w:b/>
                <w:color w:val="auto"/>
                <w:sz w:val="30"/>
                <w:szCs w:val="30"/>
                <w:highlight w:val="none"/>
              </w:rPr>
            </w:pPr>
            <w:r>
              <w:rPr>
                <w:rFonts w:hint="eastAsia" w:ascii="宋体" w:hAnsi="宋体"/>
                <w:b/>
                <w:color w:val="auto"/>
                <w:sz w:val="30"/>
                <w:szCs w:val="30"/>
                <w:highlight w:val="none"/>
              </w:rPr>
              <w:t>项目名称：</w:t>
            </w:r>
            <w:r>
              <w:rPr>
                <w:rFonts w:hint="eastAsia" w:ascii="宋体" w:hAnsi="宋体"/>
                <w:b/>
                <w:color w:val="auto"/>
                <w:sz w:val="30"/>
                <w:szCs w:val="30"/>
                <w:highlight w:val="none"/>
                <w:lang w:eastAsia="zh-CN"/>
              </w:rPr>
              <w:t>2025年度鳌江镇苗木养护、补植、绿地修复工程项目</w:t>
            </w:r>
          </w:p>
          <w:p w14:paraId="226DB0F7">
            <w:pPr>
              <w:wordWrap w:val="0"/>
              <w:rPr>
                <w:rFonts w:hint="eastAsia" w:ascii="宋体" w:hAnsi="宋体"/>
                <w:b/>
                <w:color w:val="auto"/>
                <w:sz w:val="30"/>
                <w:szCs w:val="30"/>
                <w:highlight w:val="none"/>
              </w:rPr>
            </w:pPr>
            <w:r>
              <w:rPr>
                <w:rFonts w:hint="eastAsia" w:ascii="宋体" w:hAnsi="宋体"/>
                <w:b/>
                <w:color w:val="auto"/>
                <w:sz w:val="30"/>
                <w:szCs w:val="30"/>
                <w:highlight w:val="none"/>
              </w:rPr>
              <w:t xml:space="preserve">              招标编</w:t>
            </w:r>
            <w:r>
              <w:rPr>
                <w:rFonts w:hint="eastAsia" w:ascii="宋体" w:hAnsi="宋体" w:eastAsia="宋体"/>
                <w:b/>
                <w:color w:val="auto"/>
                <w:sz w:val="30"/>
                <w:szCs w:val="30"/>
                <w:highlight w:val="none"/>
              </w:rPr>
              <w:t>号：PYCG241224108</w:t>
            </w:r>
          </w:p>
          <w:p w14:paraId="122A859C">
            <w:pPr>
              <w:widowControl/>
              <w:tabs>
                <w:tab w:val="left" w:pos="2019"/>
              </w:tabs>
              <w:rPr>
                <w:rFonts w:hint="eastAsia" w:ascii="宋体" w:hAnsi="宋体"/>
                <w:b/>
                <w:color w:val="auto"/>
                <w:sz w:val="30"/>
                <w:szCs w:val="30"/>
                <w:highlight w:val="none"/>
              </w:rPr>
            </w:pPr>
          </w:p>
          <w:p w14:paraId="5C9BBCDF">
            <w:pPr>
              <w:spacing w:line="440" w:lineRule="exact"/>
              <w:rPr>
                <w:rFonts w:hint="eastAsia" w:ascii="宋体" w:hAnsi="宋体"/>
                <w:b/>
                <w:color w:val="auto"/>
                <w:sz w:val="30"/>
                <w:szCs w:val="30"/>
                <w:highlight w:val="none"/>
              </w:rPr>
            </w:pPr>
          </w:p>
          <w:p w14:paraId="288FCC11">
            <w:pPr>
              <w:spacing w:line="440" w:lineRule="exact"/>
              <w:rPr>
                <w:rFonts w:ascii="宋体" w:hAnsi="宋体"/>
                <w:b/>
                <w:color w:val="auto"/>
                <w:sz w:val="30"/>
                <w:szCs w:val="30"/>
                <w:highlight w:val="none"/>
              </w:rPr>
            </w:pPr>
          </w:p>
          <w:p w14:paraId="21F52E74">
            <w:pPr>
              <w:spacing w:line="440" w:lineRule="exact"/>
              <w:ind w:firstLine="2117" w:firstLineChars="703"/>
              <w:rPr>
                <w:rFonts w:hint="eastAsia" w:ascii="宋体" w:hAnsi="宋体"/>
                <w:b/>
                <w:color w:val="auto"/>
                <w:sz w:val="30"/>
                <w:szCs w:val="30"/>
                <w:highlight w:val="none"/>
              </w:rPr>
            </w:pPr>
            <w:r>
              <w:rPr>
                <w:rFonts w:hint="eastAsia" w:ascii="宋体" w:hAnsi="宋体"/>
                <w:b/>
                <w:color w:val="auto"/>
                <w:sz w:val="30"/>
                <w:szCs w:val="30"/>
                <w:highlight w:val="none"/>
              </w:rPr>
              <w:t>采 购 人：</w:t>
            </w:r>
            <w:r>
              <w:rPr>
                <w:rFonts w:hint="eastAsia" w:ascii="宋体" w:hAnsi="宋体"/>
                <w:b/>
                <w:color w:val="auto"/>
                <w:sz w:val="30"/>
                <w:szCs w:val="30"/>
                <w:highlight w:val="none"/>
                <w:lang w:eastAsia="zh-CN"/>
              </w:rPr>
              <w:t>平阳县新鳌城市建设有限公司</w:t>
            </w:r>
          </w:p>
          <w:p w14:paraId="6CEA6A8D">
            <w:pPr>
              <w:spacing w:line="440" w:lineRule="exact"/>
              <w:ind w:firstLine="2117" w:firstLineChars="703"/>
              <w:rPr>
                <w:rFonts w:hint="default" w:ascii="宋体" w:hAnsi="宋体" w:eastAsia="宋体"/>
                <w:b/>
                <w:color w:val="auto"/>
                <w:sz w:val="30"/>
                <w:szCs w:val="30"/>
                <w:highlight w:val="none"/>
                <w:lang w:val="en-US" w:eastAsia="zh-CN"/>
              </w:rPr>
            </w:pPr>
            <w:r>
              <w:rPr>
                <w:rFonts w:hint="eastAsia" w:ascii="宋体" w:hAnsi="宋体"/>
                <w:b/>
                <w:color w:val="auto"/>
                <w:sz w:val="30"/>
                <w:szCs w:val="30"/>
                <w:highlight w:val="none"/>
              </w:rPr>
              <w:t>联 系 人：</w:t>
            </w:r>
            <w:r>
              <w:rPr>
                <w:rFonts w:hint="eastAsia" w:ascii="宋体" w:hAnsi="宋体"/>
                <w:b/>
                <w:color w:val="auto"/>
                <w:sz w:val="30"/>
                <w:szCs w:val="30"/>
                <w:highlight w:val="none"/>
                <w:lang w:val="en-US" w:eastAsia="zh-CN"/>
              </w:rPr>
              <w:t>吴女士</w:t>
            </w:r>
          </w:p>
          <w:p w14:paraId="1A81DBDE">
            <w:pPr>
              <w:spacing w:line="440" w:lineRule="exact"/>
              <w:ind w:firstLine="2117" w:firstLineChars="703"/>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联系电话：</w:t>
            </w:r>
            <w:r>
              <w:rPr>
                <w:rFonts w:hint="eastAsia" w:ascii="宋体" w:hAnsi="宋体"/>
                <w:b/>
                <w:color w:val="auto"/>
                <w:sz w:val="30"/>
                <w:szCs w:val="30"/>
                <w:highlight w:val="none"/>
                <w:lang w:eastAsia="zh-CN"/>
              </w:rPr>
              <w:t>0577-63634392</w:t>
            </w:r>
          </w:p>
          <w:p w14:paraId="727D7526">
            <w:pPr>
              <w:spacing w:line="440" w:lineRule="exact"/>
              <w:rPr>
                <w:rFonts w:hint="eastAsia" w:ascii="宋体" w:hAnsi="宋体"/>
                <w:b/>
                <w:color w:val="auto"/>
                <w:sz w:val="30"/>
                <w:szCs w:val="30"/>
                <w:highlight w:val="none"/>
              </w:rPr>
            </w:pPr>
          </w:p>
          <w:p w14:paraId="5717B567">
            <w:pPr>
              <w:spacing w:line="440" w:lineRule="exact"/>
              <w:rPr>
                <w:rFonts w:ascii="宋体" w:hAnsi="宋体"/>
                <w:b/>
                <w:color w:val="auto"/>
                <w:sz w:val="30"/>
                <w:szCs w:val="30"/>
                <w:highlight w:val="none"/>
              </w:rPr>
            </w:pPr>
          </w:p>
          <w:p w14:paraId="11A4DAAB">
            <w:pPr>
              <w:pStyle w:val="23"/>
              <w:rPr>
                <w:color w:val="auto"/>
                <w:highlight w:val="none"/>
              </w:rPr>
            </w:pPr>
          </w:p>
          <w:p w14:paraId="0F9C21BF">
            <w:pPr>
              <w:widowControl/>
              <w:snapToGrid w:val="0"/>
              <w:spacing w:line="360" w:lineRule="auto"/>
              <w:ind w:firstLine="2117"/>
              <w:jc w:val="left"/>
              <w:rPr>
                <w:rFonts w:hint="eastAsia" w:eastAsia="宋体"/>
                <w:b/>
                <w:color w:val="auto"/>
                <w:sz w:val="30"/>
                <w:highlight w:val="none"/>
                <w:shd w:val="clear" w:color="auto" w:fill="auto"/>
                <w:lang w:eastAsia="zh-CN"/>
              </w:rPr>
            </w:pPr>
            <w:r>
              <w:rPr>
                <w:rFonts w:hint="eastAsia" w:ascii="宋体" w:hAnsi="宋体" w:cs="宋体"/>
                <w:b/>
                <w:color w:val="auto"/>
                <w:sz w:val="30"/>
                <w:szCs w:val="30"/>
                <w:highlight w:val="none"/>
                <w:shd w:val="clear" w:color="auto" w:fill="auto"/>
              </w:rPr>
              <w:t>采购机构：</w:t>
            </w:r>
            <w:r>
              <w:rPr>
                <w:rFonts w:hint="eastAsia"/>
                <w:b/>
                <w:color w:val="auto"/>
                <w:sz w:val="30"/>
                <w:highlight w:val="none"/>
                <w:shd w:val="clear" w:color="auto" w:fill="auto"/>
                <w:lang w:eastAsia="zh-CN"/>
              </w:rPr>
              <w:t>浙江名进建设项目管理有限公司</w:t>
            </w:r>
          </w:p>
          <w:p w14:paraId="7CF170CE">
            <w:pPr>
              <w:widowControl/>
              <w:snapToGrid w:val="0"/>
              <w:spacing w:line="360" w:lineRule="auto"/>
              <w:ind w:firstLine="2117"/>
              <w:jc w:val="left"/>
              <w:rPr>
                <w:rFonts w:hint="eastAsia" w:eastAsia="宋体"/>
                <w:b/>
                <w:color w:val="auto"/>
                <w:sz w:val="30"/>
                <w:highlight w:val="none"/>
                <w:shd w:val="clear" w:color="auto" w:fill="auto"/>
                <w:lang w:eastAsia="zh-CN"/>
              </w:rPr>
            </w:pPr>
            <w:r>
              <w:rPr>
                <w:b/>
                <w:color w:val="auto"/>
                <w:sz w:val="30"/>
                <w:highlight w:val="none"/>
                <w:shd w:val="clear" w:color="auto" w:fill="auto"/>
              </w:rPr>
              <w:t>联 系 人：</w:t>
            </w:r>
            <w:r>
              <w:rPr>
                <w:rFonts w:hint="eastAsia" w:ascii="宋体" w:hAnsi="宋体"/>
                <w:b/>
                <w:color w:val="auto"/>
                <w:sz w:val="30"/>
                <w:szCs w:val="30"/>
                <w:highlight w:val="none"/>
                <w:shd w:val="clear" w:color="auto" w:fill="auto"/>
                <w:lang w:eastAsia="zh-CN"/>
              </w:rPr>
              <w:t>缪女士</w:t>
            </w:r>
          </w:p>
          <w:p w14:paraId="3E9A225F">
            <w:pPr>
              <w:widowControl/>
              <w:snapToGrid w:val="0"/>
              <w:spacing w:line="360" w:lineRule="auto"/>
              <w:ind w:firstLine="2117"/>
              <w:jc w:val="left"/>
              <w:rPr>
                <w:rFonts w:hint="eastAsia" w:eastAsia="宋体"/>
                <w:b/>
                <w:color w:val="auto"/>
                <w:sz w:val="30"/>
                <w:highlight w:val="none"/>
                <w:shd w:val="clear" w:color="auto" w:fill="auto"/>
                <w:lang w:eastAsia="zh-CN"/>
              </w:rPr>
            </w:pPr>
            <w:r>
              <w:rPr>
                <w:b/>
                <w:color w:val="auto"/>
                <w:sz w:val="30"/>
                <w:highlight w:val="none"/>
                <w:shd w:val="clear" w:color="auto" w:fill="auto"/>
              </w:rPr>
              <w:t>联系电话：</w:t>
            </w:r>
            <w:r>
              <w:rPr>
                <w:rFonts w:hint="eastAsia" w:ascii="宋体" w:hAnsi="宋体"/>
                <w:b/>
                <w:color w:val="auto"/>
                <w:sz w:val="30"/>
                <w:szCs w:val="30"/>
                <w:highlight w:val="none"/>
                <w:shd w:val="clear" w:color="auto" w:fill="auto"/>
                <w:lang w:eastAsia="zh-CN"/>
              </w:rPr>
              <w:t>0577-63639288</w:t>
            </w:r>
          </w:p>
          <w:p w14:paraId="38F15EAD">
            <w:pPr>
              <w:spacing w:line="440" w:lineRule="exact"/>
              <w:ind w:firstLine="2108" w:firstLineChars="700"/>
              <w:rPr>
                <w:rFonts w:ascii="宋体" w:hAnsi="宋体" w:cs="宋体"/>
                <w:b/>
                <w:color w:val="auto"/>
                <w:sz w:val="30"/>
                <w:szCs w:val="30"/>
                <w:highlight w:val="none"/>
                <w:shd w:val="clear" w:color="auto" w:fill="auto"/>
              </w:rPr>
            </w:pPr>
            <w:r>
              <w:rPr>
                <w:b/>
                <w:color w:val="auto"/>
                <w:sz w:val="30"/>
                <w:szCs w:val="30"/>
                <w:highlight w:val="none"/>
                <w:shd w:val="clear" w:color="auto" w:fill="auto"/>
              </w:rPr>
              <w:t>联系传真：</w:t>
            </w:r>
            <w:r>
              <w:rPr>
                <w:rFonts w:hint="eastAsia" w:ascii="宋体" w:hAnsi="宋体"/>
                <w:b/>
                <w:color w:val="auto"/>
                <w:sz w:val="30"/>
                <w:szCs w:val="30"/>
                <w:highlight w:val="none"/>
                <w:shd w:val="clear" w:color="auto" w:fill="auto"/>
                <w:lang w:eastAsia="zh-CN"/>
              </w:rPr>
              <w:t>0577-63639288</w:t>
            </w:r>
          </w:p>
          <w:p w14:paraId="27D3EC63">
            <w:pPr>
              <w:spacing w:line="440" w:lineRule="exact"/>
              <w:rPr>
                <w:rFonts w:ascii="宋体" w:hAnsi="宋体"/>
                <w:b/>
                <w:color w:val="auto"/>
                <w:sz w:val="30"/>
                <w:szCs w:val="30"/>
                <w:highlight w:val="none"/>
              </w:rPr>
            </w:pPr>
          </w:p>
          <w:p w14:paraId="16330482">
            <w:pPr>
              <w:pStyle w:val="23"/>
              <w:rPr>
                <w:rFonts w:ascii="宋体" w:hAnsi="宋体"/>
                <w:b/>
                <w:color w:val="auto"/>
                <w:sz w:val="30"/>
                <w:szCs w:val="30"/>
                <w:highlight w:val="none"/>
              </w:rPr>
            </w:pPr>
          </w:p>
          <w:p w14:paraId="01C2C4B0">
            <w:pPr>
              <w:pStyle w:val="25"/>
              <w:rPr>
                <w:color w:val="auto"/>
                <w:highlight w:val="none"/>
              </w:rPr>
            </w:pPr>
          </w:p>
          <w:p w14:paraId="376D6FF4">
            <w:pPr>
              <w:pStyle w:val="33"/>
              <w:ind w:left="0" w:leftChars="0"/>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    </w:t>
            </w:r>
          </w:p>
          <w:p w14:paraId="08C75480">
            <w:pPr>
              <w:spacing w:line="44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二○二</w:t>
            </w:r>
            <w:r>
              <w:rPr>
                <w:rFonts w:hint="eastAsia" w:ascii="宋体" w:hAnsi="宋体"/>
                <w:b/>
                <w:color w:val="auto"/>
                <w:sz w:val="30"/>
                <w:szCs w:val="30"/>
                <w:highlight w:val="none"/>
                <w:lang w:val="en-US" w:eastAsia="zh-CN"/>
              </w:rPr>
              <w:t>四</w:t>
            </w:r>
            <w:r>
              <w:rPr>
                <w:rFonts w:hint="eastAsia" w:ascii="宋体" w:hAnsi="宋体"/>
                <w:b/>
                <w:color w:val="auto"/>
                <w:sz w:val="30"/>
                <w:szCs w:val="30"/>
                <w:highlight w:val="none"/>
              </w:rPr>
              <w:t>年</w:t>
            </w:r>
            <w:r>
              <w:rPr>
                <w:rFonts w:hint="eastAsia" w:ascii="宋体" w:hAnsi="宋体"/>
                <w:b/>
                <w:color w:val="auto"/>
                <w:sz w:val="30"/>
                <w:szCs w:val="30"/>
                <w:highlight w:val="none"/>
                <w:lang w:val="en-US" w:eastAsia="zh-CN"/>
              </w:rPr>
              <w:t>十二</w:t>
            </w:r>
            <w:r>
              <w:rPr>
                <w:rFonts w:hint="eastAsia" w:ascii="宋体" w:hAnsi="宋体"/>
                <w:b/>
                <w:color w:val="auto"/>
                <w:sz w:val="30"/>
                <w:szCs w:val="30"/>
                <w:highlight w:val="none"/>
              </w:rPr>
              <w:t>月</w:t>
            </w:r>
          </w:p>
          <w:p w14:paraId="40C42FB1">
            <w:pPr>
              <w:spacing w:line="440" w:lineRule="exact"/>
              <w:jc w:val="center"/>
              <w:rPr>
                <w:rFonts w:ascii="宋体" w:hAnsi="宋体"/>
                <w:b/>
                <w:color w:val="auto"/>
                <w:sz w:val="84"/>
                <w:highlight w:val="none"/>
              </w:rPr>
            </w:pPr>
          </w:p>
        </w:tc>
      </w:tr>
    </w:tbl>
    <w:p w14:paraId="0D4B17BF">
      <w:pPr>
        <w:widowControl/>
        <w:shd w:val="clear"/>
        <w:tabs>
          <w:tab w:val="left" w:pos="2019"/>
        </w:tabs>
        <w:jc w:val="center"/>
        <w:rPr>
          <w:rFonts w:hint="eastAsia" w:ascii="宋体" w:hAnsi="宋体"/>
          <w:b/>
          <w:bCs/>
          <w:color w:val="auto"/>
          <w:kern w:val="0"/>
          <w:sz w:val="28"/>
          <w:szCs w:val="28"/>
          <w:highlight w:val="none"/>
          <w:lang w:eastAsia="zh-CN"/>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pgNumType w:fmt="decimal" w:start="1"/>
          <w:cols w:space="720" w:num="1"/>
          <w:docGrid w:linePitch="312" w:charSpace="0"/>
        </w:sectPr>
      </w:pPr>
    </w:p>
    <w:p w14:paraId="7A0BC06C">
      <w:pPr>
        <w:widowControl/>
        <w:shd w:val="clear"/>
        <w:tabs>
          <w:tab w:val="left" w:pos="2019"/>
        </w:tabs>
        <w:jc w:val="center"/>
        <w:rPr>
          <w:rFonts w:hint="eastAsia" w:ascii="宋体" w:hAnsi="宋体"/>
          <w:b/>
          <w:bCs/>
          <w:color w:val="auto"/>
          <w:kern w:val="0"/>
          <w:sz w:val="28"/>
          <w:szCs w:val="28"/>
          <w:highlight w:val="none"/>
          <w:lang w:eastAsia="zh-CN"/>
        </w:rPr>
      </w:pPr>
      <w:r>
        <w:rPr>
          <w:rFonts w:hint="eastAsia" w:ascii="宋体" w:hAnsi="宋体"/>
          <w:b/>
          <w:bCs/>
          <w:color w:val="auto"/>
          <w:kern w:val="0"/>
          <w:sz w:val="28"/>
          <w:szCs w:val="28"/>
          <w:highlight w:val="none"/>
          <w:lang w:eastAsia="zh-CN"/>
        </w:rPr>
        <w:t>浙江名进建设项目管理有限公司</w:t>
      </w:r>
      <w:r>
        <w:rPr>
          <w:rFonts w:hint="eastAsia" w:ascii="宋体" w:hAnsi="宋体" w:eastAsia="宋体"/>
          <w:b/>
          <w:bCs/>
          <w:color w:val="auto"/>
          <w:kern w:val="0"/>
          <w:sz w:val="28"/>
          <w:szCs w:val="28"/>
          <w:highlight w:val="none"/>
        </w:rPr>
        <w:t>关于</w:t>
      </w:r>
      <w:r>
        <w:rPr>
          <w:rFonts w:hint="eastAsia" w:ascii="宋体" w:hAnsi="宋体"/>
          <w:b/>
          <w:bCs/>
          <w:color w:val="auto"/>
          <w:kern w:val="0"/>
          <w:sz w:val="28"/>
          <w:szCs w:val="28"/>
          <w:highlight w:val="none"/>
          <w:lang w:eastAsia="zh-CN"/>
        </w:rPr>
        <w:t>2025年度鳌江镇苗木养护、补植、绿地修复项目</w:t>
      </w:r>
      <w:r>
        <w:rPr>
          <w:rFonts w:hint="eastAsia" w:ascii="宋体" w:hAnsi="宋体" w:eastAsia="宋体"/>
          <w:b/>
          <w:bCs/>
          <w:color w:val="auto"/>
          <w:kern w:val="0"/>
          <w:sz w:val="28"/>
          <w:szCs w:val="28"/>
          <w:highlight w:val="none"/>
        </w:rPr>
        <w:t>的公开招标公告</w:t>
      </w:r>
    </w:p>
    <w:p w14:paraId="0819E0CB">
      <w:pPr>
        <w:shd w:val="clear"/>
        <w:tabs>
          <w:tab w:val="left" w:pos="0"/>
        </w:tabs>
        <w:spacing w:line="460" w:lineRule="exact"/>
        <w:ind w:left="2" w:firstLine="2"/>
        <w:jc w:val="center"/>
        <w:rPr>
          <w:rFonts w:hint="eastAsia" w:ascii="宋体" w:hAnsi="宋体" w:eastAsia="宋体"/>
          <w:b/>
          <w:bCs/>
          <w:color w:val="auto"/>
          <w:sz w:val="28"/>
          <w:szCs w:val="28"/>
          <w:highlight w:val="none"/>
        </w:rPr>
      </w:pPr>
      <w:r>
        <w:rPr>
          <w:rFonts w:hint="eastAsia" w:ascii="宋体" w:hAnsi="宋体" w:eastAsia="宋体"/>
          <w:b/>
          <w:bCs/>
          <w:color w:val="auto"/>
          <w:sz w:val="28"/>
          <w:szCs w:val="28"/>
          <w:highlight w:val="none"/>
        </w:rPr>
        <w:t>（线上电子招投标）</w:t>
      </w:r>
    </w:p>
    <w:p w14:paraId="691FF1F8">
      <w:pPr>
        <w:widowControl/>
        <w:shd w:val="clear"/>
        <w:tabs>
          <w:tab w:val="left" w:pos="2019"/>
        </w:tabs>
        <w:spacing w:line="420" w:lineRule="exact"/>
        <w:ind w:left="2778" w:leftChars="1" w:hanging="2776" w:hangingChars="1152"/>
        <w:jc w:val="center"/>
        <w:rPr>
          <w:rFonts w:hint="eastAsia" w:ascii="宋体" w:hAnsi="宋体"/>
          <w:b/>
          <w:color w:val="auto"/>
          <w:sz w:val="24"/>
          <w:szCs w:val="24"/>
          <w:highlight w:val="none"/>
        </w:rPr>
      </w:pPr>
      <w:r>
        <w:rPr>
          <w:rFonts w:hint="eastAsia" w:ascii="宋体" w:hAnsi="宋体"/>
          <w:b/>
          <w:color w:val="auto"/>
          <w:sz w:val="24"/>
          <w:szCs w:val="24"/>
          <w:highlight w:val="none"/>
        </w:rPr>
        <w:t>公告日期：</w:t>
      </w:r>
      <w:r>
        <w:rPr>
          <w:rFonts w:hint="eastAsia" w:ascii="宋体" w:hAnsi="宋体"/>
          <w:b/>
          <w:color w:val="auto"/>
          <w:sz w:val="24"/>
          <w:szCs w:val="24"/>
          <w:highlight w:val="none"/>
          <w:lang w:eastAsia="zh-CN"/>
        </w:rPr>
        <w:t>2024年</w:t>
      </w:r>
      <w:r>
        <w:rPr>
          <w:rFonts w:hint="eastAsia" w:ascii="宋体" w:hAnsi="宋体"/>
          <w:b/>
          <w:color w:val="auto"/>
          <w:sz w:val="24"/>
          <w:szCs w:val="24"/>
          <w:highlight w:val="none"/>
          <w:lang w:val="en-US" w:eastAsia="zh-CN"/>
        </w:rPr>
        <w:t>12</w:t>
      </w:r>
      <w:r>
        <w:rPr>
          <w:rFonts w:hint="eastAsia" w:ascii="宋体" w:hAnsi="宋体"/>
          <w:b/>
          <w:color w:val="auto"/>
          <w:sz w:val="24"/>
          <w:szCs w:val="24"/>
          <w:highlight w:val="none"/>
          <w:lang w:eastAsia="zh-CN"/>
        </w:rPr>
        <w:t>月</w:t>
      </w:r>
      <w:r>
        <w:rPr>
          <w:rFonts w:hint="eastAsia" w:ascii="宋体" w:hAnsi="宋体"/>
          <w:b/>
          <w:color w:val="auto"/>
          <w:sz w:val="24"/>
          <w:szCs w:val="24"/>
          <w:highlight w:val="none"/>
          <w:lang w:val="en-US" w:eastAsia="zh-CN"/>
        </w:rPr>
        <w:t>2</w:t>
      </w:r>
      <w:bookmarkStart w:id="27" w:name="_GoBack"/>
      <w:bookmarkEnd w:id="27"/>
      <w:r>
        <w:rPr>
          <w:rFonts w:hint="eastAsia" w:ascii="宋体" w:hAnsi="宋体"/>
          <w:b/>
          <w:color w:val="auto"/>
          <w:sz w:val="24"/>
          <w:szCs w:val="24"/>
          <w:highlight w:val="none"/>
          <w:lang w:val="en-US" w:eastAsia="zh-CN"/>
        </w:rPr>
        <w:t>5</w:t>
      </w:r>
      <w:r>
        <w:rPr>
          <w:rFonts w:hint="eastAsia" w:ascii="宋体" w:hAnsi="宋体"/>
          <w:b/>
          <w:color w:val="auto"/>
          <w:sz w:val="24"/>
          <w:szCs w:val="24"/>
          <w:highlight w:val="none"/>
          <w:lang w:eastAsia="zh-CN"/>
        </w:rPr>
        <w:t>日</w:t>
      </w:r>
    </w:p>
    <w:p w14:paraId="49C9D51C">
      <w:pPr>
        <w:pStyle w:val="41"/>
        <w:keepNext w:val="0"/>
        <w:keepLines w:val="0"/>
        <w:widowControl/>
        <w:suppressLineNumbers w:val="0"/>
        <w:shd w:val="clear" w:color="auto"/>
        <w:spacing w:before="0" w:beforeAutospacing="0" w:after="0" w:afterAutospacing="0" w:line="460" w:lineRule="atLeast"/>
        <w:ind w:left="0" w:right="0"/>
        <w:jc w:val="both"/>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项目概况</w:t>
      </w:r>
    </w:p>
    <w:p w14:paraId="4AF2980F">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2025年度鳌江镇苗木养护、补植、绿地修复项目</w:t>
      </w:r>
      <w:r>
        <w:rPr>
          <w:rFonts w:hint="eastAsia" w:ascii="宋体" w:hAnsi="宋体" w:eastAsia="宋体"/>
          <w:color w:val="auto"/>
          <w:sz w:val="22"/>
          <w:szCs w:val="22"/>
          <w:highlight w:val="none"/>
          <w:shd w:val="clear" w:color="auto" w:fill="FFFFFF"/>
        </w:rPr>
        <w:t>招标项目的潜在</w:t>
      </w:r>
      <w:r>
        <w:rPr>
          <w:rFonts w:hint="eastAsia" w:ascii="宋体" w:hAnsi="宋体"/>
          <w:color w:val="auto"/>
          <w:sz w:val="22"/>
          <w:szCs w:val="22"/>
          <w:highlight w:val="none"/>
          <w:shd w:val="clear" w:color="auto" w:fill="FFFFFF"/>
          <w:lang w:eastAsia="zh-CN"/>
        </w:rPr>
        <w:t>投标供应商</w:t>
      </w:r>
      <w:r>
        <w:rPr>
          <w:rFonts w:hint="eastAsia" w:ascii="宋体" w:hAnsi="宋体" w:eastAsia="宋体"/>
          <w:color w:val="auto"/>
          <w:sz w:val="22"/>
          <w:szCs w:val="22"/>
          <w:highlight w:val="none"/>
          <w:shd w:val="clear" w:color="auto" w:fill="FFFFFF"/>
        </w:rPr>
        <w:t>应登录</w:t>
      </w:r>
      <w:r>
        <w:rPr>
          <w:rFonts w:hint="eastAsia" w:ascii="宋体" w:hAnsi="宋体"/>
          <w:color w:val="auto"/>
          <w:sz w:val="22"/>
          <w:szCs w:val="22"/>
          <w:highlight w:val="none"/>
          <w:shd w:val="clear" w:color="auto" w:fill="FFFFFF"/>
          <w:lang w:eastAsia="zh-CN"/>
        </w:rPr>
        <w:t>乐采云平台www.lecaiyun.com</w:t>
      </w:r>
      <w:r>
        <w:rPr>
          <w:rFonts w:hint="eastAsia" w:ascii="宋体" w:hAnsi="宋体" w:eastAsia="宋体"/>
          <w:color w:val="auto"/>
          <w:sz w:val="22"/>
          <w:szCs w:val="22"/>
          <w:highlight w:val="none"/>
          <w:shd w:val="clear" w:color="auto" w:fill="FFFFFF"/>
        </w:rPr>
        <w:t>/在线申请获取采购文件（进入“项目采购”应用，在获取采购文件菜单中选择项目，申请获取采购文件），并于</w:t>
      </w:r>
      <w:r>
        <w:rPr>
          <w:rFonts w:hint="eastAsia" w:ascii="宋体" w:hAnsi="宋体"/>
          <w:color w:val="auto"/>
          <w:sz w:val="22"/>
          <w:szCs w:val="22"/>
          <w:highlight w:val="none"/>
          <w:shd w:val="clear" w:color="auto" w:fill="FFFFFF"/>
          <w:lang w:eastAsia="zh-CN"/>
        </w:rPr>
        <w:t>202</w:t>
      </w:r>
      <w:r>
        <w:rPr>
          <w:rFonts w:hint="eastAsia" w:ascii="宋体" w:hAnsi="宋体"/>
          <w:color w:val="auto"/>
          <w:sz w:val="22"/>
          <w:szCs w:val="22"/>
          <w:highlight w:val="none"/>
          <w:shd w:val="clear" w:color="auto" w:fill="FFFFFF"/>
          <w:lang w:val="en-US" w:eastAsia="zh-CN"/>
        </w:rPr>
        <w:t>5</w:t>
      </w:r>
      <w:r>
        <w:rPr>
          <w:rFonts w:hint="eastAsia" w:ascii="宋体" w:hAnsi="宋体"/>
          <w:color w:val="auto"/>
          <w:sz w:val="22"/>
          <w:szCs w:val="22"/>
          <w:highlight w:val="none"/>
          <w:shd w:val="clear" w:color="auto" w:fill="FFFFFF"/>
          <w:lang w:eastAsia="zh-CN"/>
        </w:rPr>
        <w:t>年</w:t>
      </w:r>
      <w:r>
        <w:rPr>
          <w:rFonts w:hint="eastAsia" w:ascii="宋体" w:hAnsi="宋体"/>
          <w:color w:val="auto"/>
          <w:sz w:val="22"/>
          <w:szCs w:val="22"/>
          <w:highlight w:val="none"/>
          <w:shd w:val="clear" w:color="auto" w:fill="FFFFFF"/>
          <w:lang w:val="en-US" w:eastAsia="zh-CN"/>
        </w:rPr>
        <w:t>2月13日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:30（北京时间）前递交投标文件。</w:t>
      </w:r>
    </w:p>
    <w:p w14:paraId="7C323D27">
      <w:pPr>
        <w:pStyle w:val="41"/>
        <w:keepNext w:val="0"/>
        <w:keepLines w:val="0"/>
        <w:widowControl/>
        <w:suppressLineNumbers w:val="0"/>
        <w:shd w:val="clear" w:color="auto"/>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一、项目基本情况</w:t>
      </w:r>
    </w:p>
    <w:p w14:paraId="61E457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40"/>
        <w:jc w:val="left"/>
        <w:rPr>
          <w:rFonts w:ascii="宋体" w:hAnsi="宋体" w:eastAsia="宋体" w:cs="宋体"/>
          <w:i w:val="0"/>
          <w:iCs w:val="0"/>
          <w:caps w:val="0"/>
          <w:color w:val="333333"/>
          <w:spacing w:val="0"/>
          <w:sz w:val="18"/>
          <w:szCs w:val="18"/>
        </w:rPr>
      </w:pPr>
      <w:r>
        <w:rPr>
          <w:rFonts w:hint="eastAsia" w:ascii="宋体" w:hAnsi="宋体" w:eastAsia="宋体" w:cs="宋体"/>
          <w:i w:val="0"/>
          <w:iCs w:val="0"/>
          <w:caps w:val="0"/>
          <w:color w:val="000000"/>
          <w:spacing w:val="0"/>
          <w:kern w:val="0"/>
          <w:sz w:val="22"/>
          <w:szCs w:val="22"/>
          <w:shd w:val="clear" w:fill="FFFFFF"/>
          <w:lang w:val="en-US" w:eastAsia="zh-CN" w:bidi="ar"/>
        </w:rPr>
        <w:t>项目编号：</w:t>
      </w:r>
      <w:r>
        <w:rPr>
          <w:rFonts w:hint="eastAsia" w:ascii="宋体" w:hAnsi="宋体"/>
          <w:color w:val="auto"/>
          <w:kern w:val="0"/>
          <w:sz w:val="22"/>
          <w:szCs w:val="22"/>
          <w:highlight w:val="none"/>
          <w:lang w:eastAsia="zh-CN"/>
        </w:rPr>
        <w:t>PYCG241224108</w:t>
      </w:r>
    </w:p>
    <w:p w14:paraId="50C7CC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40"/>
        <w:jc w:val="left"/>
        <w:rPr>
          <w:rFonts w:ascii="宋体" w:hAnsi="宋体" w:eastAsia="宋体" w:cs="宋体"/>
          <w:i w:val="0"/>
          <w:iCs w:val="0"/>
          <w:caps w:val="0"/>
          <w:color w:val="333333"/>
          <w:spacing w:val="0"/>
          <w:sz w:val="18"/>
          <w:szCs w:val="18"/>
        </w:rPr>
      </w:pPr>
      <w:r>
        <w:rPr>
          <w:rFonts w:hint="eastAsia" w:ascii="宋体" w:hAnsi="宋体" w:eastAsia="宋体" w:cs="宋体"/>
          <w:i w:val="0"/>
          <w:iCs w:val="0"/>
          <w:caps w:val="0"/>
          <w:color w:val="000000"/>
          <w:spacing w:val="0"/>
          <w:kern w:val="0"/>
          <w:sz w:val="22"/>
          <w:szCs w:val="22"/>
          <w:shd w:val="clear" w:fill="FFFFFF"/>
          <w:lang w:val="en-US" w:eastAsia="zh-CN" w:bidi="ar"/>
        </w:rPr>
        <w:t>项目名称：</w:t>
      </w:r>
      <w:r>
        <w:rPr>
          <w:rFonts w:hint="eastAsia" w:ascii="宋体" w:hAnsi="宋体"/>
          <w:color w:val="auto"/>
          <w:sz w:val="22"/>
          <w:szCs w:val="22"/>
          <w:highlight w:val="none"/>
          <w:shd w:val="clear" w:color="auto" w:fill="FFFFFF"/>
          <w:lang w:eastAsia="zh-CN"/>
        </w:rPr>
        <w:t>2025年度鳌江镇苗木养护、补植、绿地修复项目</w:t>
      </w:r>
    </w:p>
    <w:p w14:paraId="73890609">
      <w:pPr>
        <w:widowControl/>
        <w:shd w:val="clear" w:color="auto"/>
        <w:spacing w:line="420" w:lineRule="exact"/>
        <w:ind w:firstLine="440" w:firstLineChars="200"/>
        <w:jc w:val="both"/>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lang w:eastAsia="zh-CN"/>
        </w:rPr>
        <w:t>预算金额（元）：</w:t>
      </w:r>
      <w:r>
        <w:rPr>
          <w:rFonts w:hint="eastAsia" w:ascii="宋体" w:hAnsi="宋体" w:eastAsia="宋体" w:cs="宋体"/>
          <w:b w:val="0"/>
          <w:bCs/>
          <w:color w:val="auto"/>
          <w:kern w:val="0"/>
          <w:sz w:val="22"/>
          <w:szCs w:val="22"/>
          <w:highlight w:val="none"/>
          <w:lang w:val="en-US" w:eastAsia="zh-CN"/>
        </w:rPr>
        <w:t>4800000</w:t>
      </w:r>
      <w:r>
        <w:rPr>
          <w:rFonts w:hint="eastAsia" w:ascii="宋体" w:hAnsi="宋体" w:eastAsia="宋体" w:cs="宋体"/>
          <w:b w:val="0"/>
          <w:bCs/>
          <w:color w:val="auto"/>
          <w:kern w:val="0"/>
          <w:sz w:val="22"/>
          <w:szCs w:val="22"/>
          <w:highlight w:val="none"/>
          <w:lang w:eastAsia="zh-CN"/>
        </w:rPr>
        <w:t xml:space="preserve">  </w:t>
      </w:r>
      <w:r>
        <w:rPr>
          <w:rFonts w:hint="eastAsia" w:ascii="宋体" w:hAnsi="宋体" w:eastAsia="宋体" w:cs="宋体"/>
          <w:b w:val="0"/>
          <w:bCs/>
          <w:color w:val="auto"/>
          <w:kern w:val="0"/>
          <w:sz w:val="22"/>
          <w:szCs w:val="22"/>
          <w:highlight w:val="none"/>
        </w:rPr>
        <w:t xml:space="preserve">  </w:t>
      </w:r>
    </w:p>
    <w:p w14:paraId="6D404743">
      <w:pPr>
        <w:widowControl/>
        <w:shd w:val="clear" w:color="auto"/>
        <w:spacing w:line="420" w:lineRule="exact"/>
        <w:ind w:firstLine="440" w:firstLineChars="200"/>
        <w:jc w:val="both"/>
        <w:rPr>
          <w:rFonts w:hint="eastAsia" w:ascii="宋体" w:hAnsi="宋体" w:eastAsia="宋体" w:cs="宋体"/>
          <w:b w:val="0"/>
          <w:bCs/>
          <w:color w:val="auto"/>
          <w:kern w:val="0"/>
          <w:sz w:val="22"/>
          <w:szCs w:val="22"/>
          <w:highlight w:val="none"/>
          <w:lang w:val="en-US" w:eastAsia="zh-CN"/>
        </w:rPr>
      </w:pPr>
      <w:r>
        <w:rPr>
          <w:rFonts w:hint="eastAsia" w:ascii="宋体" w:hAnsi="宋体" w:eastAsia="宋体" w:cs="宋体"/>
          <w:b w:val="0"/>
          <w:bCs/>
          <w:color w:val="auto"/>
          <w:kern w:val="0"/>
          <w:sz w:val="22"/>
          <w:szCs w:val="22"/>
          <w:highlight w:val="none"/>
          <w:lang w:eastAsia="zh-CN"/>
        </w:rPr>
        <w:t>最高限价（元）：</w:t>
      </w:r>
      <w:r>
        <w:rPr>
          <w:rFonts w:hint="eastAsia" w:ascii="宋体" w:hAnsi="宋体" w:cs="宋体"/>
          <w:b w:val="0"/>
          <w:bCs/>
          <w:color w:val="auto"/>
          <w:kern w:val="0"/>
          <w:sz w:val="22"/>
          <w:szCs w:val="22"/>
          <w:highlight w:val="none"/>
          <w:lang w:eastAsia="zh-CN"/>
        </w:rPr>
        <w:t>2861500</w:t>
      </w:r>
      <w:r>
        <w:rPr>
          <w:rFonts w:hint="eastAsia" w:ascii="宋体" w:hAnsi="宋体" w:eastAsia="宋体" w:cs="宋体"/>
          <w:b w:val="0"/>
          <w:bCs/>
          <w:color w:val="auto"/>
          <w:kern w:val="0"/>
          <w:sz w:val="22"/>
          <w:szCs w:val="22"/>
          <w:highlight w:val="none"/>
          <w:lang w:val="en-US" w:eastAsia="zh-CN"/>
        </w:rPr>
        <w:t>,</w:t>
      </w:r>
      <w:r>
        <w:rPr>
          <w:rFonts w:hint="eastAsia" w:ascii="宋体" w:hAnsi="宋体" w:cs="宋体"/>
          <w:b w:val="0"/>
          <w:bCs/>
          <w:color w:val="auto"/>
          <w:kern w:val="0"/>
          <w:sz w:val="22"/>
          <w:szCs w:val="22"/>
          <w:highlight w:val="none"/>
          <w:lang w:val="en-US" w:eastAsia="zh-CN"/>
        </w:rPr>
        <w:t>1938500</w:t>
      </w:r>
    </w:p>
    <w:p w14:paraId="474B265F">
      <w:pPr>
        <w:widowControl/>
        <w:shd w:val="clear" w:color="auto"/>
        <w:spacing w:line="420" w:lineRule="exact"/>
        <w:ind w:firstLine="440" w:firstLineChars="200"/>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采购需求：</w:t>
      </w:r>
    </w:p>
    <w:p w14:paraId="74EF0BE0">
      <w:pPr>
        <w:widowControl/>
        <w:shd w:val="clear" w:color="auto"/>
        <w:spacing w:line="420" w:lineRule="exact"/>
        <w:jc w:val="both"/>
        <w:rPr>
          <w:rFonts w:hint="eastAsia" w:ascii="宋体" w:hAnsi="宋体" w:eastAsia="宋体" w:cs="宋体"/>
          <w:b w:val="0"/>
          <w:bCs/>
          <w:color w:val="auto"/>
          <w:kern w:val="0"/>
          <w:sz w:val="22"/>
          <w:szCs w:val="22"/>
          <w:highlight w:val="none"/>
          <w:lang w:val="en-US" w:eastAsia="zh-CN"/>
        </w:rPr>
      </w:pPr>
      <w:r>
        <w:rPr>
          <w:rFonts w:hint="eastAsia" w:ascii="宋体" w:hAnsi="宋体" w:eastAsia="宋体" w:cs="宋体"/>
          <w:b w:val="0"/>
          <w:bCs/>
          <w:color w:val="auto"/>
          <w:kern w:val="0"/>
          <w:sz w:val="22"/>
          <w:szCs w:val="22"/>
          <w:highlight w:val="none"/>
          <w:lang w:val="en-US" w:eastAsia="zh-CN"/>
        </w:rPr>
        <w:t>   标项一 </w:t>
      </w:r>
    </w:p>
    <w:p w14:paraId="33DB18A7">
      <w:pPr>
        <w:widowControl/>
        <w:shd w:val="clear" w:color="auto"/>
        <w:spacing w:line="420" w:lineRule="exact"/>
        <w:ind w:firstLine="440" w:firstLineChars="200"/>
        <w:jc w:val="both"/>
        <w:rPr>
          <w:rFonts w:hint="eastAsia" w:ascii="宋体" w:hAnsi="宋体" w:eastAsia="宋体" w:cs="宋体"/>
          <w:b w:val="0"/>
          <w:bCs/>
          <w:color w:val="auto"/>
          <w:kern w:val="0"/>
          <w:sz w:val="22"/>
          <w:szCs w:val="22"/>
          <w:highlight w:val="none"/>
          <w:lang w:val="en-US" w:eastAsia="zh-CN"/>
        </w:rPr>
      </w:pPr>
      <w:r>
        <w:rPr>
          <w:rFonts w:hint="eastAsia" w:ascii="宋体" w:hAnsi="宋体" w:eastAsia="宋体" w:cs="宋体"/>
          <w:b w:val="0"/>
          <w:bCs/>
          <w:color w:val="auto"/>
          <w:kern w:val="0"/>
          <w:sz w:val="22"/>
          <w:szCs w:val="22"/>
          <w:highlight w:val="none"/>
          <w:lang w:val="en-US" w:eastAsia="zh-CN"/>
        </w:rPr>
        <w:t>标项名称</w:t>
      </w:r>
      <w:r>
        <w:rPr>
          <w:rFonts w:hint="eastAsia" w:ascii="宋体" w:hAnsi="宋体" w:cs="宋体"/>
          <w:b w:val="0"/>
          <w:bCs/>
          <w:color w:val="auto"/>
          <w:kern w:val="0"/>
          <w:sz w:val="22"/>
          <w:szCs w:val="22"/>
          <w:highlight w:val="none"/>
          <w:lang w:val="en-US" w:eastAsia="zh-CN"/>
        </w:rPr>
        <w:t>：</w:t>
      </w:r>
      <w:r>
        <w:rPr>
          <w:rFonts w:hint="eastAsia" w:ascii="宋体" w:hAnsi="宋体" w:eastAsia="宋体" w:cs="宋体"/>
          <w:b w:val="0"/>
          <w:bCs/>
          <w:color w:val="auto"/>
          <w:kern w:val="0"/>
          <w:sz w:val="22"/>
          <w:szCs w:val="22"/>
          <w:highlight w:val="none"/>
          <w:lang w:val="en-US" w:eastAsia="zh-CN"/>
        </w:rPr>
        <w:t>2025年度鳌江镇</w:t>
      </w:r>
      <w:r>
        <w:rPr>
          <w:rFonts w:hint="eastAsia" w:ascii="宋体" w:hAnsi="宋体" w:cs="宋体"/>
          <w:b w:val="0"/>
          <w:bCs/>
          <w:color w:val="auto"/>
          <w:kern w:val="0"/>
          <w:sz w:val="22"/>
          <w:szCs w:val="22"/>
          <w:highlight w:val="none"/>
          <w:lang w:val="en-US" w:eastAsia="zh-CN"/>
        </w:rPr>
        <w:t>建成区</w:t>
      </w:r>
      <w:r>
        <w:rPr>
          <w:rFonts w:hint="eastAsia" w:ascii="宋体" w:hAnsi="宋体" w:eastAsia="宋体" w:cs="宋体"/>
          <w:b w:val="0"/>
          <w:bCs/>
          <w:color w:val="auto"/>
          <w:kern w:val="0"/>
          <w:sz w:val="22"/>
          <w:szCs w:val="22"/>
          <w:highlight w:val="none"/>
          <w:lang w:val="en-US" w:eastAsia="zh-CN"/>
        </w:rPr>
        <w:t>苗木养护、补植、绿地修复</w:t>
      </w:r>
      <w:r>
        <w:rPr>
          <w:rFonts w:hint="eastAsia" w:ascii="宋体" w:hAnsi="宋体" w:cs="宋体"/>
          <w:b w:val="0"/>
          <w:bCs/>
          <w:color w:val="auto"/>
          <w:kern w:val="0"/>
          <w:sz w:val="22"/>
          <w:szCs w:val="22"/>
          <w:highlight w:val="none"/>
          <w:lang w:val="en-US" w:eastAsia="zh-CN"/>
        </w:rPr>
        <w:t>项目</w:t>
      </w:r>
    </w:p>
    <w:p w14:paraId="425B3DA5">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val="en-US" w:eastAsia="zh-CN"/>
        </w:rPr>
        <w:t>   数量：1       </w:t>
      </w:r>
    </w:p>
    <w:p w14:paraId="2D284049">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 xml:space="preserve">  </w:t>
      </w:r>
      <w:r>
        <w:rPr>
          <w:rFonts w:hint="eastAsia" w:ascii="宋体" w:hAnsi="宋体" w:eastAsia="宋体" w:cs="宋体"/>
          <w:b w:val="0"/>
          <w:bCs/>
          <w:color w:val="auto"/>
          <w:kern w:val="0"/>
          <w:sz w:val="22"/>
          <w:szCs w:val="22"/>
          <w:highlight w:val="none"/>
          <w:lang w:val="en-US" w:eastAsia="zh-CN"/>
        </w:rPr>
        <w:t xml:space="preserve"> </w:t>
      </w:r>
      <w:r>
        <w:rPr>
          <w:rFonts w:hint="eastAsia" w:ascii="宋体" w:hAnsi="宋体" w:eastAsia="宋体" w:cs="宋体"/>
          <w:b w:val="0"/>
          <w:bCs/>
          <w:color w:val="auto"/>
          <w:kern w:val="0"/>
          <w:sz w:val="22"/>
          <w:szCs w:val="22"/>
          <w:highlight w:val="none"/>
          <w:lang w:eastAsia="zh-CN"/>
        </w:rPr>
        <w:t>预算金额（元）：</w:t>
      </w:r>
      <w:r>
        <w:rPr>
          <w:rFonts w:hint="eastAsia" w:ascii="宋体" w:hAnsi="宋体" w:cs="宋体"/>
          <w:b w:val="0"/>
          <w:bCs/>
          <w:color w:val="auto"/>
          <w:kern w:val="0"/>
          <w:sz w:val="22"/>
          <w:szCs w:val="22"/>
          <w:highlight w:val="none"/>
          <w:lang w:eastAsia="zh-CN"/>
        </w:rPr>
        <w:t>2861500</w:t>
      </w:r>
      <w:r>
        <w:rPr>
          <w:rFonts w:hint="eastAsia" w:ascii="宋体" w:hAnsi="宋体" w:eastAsia="宋体" w:cs="宋体"/>
          <w:b w:val="0"/>
          <w:bCs/>
          <w:color w:val="auto"/>
          <w:kern w:val="0"/>
          <w:sz w:val="22"/>
          <w:szCs w:val="22"/>
          <w:highlight w:val="none"/>
          <w:lang w:eastAsia="zh-CN"/>
        </w:rPr>
        <w:tab/>
      </w:r>
      <w:r>
        <w:rPr>
          <w:rFonts w:hint="eastAsia" w:ascii="宋体" w:hAnsi="宋体" w:eastAsia="宋体" w:cs="宋体"/>
          <w:b w:val="0"/>
          <w:bCs/>
          <w:color w:val="auto"/>
          <w:kern w:val="0"/>
          <w:sz w:val="22"/>
          <w:szCs w:val="22"/>
          <w:highlight w:val="none"/>
          <w:lang w:eastAsia="zh-CN"/>
        </w:rPr>
        <w:tab/>
      </w:r>
      <w:r>
        <w:rPr>
          <w:rFonts w:hint="eastAsia" w:ascii="宋体" w:hAnsi="宋体" w:eastAsia="宋体" w:cs="宋体"/>
          <w:b w:val="0"/>
          <w:bCs/>
          <w:color w:val="auto"/>
          <w:kern w:val="0"/>
          <w:sz w:val="22"/>
          <w:szCs w:val="22"/>
          <w:highlight w:val="none"/>
          <w:lang w:eastAsia="zh-CN"/>
        </w:rPr>
        <w:tab/>
      </w:r>
      <w:r>
        <w:rPr>
          <w:rFonts w:hint="eastAsia" w:ascii="宋体" w:hAnsi="宋体" w:eastAsia="宋体" w:cs="宋体"/>
          <w:b w:val="0"/>
          <w:bCs/>
          <w:color w:val="auto"/>
          <w:kern w:val="0"/>
          <w:sz w:val="22"/>
          <w:szCs w:val="22"/>
          <w:highlight w:val="none"/>
          <w:lang w:eastAsia="zh-CN"/>
        </w:rPr>
        <w:tab/>
      </w:r>
    </w:p>
    <w:p w14:paraId="617FEE5D">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 xml:space="preserve">  </w:t>
      </w:r>
      <w:r>
        <w:rPr>
          <w:rFonts w:hint="eastAsia" w:ascii="宋体" w:hAnsi="宋体" w:eastAsia="宋体" w:cs="宋体"/>
          <w:b w:val="0"/>
          <w:bCs/>
          <w:color w:val="auto"/>
          <w:kern w:val="0"/>
          <w:sz w:val="22"/>
          <w:szCs w:val="22"/>
          <w:highlight w:val="none"/>
          <w:lang w:val="en-US" w:eastAsia="zh-CN"/>
        </w:rPr>
        <w:t xml:space="preserve"> </w:t>
      </w:r>
      <w:r>
        <w:rPr>
          <w:rFonts w:hint="eastAsia" w:ascii="宋体" w:hAnsi="宋体" w:eastAsia="宋体" w:cs="宋体"/>
          <w:b w:val="0"/>
          <w:bCs/>
          <w:color w:val="auto"/>
          <w:kern w:val="0"/>
          <w:sz w:val="22"/>
          <w:szCs w:val="22"/>
          <w:highlight w:val="none"/>
          <w:lang w:eastAsia="zh-CN"/>
        </w:rPr>
        <w:t>单位：批 </w:t>
      </w:r>
    </w:p>
    <w:p w14:paraId="0511A3B0">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 xml:space="preserve">  </w:t>
      </w:r>
      <w:r>
        <w:rPr>
          <w:rFonts w:hint="eastAsia" w:ascii="宋体" w:hAnsi="宋体" w:eastAsia="宋体" w:cs="宋体"/>
          <w:b w:val="0"/>
          <w:bCs/>
          <w:color w:val="auto"/>
          <w:kern w:val="0"/>
          <w:sz w:val="22"/>
          <w:szCs w:val="22"/>
          <w:highlight w:val="none"/>
          <w:lang w:val="en-US" w:eastAsia="zh-CN"/>
        </w:rPr>
        <w:t xml:space="preserve"> </w:t>
      </w:r>
      <w:r>
        <w:rPr>
          <w:rFonts w:hint="eastAsia" w:ascii="宋体" w:hAnsi="宋体" w:eastAsia="宋体" w:cs="宋体"/>
          <w:b w:val="0"/>
          <w:bCs/>
          <w:color w:val="auto"/>
          <w:kern w:val="0"/>
          <w:sz w:val="22"/>
          <w:szCs w:val="22"/>
          <w:highlight w:val="none"/>
          <w:lang w:eastAsia="zh-CN"/>
        </w:rPr>
        <w:t>简要规格描述：2025年度鳌江镇建成区苗木养护、补植、绿地修复</w:t>
      </w:r>
      <w:r>
        <w:rPr>
          <w:rFonts w:hint="eastAsia" w:ascii="宋体" w:hAnsi="宋体" w:cs="宋体"/>
          <w:b w:val="0"/>
          <w:bCs/>
          <w:color w:val="auto"/>
          <w:kern w:val="0"/>
          <w:sz w:val="22"/>
          <w:szCs w:val="22"/>
          <w:highlight w:val="none"/>
          <w:lang w:eastAsia="zh-CN"/>
        </w:rPr>
        <w:t>项目</w:t>
      </w:r>
      <w:r>
        <w:rPr>
          <w:rFonts w:hint="eastAsia" w:ascii="宋体" w:hAnsi="宋体" w:eastAsia="宋体" w:cs="宋体"/>
          <w:b w:val="0"/>
          <w:bCs/>
          <w:color w:val="auto"/>
          <w:kern w:val="0"/>
          <w:sz w:val="22"/>
          <w:szCs w:val="22"/>
          <w:highlight w:val="none"/>
          <w:lang w:eastAsia="zh-CN"/>
        </w:rPr>
        <w:t>，详见采购文件 </w:t>
      </w:r>
    </w:p>
    <w:p w14:paraId="03398472">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 xml:space="preserve">  </w:t>
      </w:r>
      <w:r>
        <w:rPr>
          <w:rFonts w:hint="eastAsia" w:ascii="宋体" w:hAnsi="宋体" w:eastAsia="宋体" w:cs="宋体"/>
          <w:b w:val="0"/>
          <w:bCs/>
          <w:color w:val="auto"/>
          <w:kern w:val="0"/>
          <w:sz w:val="22"/>
          <w:szCs w:val="22"/>
          <w:highlight w:val="none"/>
          <w:lang w:val="en-US" w:eastAsia="zh-CN"/>
        </w:rPr>
        <w:t xml:space="preserve"> </w:t>
      </w:r>
      <w:r>
        <w:rPr>
          <w:rFonts w:hint="eastAsia" w:ascii="宋体" w:hAnsi="宋体" w:eastAsia="宋体" w:cs="宋体"/>
          <w:b w:val="0"/>
          <w:bCs/>
          <w:color w:val="auto"/>
          <w:kern w:val="0"/>
          <w:sz w:val="22"/>
          <w:szCs w:val="22"/>
          <w:highlight w:val="none"/>
          <w:lang w:eastAsia="zh-CN"/>
        </w:rPr>
        <w:t>备注：本项目按实结算，折扣率报价，总价不折扣的方式。</w:t>
      </w:r>
      <w:r>
        <w:rPr>
          <w:rFonts w:hint="eastAsia" w:ascii="宋体" w:hAnsi="宋体" w:eastAsia="宋体" w:cs="宋体"/>
          <w:b w:val="0"/>
          <w:bCs/>
          <w:color w:val="auto"/>
          <w:kern w:val="0"/>
          <w:sz w:val="22"/>
          <w:szCs w:val="22"/>
          <w:highlight w:val="none"/>
          <w:lang w:val="en-US" w:eastAsia="zh-CN"/>
        </w:rPr>
        <w:t xml:space="preserve"> </w:t>
      </w:r>
      <w:r>
        <w:rPr>
          <w:rFonts w:hint="eastAsia" w:ascii="宋体" w:hAnsi="宋体" w:eastAsia="宋体" w:cs="宋体"/>
          <w:b w:val="0"/>
          <w:bCs/>
          <w:color w:val="auto"/>
          <w:kern w:val="0"/>
          <w:sz w:val="22"/>
          <w:szCs w:val="22"/>
          <w:highlight w:val="none"/>
          <w:lang w:eastAsia="zh-CN"/>
        </w:rPr>
        <w:t> </w:t>
      </w:r>
    </w:p>
    <w:p w14:paraId="448D2FC4">
      <w:pPr>
        <w:widowControl/>
        <w:shd w:val="clear" w:color="auto"/>
        <w:spacing w:line="420" w:lineRule="exact"/>
        <w:jc w:val="both"/>
        <w:rPr>
          <w:rFonts w:hint="eastAsia" w:ascii="宋体" w:hAnsi="宋体" w:eastAsia="宋体" w:cs="宋体"/>
          <w:b w:val="0"/>
          <w:bCs/>
          <w:color w:val="auto"/>
          <w:kern w:val="0"/>
          <w:sz w:val="22"/>
          <w:szCs w:val="22"/>
          <w:highlight w:val="none"/>
          <w:lang w:val="en-US" w:eastAsia="zh-CN"/>
        </w:rPr>
      </w:pPr>
      <w:r>
        <w:rPr>
          <w:rFonts w:hint="eastAsia" w:ascii="宋体" w:hAnsi="宋体" w:eastAsia="宋体" w:cs="宋体"/>
          <w:b w:val="0"/>
          <w:bCs/>
          <w:color w:val="auto"/>
          <w:kern w:val="0"/>
          <w:sz w:val="22"/>
          <w:szCs w:val="22"/>
          <w:highlight w:val="none"/>
          <w:lang w:val="en-US" w:eastAsia="zh-CN"/>
        </w:rPr>
        <w:t>  标项二 </w:t>
      </w:r>
    </w:p>
    <w:p w14:paraId="41688613">
      <w:pPr>
        <w:widowControl/>
        <w:shd w:val="clear" w:color="auto"/>
        <w:spacing w:line="420" w:lineRule="exact"/>
        <w:ind w:firstLine="440" w:firstLineChars="200"/>
        <w:jc w:val="both"/>
        <w:rPr>
          <w:rFonts w:hint="eastAsia"/>
          <w:color w:val="auto"/>
          <w:highlight w:val="none"/>
          <w:lang w:val="en-US" w:eastAsia="zh-CN"/>
        </w:rPr>
      </w:pPr>
      <w:r>
        <w:rPr>
          <w:rFonts w:hint="eastAsia" w:ascii="宋体" w:hAnsi="宋体" w:eastAsia="宋体" w:cs="宋体"/>
          <w:b w:val="0"/>
          <w:bCs/>
          <w:color w:val="auto"/>
          <w:kern w:val="0"/>
          <w:sz w:val="22"/>
          <w:szCs w:val="22"/>
          <w:highlight w:val="none"/>
          <w:lang w:val="en-US" w:eastAsia="zh-CN"/>
        </w:rPr>
        <w:t>标项名称</w:t>
      </w:r>
      <w:r>
        <w:rPr>
          <w:rFonts w:hint="eastAsia" w:ascii="宋体" w:hAnsi="宋体" w:cs="宋体"/>
          <w:b w:val="0"/>
          <w:bCs/>
          <w:color w:val="auto"/>
          <w:kern w:val="0"/>
          <w:sz w:val="22"/>
          <w:szCs w:val="22"/>
          <w:highlight w:val="none"/>
          <w:lang w:val="en-US" w:eastAsia="zh-CN"/>
        </w:rPr>
        <w:t>：</w:t>
      </w:r>
      <w:r>
        <w:rPr>
          <w:rFonts w:hint="eastAsia" w:ascii="宋体" w:hAnsi="宋体" w:eastAsia="宋体" w:cs="宋体"/>
          <w:b w:val="0"/>
          <w:bCs/>
          <w:color w:val="auto"/>
          <w:kern w:val="0"/>
          <w:sz w:val="22"/>
          <w:szCs w:val="22"/>
          <w:highlight w:val="none"/>
          <w:lang w:val="en-US" w:eastAsia="zh-CN"/>
        </w:rPr>
        <w:t>2025年度鳌江镇</w:t>
      </w:r>
      <w:r>
        <w:rPr>
          <w:rFonts w:hint="eastAsia" w:ascii="宋体" w:hAnsi="宋体" w:cs="宋体"/>
          <w:b w:val="0"/>
          <w:bCs/>
          <w:color w:val="auto"/>
          <w:kern w:val="0"/>
          <w:sz w:val="22"/>
          <w:szCs w:val="22"/>
          <w:highlight w:val="none"/>
          <w:lang w:val="en-US" w:eastAsia="zh-CN"/>
        </w:rPr>
        <w:t>东塘河</w:t>
      </w:r>
      <w:r>
        <w:rPr>
          <w:rFonts w:hint="eastAsia" w:ascii="宋体" w:hAnsi="宋体" w:eastAsia="宋体" w:cs="宋体"/>
          <w:b w:val="0"/>
          <w:bCs/>
          <w:color w:val="auto"/>
          <w:kern w:val="0"/>
          <w:sz w:val="22"/>
          <w:szCs w:val="22"/>
          <w:highlight w:val="none"/>
          <w:lang w:val="en-US" w:eastAsia="zh-CN"/>
        </w:rPr>
        <w:t>苗木养护、补植、绿地修复</w:t>
      </w:r>
      <w:r>
        <w:rPr>
          <w:rFonts w:hint="eastAsia" w:ascii="宋体" w:hAnsi="宋体" w:cs="宋体"/>
          <w:b w:val="0"/>
          <w:bCs/>
          <w:color w:val="auto"/>
          <w:kern w:val="0"/>
          <w:sz w:val="22"/>
          <w:szCs w:val="22"/>
          <w:highlight w:val="none"/>
          <w:lang w:val="en-US" w:eastAsia="zh-CN"/>
        </w:rPr>
        <w:t>项目</w:t>
      </w:r>
    </w:p>
    <w:p w14:paraId="33311C2D">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val="en-US" w:eastAsia="zh-CN"/>
        </w:rPr>
        <w:t>  数量：1       </w:t>
      </w:r>
    </w:p>
    <w:p w14:paraId="6A0D9E90">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  预算金额（元）：</w:t>
      </w:r>
      <w:r>
        <w:rPr>
          <w:rFonts w:hint="eastAsia" w:ascii="宋体" w:hAnsi="宋体" w:cs="宋体"/>
          <w:b w:val="0"/>
          <w:bCs/>
          <w:color w:val="auto"/>
          <w:kern w:val="0"/>
          <w:sz w:val="22"/>
          <w:szCs w:val="22"/>
          <w:highlight w:val="none"/>
          <w:lang w:eastAsia="zh-CN"/>
        </w:rPr>
        <w:t>1938500</w:t>
      </w:r>
    </w:p>
    <w:p w14:paraId="573BBA14">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  单位：批 </w:t>
      </w:r>
    </w:p>
    <w:p w14:paraId="612462EC">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 xml:space="preserve">  </w:t>
      </w:r>
      <w:r>
        <w:rPr>
          <w:rFonts w:hint="eastAsia" w:ascii="宋体" w:hAnsi="宋体" w:eastAsia="宋体" w:cs="宋体"/>
          <w:b w:val="0"/>
          <w:bCs/>
          <w:color w:val="auto"/>
          <w:kern w:val="0"/>
          <w:sz w:val="22"/>
          <w:szCs w:val="22"/>
          <w:highlight w:val="none"/>
          <w:lang w:val="en-US" w:eastAsia="zh-CN"/>
        </w:rPr>
        <w:t xml:space="preserve"> </w:t>
      </w:r>
      <w:r>
        <w:rPr>
          <w:rFonts w:hint="eastAsia" w:ascii="宋体" w:hAnsi="宋体" w:eastAsia="宋体" w:cs="宋体"/>
          <w:b w:val="0"/>
          <w:bCs/>
          <w:color w:val="auto"/>
          <w:kern w:val="0"/>
          <w:sz w:val="22"/>
          <w:szCs w:val="22"/>
          <w:highlight w:val="none"/>
          <w:lang w:eastAsia="zh-CN"/>
        </w:rPr>
        <w:t>简要规格描述：2025年度鳌江镇东塘河苗木养护、补植、绿地修复</w:t>
      </w:r>
      <w:r>
        <w:rPr>
          <w:rFonts w:hint="eastAsia" w:ascii="宋体" w:hAnsi="宋体" w:cs="宋体"/>
          <w:b w:val="0"/>
          <w:bCs/>
          <w:color w:val="auto"/>
          <w:kern w:val="0"/>
          <w:sz w:val="22"/>
          <w:szCs w:val="22"/>
          <w:highlight w:val="none"/>
          <w:lang w:eastAsia="zh-CN"/>
        </w:rPr>
        <w:t>项目</w:t>
      </w:r>
      <w:r>
        <w:rPr>
          <w:rFonts w:hint="eastAsia" w:ascii="宋体" w:hAnsi="宋体" w:eastAsia="宋体" w:cs="宋体"/>
          <w:b w:val="0"/>
          <w:bCs/>
          <w:color w:val="auto"/>
          <w:kern w:val="0"/>
          <w:sz w:val="22"/>
          <w:szCs w:val="22"/>
          <w:highlight w:val="none"/>
          <w:lang w:eastAsia="zh-CN"/>
        </w:rPr>
        <w:t>，详见采购文件。</w:t>
      </w:r>
    </w:p>
    <w:p w14:paraId="397A4448">
      <w:pPr>
        <w:widowControl/>
        <w:shd w:val="clear" w:color="auto"/>
        <w:spacing w:line="420" w:lineRule="exact"/>
        <w:jc w:val="both"/>
        <w:rPr>
          <w:rFonts w:hint="eastAsia" w:ascii="宋体" w:hAnsi="宋体" w:eastAsia="宋体" w:cs="宋体"/>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 xml:space="preserve">  </w:t>
      </w:r>
      <w:r>
        <w:rPr>
          <w:rFonts w:hint="eastAsia" w:ascii="宋体" w:hAnsi="宋体" w:eastAsia="宋体" w:cs="宋体"/>
          <w:b w:val="0"/>
          <w:bCs/>
          <w:color w:val="auto"/>
          <w:kern w:val="0"/>
          <w:sz w:val="22"/>
          <w:szCs w:val="22"/>
          <w:highlight w:val="none"/>
          <w:lang w:val="en-US" w:eastAsia="zh-CN"/>
        </w:rPr>
        <w:t xml:space="preserve"> </w:t>
      </w:r>
      <w:r>
        <w:rPr>
          <w:rFonts w:hint="eastAsia" w:ascii="宋体" w:hAnsi="宋体" w:eastAsia="宋体" w:cs="宋体"/>
          <w:b w:val="0"/>
          <w:bCs/>
          <w:color w:val="auto"/>
          <w:kern w:val="0"/>
          <w:sz w:val="22"/>
          <w:szCs w:val="22"/>
          <w:highlight w:val="none"/>
          <w:lang w:eastAsia="zh-CN"/>
        </w:rPr>
        <w:t>备注：本项目按实结算，折扣率报价，总价不折扣的方式。 </w:t>
      </w:r>
    </w:p>
    <w:p w14:paraId="78969F11">
      <w:pPr>
        <w:widowControl/>
        <w:shd w:val="clear" w:color="auto"/>
        <w:spacing w:line="420" w:lineRule="exact"/>
        <w:ind w:firstLine="440" w:firstLineChars="200"/>
        <w:jc w:val="left"/>
        <w:rPr>
          <w:rFonts w:hint="eastAsia" w:ascii="宋体" w:hAnsi="宋体" w:eastAsia="宋体" w:cs="Arial"/>
          <w:b w:val="0"/>
          <w:bCs/>
          <w:color w:val="auto"/>
          <w:kern w:val="0"/>
          <w:sz w:val="22"/>
          <w:szCs w:val="22"/>
          <w:highlight w:val="none"/>
          <w:lang w:eastAsia="zh-CN"/>
        </w:rPr>
      </w:pPr>
      <w:r>
        <w:rPr>
          <w:rFonts w:hint="eastAsia" w:ascii="宋体" w:hAnsi="宋体" w:eastAsia="宋体" w:cs="宋体"/>
          <w:b w:val="0"/>
          <w:bCs/>
          <w:color w:val="auto"/>
          <w:kern w:val="0"/>
          <w:sz w:val="22"/>
          <w:szCs w:val="22"/>
          <w:highlight w:val="none"/>
          <w:lang w:eastAsia="zh-CN"/>
        </w:rPr>
        <w:t>合同履约期限：标项 1、2管理服务期为一年</w:t>
      </w:r>
      <w:r>
        <w:rPr>
          <w:rFonts w:hint="eastAsia" w:ascii="宋体" w:hAnsi="宋体" w:eastAsia="宋体" w:cs="Arial"/>
          <w:b w:val="0"/>
          <w:bCs/>
          <w:color w:val="auto"/>
          <w:kern w:val="0"/>
          <w:sz w:val="22"/>
          <w:szCs w:val="22"/>
          <w:highlight w:val="none"/>
          <w:lang w:val="en-US" w:eastAsia="zh-CN"/>
        </w:rPr>
        <w:t>或支付至各标项采购预算满则视为合同履约结束（按先达到的条件认定）。</w:t>
      </w:r>
    </w:p>
    <w:p w14:paraId="59B68104">
      <w:pPr>
        <w:pStyle w:val="41"/>
        <w:keepNext w:val="0"/>
        <w:keepLines w:val="0"/>
        <w:widowControl/>
        <w:numPr>
          <w:ilvl w:val="0"/>
          <w:numId w:val="5"/>
        </w:numPr>
        <w:suppressLineNumbers w:val="0"/>
        <w:shd w:val="clear" w:color="auto"/>
        <w:spacing w:before="0" w:beforeAutospacing="0" w:after="0" w:afterAutospacing="0" w:line="420" w:lineRule="atLeast"/>
        <w:ind w:right="0"/>
        <w:jc w:val="left"/>
        <w:rPr>
          <w:rFonts w:hint="eastAsia" w:ascii="宋体" w:hAnsi="宋体" w:eastAsia="宋体"/>
          <w:color w:val="auto"/>
          <w:sz w:val="22"/>
          <w:szCs w:val="22"/>
          <w:highlight w:val="none"/>
        </w:rPr>
      </w:pPr>
      <w:r>
        <w:rPr>
          <w:rFonts w:hint="eastAsia" w:ascii="宋体" w:hAnsi="宋体" w:eastAsia="宋体"/>
          <w:b/>
          <w:color w:val="auto"/>
          <w:sz w:val="22"/>
          <w:szCs w:val="22"/>
          <w:highlight w:val="none"/>
          <w:shd w:val="clear" w:color="auto" w:fill="FFFFFF"/>
        </w:rPr>
        <w:t>申请人的资格要求</w:t>
      </w:r>
      <w:r>
        <w:rPr>
          <w:rFonts w:hint="eastAsia" w:ascii="宋体" w:hAnsi="宋体" w:eastAsia="宋体"/>
          <w:color w:val="auto"/>
          <w:sz w:val="22"/>
          <w:szCs w:val="22"/>
          <w:highlight w:val="none"/>
        </w:rPr>
        <w:t xml:space="preserve">  </w:t>
      </w:r>
    </w:p>
    <w:p w14:paraId="54A45872">
      <w:pPr>
        <w:pStyle w:val="41"/>
        <w:keepNext w:val="0"/>
        <w:keepLines w:val="0"/>
        <w:widowControl/>
        <w:numPr>
          <w:ilvl w:val="0"/>
          <w:numId w:val="0"/>
        </w:numPr>
        <w:suppressLineNumbers w:val="0"/>
        <w:shd w:val="clear" w:color="auto"/>
        <w:spacing w:before="0" w:beforeAutospacing="0" w:after="0" w:afterAutospacing="0" w:line="420" w:lineRule="atLeast"/>
        <w:ind w:right="0" w:rightChars="0" w:firstLine="440" w:firstLineChars="200"/>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1.满足《平阳县县属国有企业采购管理办法（试行）》</w:t>
      </w:r>
      <w:r>
        <w:rPr>
          <w:rFonts w:hint="eastAsia" w:ascii="宋体" w:hAnsi="宋体" w:eastAsia="宋体" w:cs="宋体"/>
          <w:i w:val="0"/>
          <w:iCs w:val="0"/>
          <w:caps w:val="0"/>
          <w:color w:val="333333"/>
          <w:spacing w:val="0"/>
          <w:sz w:val="22"/>
          <w:szCs w:val="22"/>
          <w:shd w:val="clear" w:fill="FFFFFF"/>
        </w:rPr>
        <w:t>（平国资办〔2021〕81号）</w:t>
      </w:r>
      <w:r>
        <w:rPr>
          <w:rFonts w:hint="eastAsia" w:ascii="宋体" w:hAnsi="宋体" w:eastAsia="宋体"/>
          <w:color w:val="auto"/>
          <w:sz w:val="22"/>
          <w:szCs w:val="22"/>
          <w:highlight w:val="none"/>
        </w:rPr>
        <w:t>第十四条规定；未被“信用中国”（www.creditchina.gov.cn)、中国政府采购网（www.ccgp.gov.cn）列入失信被执行人、重大税收违法案件当事人名单、政府采购严重违法失信行为记录名单。</w:t>
      </w:r>
    </w:p>
    <w:p w14:paraId="46C2852D">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2.落实政府采购政策需满足的资格要求：无 </w:t>
      </w:r>
    </w:p>
    <w:p w14:paraId="59090F8C">
      <w:pPr>
        <w:shd w:val="clea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w:t>
      </w:r>
      <w:r>
        <w:rPr>
          <w:rFonts w:hint="eastAsia" w:ascii="宋体" w:hAnsi="宋体" w:eastAsia="宋体"/>
          <w:color w:val="auto"/>
          <w:sz w:val="22"/>
          <w:szCs w:val="22"/>
          <w:highlight w:val="none"/>
          <w:lang w:val="en-US" w:eastAsia="zh-CN"/>
        </w:rPr>
        <w:t xml:space="preserve"> </w:t>
      </w:r>
      <w:r>
        <w:rPr>
          <w:rFonts w:hint="eastAsia" w:ascii="宋体" w:hAnsi="宋体" w:eastAsia="宋体"/>
          <w:color w:val="auto"/>
          <w:sz w:val="22"/>
          <w:szCs w:val="22"/>
          <w:highlight w:val="none"/>
        </w:rPr>
        <w:t>3.本项目的特定资格要求：无</w:t>
      </w:r>
    </w:p>
    <w:p w14:paraId="358967DC">
      <w:pPr>
        <w:pStyle w:val="41"/>
        <w:keepNext w:val="0"/>
        <w:keepLines w:val="0"/>
        <w:widowControl/>
        <w:suppressLineNumbers w:val="0"/>
        <w:shd w:val="clear" w:color="auto"/>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三、获取招标文件</w:t>
      </w:r>
    </w:p>
    <w:p w14:paraId="27F8285D">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12月25日</w:t>
      </w:r>
      <w:r>
        <w:rPr>
          <w:rFonts w:hint="eastAsia" w:ascii="宋体" w:hAnsi="宋体" w:eastAsia="宋体" w:cs="宋体"/>
          <w:color w:val="auto"/>
          <w:sz w:val="22"/>
          <w:szCs w:val="22"/>
          <w:highlight w:val="none"/>
          <w:shd w:val="clear" w:color="auto" w:fill="FFFFFF"/>
        </w:rPr>
        <w:t>至</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02月13日</w:t>
      </w:r>
      <w:r>
        <w:rPr>
          <w:rFonts w:hint="eastAsia" w:ascii="宋体" w:hAnsi="宋体" w:eastAsia="宋体"/>
          <w:color w:val="auto"/>
          <w:sz w:val="22"/>
          <w:szCs w:val="22"/>
          <w:highlight w:val="none"/>
          <w:shd w:val="clear" w:color="auto" w:fill="FFFFFF"/>
        </w:rPr>
        <w:t>，每天上午00:00至12:00，下午12:00至23:59（北京时间，线上获取法定节假日均可，线下获取文件法定节假日除外）</w:t>
      </w:r>
    </w:p>
    <w:p w14:paraId="51A0C409">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地点（网址）：</w:t>
      </w:r>
      <w:r>
        <w:rPr>
          <w:rFonts w:hint="eastAsia" w:ascii="宋体" w:hAnsi="宋体"/>
          <w:color w:val="auto"/>
          <w:sz w:val="22"/>
          <w:szCs w:val="22"/>
          <w:highlight w:val="none"/>
          <w:shd w:val="clear" w:color="auto" w:fill="FFFFFF"/>
          <w:lang w:eastAsia="zh-CN"/>
        </w:rPr>
        <w:t>乐采云平台</w:t>
      </w:r>
      <w:r>
        <w:rPr>
          <w:rFonts w:hint="eastAsia" w:ascii="宋体" w:hAnsi="宋体" w:eastAsia="宋体"/>
          <w:color w:val="auto"/>
          <w:sz w:val="22"/>
          <w:szCs w:val="22"/>
          <w:highlight w:val="none"/>
          <w:shd w:val="clear" w:color="auto" w:fill="FFFFFF"/>
        </w:rPr>
        <w:t>（www.zcygov.cn）；</w:t>
      </w:r>
    </w:p>
    <w:p w14:paraId="165E6CC2">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方式：供应商登录</w:t>
      </w:r>
      <w:r>
        <w:rPr>
          <w:rFonts w:hint="eastAsia" w:ascii="宋体" w:hAnsi="宋体"/>
          <w:color w:val="auto"/>
          <w:sz w:val="22"/>
          <w:szCs w:val="22"/>
          <w:highlight w:val="none"/>
          <w:shd w:val="clear" w:color="auto" w:fill="FFFFFF"/>
          <w:lang w:eastAsia="zh-CN"/>
        </w:rPr>
        <w:t>乐采云平台www.lecaiyun.com</w:t>
      </w:r>
      <w:r>
        <w:rPr>
          <w:rFonts w:hint="eastAsia" w:ascii="宋体" w:hAnsi="宋体" w:eastAsia="宋体"/>
          <w:color w:val="auto"/>
          <w:sz w:val="22"/>
          <w:szCs w:val="22"/>
          <w:highlight w:val="none"/>
          <w:shd w:val="clear" w:color="auto" w:fill="FFFFFF"/>
        </w:rPr>
        <w:t>/在线申请获取采购文件（进入“项目采购”应用，在获取采购文件菜单中选择项目，申请获取采购文件）；</w:t>
      </w:r>
    </w:p>
    <w:p w14:paraId="63D39B7A">
      <w:pPr>
        <w:pStyle w:val="41"/>
        <w:keepNext w:val="0"/>
        <w:keepLines w:val="0"/>
        <w:widowControl/>
        <w:suppressLineNumbers w:val="0"/>
        <w:shd w:val="clear" w:color="auto"/>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四、提交投标文件截止时间、开标时间和地点</w:t>
      </w:r>
    </w:p>
    <w:p w14:paraId="01F65AD4">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提交投标文件截止时间：2025年0</w:t>
      </w:r>
      <w:r>
        <w:rPr>
          <w:rFonts w:hint="eastAsia" w:ascii="宋体" w:hAnsi="宋体"/>
          <w:color w:val="auto"/>
          <w:sz w:val="22"/>
          <w:szCs w:val="22"/>
          <w:highlight w:val="none"/>
          <w:shd w:val="clear" w:color="auto" w:fill="FFFFFF"/>
          <w:lang w:val="en-US" w:eastAsia="zh-CN"/>
        </w:rPr>
        <w:t>2</w:t>
      </w:r>
      <w:r>
        <w:rPr>
          <w:rFonts w:hint="eastAsia" w:ascii="宋体" w:hAnsi="宋体" w:eastAsia="宋体"/>
          <w:color w:val="auto"/>
          <w:sz w:val="22"/>
          <w:szCs w:val="22"/>
          <w:highlight w:val="none"/>
          <w:shd w:val="clear" w:color="auto" w:fill="FFFFFF"/>
        </w:rPr>
        <w:t xml:space="preserve">月13日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w:t>
      </w:r>
    </w:p>
    <w:p w14:paraId="1E73236C">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投标地点（网址）：乐采云平台在线投标</w:t>
      </w:r>
    </w:p>
    <w:p w14:paraId="7A71102A">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开标时间：2025年0</w:t>
      </w:r>
      <w:r>
        <w:rPr>
          <w:rFonts w:hint="eastAsia" w:ascii="宋体" w:hAnsi="宋体"/>
          <w:color w:val="auto"/>
          <w:sz w:val="22"/>
          <w:szCs w:val="22"/>
          <w:highlight w:val="none"/>
          <w:shd w:val="clear" w:color="auto" w:fill="FFFFFF"/>
          <w:lang w:val="en-US" w:eastAsia="zh-CN"/>
        </w:rPr>
        <w:t>2</w:t>
      </w:r>
      <w:r>
        <w:rPr>
          <w:rFonts w:hint="eastAsia" w:ascii="宋体" w:hAnsi="宋体" w:eastAsia="宋体"/>
          <w:color w:val="auto"/>
          <w:sz w:val="22"/>
          <w:szCs w:val="22"/>
          <w:highlight w:val="none"/>
          <w:shd w:val="clear" w:color="auto" w:fill="FFFFFF"/>
        </w:rPr>
        <w:t xml:space="preserve">月13日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 （北京时间）</w:t>
      </w:r>
    </w:p>
    <w:p w14:paraId="32013743">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开标地点（网址）：</w:t>
      </w:r>
      <w:r>
        <w:rPr>
          <w:rFonts w:hint="eastAsia" w:ascii="宋体" w:hAnsi="宋体" w:eastAsia="宋体"/>
          <w:color w:val="auto"/>
          <w:sz w:val="22"/>
          <w:szCs w:val="22"/>
          <w:highlight w:val="none"/>
          <w:shd w:val="clear" w:color="auto" w:fill="FFFFFF"/>
          <w:lang w:eastAsia="zh-CN"/>
        </w:rPr>
        <w:t>乐采云平台</w:t>
      </w:r>
      <w:r>
        <w:rPr>
          <w:rFonts w:hint="eastAsia" w:ascii="宋体" w:hAnsi="宋体" w:eastAsia="宋体"/>
          <w:color w:val="auto"/>
          <w:sz w:val="22"/>
          <w:szCs w:val="22"/>
          <w:highlight w:val="none"/>
          <w:shd w:val="clear" w:color="auto" w:fill="FFFFFF"/>
        </w:rPr>
        <w:t>在线投标</w:t>
      </w:r>
    </w:p>
    <w:p w14:paraId="14F26C08">
      <w:pPr>
        <w:pStyle w:val="41"/>
        <w:keepNext w:val="0"/>
        <w:keepLines w:val="0"/>
        <w:widowControl/>
        <w:numPr>
          <w:ilvl w:val="0"/>
          <w:numId w:val="6"/>
        </w:numPr>
        <w:suppressLineNumbers w:val="0"/>
        <w:shd w:val="clear" w:color="auto"/>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公告期限:自本公告发布之日起5个工作日</w:t>
      </w:r>
    </w:p>
    <w:p w14:paraId="646810D8">
      <w:pPr>
        <w:pStyle w:val="41"/>
        <w:keepNext w:val="0"/>
        <w:keepLines w:val="0"/>
        <w:widowControl/>
        <w:numPr>
          <w:ilvl w:val="0"/>
          <w:numId w:val="6"/>
        </w:numPr>
        <w:suppressLineNumbers w:val="0"/>
        <w:shd w:val="clear" w:color="auto"/>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投标保证金：</w:t>
      </w:r>
      <w:r>
        <w:rPr>
          <w:rFonts w:hint="eastAsia" w:ascii="宋体" w:hAnsi="宋体" w:eastAsia="宋体"/>
          <w:b/>
          <w:color w:val="auto"/>
          <w:sz w:val="22"/>
          <w:szCs w:val="22"/>
          <w:highlight w:val="none"/>
          <w:shd w:val="clear" w:color="auto" w:fill="FFFFFF"/>
          <w:lang w:val="en-US" w:eastAsia="zh-CN"/>
        </w:rPr>
        <w:t>无</w:t>
      </w:r>
    </w:p>
    <w:p w14:paraId="7DF360E9">
      <w:pPr>
        <w:pStyle w:val="41"/>
        <w:keepNext w:val="0"/>
        <w:keepLines w:val="0"/>
        <w:widowControl/>
        <w:suppressLineNumbers w:val="0"/>
        <w:shd w:val="clear" w:color="auto"/>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七、</w:t>
      </w:r>
      <w:r>
        <w:rPr>
          <w:rFonts w:hint="eastAsia" w:ascii="宋体" w:hAnsi="宋体" w:eastAsia="宋体"/>
          <w:b/>
          <w:color w:val="auto"/>
          <w:sz w:val="22"/>
          <w:szCs w:val="22"/>
          <w:highlight w:val="none"/>
          <w:shd w:val="clear" w:color="auto" w:fill="FFFFFF"/>
        </w:rPr>
        <w:t>其他补充事宜</w:t>
      </w:r>
    </w:p>
    <w:p w14:paraId="0A616BB8">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14:paraId="7D4A2E9B">
      <w:pPr>
        <w:shd w:val="clear"/>
        <w:spacing w:line="400" w:lineRule="exact"/>
        <w:ind w:firstLine="440" w:firstLineChars="20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投诉。</w:t>
      </w:r>
    </w:p>
    <w:p w14:paraId="1CA8B339">
      <w:pPr>
        <w:pStyle w:val="41"/>
        <w:keepNext w:val="0"/>
        <w:keepLines w:val="0"/>
        <w:widowControl/>
        <w:suppressLineNumbers w:val="0"/>
        <w:shd w:val="clear" w:color="auto"/>
        <w:spacing w:before="0" w:beforeAutospacing="0" w:after="0" w:afterAutospacing="0" w:line="420" w:lineRule="atLeast"/>
        <w:ind w:left="0" w:right="0" w:firstLine="440"/>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.其他事项：1）本项目通过“</w:t>
      </w:r>
      <w:r>
        <w:rPr>
          <w:rFonts w:hint="eastAsia" w:ascii="宋体" w:hAnsi="宋体"/>
          <w:color w:val="auto"/>
          <w:sz w:val="22"/>
          <w:szCs w:val="22"/>
          <w:highlight w:val="none"/>
          <w:lang w:eastAsia="zh-CN"/>
        </w:rPr>
        <w:t>乐采云平台（www.lecaiyun.com）</w:t>
      </w:r>
      <w:r>
        <w:rPr>
          <w:rFonts w:hint="eastAsia" w:ascii="宋体" w:hAnsi="宋体" w:eastAsia="宋体"/>
          <w:color w:val="auto"/>
          <w:sz w:val="22"/>
          <w:szCs w:val="22"/>
          <w:highlight w:val="none"/>
        </w:rPr>
        <w:t>”实行在线投标响应（电子投标），供应商应先安装“政采云电子交易客户端”，并按照本招标文件和“</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”的要求，通过“政采云电子交易客户端”编制并加密投标文件。供应商未按规定加密的投标文件，“</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”将予以拒收。 “政采云电子交易客户端”请自行前往“浙江政府采购网-下载专区-电子交易客户端”进行下载；电子投标具体操作流程详见《供应商项目采购-电子招投标操作指南》；通过“</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”参与在线投标时如遇平台技术问题详询400-881-7190。 2）为确保网上操作合法、有效和安全，</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应当在投标截止时间前完成在“</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应当在投标截止时间前，将生成的“电子加密投标文件”上传递交至“</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”。投标截止时间以后上传递交的投标文件将被“</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”拒收。 4）</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在“</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”上传递交的“电子加密投标文件”无法按时解密，</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递交了备份投标文件的，以备份投标文件为依据，否则视为投标文件撤回。通过“</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”上传递交的“电子加密投标文件”已按时解密的，“备份投标文件”自动失效。</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仅递交备份投标文件的，投标无效。6）供应商在法定质疑期内一次性提出针对同一采购程序环节的质疑。</w:t>
      </w:r>
    </w:p>
    <w:p w14:paraId="7B899DDA">
      <w:pPr>
        <w:pStyle w:val="41"/>
        <w:keepNext w:val="0"/>
        <w:keepLines w:val="0"/>
        <w:widowControl/>
        <w:suppressLineNumbers w:val="0"/>
        <w:shd w:val="clear" w:color="auto"/>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八</w:t>
      </w:r>
      <w:r>
        <w:rPr>
          <w:rFonts w:hint="eastAsia" w:ascii="宋体" w:hAnsi="宋体" w:eastAsia="宋体"/>
          <w:b/>
          <w:color w:val="auto"/>
          <w:sz w:val="22"/>
          <w:szCs w:val="22"/>
          <w:highlight w:val="none"/>
          <w:shd w:val="clear" w:color="auto" w:fill="FFFFFF"/>
        </w:rPr>
        <w:t>、对本次采购提出询问、质疑、投诉，请按以下方式联系：</w:t>
      </w:r>
    </w:p>
    <w:bookmarkEnd w:id="0"/>
    <w:bookmarkEnd w:id="1"/>
    <w:bookmarkEnd w:id="2"/>
    <w:p w14:paraId="0D3606F7">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1、采购人：</w:t>
      </w:r>
      <w:r>
        <w:rPr>
          <w:rFonts w:hint="eastAsia" w:ascii="宋体" w:hAnsi="宋体"/>
          <w:color w:val="auto"/>
          <w:kern w:val="0"/>
          <w:sz w:val="22"/>
          <w:szCs w:val="22"/>
          <w:highlight w:val="none"/>
          <w:lang w:eastAsia="zh-CN"/>
        </w:rPr>
        <w:t>平阳县新鳌城市建设有限公司</w:t>
      </w:r>
    </w:p>
    <w:p w14:paraId="4ABB53B0">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采购人地址：</w:t>
      </w:r>
      <w:r>
        <w:rPr>
          <w:rFonts w:hint="eastAsia" w:ascii="宋体" w:hAnsi="宋体"/>
          <w:color w:val="auto"/>
          <w:kern w:val="0"/>
          <w:sz w:val="22"/>
          <w:szCs w:val="22"/>
          <w:highlight w:val="none"/>
          <w:lang w:eastAsia="zh-CN"/>
        </w:rPr>
        <w:t>平阳县吉祥路 60号(鳌江镇镇政府内)</w:t>
      </w:r>
    </w:p>
    <w:p w14:paraId="068A8DBC">
      <w:pPr>
        <w:widowControl/>
        <w:shd w:val="clear"/>
        <w:snapToGrid w:val="0"/>
        <w:spacing w:line="480" w:lineRule="exact"/>
        <w:ind w:firstLine="431" w:firstLineChars="196"/>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联 系 人：</w:t>
      </w:r>
      <w:r>
        <w:rPr>
          <w:rFonts w:hint="eastAsia" w:ascii="宋体" w:hAnsi="宋体"/>
          <w:color w:val="auto"/>
          <w:kern w:val="0"/>
          <w:sz w:val="22"/>
          <w:szCs w:val="22"/>
          <w:highlight w:val="none"/>
          <w:lang w:val="en-US" w:eastAsia="zh-CN"/>
        </w:rPr>
        <w:t>吴女士</w:t>
      </w:r>
    </w:p>
    <w:p w14:paraId="20B01287">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联系电话：</w:t>
      </w:r>
      <w:r>
        <w:rPr>
          <w:rFonts w:hint="eastAsia" w:ascii="宋体" w:hAnsi="宋体"/>
          <w:color w:val="auto"/>
          <w:kern w:val="0"/>
          <w:sz w:val="22"/>
          <w:szCs w:val="22"/>
          <w:highlight w:val="none"/>
          <w:lang w:eastAsia="zh-CN"/>
        </w:rPr>
        <w:t>0577-63634392</w:t>
      </w:r>
    </w:p>
    <w:p w14:paraId="0C674D97">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2、采购代理机构名称：</w:t>
      </w:r>
      <w:r>
        <w:rPr>
          <w:rFonts w:hint="eastAsia" w:ascii="宋体" w:hAnsi="宋体"/>
          <w:color w:val="auto"/>
          <w:kern w:val="0"/>
          <w:sz w:val="22"/>
          <w:szCs w:val="22"/>
          <w:highlight w:val="none"/>
          <w:lang w:eastAsia="zh-CN"/>
        </w:rPr>
        <w:t>浙江名进建设项目管理有限公司</w:t>
      </w:r>
    </w:p>
    <w:p w14:paraId="3986D7CA">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机构地点：</w:t>
      </w:r>
      <w:r>
        <w:rPr>
          <w:rFonts w:hint="eastAsia" w:ascii="宋体" w:hAnsi="宋体"/>
          <w:color w:val="auto"/>
          <w:kern w:val="0"/>
          <w:sz w:val="22"/>
          <w:szCs w:val="22"/>
          <w:highlight w:val="none"/>
          <w:lang w:eastAsia="zh-CN"/>
        </w:rPr>
        <w:t>平阳县鳌江镇车站大道财富大厦701室</w:t>
      </w:r>
    </w:p>
    <w:p w14:paraId="4B23B701">
      <w:pPr>
        <w:widowControl/>
        <w:shd w:val="clear"/>
        <w:snapToGrid w:val="0"/>
        <w:spacing w:line="480" w:lineRule="exact"/>
        <w:ind w:firstLine="431" w:firstLineChars="196"/>
        <w:jc w:val="left"/>
        <w:rPr>
          <w:rFonts w:hint="default" w:ascii="宋体" w:hAnsi="宋体" w:eastAsia="宋体"/>
          <w:color w:val="auto"/>
          <w:kern w:val="0"/>
          <w:sz w:val="22"/>
          <w:szCs w:val="22"/>
          <w:highlight w:val="none"/>
          <w:lang w:val="en-US" w:eastAsia="zh-CN"/>
        </w:rPr>
      </w:pPr>
      <w:bookmarkStart w:id="3" w:name="B38_联系人"/>
      <w:bookmarkEnd w:id="3"/>
      <w:r>
        <w:rPr>
          <w:rFonts w:hint="eastAsia" w:ascii="宋体" w:hAnsi="宋体" w:eastAsia="宋体"/>
          <w:color w:val="auto"/>
          <w:kern w:val="0"/>
          <w:sz w:val="22"/>
          <w:szCs w:val="22"/>
          <w:highlight w:val="none"/>
          <w:lang w:eastAsia="zh-CN"/>
        </w:rPr>
        <w:t>联系人：</w:t>
      </w:r>
      <w:r>
        <w:rPr>
          <w:rFonts w:hint="eastAsia" w:ascii="宋体" w:hAnsi="宋体"/>
          <w:color w:val="auto"/>
          <w:kern w:val="0"/>
          <w:sz w:val="22"/>
          <w:szCs w:val="22"/>
          <w:highlight w:val="none"/>
          <w:lang w:val="en-US" w:eastAsia="zh-CN"/>
        </w:rPr>
        <w:t>缪女士</w:t>
      </w:r>
    </w:p>
    <w:p w14:paraId="6669A0A5">
      <w:pPr>
        <w:widowControl/>
        <w:shd w:val="clear"/>
        <w:snapToGrid w:val="0"/>
        <w:spacing w:line="480" w:lineRule="exact"/>
        <w:ind w:firstLine="431" w:firstLineChars="196"/>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联系电话：</w:t>
      </w:r>
      <w:r>
        <w:rPr>
          <w:rFonts w:hint="eastAsia" w:ascii="宋体" w:hAnsi="宋体"/>
          <w:color w:val="auto"/>
          <w:kern w:val="0"/>
          <w:sz w:val="22"/>
          <w:szCs w:val="22"/>
          <w:highlight w:val="none"/>
          <w:lang w:val="en-US" w:eastAsia="zh-CN"/>
        </w:rPr>
        <w:t>0577-63639288</w:t>
      </w:r>
    </w:p>
    <w:p w14:paraId="1CD79762">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w:t>
      </w:r>
      <w:r>
        <w:rPr>
          <w:rFonts w:hint="eastAsia" w:ascii="宋体" w:hAnsi="宋体"/>
          <w:color w:val="auto"/>
          <w:kern w:val="0"/>
          <w:sz w:val="22"/>
          <w:szCs w:val="22"/>
          <w:highlight w:val="none"/>
          <w:lang w:val="en-US" w:eastAsia="zh-CN"/>
        </w:rPr>
        <w:t>/</w:t>
      </w:r>
    </w:p>
    <w:p w14:paraId="573B9770">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3、同级采购监督管理部门名称：平阳县新鳌城市建设有限公司</w:t>
      </w:r>
    </w:p>
    <w:p w14:paraId="2B8A9224">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联系人：陈先生</w:t>
      </w:r>
    </w:p>
    <w:p w14:paraId="5EC956D2">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监督投诉电话：0577-63675386</w:t>
      </w:r>
    </w:p>
    <w:p w14:paraId="3966FC43">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w:t>
      </w:r>
    </w:p>
    <w:p w14:paraId="42AD051B">
      <w:pPr>
        <w:widowControl/>
        <w:shd w:val="clear"/>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地址:平阳县新鳌城市建设有限公司</w:t>
      </w:r>
    </w:p>
    <w:p w14:paraId="68D7E9D5">
      <w:pPr>
        <w:shd w:val="clear"/>
        <w:jc w:val="center"/>
        <w:rPr>
          <w:rFonts w:hint="eastAsia" w:ascii="宋体" w:hAnsi="宋体"/>
          <w:b/>
          <w:bCs/>
          <w:color w:val="auto"/>
          <w:sz w:val="36"/>
          <w:szCs w:val="36"/>
          <w:highlight w:val="none"/>
        </w:rPr>
      </w:pPr>
      <w:r>
        <w:rPr>
          <w:rFonts w:hint="eastAsia" w:ascii="宋体" w:hAnsi="宋体"/>
          <w:b/>
          <w:bCs/>
          <w:color w:val="auto"/>
          <w:sz w:val="36"/>
          <w:szCs w:val="36"/>
          <w:highlight w:val="none"/>
        </w:rPr>
        <w:br w:type="page"/>
      </w:r>
      <w:r>
        <w:rPr>
          <w:rFonts w:hint="eastAsia" w:ascii="宋体" w:hAnsi="宋体"/>
          <w:b/>
          <w:bCs/>
          <w:color w:val="auto"/>
          <w:sz w:val="36"/>
          <w:szCs w:val="36"/>
          <w:highlight w:val="none"/>
        </w:rPr>
        <w:t>投 标 通 知 (邀 请) 书</w:t>
      </w:r>
    </w:p>
    <w:p w14:paraId="771C9543">
      <w:pPr>
        <w:shd w:val="clear"/>
        <w:snapToGrid w:val="0"/>
        <w:spacing w:line="360" w:lineRule="auto"/>
        <w:ind w:firstLine="440" w:firstLineChars="200"/>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浙江名进建设项目管理有限公司</w:t>
      </w:r>
      <w:r>
        <w:rPr>
          <w:rFonts w:hint="eastAsia" w:ascii="宋体" w:hAnsi="宋体"/>
          <w:color w:val="auto"/>
          <w:kern w:val="0"/>
          <w:sz w:val="22"/>
          <w:szCs w:val="22"/>
          <w:highlight w:val="none"/>
        </w:rPr>
        <w:t>对</w:t>
      </w:r>
      <w:r>
        <w:rPr>
          <w:rFonts w:hint="eastAsia" w:ascii="宋体" w:hAnsi="宋体"/>
          <w:color w:val="auto"/>
          <w:kern w:val="0"/>
          <w:sz w:val="22"/>
          <w:szCs w:val="22"/>
          <w:highlight w:val="none"/>
          <w:lang w:eastAsia="zh-CN"/>
        </w:rPr>
        <w:t>2025年度鳌江镇苗木养护、补植、绿地修复项目</w:t>
      </w:r>
      <w:r>
        <w:rPr>
          <w:rFonts w:hint="eastAsia" w:ascii="宋体" w:hAnsi="宋体"/>
          <w:color w:val="auto"/>
          <w:kern w:val="0"/>
          <w:sz w:val="22"/>
          <w:szCs w:val="22"/>
          <w:highlight w:val="none"/>
        </w:rPr>
        <w:t>进行公开招标，特通知贵公司（企业）前来投标</w:t>
      </w:r>
      <w:r>
        <w:rPr>
          <w:rFonts w:hint="eastAsia" w:ascii="宋体" w:hAnsi="宋体"/>
          <w:color w:val="auto"/>
          <w:kern w:val="0"/>
          <w:sz w:val="22"/>
          <w:szCs w:val="22"/>
          <w:highlight w:val="none"/>
          <w:lang w:eastAsia="zh-CN"/>
        </w:rPr>
        <w:t>，</w:t>
      </w:r>
      <w:r>
        <w:rPr>
          <w:rFonts w:hint="eastAsia" w:ascii="宋体" w:hAnsi="宋体"/>
          <w:color w:val="auto"/>
          <w:kern w:val="0"/>
          <w:sz w:val="22"/>
          <w:szCs w:val="22"/>
          <w:highlight w:val="none"/>
        </w:rPr>
        <w:t>并请按招标文件的要求认真准备好投标文件，按时前来投标。</w:t>
      </w:r>
    </w:p>
    <w:tbl>
      <w:tblPr>
        <w:tblStyle w:val="13"/>
        <w:tblW w:w="1017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553"/>
        <w:gridCol w:w="7776"/>
      </w:tblGrid>
      <w:tr w14:paraId="37CFC6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75316B05">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序号</w:t>
            </w:r>
          </w:p>
        </w:tc>
        <w:tc>
          <w:tcPr>
            <w:tcW w:w="1553" w:type="dxa"/>
            <w:vAlign w:val="center"/>
          </w:tcPr>
          <w:p w14:paraId="6163BD79">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内容</w:t>
            </w:r>
          </w:p>
        </w:tc>
        <w:tc>
          <w:tcPr>
            <w:tcW w:w="7776" w:type="dxa"/>
            <w:vAlign w:val="center"/>
          </w:tcPr>
          <w:p w14:paraId="2F455353">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说明与要求</w:t>
            </w:r>
          </w:p>
        </w:tc>
      </w:tr>
      <w:tr w14:paraId="6D9A3A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56E05D9E">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67DECA8">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项目名称</w:t>
            </w:r>
          </w:p>
        </w:tc>
        <w:tc>
          <w:tcPr>
            <w:tcW w:w="7776" w:type="dxa"/>
            <w:vAlign w:val="center"/>
          </w:tcPr>
          <w:p w14:paraId="443F7223">
            <w:pPr>
              <w:shd w:val="clea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2025年度鳌江镇苗木养护、补植、绿地修复项目</w:t>
            </w:r>
          </w:p>
        </w:tc>
      </w:tr>
      <w:tr w14:paraId="1E7BB5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2989C26E">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5DFD786">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项目编号</w:t>
            </w:r>
          </w:p>
        </w:tc>
        <w:tc>
          <w:tcPr>
            <w:tcW w:w="7776" w:type="dxa"/>
            <w:vAlign w:val="center"/>
          </w:tcPr>
          <w:p w14:paraId="13C9FB9A">
            <w:pPr>
              <w:shd w:val="clear"/>
              <w:spacing w:line="360" w:lineRule="auto"/>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PYCG241224108</w:t>
            </w:r>
          </w:p>
        </w:tc>
      </w:tr>
      <w:tr w14:paraId="72E5CF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429610AC">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23A76AC">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资金来源</w:t>
            </w:r>
          </w:p>
        </w:tc>
        <w:tc>
          <w:tcPr>
            <w:tcW w:w="7776" w:type="dxa"/>
            <w:vAlign w:val="center"/>
          </w:tcPr>
          <w:p w14:paraId="4A0486E3">
            <w:pPr>
              <w:shd w:val="clea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自筹资金</w:t>
            </w:r>
          </w:p>
        </w:tc>
      </w:tr>
      <w:tr w14:paraId="427CF6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50" w:hRule="atLeast"/>
          <w:jc w:val="center"/>
        </w:trPr>
        <w:tc>
          <w:tcPr>
            <w:tcW w:w="842" w:type="dxa"/>
            <w:vAlign w:val="center"/>
          </w:tcPr>
          <w:p w14:paraId="1ECE996D">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B8975A9">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采购预算</w:t>
            </w:r>
          </w:p>
          <w:p w14:paraId="1EAB2292">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（最高限价）</w:t>
            </w:r>
          </w:p>
        </w:tc>
        <w:tc>
          <w:tcPr>
            <w:tcW w:w="7776" w:type="dxa"/>
            <w:vAlign w:val="center"/>
          </w:tcPr>
          <w:p w14:paraId="16C4D913">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具体见招标公告</w:t>
            </w:r>
          </w:p>
        </w:tc>
      </w:tr>
      <w:tr w14:paraId="19ED6C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03835D43">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23D1BAD">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采购方式</w:t>
            </w:r>
          </w:p>
        </w:tc>
        <w:tc>
          <w:tcPr>
            <w:tcW w:w="7776" w:type="dxa"/>
            <w:vAlign w:val="center"/>
          </w:tcPr>
          <w:p w14:paraId="00502742">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公开招标</w:t>
            </w:r>
          </w:p>
        </w:tc>
      </w:tr>
      <w:tr w14:paraId="0BA677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7CB2C94A">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FCCD382">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采购人</w:t>
            </w:r>
          </w:p>
        </w:tc>
        <w:tc>
          <w:tcPr>
            <w:tcW w:w="7776" w:type="dxa"/>
            <w:vAlign w:val="center"/>
          </w:tcPr>
          <w:p w14:paraId="099E1850">
            <w:pPr>
              <w:widowControl/>
              <w:shd w:val="clear"/>
              <w:snapToGrid w:val="0"/>
              <w:spacing w:line="480" w:lineRule="exact"/>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采购人：</w:t>
            </w:r>
            <w:r>
              <w:rPr>
                <w:rFonts w:hint="eastAsia" w:ascii="宋体" w:hAnsi="宋体"/>
                <w:color w:val="auto"/>
                <w:kern w:val="0"/>
                <w:sz w:val="22"/>
                <w:szCs w:val="22"/>
                <w:highlight w:val="none"/>
                <w:lang w:eastAsia="zh-CN"/>
              </w:rPr>
              <w:t>平阳县新鳌城市建设有限公司</w:t>
            </w:r>
          </w:p>
          <w:p w14:paraId="0815C8D8">
            <w:pPr>
              <w:widowControl/>
              <w:shd w:val="clear"/>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rPr>
              <w:t>采购人地址：</w:t>
            </w:r>
            <w:r>
              <w:rPr>
                <w:rFonts w:hint="eastAsia" w:ascii="宋体" w:hAnsi="宋体"/>
                <w:color w:val="auto"/>
                <w:kern w:val="0"/>
                <w:sz w:val="22"/>
                <w:szCs w:val="22"/>
                <w:highlight w:val="none"/>
                <w:lang w:eastAsia="zh-CN"/>
              </w:rPr>
              <w:t>平阳县吉祥路 60号(鳌江镇镇政府内)</w:t>
            </w:r>
          </w:p>
          <w:p w14:paraId="426D1DBF">
            <w:pPr>
              <w:widowControl/>
              <w:shd w:val="clear"/>
              <w:snapToGrid w:val="0"/>
              <w:spacing w:line="480" w:lineRule="exact"/>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联 系 人：</w:t>
            </w:r>
            <w:r>
              <w:rPr>
                <w:rFonts w:hint="eastAsia" w:ascii="宋体" w:hAnsi="宋体"/>
                <w:color w:val="auto"/>
                <w:kern w:val="0"/>
                <w:sz w:val="22"/>
                <w:szCs w:val="22"/>
                <w:highlight w:val="none"/>
                <w:lang w:val="en-US" w:eastAsia="zh-CN"/>
              </w:rPr>
              <w:t>吴女士</w:t>
            </w:r>
          </w:p>
          <w:p w14:paraId="521F22BA">
            <w:pPr>
              <w:widowControl/>
              <w:shd w:val="clear"/>
              <w:snapToGrid w:val="0"/>
              <w:spacing w:line="480" w:lineRule="exact"/>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lang w:eastAsia="zh-CN"/>
              </w:rPr>
              <w:t>联系电话：</w:t>
            </w:r>
            <w:r>
              <w:rPr>
                <w:rFonts w:hint="eastAsia" w:ascii="宋体" w:hAnsi="宋体"/>
                <w:color w:val="auto"/>
                <w:kern w:val="0"/>
                <w:sz w:val="22"/>
                <w:szCs w:val="22"/>
                <w:highlight w:val="none"/>
                <w:lang w:eastAsia="zh-CN"/>
              </w:rPr>
              <w:t>0577-63634392</w:t>
            </w:r>
          </w:p>
        </w:tc>
      </w:tr>
      <w:tr w14:paraId="77E80D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6E3CDFB0">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B5DDFC3">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采购代理机构</w:t>
            </w:r>
          </w:p>
        </w:tc>
        <w:tc>
          <w:tcPr>
            <w:tcW w:w="7776" w:type="dxa"/>
            <w:vAlign w:val="center"/>
          </w:tcPr>
          <w:p w14:paraId="160CB6EF">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浙江名进建设项目管理有限公司</w:t>
            </w:r>
          </w:p>
          <w:p w14:paraId="777F845A">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平阳县鳌江镇车站大道财富大厦701室</w:t>
            </w:r>
          </w:p>
          <w:p w14:paraId="2F5FB635">
            <w:pPr>
              <w:shd w:val="clear"/>
              <w:spacing w:line="360" w:lineRule="auto"/>
              <w:rPr>
                <w:rFonts w:hint="default" w:ascii="宋体" w:hAnsi="宋体" w:eastAsia="宋体"/>
                <w:color w:val="auto"/>
                <w:sz w:val="22"/>
                <w:szCs w:val="22"/>
                <w:highlight w:val="none"/>
                <w:lang w:val="en-US" w:eastAsia="zh-CN"/>
              </w:rPr>
            </w:pPr>
            <w:r>
              <w:rPr>
                <w:rFonts w:hint="eastAsia" w:ascii="宋体" w:hAnsi="宋体"/>
                <w:color w:val="auto"/>
                <w:sz w:val="22"/>
                <w:szCs w:val="22"/>
                <w:highlight w:val="none"/>
              </w:rPr>
              <w:t>联 系 人：</w:t>
            </w:r>
            <w:r>
              <w:rPr>
                <w:rFonts w:hint="eastAsia" w:ascii="宋体" w:hAnsi="宋体"/>
                <w:color w:val="auto"/>
                <w:sz w:val="22"/>
                <w:szCs w:val="22"/>
                <w:highlight w:val="none"/>
                <w:lang w:val="en-US" w:eastAsia="zh-CN"/>
              </w:rPr>
              <w:t>缪女士</w:t>
            </w:r>
          </w:p>
          <w:p w14:paraId="433393D8">
            <w:pPr>
              <w:shd w:val="clear"/>
              <w:spacing w:line="360" w:lineRule="auto"/>
              <w:rPr>
                <w:rFonts w:hint="default" w:ascii="宋体" w:hAnsi="宋体" w:eastAsia="宋体"/>
                <w:color w:val="auto"/>
                <w:sz w:val="22"/>
                <w:szCs w:val="22"/>
                <w:highlight w:val="none"/>
                <w:lang w:val="en-US" w:eastAsia="zh-CN"/>
              </w:rPr>
            </w:pPr>
            <w:r>
              <w:rPr>
                <w:rFonts w:hint="eastAsia" w:ascii="宋体" w:hAnsi="宋体"/>
                <w:color w:val="auto"/>
                <w:sz w:val="22"/>
                <w:szCs w:val="22"/>
                <w:highlight w:val="none"/>
              </w:rPr>
              <w:t>联系电话</w:t>
            </w:r>
            <w:r>
              <w:rPr>
                <w:rFonts w:hint="eastAsia" w:ascii="宋体" w:hAnsi="宋体"/>
                <w:color w:val="auto"/>
                <w:sz w:val="22"/>
                <w:szCs w:val="22"/>
                <w:highlight w:val="none"/>
                <w:lang w:eastAsia="zh-CN"/>
              </w:rPr>
              <w:t>：</w:t>
            </w:r>
            <w:r>
              <w:rPr>
                <w:rFonts w:hint="eastAsia" w:ascii="宋体" w:hAnsi="宋体"/>
                <w:color w:val="auto"/>
                <w:sz w:val="22"/>
                <w:szCs w:val="22"/>
                <w:highlight w:val="none"/>
                <w:lang w:val="en-US" w:eastAsia="zh-CN"/>
              </w:rPr>
              <w:t>0577-63639288</w:t>
            </w:r>
          </w:p>
        </w:tc>
      </w:tr>
      <w:tr w14:paraId="419E26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6193EF56">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62215FA">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评标办法</w:t>
            </w:r>
          </w:p>
        </w:tc>
        <w:tc>
          <w:tcPr>
            <w:tcW w:w="7776" w:type="dxa"/>
            <w:vAlign w:val="center"/>
          </w:tcPr>
          <w:p w14:paraId="06826C30">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综合评分法</w:t>
            </w:r>
          </w:p>
        </w:tc>
      </w:tr>
      <w:tr w14:paraId="5CBF10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56C90E6A">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5530D79">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招标内容</w:t>
            </w:r>
          </w:p>
        </w:tc>
        <w:tc>
          <w:tcPr>
            <w:tcW w:w="7776" w:type="dxa"/>
            <w:vAlign w:val="center"/>
          </w:tcPr>
          <w:p w14:paraId="47AE5D45">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具体内容见招标文件</w:t>
            </w:r>
          </w:p>
        </w:tc>
      </w:tr>
      <w:tr w14:paraId="149B17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47CFE818">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0E99E02">
            <w:pPr>
              <w:shd w:val="clear"/>
              <w:spacing w:line="360" w:lineRule="auto"/>
              <w:jc w:val="center"/>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投标供应商</w:t>
            </w:r>
          </w:p>
          <w:p w14:paraId="5B6E238E">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资格要求</w:t>
            </w:r>
          </w:p>
        </w:tc>
        <w:tc>
          <w:tcPr>
            <w:tcW w:w="7776" w:type="dxa"/>
            <w:vAlign w:val="center"/>
          </w:tcPr>
          <w:p w14:paraId="6BCE2E4B">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详见招标公告</w:t>
            </w:r>
          </w:p>
        </w:tc>
      </w:tr>
      <w:tr w14:paraId="7A2310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6225C10A">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9295D71">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是否接受联合体投标</w:t>
            </w:r>
          </w:p>
        </w:tc>
        <w:tc>
          <w:tcPr>
            <w:tcW w:w="7776" w:type="dxa"/>
            <w:vAlign w:val="center"/>
          </w:tcPr>
          <w:p w14:paraId="7E7DC8C1">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15"/>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不接受</w:t>
            </w:r>
          </w:p>
          <w:p w14:paraId="7B071B2E">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接受</w:t>
            </w:r>
            <w:r>
              <w:rPr>
                <w:rFonts w:hint="eastAsia" w:ascii="宋体" w:hAnsi="宋体" w:eastAsia="宋体"/>
                <w:color w:val="auto"/>
                <w:sz w:val="22"/>
                <w:szCs w:val="22"/>
                <w:highlight w:val="none"/>
                <w:lang w:eastAsia="zh-CN"/>
              </w:rPr>
              <w:t>。</w:t>
            </w:r>
          </w:p>
        </w:tc>
      </w:tr>
      <w:tr w14:paraId="49A91F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702C6A9C">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AE9F8D1">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踏勘现场</w:t>
            </w:r>
          </w:p>
        </w:tc>
        <w:tc>
          <w:tcPr>
            <w:tcW w:w="7776" w:type="dxa"/>
            <w:vAlign w:val="center"/>
          </w:tcPr>
          <w:p w14:paraId="28F316AE">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不组织</w:t>
            </w:r>
          </w:p>
        </w:tc>
      </w:tr>
      <w:tr w14:paraId="709EA5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117EC8DD">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B06C55D">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是否允许递交备选投标方案</w:t>
            </w:r>
          </w:p>
        </w:tc>
        <w:tc>
          <w:tcPr>
            <w:tcW w:w="7776" w:type="dxa"/>
            <w:vAlign w:val="center"/>
          </w:tcPr>
          <w:p w14:paraId="4A77045E">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不允许</w:t>
            </w:r>
          </w:p>
        </w:tc>
      </w:tr>
      <w:tr w14:paraId="66B365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91" w:hRule="atLeast"/>
          <w:jc w:val="center"/>
        </w:trPr>
        <w:tc>
          <w:tcPr>
            <w:tcW w:w="842" w:type="dxa"/>
            <w:vAlign w:val="center"/>
          </w:tcPr>
          <w:p w14:paraId="5E809A12">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B7D6B81">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投标货币</w:t>
            </w:r>
          </w:p>
        </w:tc>
        <w:tc>
          <w:tcPr>
            <w:tcW w:w="7776" w:type="dxa"/>
            <w:vAlign w:val="center"/>
          </w:tcPr>
          <w:p w14:paraId="63F21D64">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人民币</w:t>
            </w:r>
          </w:p>
        </w:tc>
      </w:tr>
      <w:tr w14:paraId="6CA492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24C3129A">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B520D2C">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投标语言</w:t>
            </w:r>
          </w:p>
        </w:tc>
        <w:tc>
          <w:tcPr>
            <w:tcW w:w="7776" w:type="dxa"/>
            <w:vAlign w:val="center"/>
          </w:tcPr>
          <w:p w14:paraId="46D1E761">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中文</w:t>
            </w:r>
          </w:p>
        </w:tc>
      </w:tr>
      <w:tr w14:paraId="7E91A6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1F7C38C3">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C1F5C4B">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投标文件的组成</w:t>
            </w:r>
          </w:p>
        </w:tc>
        <w:tc>
          <w:tcPr>
            <w:tcW w:w="7776" w:type="dxa"/>
            <w:vAlign w:val="center"/>
          </w:tcPr>
          <w:p w14:paraId="4E3ADDC1">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完整的《投标文件》由“资格文件”、“报价文件”和“商务技术文件”三个部分组成。</w:t>
            </w:r>
          </w:p>
        </w:tc>
      </w:tr>
      <w:tr w14:paraId="713673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0A5F975C">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2DED191">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投标文件的编制</w:t>
            </w:r>
          </w:p>
        </w:tc>
        <w:tc>
          <w:tcPr>
            <w:tcW w:w="7776" w:type="dxa"/>
            <w:vAlign w:val="center"/>
          </w:tcPr>
          <w:p w14:paraId="677DA1A7">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供应商应先安装“政采云电子交易客户端”，并按照本招标文件和“</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”的要求，通过“政采云电子交易客户端”编制并加密投标文件。</w:t>
            </w:r>
          </w:p>
        </w:tc>
      </w:tr>
      <w:tr w14:paraId="5AE02E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3487AD5F">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F39B8C7">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签字或盖章要求</w:t>
            </w:r>
          </w:p>
        </w:tc>
        <w:tc>
          <w:tcPr>
            <w:tcW w:w="7776" w:type="dxa"/>
            <w:vAlign w:val="center"/>
          </w:tcPr>
          <w:p w14:paraId="3FB220A2">
            <w:pPr>
              <w:shd w:val="clear"/>
              <w:snapToGrid w:val="0"/>
              <w:spacing w:line="360" w:lineRule="auto"/>
              <w:rPr>
                <w:rFonts w:hint="eastAsia" w:ascii="宋体" w:hAnsi="宋体" w:eastAsia="宋体"/>
                <w:b/>
                <w:color w:val="auto"/>
                <w:sz w:val="22"/>
                <w:szCs w:val="22"/>
                <w:highlight w:val="none"/>
                <w:lang w:bidi="ar"/>
              </w:rPr>
            </w:pPr>
            <w:r>
              <w:rPr>
                <w:rFonts w:hint="eastAsia" w:ascii="宋体" w:hAnsi="宋体" w:eastAsia="宋体"/>
                <w:b/>
                <w:color w:val="auto"/>
                <w:sz w:val="22"/>
                <w:szCs w:val="22"/>
                <w:highlight w:val="none"/>
                <w:lang w:bidi="ar"/>
              </w:rPr>
              <w:t>电子签章。</w:t>
            </w:r>
            <w:r>
              <w:rPr>
                <w:rFonts w:hint="eastAsia" w:ascii="宋体" w:hAnsi="宋体" w:eastAsia="宋体"/>
                <w:color w:val="auto"/>
                <w:sz w:val="22"/>
                <w:szCs w:val="22"/>
                <w:highlight w:val="none"/>
              </w:rPr>
              <w:t>采购文件所指的加盖单位公章为电子签章。</w:t>
            </w:r>
          </w:p>
          <w:p w14:paraId="64A0072B">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投标文件须按采购文件格式要求，由供应商加盖单位公章和法定代表人或其授权代表印章（或签字）。</w:t>
            </w:r>
          </w:p>
        </w:tc>
      </w:tr>
      <w:tr w14:paraId="72BA9D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212A96A7">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FA125BC">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投标文件的形式</w:t>
            </w:r>
          </w:p>
        </w:tc>
        <w:tc>
          <w:tcPr>
            <w:tcW w:w="7776" w:type="dxa"/>
            <w:vAlign w:val="center"/>
          </w:tcPr>
          <w:p w14:paraId="3278BFD6">
            <w:pPr>
              <w:keepNext w:val="0"/>
              <w:keepLines w:val="0"/>
              <w:pageBreakBefore w:val="0"/>
              <w:widowControl w:val="0"/>
              <w:shd w:val="clear"/>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电子投标文件（包括“电子加密投标文件”和“备份投标文件”，在投标文件编制完成后同时生成）；</w:t>
            </w:r>
          </w:p>
          <w:p w14:paraId="785FE275">
            <w:pPr>
              <w:keepNext w:val="0"/>
              <w:keepLines w:val="0"/>
              <w:pageBreakBefore w:val="0"/>
              <w:widowControl w:val="0"/>
              <w:shd w:val="clear"/>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（1）“电子加密投标文件”是指通过“政采云电子交易客户端”完成投标文件编制后生成并加密的数据电文形式的投标文件。</w:t>
            </w:r>
          </w:p>
          <w:p w14:paraId="704CD99C">
            <w:pPr>
              <w:keepNext w:val="0"/>
              <w:keepLines w:val="0"/>
              <w:pageBreakBefore w:val="0"/>
              <w:widowControl w:val="0"/>
              <w:shd w:val="clear"/>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（2）“备份投标文件”是指与“电子加密投标文件”同时生成的数据电文形式的电子文件（备份标书），其他方式编制的备份投标文件视为无效备份投标文件。</w:t>
            </w:r>
          </w:p>
        </w:tc>
      </w:tr>
      <w:tr w14:paraId="4A062A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310ADA2F">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32A39BD">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投标文件份数</w:t>
            </w:r>
          </w:p>
        </w:tc>
        <w:tc>
          <w:tcPr>
            <w:tcW w:w="7776" w:type="dxa"/>
            <w:vAlign w:val="center"/>
          </w:tcPr>
          <w:p w14:paraId="1B1349DE">
            <w:pPr>
              <w:keepNext w:val="0"/>
              <w:keepLines w:val="0"/>
              <w:pageBreakBefore w:val="0"/>
              <w:widowControl w:val="0"/>
              <w:shd w:val="clear"/>
              <w:kinsoku/>
              <w:wordWrap/>
              <w:overflowPunct/>
              <w:topLinePunct w:val="0"/>
              <w:autoSpaceDE/>
              <w:autoSpaceDN/>
              <w:bidi w:val="0"/>
              <w:snapToGrid w:val="0"/>
              <w:spacing w:line="360" w:lineRule="auto"/>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lang w:val="en-US" w:eastAsia="zh-CN"/>
              </w:rPr>
              <w:t>1</w:t>
            </w: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rPr>
              <w:t>“电子加密投标文件”：在线上传递交、一份。</w:t>
            </w:r>
          </w:p>
          <w:p w14:paraId="500842C2">
            <w:pPr>
              <w:pStyle w:val="23"/>
              <w:keepNext w:val="0"/>
              <w:keepLines w:val="0"/>
              <w:pageBreakBefore w:val="0"/>
              <w:widowControl w:val="0"/>
              <w:shd w:val="clear"/>
              <w:kinsoku/>
              <w:wordWrap/>
              <w:overflowPunct/>
              <w:topLinePunct w:val="0"/>
              <w:autoSpaceDE/>
              <w:autoSpaceDN/>
              <w:bidi w:val="0"/>
              <w:spacing w:line="360" w:lineRule="auto"/>
              <w:ind w:left="0" w:leftChars="0" w:firstLine="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（2）“备份投标文件”：</w:t>
            </w:r>
            <w:r>
              <w:rPr>
                <w:rFonts w:hint="eastAsia" w:ascii="宋体" w:hAnsi="宋体" w:eastAsia="宋体"/>
                <w:color w:val="auto"/>
                <w:sz w:val="22"/>
                <w:szCs w:val="22"/>
                <w:highlight w:val="none"/>
                <w:lang w:val="en-US" w:eastAsia="zh-CN"/>
              </w:rPr>
              <w:t>U盘注明“备份投标文件”，密封包装后，在</w:t>
            </w:r>
            <w:r>
              <w:rPr>
                <w:rFonts w:hint="eastAsia" w:ascii="宋体" w:hAnsi="宋体" w:eastAsia="宋体"/>
                <w:color w:val="auto"/>
                <w:sz w:val="22"/>
                <w:szCs w:val="22"/>
                <w:highlight w:val="none"/>
              </w:rPr>
              <w:t>投标截止时间前</w:t>
            </w:r>
            <w:r>
              <w:rPr>
                <w:rFonts w:hint="eastAsia" w:ascii="宋体" w:hAnsi="宋体" w:eastAsia="宋体"/>
                <w:color w:val="auto"/>
                <w:sz w:val="22"/>
                <w:szCs w:val="22"/>
                <w:highlight w:val="none"/>
                <w:lang w:val="en-US" w:eastAsia="zh-CN"/>
              </w:rPr>
              <w:t>线下送达或以</w:t>
            </w:r>
            <w:r>
              <w:rPr>
                <w:rFonts w:hint="eastAsia" w:ascii="宋体" w:hAnsi="宋体" w:eastAsia="宋体"/>
                <w:color w:val="auto"/>
                <w:sz w:val="22"/>
                <w:szCs w:val="22"/>
                <w:highlight w:val="none"/>
              </w:rPr>
              <w:t>邮寄形式递交</w:t>
            </w:r>
            <w:r>
              <w:rPr>
                <w:rFonts w:hint="eastAsia" w:ascii="宋体" w:hAnsi="宋体" w:eastAsia="宋体"/>
                <w:color w:val="auto"/>
                <w:sz w:val="22"/>
                <w:szCs w:val="22"/>
                <w:highlight w:val="none"/>
                <w:lang w:val="en-US" w:eastAsia="zh-CN"/>
              </w:rPr>
              <w:t>至</w:t>
            </w:r>
            <w:r>
              <w:rPr>
                <w:rFonts w:hint="eastAsia" w:ascii="宋体" w:hAnsi="宋体"/>
                <w:color w:val="auto"/>
                <w:sz w:val="22"/>
                <w:szCs w:val="22"/>
                <w:highlight w:val="none"/>
                <w:lang w:val="en-US" w:eastAsia="zh-CN"/>
              </w:rPr>
              <w:t>浙江名进建设项目管理有限公司</w:t>
            </w:r>
            <w:r>
              <w:rPr>
                <w:rFonts w:hint="eastAsia" w:ascii="宋体" w:hAnsi="宋体" w:eastAsia="宋体"/>
                <w:color w:val="auto"/>
                <w:sz w:val="22"/>
                <w:szCs w:val="22"/>
                <w:highlight w:val="none"/>
                <w:lang w:val="en-US" w:eastAsia="zh-CN"/>
              </w:rPr>
              <w:t>（</w:t>
            </w:r>
            <w:r>
              <w:rPr>
                <w:rFonts w:hint="eastAsia" w:ascii="宋体" w:hAnsi="宋体"/>
                <w:color w:val="auto"/>
                <w:kern w:val="0"/>
                <w:sz w:val="22"/>
                <w:szCs w:val="22"/>
                <w:highlight w:val="none"/>
                <w:lang w:eastAsia="zh-CN"/>
              </w:rPr>
              <w:t>平阳县鳌江镇车站大道财富大厦701室</w:t>
            </w:r>
            <w:r>
              <w:rPr>
                <w:rFonts w:hint="eastAsia" w:ascii="宋体" w:hAnsi="宋体" w:eastAsia="宋体"/>
                <w:color w:val="auto"/>
                <w:sz w:val="22"/>
                <w:szCs w:val="22"/>
                <w:highlight w:val="none"/>
                <w:lang w:val="en-US" w:eastAsia="zh-CN"/>
              </w:rPr>
              <w:t>）</w:t>
            </w:r>
            <w:r>
              <w:rPr>
                <w:rFonts w:hint="eastAsia" w:ascii="宋体" w:hAnsi="宋体"/>
                <w:color w:val="auto"/>
                <w:sz w:val="22"/>
                <w:szCs w:val="22"/>
                <w:highlight w:val="none"/>
                <w:lang w:val="en-US" w:eastAsia="zh-CN"/>
              </w:rPr>
              <w:t>缪</w:t>
            </w:r>
            <w:r>
              <w:rPr>
                <w:rFonts w:hint="eastAsia" w:ascii="宋体" w:hAnsi="宋体" w:eastAsia="宋体"/>
                <w:color w:val="auto"/>
                <w:sz w:val="22"/>
                <w:szCs w:val="22"/>
                <w:highlight w:val="none"/>
                <w:lang w:val="en-US" w:eastAsia="zh-CN"/>
              </w:rPr>
              <w:t xml:space="preserve">女士  </w:t>
            </w:r>
            <w:r>
              <w:rPr>
                <w:rFonts w:hint="eastAsia" w:ascii="宋体" w:hAnsi="宋体"/>
                <w:color w:val="auto"/>
                <w:sz w:val="22"/>
                <w:szCs w:val="22"/>
                <w:highlight w:val="none"/>
                <w:lang w:val="en-US" w:eastAsia="zh-CN"/>
              </w:rPr>
              <w:t>13587538322</w:t>
            </w:r>
            <w:r>
              <w:rPr>
                <w:rFonts w:hint="eastAsia" w:ascii="宋体" w:hAnsi="宋体" w:eastAsia="宋体"/>
                <w:color w:val="auto"/>
                <w:sz w:val="22"/>
                <w:szCs w:val="22"/>
                <w:highlight w:val="none"/>
                <w:lang w:val="en-US" w:eastAsia="zh-CN"/>
              </w:rPr>
              <w:t>，若以邮寄形式送达的，运输过程中造成投标文件破损、密封不完整的，由供应商自行负责，代理机构及采购人均不对此承担任何责任</w:t>
            </w:r>
            <w:r>
              <w:rPr>
                <w:rFonts w:hint="eastAsia" w:ascii="宋体" w:hAnsi="宋体" w:eastAsia="宋体"/>
                <w:color w:val="auto"/>
                <w:sz w:val="22"/>
                <w:szCs w:val="22"/>
                <w:highlight w:val="none"/>
              </w:rPr>
              <w:t>）。</w:t>
            </w:r>
          </w:p>
        </w:tc>
      </w:tr>
      <w:tr w14:paraId="14D03D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1B40B647">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5D91AC4">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投标文件的上传和递交</w:t>
            </w:r>
          </w:p>
        </w:tc>
        <w:tc>
          <w:tcPr>
            <w:tcW w:w="7776" w:type="dxa"/>
            <w:vAlign w:val="center"/>
          </w:tcPr>
          <w:p w14:paraId="551E9837">
            <w:pPr>
              <w:shd w:val="clear"/>
              <w:snapToGrid w:val="0"/>
              <w:spacing w:line="360" w:lineRule="auto"/>
              <w:rPr>
                <w:rFonts w:hint="eastAsia"/>
                <w:color w:val="auto"/>
                <w:sz w:val="22"/>
                <w:szCs w:val="22"/>
                <w:highlight w:val="none"/>
              </w:rPr>
            </w:pPr>
            <w:r>
              <w:rPr>
                <w:rFonts w:hint="eastAsia"/>
                <w:color w:val="auto"/>
                <w:sz w:val="22"/>
                <w:szCs w:val="22"/>
                <w:highlight w:val="none"/>
              </w:rPr>
              <w:t>（1）“电子加密投标文件”的上传、递交：</w:t>
            </w:r>
          </w:p>
          <w:p w14:paraId="7400F2E9">
            <w:pPr>
              <w:shd w:val="clear"/>
              <w:snapToGrid w:val="0"/>
              <w:spacing w:line="360" w:lineRule="auto"/>
              <w:rPr>
                <w:rFonts w:hint="eastAsia"/>
                <w:color w:val="auto"/>
                <w:sz w:val="22"/>
                <w:szCs w:val="22"/>
                <w:highlight w:val="none"/>
              </w:rPr>
            </w:pPr>
            <w:r>
              <w:rPr>
                <w:rFonts w:hint="eastAsia"/>
                <w:color w:val="auto"/>
                <w:sz w:val="22"/>
                <w:szCs w:val="22"/>
                <w:highlight w:val="none"/>
              </w:rPr>
              <w:t>a.投标供应商应在投标截止时间前将“电子加密投标文件”成功上传递交至“</w:t>
            </w:r>
            <w:r>
              <w:rPr>
                <w:rFonts w:hint="eastAsia"/>
                <w:color w:val="auto"/>
                <w:sz w:val="22"/>
                <w:szCs w:val="22"/>
                <w:highlight w:val="none"/>
                <w:lang w:eastAsia="zh-CN"/>
              </w:rPr>
              <w:t>乐采云平台</w:t>
            </w:r>
            <w:r>
              <w:rPr>
                <w:rFonts w:hint="eastAsia"/>
                <w:color w:val="auto"/>
                <w:sz w:val="22"/>
                <w:szCs w:val="22"/>
                <w:highlight w:val="none"/>
              </w:rPr>
              <w:t>”，否则投标无效。</w:t>
            </w:r>
          </w:p>
          <w:p w14:paraId="129E3DE8">
            <w:pPr>
              <w:shd w:val="clear"/>
              <w:snapToGrid w:val="0"/>
              <w:spacing w:line="360" w:lineRule="auto"/>
              <w:rPr>
                <w:rFonts w:hint="eastAsia"/>
                <w:color w:val="auto"/>
                <w:sz w:val="22"/>
                <w:szCs w:val="22"/>
                <w:highlight w:val="none"/>
              </w:rPr>
            </w:pPr>
            <w:r>
              <w:rPr>
                <w:rFonts w:hint="eastAsia"/>
                <w:color w:val="auto"/>
                <w:sz w:val="22"/>
                <w:szCs w:val="22"/>
                <w:highlight w:val="none"/>
              </w:rPr>
              <w:t>b.“电子加密投标文件”成功上传递交后，供应商可自行打印投标文件接收回执。</w:t>
            </w:r>
          </w:p>
          <w:p w14:paraId="62C7EBE9">
            <w:pPr>
              <w:shd w:val="clear"/>
              <w:snapToGrid w:val="0"/>
              <w:spacing w:line="360" w:lineRule="auto"/>
              <w:rPr>
                <w:rFonts w:hint="eastAsia"/>
                <w:color w:val="auto"/>
                <w:sz w:val="22"/>
                <w:szCs w:val="22"/>
                <w:highlight w:val="none"/>
              </w:rPr>
            </w:pPr>
            <w:r>
              <w:rPr>
                <w:rFonts w:hint="eastAsia"/>
                <w:color w:val="auto"/>
                <w:sz w:val="22"/>
                <w:szCs w:val="22"/>
                <w:highlight w:val="none"/>
              </w:rPr>
              <w:t>（2）“备份投标文件”的密封包装、递交：</w:t>
            </w:r>
          </w:p>
          <w:p w14:paraId="46D6685D">
            <w:pPr>
              <w:shd w:val="clear"/>
              <w:snapToGrid w:val="0"/>
              <w:spacing w:line="360" w:lineRule="auto"/>
              <w:rPr>
                <w:rFonts w:hint="eastAsia"/>
                <w:color w:val="auto"/>
                <w:sz w:val="22"/>
                <w:szCs w:val="22"/>
                <w:highlight w:val="none"/>
              </w:rPr>
            </w:pPr>
            <w:r>
              <w:rPr>
                <w:rFonts w:hint="eastAsia"/>
                <w:color w:val="auto"/>
                <w:sz w:val="22"/>
                <w:szCs w:val="22"/>
                <w:highlight w:val="none"/>
              </w:rPr>
              <w:t>a.投标供应商在“</w:t>
            </w:r>
            <w:r>
              <w:rPr>
                <w:rFonts w:hint="eastAsia"/>
                <w:color w:val="auto"/>
                <w:sz w:val="22"/>
                <w:szCs w:val="22"/>
                <w:highlight w:val="none"/>
                <w:lang w:eastAsia="zh-CN"/>
              </w:rPr>
              <w:t>乐采云平台</w:t>
            </w:r>
            <w:r>
              <w:rPr>
                <w:rFonts w:hint="eastAsia"/>
                <w:color w:val="auto"/>
                <w:sz w:val="22"/>
                <w:szCs w:val="22"/>
                <w:highlight w:val="none"/>
              </w:rPr>
              <w:t>”完成“电子加密投标文件”的上传递交后，还可以（</w:t>
            </w:r>
            <w:r>
              <w:rPr>
                <w:rFonts w:hint="eastAsia"/>
                <w:color w:val="auto"/>
                <w:sz w:val="22"/>
                <w:szCs w:val="22"/>
                <w:highlight w:val="none"/>
                <w:lang w:val="en-US" w:eastAsia="zh-CN"/>
              </w:rPr>
              <w:t>线下送达或</w:t>
            </w:r>
            <w:r>
              <w:rPr>
                <w:rFonts w:hint="eastAsia"/>
                <w:color w:val="auto"/>
                <w:sz w:val="22"/>
                <w:szCs w:val="22"/>
                <w:highlight w:val="none"/>
              </w:rPr>
              <w:t>邮寄形式）在投标截止时间前递交以介质（U盘）存储的“备份投标文件”（一份）；</w:t>
            </w:r>
          </w:p>
          <w:p w14:paraId="79DBAFC7">
            <w:pPr>
              <w:shd w:val="clear"/>
              <w:snapToGrid w:val="0"/>
              <w:spacing w:line="360" w:lineRule="auto"/>
              <w:rPr>
                <w:rFonts w:hint="eastAsia"/>
                <w:color w:val="auto"/>
                <w:sz w:val="22"/>
                <w:szCs w:val="22"/>
                <w:highlight w:val="none"/>
              </w:rPr>
            </w:pPr>
            <w:r>
              <w:rPr>
                <w:rFonts w:hint="eastAsia"/>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14:paraId="0D590F7B">
            <w:pPr>
              <w:shd w:val="clear"/>
              <w:snapToGrid w:val="0"/>
              <w:spacing w:line="360" w:lineRule="auto"/>
              <w:rPr>
                <w:rFonts w:hint="eastAsia"/>
                <w:color w:val="auto"/>
                <w:sz w:val="22"/>
                <w:szCs w:val="22"/>
                <w:highlight w:val="none"/>
              </w:rPr>
            </w:pPr>
            <w:r>
              <w:rPr>
                <w:rFonts w:hint="eastAsia"/>
                <w:color w:val="auto"/>
                <w:sz w:val="22"/>
                <w:szCs w:val="22"/>
                <w:highlight w:val="none"/>
              </w:rPr>
              <w:t>c.通过“</w:t>
            </w:r>
            <w:r>
              <w:rPr>
                <w:rFonts w:hint="eastAsia"/>
                <w:color w:val="auto"/>
                <w:sz w:val="22"/>
                <w:szCs w:val="22"/>
                <w:highlight w:val="none"/>
                <w:lang w:eastAsia="zh-CN"/>
              </w:rPr>
              <w:t>乐采云平台</w:t>
            </w:r>
            <w:r>
              <w:rPr>
                <w:rFonts w:hint="eastAsia" w:ascii="Times New Roman" w:hAnsi="Times New Roman" w:eastAsia="宋体"/>
                <w:color w:val="auto"/>
                <w:sz w:val="22"/>
                <w:szCs w:val="22"/>
                <w:highlight w:val="none"/>
              </w:rPr>
              <w:t>”成功上传递交的“电子加密投标文件”已按时解密的，“备份投标文件”自动失效。投标截止时间前，投标供应商仅递交了“备份投标文件”而未将“电子加密投标文件”成功上传至“</w:t>
            </w:r>
            <w:r>
              <w:rPr>
                <w:rFonts w:hint="eastAsia"/>
                <w:color w:val="auto"/>
                <w:sz w:val="22"/>
                <w:szCs w:val="22"/>
                <w:highlight w:val="none"/>
                <w:lang w:eastAsia="zh-CN"/>
              </w:rPr>
              <w:t>乐采云平台</w:t>
            </w:r>
            <w:r>
              <w:rPr>
                <w:rFonts w:hint="eastAsia" w:ascii="Times New Roman" w:hAnsi="Times New Roman" w:eastAsia="宋体"/>
                <w:color w:val="auto"/>
                <w:sz w:val="22"/>
                <w:szCs w:val="22"/>
                <w:highlight w:val="none"/>
              </w:rPr>
              <w:t>”的，投标无效。</w:t>
            </w:r>
          </w:p>
        </w:tc>
      </w:tr>
      <w:tr w14:paraId="3C037D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47F83847">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31F36A2">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电子加密投标文件的解密和异常情况处理</w:t>
            </w:r>
          </w:p>
        </w:tc>
        <w:tc>
          <w:tcPr>
            <w:tcW w:w="7776" w:type="dxa"/>
            <w:vAlign w:val="center"/>
          </w:tcPr>
          <w:p w14:paraId="1E1799EC">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14:paraId="3E6E429F">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（2）通过“</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”成功上传递交的“电子加密投标文件”无法按时解密，投标供应商如按规定递交了“备份投标文件”的，以“备份投标文件”为依据（由采购组织机构按“</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”操作规范将“备份投标文件”上传至“</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”，上传成功后，“电子加密投标文件”自动失效），否则视为投标文件撤回。</w:t>
            </w:r>
          </w:p>
          <w:p w14:paraId="573DA698">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（3）投标截止时间前，投标供应商仅递交了“备份投标文件”而未将电子加密投标文件上传至“</w:t>
            </w:r>
            <w:r>
              <w:rPr>
                <w:rFonts w:hint="eastAsia" w:ascii="宋体" w:hAnsi="宋体"/>
                <w:color w:val="auto"/>
                <w:sz w:val="22"/>
                <w:szCs w:val="22"/>
                <w:highlight w:val="none"/>
                <w:lang w:eastAsia="zh-CN"/>
              </w:rPr>
              <w:t>乐采云平台</w:t>
            </w:r>
            <w:r>
              <w:rPr>
                <w:rFonts w:hint="eastAsia" w:ascii="宋体" w:hAnsi="宋体" w:eastAsia="宋体"/>
                <w:color w:val="auto"/>
                <w:sz w:val="22"/>
                <w:szCs w:val="22"/>
                <w:highlight w:val="none"/>
              </w:rPr>
              <w:t>”的，投标无效。</w:t>
            </w:r>
          </w:p>
        </w:tc>
      </w:tr>
      <w:tr w14:paraId="56DE40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32C38174">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620442C">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投标有效期</w:t>
            </w:r>
          </w:p>
        </w:tc>
        <w:tc>
          <w:tcPr>
            <w:tcW w:w="7776" w:type="dxa"/>
            <w:vAlign w:val="center"/>
          </w:tcPr>
          <w:p w14:paraId="1197D706">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提交投标文件截止日起90天内</w:t>
            </w:r>
          </w:p>
        </w:tc>
      </w:tr>
      <w:tr w14:paraId="20F8B2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26" w:hRule="atLeast"/>
          <w:jc w:val="center"/>
        </w:trPr>
        <w:tc>
          <w:tcPr>
            <w:tcW w:w="842" w:type="dxa"/>
            <w:vAlign w:val="center"/>
          </w:tcPr>
          <w:p w14:paraId="13604747">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3FC6E94">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投标样品</w:t>
            </w:r>
          </w:p>
        </w:tc>
        <w:tc>
          <w:tcPr>
            <w:tcW w:w="7776" w:type="dxa"/>
            <w:vAlign w:val="center"/>
          </w:tcPr>
          <w:p w14:paraId="29109633">
            <w:pPr>
              <w:shd w:val="clear"/>
              <w:spacing w:line="300" w:lineRule="exact"/>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14:paraId="70F78AFF">
            <w:pPr>
              <w:shd w:val="clear"/>
              <w:spacing w:line="360" w:lineRule="auto"/>
              <w:rPr>
                <w:rFonts w:hint="eastAsia"/>
                <w:color w:val="auto"/>
                <w:sz w:val="22"/>
                <w:szCs w:val="22"/>
                <w:highlight w:val="none"/>
              </w:rPr>
            </w:pPr>
            <w:r>
              <w:rPr>
                <w:rFonts w:hint="eastAsia"/>
                <w:color w:val="auto"/>
                <w:sz w:val="22"/>
                <w:szCs w:val="22"/>
                <w:highlight w:val="none"/>
              </w:rPr>
              <w:t>□需要</w:t>
            </w:r>
          </w:p>
        </w:tc>
      </w:tr>
      <w:tr w14:paraId="692196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44" w:hRule="atLeast"/>
          <w:jc w:val="center"/>
        </w:trPr>
        <w:tc>
          <w:tcPr>
            <w:tcW w:w="842" w:type="dxa"/>
            <w:vAlign w:val="center"/>
          </w:tcPr>
          <w:p w14:paraId="493958E3">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ED3EA47">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履约</w:t>
            </w:r>
            <w:r>
              <w:rPr>
                <w:rFonts w:hint="eastAsia" w:ascii="宋体" w:hAnsi="宋体"/>
                <w:color w:val="auto"/>
                <w:sz w:val="22"/>
                <w:szCs w:val="22"/>
                <w:highlight w:val="none"/>
                <w:lang w:val="en-US" w:eastAsia="zh-CN"/>
              </w:rPr>
              <w:t>保证金</w:t>
            </w:r>
          </w:p>
        </w:tc>
        <w:tc>
          <w:tcPr>
            <w:tcW w:w="7776" w:type="dxa"/>
            <w:vAlign w:val="center"/>
          </w:tcPr>
          <w:p w14:paraId="04FBFD66">
            <w:pPr>
              <w:shd w:val="clea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p>
          <w:p w14:paraId="00B995C2">
            <w:pPr>
              <w:shd w:val="clea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position w:val="-4"/>
                <w:sz w:val="22"/>
                <w:szCs w:val="22"/>
                <w:highlight w:val="none"/>
                <w:lang w:eastAsia="zh-CN"/>
              </w:rPr>
              <w:instrText xml:space="preserve">,</w:instrText>
            </w:r>
            <w:r>
              <w:rPr>
                <w:rFonts w:hint="eastAsia"/>
                <w:color w:val="auto"/>
                <w:position w:val="-1"/>
                <w:sz w:val="15"/>
                <w:szCs w:val="22"/>
                <w:highlight w:val="none"/>
                <w:lang w:eastAsia="zh-CN"/>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 xml:space="preserve">需要  </w:t>
            </w:r>
          </w:p>
        </w:tc>
      </w:tr>
      <w:tr w14:paraId="689250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790" w:hRule="atLeast"/>
          <w:jc w:val="center"/>
        </w:trPr>
        <w:tc>
          <w:tcPr>
            <w:tcW w:w="842" w:type="dxa"/>
            <w:vAlign w:val="center"/>
          </w:tcPr>
          <w:p w14:paraId="3A8A3454">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8777527">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投标保证金</w:t>
            </w:r>
          </w:p>
        </w:tc>
        <w:tc>
          <w:tcPr>
            <w:tcW w:w="7776" w:type="dxa"/>
            <w:vAlign w:val="center"/>
          </w:tcPr>
          <w:p w14:paraId="678004CA">
            <w:pPr>
              <w:shd w:val="clea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r>
              <w:rPr>
                <w:rFonts w:hint="eastAsia"/>
                <w:color w:val="auto"/>
                <w:sz w:val="22"/>
                <w:szCs w:val="22"/>
                <w:highlight w:val="none"/>
                <w:lang w:eastAsia="zh-CN"/>
              </w:rPr>
              <w:t>，</w:t>
            </w:r>
            <w:r>
              <w:rPr>
                <w:rFonts w:hint="eastAsia" w:ascii="宋体" w:hAnsi="宋体" w:eastAsia="宋体"/>
                <w:color w:val="auto"/>
                <w:sz w:val="22"/>
                <w:szCs w:val="22"/>
                <w:highlight w:val="none"/>
                <w:lang w:val="en-US" w:eastAsia="zh-CN"/>
              </w:rPr>
              <w:t>详见招标公告</w:t>
            </w:r>
          </w:p>
          <w:p w14:paraId="353035AE">
            <w:pPr>
              <w:shd w:val="clea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需要</w:t>
            </w:r>
          </w:p>
        </w:tc>
      </w:tr>
      <w:tr w14:paraId="0FA5DD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06" w:hRule="atLeast"/>
          <w:jc w:val="center"/>
        </w:trPr>
        <w:tc>
          <w:tcPr>
            <w:tcW w:w="842" w:type="dxa"/>
            <w:vAlign w:val="center"/>
          </w:tcPr>
          <w:p w14:paraId="6357C5ED">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D7A407E">
            <w:pPr>
              <w:shd w:val="clea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质疑受理联系方式</w:t>
            </w:r>
          </w:p>
        </w:tc>
        <w:tc>
          <w:tcPr>
            <w:tcW w:w="7776" w:type="dxa"/>
            <w:vAlign w:val="center"/>
          </w:tcPr>
          <w:p w14:paraId="345E5BFD">
            <w:pPr>
              <w:shd w:val="clea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浙江名进建设项目管理有限公司</w:t>
            </w:r>
          </w:p>
          <w:p w14:paraId="780FF708">
            <w:pPr>
              <w:shd w:val="clea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平阳县鳌江镇车站大道财富大厦701室</w:t>
            </w:r>
          </w:p>
          <w:p w14:paraId="414639DC">
            <w:pPr>
              <w:shd w:val="clea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 系 人：</w:t>
            </w:r>
            <w:r>
              <w:rPr>
                <w:rFonts w:hint="eastAsia" w:ascii="宋体" w:hAnsi="宋体"/>
                <w:color w:val="auto"/>
                <w:sz w:val="22"/>
                <w:szCs w:val="22"/>
                <w:highlight w:val="none"/>
                <w:lang w:val="en-US" w:eastAsia="zh-CN"/>
              </w:rPr>
              <w:t>周女士</w:t>
            </w:r>
          </w:p>
          <w:p w14:paraId="2D02263B">
            <w:pPr>
              <w:shd w:val="clear"/>
              <w:snapToGrid w:val="0"/>
              <w:spacing w:line="360" w:lineRule="auto"/>
              <w:rPr>
                <w:rFonts w:hint="default" w:ascii="宋体" w:hAnsi="宋体" w:eastAsia="宋体"/>
                <w:color w:val="auto"/>
                <w:sz w:val="22"/>
                <w:szCs w:val="22"/>
                <w:highlight w:val="none"/>
                <w:lang w:val="en-US"/>
              </w:rPr>
            </w:pPr>
            <w:r>
              <w:rPr>
                <w:rFonts w:hint="eastAsia" w:ascii="宋体" w:hAnsi="宋体" w:eastAsia="宋体"/>
                <w:color w:val="auto"/>
                <w:sz w:val="22"/>
                <w:szCs w:val="22"/>
                <w:highlight w:val="none"/>
              </w:rPr>
              <w:t>联系电话：</w:t>
            </w:r>
            <w:r>
              <w:rPr>
                <w:rFonts w:hint="eastAsia" w:ascii="宋体" w:hAnsi="宋体"/>
                <w:color w:val="auto"/>
                <w:sz w:val="22"/>
                <w:szCs w:val="22"/>
                <w:highlight w:val="none"/>
                <w:lang w:val="en-US" w:eastAsia="zh-CN"/>
              </w:rPr>
              <w:t>0577-63639288</w:t>
            </w:r>
          </w:p>
        </w:tc>
      </w:tr>
      <w:tr w14:paraId="22B62A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65B46C19">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73F97A9">
            <w:pPr>
              <w:shd w:val="clea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w:t>
            </w:r>
          </w:p>
        </w:tc>
        <w:tc>
          <w:tcPr>
            <w:tcW w:w="7776" w:type="dxa"/>
            <w:vAlign w:val="center"/>
          </w:tcPr>
          <w:p w14:paraId="3B53C3FD">
            <w:pPr>
              <w:shd w:val="clea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认为国有企业答疑回复处理结果不合法的，可以采购人或代理机构为对象依法向人民法院提起诉讼。</w:t>
            </w:r>
          </w:p>
        </w:tc>
      </w:tr>
      <w:tr w14:paraId="096915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54" w:hRule="atLeast"/>
          <w:jc w:val="center"/>
        </w:trPr>
        <w:tc>
          <w:tcPr>
            <w:tcW w:w="842" w:type="dxa"/>
            <w:vAlign w:val="center"/>
          </w:tcPr>
          <w:p w14:paraId="540C7BD8">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B8099CB">
            <w:pPr>
              <w:shd w:val="clea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投诉受理联系方式</w:t>
            </w:r>
          </w:p>
        </w:tc>
        <w:tc>
          <w:tcPr>
            <w:tcW w:w="7776" w:type="dxa"/>
            <w:vAlign w:val="center"/>
          </w:tcPr>
          <w:p w14:paraId="30EABE97">
            <w:pPr>
              <w:widowControl/>
              <w:shd w:val="clear"/>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同级政府采购监管管理部门名称：平阳县新鳌城市建设有限公司</w:t>
            </w:r>
          </w:p>
          <w:p w14:paraId="0EE13EE2">
            <w:pPr>
              <w:widowControl/>
              <w:shd w:val="clear"/>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联系人：陈先生</w:t>
            </w:r>
          </w:p>
          <w:p w14:paraId="08003A58">
            <w:pPr>
              <w:widowControl/>
              <w:shd w:val="clear"/>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监督投诉电话：0577-63675386</w:t>
            </w:r>
          </w:p>
          <w:p w14:paraId="16659424">
            <w:pPr>
              <w:widowControl/>
              <w:shd w:val="clear"/>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传真：/</w:t>
            </w:r>
          </w:p>
          <w:p w14:paraId="19389ED7">
            <w:pPr>
              <w:widowControl/>
              <w:shd w:val="clear"/>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地址:平阳县新鳌城市建设有限公司</w:t>
            </w:r>
          </w:p>
        </w:tc>
      </w:tr>
      <w:tr w14:paraId="1892D9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4232CE49">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920FF29">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投标截止时间</w:t>
            </w:r>
          </w:p>
        </w:tc>
        <w:tc>
          <w:tcPr>
            <w:tcW w:w="7776" w:type="dxa"/>
            <w:vAlign w:val="center"/>
          </w:tcPr>
          <w:p w14:paraId="2F80BB1E">
            <w:pPr>
              <w:shd w:val="clear"/>
              <w:spacing w:line="360" w:lineRule="auto"/>
              <w:rPr>
                <w:rFonts w:hint="eastAsia" w:ascii="宋体" w:hAnsi="宋体"/>
                <w:color w:val="auto"/>
                <w:sz w:val="22"/>
                <w:szCs w:val="22"/>
                <w:highlight w:val="none"/>
                <w:shd w:val="clear" w:color="auto" w:fill="FFFFFF"/>
                <w:lang w:eastAsia="zh-CN"/>
              </w:rPr>
            </w:pPr>
            <w:r>
              <w:rPr>
                <w:rFonts w:hint="eastAsia" w:ascii="宋体" w:hAnsi="宋体" w:eastAsia="宋体"/>
                <w:color w:val="auto"/>
                <w:sz w:val="22"/>
                <w:szCs w:val="22"/>
                <w:highlight w:val="none"/>
                <w:shd w:val="clear" w:color="auto" w:fill="FFFFFF"/>
              </w:rPr>
              <w:t>2025年0</w:t>
            </w:r>
            <w:r>
              <w:rPr>
                <w:rFonts w:hint="eastAsia" w:ascii="宋体" w:hAnsi="宋体"/>
                <w:color w:val="auto"/>
                <w:sz w:val="22"/>
                <w:szCs w:val="22"/>
                <w:highlight w:val="none"/>
                <w:shd w:val="clear" w:color="auto" w:fill="FFFFFF"/>
                <w:lang w:val="en-US" w:eastAsia="zh-CN"/>
              </w:rPr>
              <w:t>2</w:t>
            </w:r>
            <w:r>
              <w:rPr>
                <w:rFonts w:hint="eastAsia" w:ascii="宋体" w:hAnsi="宋体" w:eastAsia="宋体"/>
                <w:color w:val="auto"/>
                <w:sz w:val="22"/>
                <w:szCs w:val="22"/>
                <w:highlight w:val="none"/>
                <w:shd w:val="clear" w:color="auto" w:fill="FFFFFF"/>
              </w:rPr>
              <w:t xml:space="preserve">月13日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rPr>
              <w:t>截止(北京时间)。</w:t>
            </w:r>
          </w:p>
        </w:tc>
      </w:tr>
      <w:tr w14:paraId="4DED1E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2DCEE5CF">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73C2E1C">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p>
          <w:p w14:paraId="2A07965A">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评审地点</w:t>
            </w:r>
          </w:p>
        </w:tc>
        <w:tc>
          <w:tcPr>
            <w:tcW w:w="7776" w:type="dxa"/>
            <w:vAlign w:val="center"/>
          </w:tcPr>
          <w:p w14:paraId="761A1CE1">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r>
              <w:rPr>
                <w:rFonts w:hint="eastAsia" w:ascii="宋体" w:hAnsi="宋体" w:eastAsia="宋体"/>
                <w:color w:val="auto"/>
                <w:sz w:val="22"/>
                <w:szCs w:val="22"/>
                <w:highlight w:val="none"/>
                <w:shd w:val="clear" w:color="auto" w:fill="FFFFFF"/>
              </w:rPr>
              <w:t>2025年0</w:t>
            </w:r>
            <w:r>
              <w:rPr>
                <w:rFonts w:hint="eastAsia" w:ascii="宋体" w:hAnsi="宋体"/>
                <w:color w:val="auto"/>
                <w:sz w:val="22"/>
                <w:szCs w:val="22"/>
                <w:highlight w:val="none"/>
                <w:shd w:val="clear" w:color="auto" w:fill="FFFFFF"/>
                <w:lang w:val="en-US" w:eastAsia="zh-CN"/>
              </w:rPr>
              <w:t>2</w:t>
            </w:r>
            <w:r>
              <w:rPr>
                <w:rFonts w:hint="eastAsia" w:ascii="宋体" w:hAnsi="宋体" w:eastAsia="宋体"/>
                <w:color w:val="auto"/>
                <w:sz w:val="22"/>
                <w:szCs w:val="22"/>
                <w:highlight w:val="none"/>
                <w:shd w:val="clear" w:color="auto" w:fill="FFFFFF"/>
              </w:rPr>
              <w:t xml:space="preserve">月13日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shd w:val="clear" w:color="auto" w:fill="FFFFFF"/>
                <w:lang w:eastAsia="zh-CN"/>
              </w:rPr>
              <w:t>正 (北京时间)</w:t>
            </w:r>
          </w:p>
          <w:p w14:paraId="47884652">
            <w:pPr>
              <w:shd w:val="clear"/>
              <w:spacing w:line="360" w:lineRule="auto"/>
              <w:rPr>
                <w:rFonts w:hint="eastAsia" w:ascii="宋体" w:hAnsi="宋体" w:eastAsia="宋体"/>
                <w:color w:val="auto"/>
                <w:sz w:val="22"/>
                <w:szCs w:val="22"/>
                <w:highlight w:val="none"/>
                <w:shd w:val="clear" w:color="auto" w:fill="FFFFFF"/>
                <w:lang w:eastAsia="zh-CN"/>
              </w:rPr>
            </w:pPr>
            <w:r>
              <w:rPr>
                <w:rFonts w:hint="eastAsia" w:ascii="宋体" w:hAnsi="宋体" w:eastAsia="宋体"/>
                <w:color w:val="auto"/>
                <w:sz w:val="22"/>
                <w:szCs w:val="22"/>
                <w:highlight w:val="none"/>
                <w:shd w:val="clear" w:color="auto" w:fill="FFFFFF"/>
                <w:lang w:eastAsia="zh-CN"/>
              </w:rPr>
              <w:t>开标地点：平阳县公共资源交易中心</w:t>
            </w:r>
            <w:r>
              <w:rPr>
                <w:rFonts w:hint="eastAsia" w:ascii="宋体" w:hAnsi="宋体" w:eastAsia="宋体"/>
                <w:color w:val="auto"/>
                <w:sz w:val="22"/>
                <w:szCs w:val="22"/>
                <w:highlight w:val="none"/>
                <w:shd w:val="clear" w:color="auto" w:fill="FFFFFF"/>
                <w:lang w:val="en-US" w:eastAsia="zh-CN"/>
              </w:rPr>
              <w:t>三</w:t>
            </w:r>
            <w:r>
              <w:rPr>
                <w:rFonts w:hint="eastAsia" w:ascii="宋体" w:hAnsi="宋体" w:eastAsia="宋体"/>
                <w:color w:val="auto"/>
                <w:sz w:val="22"/>
                <w:szCs w:val="22"/>
                <w:highlight w:val="none"/>
                <w:shd w:val="clear" w:color="auto" w:fill="FFFFFF"/>
                <w:lang w:eastAsia="zh-CN"/>
              </w:rPr>
              <w:t>楼</w:t>
            </w:r>
            <w:r>
              <w:rPr>
                <w:rFonts w:hint="eastAsia" w:ascii="宋体" w:hAnsi="宋体" w:eastAsia="宋体"/>
                <w:color w:val="auto"/>
                <w:sz w:val="22"/>
                <w:szCs w:val="22"/>
                <w:highlight w:val="none"/>
                <w:shd w:val="clear" w:color="auto" w:fill="FFFFFF"/>
                <w:lang w:val="en-US" w:eastAsia="zh-CN"/>
              </w:rPr>
              <w:t>评标室</w:t>
            </w:r>
            <w:r>
              <w:rPr>
                <w:rFonts w:hint="eastAsia" w:ascii="宋体" w:hAnsi="宋体" w:eastAsia="宋体"/>
                <w:color w:val="auto"/>
                <w:sz w:val="22"/>
                <w:szCs w:val="22"/>
                <w:highlight w:val="none"/>
                <w:shd w:val="clear" w:color="auto" w:fill="FFFFFF"/>
                <w:lang w:eastAsia="zh-CN"/>
              </w:rPr>
              <w:t>（平</w:t>
            </w:r>
            <w:r>
              <w:rPr>
                <w:rFonts w:hint="eastAsia" w:ascii="宋体" w:hAnsi="宋体" w:eastAsia="宋体"/>
                <w:color w:val="auto"/>
                <w:sz w:val="22"/>
                <w:szCs w:val="22"/>
                <w:highlight w:val="none"/>
              </w:rPr>
              <w:t>阳县鳌江镇火车站大道和谐家园</w:t>
            </w:r>
            <w:r>
              <w:rPr>
                <w:rFonts w:hint="eastAsia" w:ascii="宋体" w:hAnsi="宋体"/>
                <w:color w:val="auto"/>
                <w:sz w:val="22"/>
                <w:szCs w:val="22"/>
                <w:highlight w:val="none"/>
                <w:lang w:val="en-US" w:eastAsia="zh-CN"/>
              </w:rPr>
              <w:t>三</w:t>
            </w:r>
            <w:r>
              <w:rPr>
                <w:rFonts w:hint="eastAsia" w:ascii="宋体" w:hAnsi="宋体" w:eastAsia="宋体"/>
                <w:color w:val="auto"/>
                <w:sz w:val="22"/>
                <w:szCs w:val="22"/>
                <w:highlight w:val="none"/>
              </w:rPr>
              <w:t>楼）。</w:t>
            </w:r>
          </w:p>
        </w:tc>
      </w:tr>
      <w:tr w14:paraId="039ED2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473A6E2F">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2768168">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评审委员会的</w:t>
            </w:r>
          </w:p>
          <w:p w14:paraId="0DD221F0">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组建</w:t>
            </w:r>
          </w:p>
        </w:tc>
        <w:tc>
          <w:tcPr>
            <w:tcW w:w="7776" w:type="dxa"/>
            <w:vAlign w:val="center"/>
          </w:tcPr>
          <w:p w14:paraId="02565BA4">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评标委员会构成：采购人依法组建，成员人数应当为</w:t>
            </w:r>
            <w:r>
              <w:rPr>
                <w:rFonts w:hint="eastAsia" w:ascii="宋体" w:hAnsi="宋体"/>
                <w:color w:val="auto"/>
                <w:sz w:val="22"/>
                <w:szCs w:val="22"/>
                <w:highlight w:val="none"/>
                <w:lang w:val="en-US" w:eastAsia="zh-CN"/>
              </w:rPr>
              <w:t>5</w:t>
            </w:r>
            <w:r>
              <w:rPr>
                <w:rFonts w:hint="eastAsia" w:ascii="宋体" w:hAnsi="宋体" w:eastAsia="宋体"/>
                <w:color w:val="auto"/>
                <w:sz w:val="22"/>
                <w:szCs w:val="22"/>
                <w:highlight w:val="none"/>
              </w:rPr>
              <w:t>人及以上单数，其中评审专家不得少于成员总数的三分之二；评审专家确定方式：按相关规定从专家库中抽取。</w:t>
            </w:r>
          </w:p>
        </w:tc>
      </w:tr>
      <w:tr w14:paraId="0CFC87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06" w:hRule="atLeast"/>
          <w:jc w:val="center"/>
        </w:trPr>
        <w:tc>
          <w:tcPr>
            <w:tcW w:w="842" w:type="dxa"/>
            <w:vAlign w:val="center"/>
          </w:tcPr>
          <w:p w14:paraId="49B6232E">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8061591">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政府采购</w:t>
            </w:r>
          </w:p>
          <w:p w14:paraId="6E2BDD0C">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扶持政策</w:t>
            </w:r>
          </w:p>
        </w:tc>
        <w:tc>
          <w:tcPr>
            <w:tcW w:w="7776" w:type="dxa"/>
            <w:vAlign w:val="center"/>
          </w:tcPr>
          <w:p w14:paraId="21DBD2FC">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1、对符合财政扶持政策的小微企业（或监狱企业、残疾人福利性单位）给予评标价格优惠。</w:t>
            </w:r>
          </w:p>
        </w:tc>
      </w:tr>
      <w:tr w14:paraId="75F1E1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45DB3EEF">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2EE022A">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供应商信用查询</w:t>
            </w:r>
          </w:p>
        </w:tc>
        <w:tc>
          <w:tcPr>
            <w:tcW w:w="7776" w:type="dxa"/>
            <w:vAlign w:val="center"/>
          </w:tcPr>
          <w:p w14:paraId="12EE1DA6">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信用信息查询的查询渠道：“信用中国”(</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"http://www.creditchina.gov.cn"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www.creditchina.gov.cn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)；“中国政府采购网”（http://www.ccgp.gov.cn/）；</w:t>
            </w:r>
          </w:p>
          <w:p w14:paraId="03AEF12A">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信用信息查询截止时点：至本项目投标截止时间前均可。</w:t>
            </w:r>
          </w:p>
          <w:p w14:paraId="4342C861">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信用信息查询记录和证据留存的具体方式：网页截图打印；</w:t>
            </w:r>
          </w:p>
          <w:p w14:paraId="57250AF6">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14:paraId="7900D1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4169754E">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37DEB55">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合同备案</w:t>
            </w:r>
          </w:p>
        </w:tc>
        <w:tc>
          <w:tcPr>
            <w:tcW w:w="7776" w:type="dxa"/>
            <w:vAlign w:val="center"/>
          </w:tcPr>
          <w:p w14:paraId="18542D7F">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1、中标供应商须在中标通知书发出之日起30日内与采购人签订合同。</w:t>
            </w:r>
          </w:p>
          <w:p w14:paraId="37192CE0">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2、中标供应商与采购人签订合同后，2日历天内将合同扫描件电子版发给</w:t>
            </w:r>
            <w:r>
              <w:rPr>
                <w:rFonts w:hint="eastAsia" w:ascii="宋体" w:hAnsi="宋体"/>
                <w:color w:val="auto"/>
                <w:sz w:val="22"/>
                <w:szCs w:val="22"/>
                <w:highlight w:val="none"/>
                <w:lang w:eastAsia="zh-CN"/>
              </w:rPr>
              <w:t>浙江名进建设项目管理有限公司</w:t>
            </w:r>
            <w:r>
              <w:rPr>
                <w:rFonts w:hint="eastAsia" w:ascii="宋体" w:hAnsi="宋体" w:eastAsia="宋体"/>
                <w:color w:val="auto"/>
                <w:sz w:val="22"/>
                <w:szCs w:val="22"/>
                <w:highlight w:val="none"/>
              </w:rPr>
              <w:t>邮箱：</w:t>
            </w:r>
            <w:r>
              <w:rPr>
                <w:rStyle w:val="54"/>
                <w:rFonts w:hint="eastAsia" w:ascii="宋体" w:hAnsi="宋体"/>
                <w:color w:val="auto"/>
                <w:sz w:val="22"/>
                <w:szCs w:val="22"/>
                <w:highlight w:val="none"/>
                <w:lang w:eastAsia="zh-CN"/>
              </w:rPr>
              <w:t>1017874347</w:t>
            </w:r>
            <w:r>
              <w:rPr>
                <w:rStyle w:val="54"/>
                <w:rFonts w:hint="eastAsia" w:ascii="宋体" w:hAnsi="宋体" w:eastAsia="宋体"/>
                <w:color w:val="auto"/>
                <w:sz w:val="22"/>
                <w:szCs w:val="22"/>
                <w:highlight w:val="none"/>
              </w:rPr>
              <w:t>@qq.com</w:t>
            </w:r>
            <w:r>
              <w:rPr>
                <w:rFonts w:hint="eastAsia" w:ascii="宋体" w:hAnsi="宋体" w:eastAsia="宋体"/>
                <w:color w:val="auto"/>
                <w:sz w:val="22"/>
                <w:szCs w:val="22"/>
                <w:highlight w:val="none"/>
              </w:rPr>
              <w:t>；</w:t>
            </w:r>
          </w:p>
          <w:p w14:paraId="14A962BC">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3、本项目</w:t>
            </w:r>
            <w:r>
              <w:rPr>
                <w:rFonts w:hint="eastAsia" w:ascii="宋体" w:hAnsi="宋体"/>
                <w:color w:val="auto"/>
                <w:sz w:val="22"/>
                <w:szCs w:val="22"/>
                <w:highlight w:val="none"/>
                <w:lang w:eastAsia="zh-CN"/>
              </w:rPr>
              <w:t>国企采购</w:t>
            </w:r>
            <w:r>
              <w:rPr>
                <w:rFonts w:hint="eastAsia" w:ascii="宋体" w:hAnsi="宋体" w:eastAsia="宋体"/>
                <w:color w:val="auto"/>
                <w:sz w:val="22"/>
                <w:szCs w:val="22"/>
                <w:highlight w:val="none"/>
              </w:rPr>
              <w:t>合同按规定在浙江政府采购网（</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"http://www.zjzfcg.gov.cn"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http://www.zjzfcg.gov.cn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）予以公告。</w:t>
            </w:r>
          </w:p>
        </w:tc>
      </w:tr>
      <w:tr w14:paraId="58AF16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057A4C25">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8A91FED">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合同履约管理</w:t>
            </w:r>
          </w:p>
        </w:tc>
        <w:tc>
          <w:tcPr>
            <w:tcW w:w="7776" w:type="dxa"/>
            <w:vAlign w:val="center"/>
          </w:tcPr>
          <w:p w14:paraId="7344F32C">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合同签订后，采购人依法加强对合同履约进行管理，并在</w:t>
            </w:r>
            <w:r>
              <w:rPr>
                <w:rFonts w:hint="eastAsia" w:ascii="宋体" w:hAnsi="宋体"/>
                <w:color w:val="auto"/>
                <w:sz w:val="22"/>
                <w:szCs w:val="22"/>
                <w:highlight w:val="none"/>
                <w:lang w:eastAsia="zh-CN"/>
              </w:rPr>
              <w:t>中标供应商</w:t>
            </w:r>
            <w:r>
              <w:rPr>
                <w:rFonts w:hint="eastAsia" w:ascii="宋体" w:hAnsi="宋体" w:eastAsia="宋体"/>
                <w:color w:val="auto"/>
                <w:sz w:val="22"/>
                <w:szCs w:val="22"/>
                <w:highlight w:val="none"/>
              </w:rPr>
              <w:t>供货、项目验收等重要关节，如实填写《合同验收报告》（或考核资料），并及时向同级财政部门报告验收过程中遇到的问题。</w:t>
            </w:r>
          </w:p>
        </w:tc>
      </w:tr>
      <w:tr w14:paraId="21F1DD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662E70B7">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29B7F4D">
            <w:pPr>
              <w:shd w:val="clear"/>
              <w:spacing w:line="360" w:lineRule="auto"/>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免责声明</w:t>
            </w:r>
          </w:p>
        </w:tc>
        <w:tc>
          <w:tcPr>
            <w:tcW w:w="7776" w:type="dxa"/>
            <w:vAlign w:val="center"/>
          </w:tcPr>
          <w:p w14:paraId="0BB8A8E7">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自行承担投标过程中产生的费用。无论何种因素导致采购项目延期开标、废标（流标）、</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未中标、项目终止采购的，采购人与代理机构均不承担供应商投标费用。</w:t>
            </w:r>
          </w:p>
          <w:p w14:paraId="0B724AEF">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在投标、合同履行过程中必须做好安全保障工作，不因项目实施而危及自身及第三方人员、财产安全。若发生任何安全事故，由中标供应商自行承担一切责任并赔偿损失。</w:t>
            </w:r>
          </w:p>
        </w:tc>
      </w:tr>
      <w:tr w14:paraId="2DAD13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5E22B843">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34AE0DE">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解释权</w:t>
            </w:r>
          </w:p>
        </w:tc>
        <w:tc>
          <w:tcPr>
            <w:tcW w:w="7776" w:type="dxa"/>
            <w:vAlign w:val="center"/>
          </w:tcPr>
          <w:p w14:paraId="7A2E24BB">
            <w:pPr>
              <w:shd w:val="clea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677960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3EB7F51F">
            <w:pPr>
              <w:widowControl/>
              <w:numPr>
                <w:ilvl w:val="0"/>
                <w:numId w:val="7"/>
              </w:numPr>
              <w:shd w:val="clea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7143ED2">
            <w:pPr>
              <w:shd w:val="clea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特别说明</w:t>
            </w:r>
          </w:p>
        </w:tc>
        <w:tc>
          <w:tcPr>
            <w:tcW w:w="7776" w:type="dxa"/>
            <w:vAlign w:val="center"/>
          </w:tcPr>
          <w:p w14:paraId="24983E4A">
            <w:pPr>
              <w:shd w:val="clear"/>
              <w:snapToGrid w:val="0"/>
              <w:spacing w:line="360" w:lineRule="auto"/>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14:paraId="55E1AFB3">
      <w:pPr>
        <w:shd w:val="clear"/>
        <w:autoSpaceDE w:val="0"/>
        <w:autoSpaceDN w:val="0"/>
        <w:spacing w:line="440" w:lineRule="atLeast"/>
        <w:jc w:val="center"/>
        <w:rPr>
          <w:rFonts w:ascii="宋体" w:hAnsi="宋体"/>
          <w:color w:val="auto"/>
          <w:sz w:val="36"/>
          <w:highlight w:val="none"/>
        </w:rPr>
      </w:pPr>
    </w:p>
    <w:p w14:paraId="55BA140B">
      <w:pPr>
        <w:pStyle w:val="24"/>
        <w:shd w:val="clear"/>
        <w:rPr>
          <w:color w:val="auto"/>
          <w:highlight w:val="none"/>
        </w:rPr>
        <w:sectPr>
          <w:footerReference r:id="rId4" w:type="default"/>
          <w:pgSz w:w="11906" w:h="16838"/>
          <w:pgMar w:top="1440" w:right="1622" w:bottom="1440" w:left="1287" w:header="851" w:footer="992" w:gutter="0"/>
          <w:pgBorders>
            <w:top w:val="none" w:sz="0" w:space="0"/>
            <w:left w:val="none" w:sz="0" w:space="0"/>
            <w:bottom w:val="none" w:sz="0" w:space="0"/>
            <w:right w:val="none" w:sz="0" w:space="0"/>
          </w:pgBorders>
          <w:pgNumType w:fmt="decimal" w:start="1"/>
          <w:cols w:space="720" w:num="1"/>
          <w:docGrid w:linePitch="312" w:charSpace="0"/>
        </w:sectPr>
      </w:pPr>
    </w:p>
    <w:p w14:paraId="2BCA7BEB">
      <w:pPr>
        <w:shd w:val="clear"/>
        <w:autoSpaceDE w:val="0"/>
        <w:autoSpaceDN w:val="0"/>
        <w:spacing w:line="440" w:lineRule="atLeast"/>
        <w:jc w:val="center"/>
        <w:rPr>
          <w:rFonts w:hint="eastAsia" w:ascii="宋体" w:hAnsi="宋体"/>
          <w:color w:val="auto"/>
          <w:sz w:val="36"/>
          <w:highlight w:val="none"/>
        </w:rPr>
      </w:pPr>
      <w:r>
        <w:rPr>
          <w:rFonts w:hint="eastAsia" w:ascii="宋体" w:hAnsi="宋体"/>
          <w:color w:val="auto"/>
          <w:sz w:val="36"/>
          <w:highlight w:val="none"/>
        </w:rPr>
        <w:t>招标文件目录</w:t>
      </w:r>
    </w:p>
    <w:p w14:paraId="3D8A59E0">
      <w:pPr>
        <w:shd w:val="clear"/>
        <w:autoSpaceDE w:val="0"/>
        <w:autoSpaceDN w:val="0"/>
        <w:spacing w:line="360" w:lineRule="auto"/>
        <w:ind w:firstLine="323" w:firstLineChars="147"/>
        <w:rPr>
          <w:rFonts w:hint="eastAsia" w:ascii="宋体" w:hAnsi="宋体"/>
          <w:color w:val="auto"/>
          <w:sz w:val="22"/>
          <w:szCs w:val="22"/>
          <w:highlight w:val="none"/>
        </w:rPr>
      </w:pPr>
      <w:r>
        <w:rPr>
          <w:rFonts w:hint="eastAsia" w:ascii="宋体" w:hAnsi="宋体"/>
          <w:color w:val="auto"/>
          <w:sz w:val="22"/>
          <w:szCs w:val="22"/>
          <w:highlight w:val="none"/>
        </w:rPr>
        <w:t>第一部分、项目简介</w:t>
      </w:r>
    </w:p>
    <w:p w14:paraId="4E3F20D8">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第二部分、招标内容及要求</w:t>
      </w:r>
    </w:p>
    <w:p w14:paraId="0C9F0019">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第三部分、供应商须知</w:t>
      </w:r>
    </w:p>
    <w:p w14:paraId="38D05AAF">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一、说明</w:t>
      </w:r>
    </w:p>
    <w:p w14:paraId="3E883124">
      <w:pPr>
        <w:shd w:val="clear"/>
        <w:autoSpaceDE w:val="0"/>
        <w:autoSpaceDN w:val="0"/>
        <w:snapToGrid w:val="0"/>
        <w:spacing w:line="360" w:lineRule="auto"/>
        <w:ind w:firstLine="1419" w:firstLineChars="645"/>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3573931C">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三、招标文件</w:t>
      </w:r>
    </w:p>
    <w:p w14:paraId="0819B573">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四、投标文件</w:t>
      </w:r>
    </w:p>
    <w:p w14:paraId="19BDDE3B">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五、投标文件的递交</w:t>
      </w:r>
    </w:p>
    <w:p w14:paraId="0FD6EF94">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六、开标和评标</w:t>
      </w:r>
    </w:p>
    <w:p w14:paraId="2041F0F2">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七、授予合同</w:t>
      </w:r>
    </w:p>
    <w:p w14:paraId="509F1460">
      <w:pPr>
        <w:shd w:val="clea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第四部分、政府采购政策功能相关说明</w:t>
      </w:r>
    </w:p>
    <w:p w14:paraId="75D69004">
      <w:pPr>
        <w:shd w:val="clear"/>
        <w:tabs>
          <w:tab w:val="left" w:pos="560"/>
        </w:tabs>
        <w:autoSpaceDE w:val="0"/>
        <w:autoSpaceDN w:val="0"/>
        <w:snapToGrid w:val="0"/>
        <w:spacing w:line="360" w:lineRule="auto"/>
        <w:ind w:firstLine="330" w:firstLineChars="150"/>
        <w:rPr>
          <w:rFonts w:hint="eastAsia" w:ascii="宋体" w:hAnsi="宋体"/>
          <w:color w:val="auto"/>
          <w:sz w:val="22"/>
          <w:szCs w:val="22"/>
          <w:highlight w:val="none"/>
        </w:rPr>
      </w:pPr>
      <w:r>
        <w:rPr>
          <w:rFonts w:hint="eastAsia" w:ascii="宋体" w:hAnsi="宋体"/>
          <w:color w:val="auto"/>
          <w:sz w:val="22"/>
          <w:szCs w:val="22"/>
          <w:highlight w:val="none"/>
        </w:rPr>
        <w:t>第五部分、合同格式</w:t>
      </w:r>
    </w:p>
    <w:p w14:paraId="70E82903">
      <w:pPr>
        <w:shd w:val="clea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第六部分、附件：投标文件格式</w:t>
      </w:r>
    </w:p>
    <w:p w14:paraId="50D6A96F">
      <w:pPr>
        <w:shd w:val="clea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第七部分、评标办法</w:t>
      </w:r>
    </w:p>
    <w:p w14:paraId="603D6AC9">
      <w:pPr>
        <w:pStyle w:val="30"/>
        <w:shd w:val="clear"/>
        <w:spacing w:before="120" w:after="120"/>
        <w:ind w:left="0" w:firstLine="0" w:firstLineChars="0"/>
        <w:rPr>
          <w:color w:val="auto"/>
          <w:highlight w:val="none"/>
        </w:rPr>
      </w:pPr>
    </w:p>
    <w:p w14:paraId="1560377A">
      <w:pPr>
        <w:pStyle w:val="30"/>
        <w:shd w:val="clear"/>
        <w:spacing w:before="120" w:after="120"/>
        <w:ind w:left="0" w:firstLine="0" w:firstLineChars="0"/>
        <w:rPr>
          <w:color w:val="auto"/>
          <w:highlight w:val="none"/>
        </w:rPr>
      </w:pPr>
    </w:p>
    <w:p w14:paraId="245B8677">
      <w:pPr>
        <w:pStyle w:val="30"/>
        <w:shd w:val="clear"/>
        <w:spacing w:before="120" w:after="120"/>
        <w:ind w:left="0" w:firstLine="0" w:firstLineChars="0"/>
        <w:rPr>
          <w:color w:val="auto"/>
          <w:highlight w:val="none"/>
        </w:rPr>
      </w:pPr>
    </w:p>
    <w:p w14:paraId="638700E4">
      <w:pPr>
        <w:pStyle w:val="30"/>
        <w:shd w:val="clear"/>
        <w:spacing w:before="120" w:after="120"/>
        <w:ind w:left="0" w:firstLine="0" w:firstLineChars="0"/>
        <w:rPr>
          <w:color w:val="auto"/>
          <w:highlight w:val="none"/>
        </w:rPr>
      </w:pPr>
    </w:p>
    <w:p w14:paraId="6F00231E">
      <w:pPr>
        <w:pStyle w:val="30"/>
        <w:shd w:val="clear"/>
        <w:spacing w:before="120" w:after="120"/>
        <w:ind w:left="0" w:firstLine="0" w:firstLineChars="0"/>
        <w:rPr>
          <w:color w:val="auto"/>
          <w:highlight w:val="none"/>
        </w:rPr>
      </w:pPr>
    </w:p>
    <w:p w14:paraId="064470AD">
      <w:pPr>
        <w:pStyle w:val="30"/>
        <w:shd w:val="clear"/>
        <w:spacing w:before="120" w:after="120"/>
        <w:ind w:left="0" w:firstLine="0" w:firstLineChars="0"/>
        <w:rPr>
          <w:color w:val="auto"/>
          <w:highlight w:val="none"/>
        </w:rPr>
      </w:pPr>
    </w:p>
    <w:p w14:paraId="496B8439">
      <w:pPr>
        <w:pStyle w:val="30"/>
        <w:shd w:val="clear"/>
        <w:spacing w:before="120" w:after="120"/>
        <w:ind w:left="0" w:firstLine="0" w:firstLineChars="0"/>
        <w:rPr>
          <w:color w:val="auto"/>
          <w:highlight w:val="none"/>
        </w:rPr>
      </w:pPr>
    </w:p>
    <w:p w14:paraId="711F6520">
      <w:pPr>
        <w:pStyle w:val="30"/>
        <w:shd w:val="clear"/>
        <w:spacing w:before="120" w:after="120"/>
        <w:ind w:left="0" w:firstLine="0" w:firstLineChars="0"/>
        <w:rPr>
          <w:color w:val="auto"/>
          <w:highlight w:val="none"/>
        </w:rPr>
      </w:pPr>
    </w:p>
    <w:p w14:paraId="02F44560">
      <w:pPr>
        <w:pStyle w:val="30"/>
        <w:shd w:val="clear"/>
        <w:spacing w:before="120" w:after="120"/>
        <w:ind w:left="0" w:firstLine="0" w:firstLineChars="0"/>
        <w:rPr>
          <w:color w:val="auto"/>
          <w:highlight w:val="none"/>
        </w:rPr>
      </w:pPr>
    </w:p>
    <w:p w14:paraId="5CE658CE">
      <w:pPr>
        <w:pStyle w:val="30"/>
        <w:shd w:val="clear"/>
        <w:spacing w:before="120" w:after="120"/>
        <w:ind w:left="0" w:firstLine="0" w:firstLineChars="0"/>
        <w:rPr>
          <w:color w:val="auto"/>
          <w:highlight w:val="none"/>
        </w:rPr>
      </w:pPr>
    </w:p>
    <w:p w14:paraId="45FBD56A">
      <w:pPr>
        <w:pStyle w:val="30"/>
        <w:shd w:val="clear"/>
        <w:spacing w:before="120" w:after="120"/>
        <w:ind w:left="0" w:firstLine="0" w:firstLineChars="0"/>
        <w:rPr>
          <w:color w:val="auto"/>
          <w:highlight w:val="none"/>
        </w:rPr>
      </w:pPr>
    </w:p>
    <w:p w14:paraId="58DA5043">
      <w:pPr>
        <w:pStyle w:val="30"/>
        <w:shd w:val="clear"/>
        <w:spacing w:before="120" w:after="120"/>
        <w:ind w:left="0" w:firstLine="0" w:firstLineChars="0"/>
        <w:rPr>
          <w:color w:val="auto"/>
          <w:highlight w:val="none"/>
        </w:rPr>
      </w:pPr>
    </w:p>
    <w:p w14:paraId="452853D6">
      <w:pPr>
        <w:pStyle w:val="30"/>
        <w:shd w:val="clear"/>
        <w:spacing w:before="120" w:after="120"/>
        <w:ind w:left="0" w:firstLine="0" w:firstLineChars="0"/>
        <w:rPr>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60381319">
      <w:pPr>
        <w:pStyle w:val="42"/>
        <w:shd w:val="clear"/>
        <w:spacing w:before="0" w:after="0" w:line="360" w:lineRule="auto"/>
        <w:rPr>
          <w:rFonts w:hint="eastAsia" w:ascii="宋体" w:hAnsi="宋体"/>
          <w:color w:val="auto"/>
          <w:highlight w:val="none"/>
          <w:lang w:val="zh-CN"/>
        </w:rPr>
      </w:pPr>
      <w:r>
        <w:rPr>
          <w:rFonts w:hint="eastAsia" w:ascii="宋体" w:hAnsi="宋体"/>
          <w:color w:val="auto"/>
          <w:highlight w:val="none"/>
          <w:lang w:val="zh-CN"/>
        </w:rPr>
        <w:t>第一部分  项目简介</w:t>
      </w:r>
    </w:p>
    <w:p w14:paraId="4C2509B4">
      <w:pPr>
        <w:pStyle w:val="42"/>
        <w:shd w:val="clear"/>
        <w:spacing w:before="0" w:after="0" w:line="360" w:lineRule="auto"/>
        <w:jc w:val="both"/>
        <w:rPr>
          <w:rFonts w:hint="eastAsia" w:ascii="宋体" w:hAnsi="宋体"/>
          <w:color w:val="auto"/>
          <w:sz w:val="22"/>
          <w:szCs w:val="22"/>
          <w:highlight w:val="none"/>
        </w:rPr>
      </w:pPr>
      <w:bookmarkStart w:id="4" w:name="_Toc300252050"/>
      <w:bookmarkEnd w:id="4"/>
      <w:r>
        <w:rPr>
          <w:rFonts w:hint="eastAsia" w:ascii="宋体" w:hAnsi="宋体"/>
          <w:color w:val="auto"/>
          <w:sz w:val="22"/>
          <w:szCs w:val="22"/>
          <w:highlight w:val="none"/>
        </w:rPr>
        <w:t>一、项目简介</w:t>
      </w:r>
    </w:p>
    <w:p w14:paraId="17A333F3">
      <w:pPr>
        <w:shd w:val="clear"/>
        <w:snapToGrid w:val="0"/>
        <w:spacing w:line="360" w:lineRule="auto"/>
        <w:ind w:firstLine="541" w:firstLineChars="246"/>
        <w:rPr>
          <w:rFonts w:hint="eastAsia" w:ascii="宋体" w:hAnsi="宋体"/>
          <w:color w:val="auto"/>
          <w:sz w:val="22"/>
          <w:szCs w:val="24"/>
          <w:highlight w:val="none"/>
          <w:lang w:eastAsia="zh-CN"/>
        </w:rPr>
      </w:pPr>
      <w:bookmarkStart w:id="5" w:name="_Toc300252051"/>
      <w:r>
        <w:rPr>
          <w:rFonts w:hint="eastAsia" w:ascii="宋体" w:hAnsi="宋体"/>
          <w:color w:val="auto"/>
          <w:sz w:val="22"/>
          <w:szCs w:val="24"/>
          <w:highlight w:val="none"/>
          <w:lang w:eastAsia="zh-CN"/>
        </w:rPr>
        <w:t>浙江名进建设项目管理有限公司</w:t>
      </w:r>
      <w:r>
        <w:rPr>
          <w:rFonts w:hint="eastAsia" w:ascii="宋体" w:hAnsi="宋体"/>
          <w:color w:val="auto"/>
          <w:sz w:val="22"/>
          <w:szCs w:val="24"/>
          <w:highlight w:val="none"/>
        </w:rPr>
        <w:t>受</w:t>
      </w:r>
      <w:r>
        <w:rPr>
          <w:rFonts w:hint="eastAsia" w:ascii="宋体" w:hAnsi="宋体"/>
          <w:color w:val="auto"/>
          <w:sz w:val="22"/>
          <w:szCs w:val="24"/>
          <w:highlight w:val="none"/>
          <w:lang w:eastAsia="zh-CN"/>
        </w:rPr>
        <w:t>平阳县新鳌城市建设有限公司</w:t>
      </w:r>
      <w:r>
        <w:rPr>
          <w:rFonts w:hint="eastAsia" w:ascii="宋体" w:hAnsi="宋体"/>
          <w:bCs/>
          <w:color w:val="auto"/>
          <w:sz w:val="22"/>
          <w:szCs w:val="24"/>
          <w:highlight w:val="none"/>
        </w:rPr>
        <w:t>委托，</w:t>
      </w:r>
      <w:r>
        <w:rPr>
          <w:rFonts w:hint="eastAsia" w:ascii="宋体" w:hAnsi="宋体"/>
          <w:color w:val="auto"/>
          <w:sz w:val="22"/>
          <w:szCs w:val="24"/>
          <w:highlight w:val="none"/>
        </w:rPr>
        <w:t>以公开招标方式采购</w:t>
      </w:r>
      <w:r>
        <w:rPr>
          <w:rFonts w:hint="eastAsia" w:ascii="宋体" w:hAnsi="宋体"/>
          <w:color w:val="auto"/>
          <w:kern w:val="0"/>
          <w:sz w:val="22"/>
          <w:szCs w:val="24"/>
          <w:highlight w:val="none"/>
          <w:lang w:eastAsia="zh-CN"/>
        </w:rPr>
        <w:t>2025年度鳌江镇苗木养护、补植、绿地修复项目</w:t>
      </w:r>
      <w:r>
        <w:rPr>
          <w:rFonts w:hint="eastAsia" w:ascii="宋体" w:hAnsi="宋体"/>
          <w:color w:val="auto"/>
          <w:sz w:val="22"/>
          <w:szCs w:val="24"/>
          <w:highlight w:val="none"/>
        </w:rPr>
        <w:t>，本次招标资金已经落实。</w:t>
      </w:r>
    </w:p>
    <w:p w14:paraId="5F9C4D70">
      <w:pPr>
        <w:shd w:val="clear"/>
        <w:snapToGrid w:val="0"/>
        <w:spacing w:line="360" w:lineRule="auto"/>
        <w:ind w:firstLine="541" w:firstLineChars="246"/>
        <w:rPr>
          <w:rFonts w:hint="eastAsia" w:ascii="宋体" w:hAnsi="宋体"/>
          <w:color w:val="auto"/>
          <w:sz w:val="22"/>
          <w:szCs w:val="24"/>
          <w:highlight w:val="none"/>
        </w:rPr>
      </w:pPr>
      <w:r>
        <w:rPr>
          <w:rFonts w:hint="eastAsia" w:ascii="宋体" w:hAnsi="宋体"/>
          <w:color w:val="auto"/>
          <w:sz w:val="22"/>
          <w:szCs w:val="24"/>
          <w:highlight w:val="none"/>
        </w:rPr>
        <w:t>我们热忱欢迎有关公司（企业）前来进行投标。</w:t>
      </w:r>
      <w:r>
        <w:rPr>
          <w:rFonts w:hint="eastAsia" w:ascii="宋体" w:hAnsi="宋体"/>
          <w:color w:val="auto"/>
          <w:szCs w:val="22"/>
          <w:highlight w:val="none"/>
        </w:rPr>
        <w:t xml:space="preserve">  </w:t>
      </w:r>
    </w:p>
    <w:p w14:paraId="4FEB84D8">
      <w:pPr>
        <w:shd w:val="clear"/>
        <w:snapToGrid w:val="0"/>
        <w:spacing w:line="360" w:lineRule="auto"/>
        <w:ind w:firstLine="516" w:firstLineChars="246"/>
        <w:rPr>
          <w:rFonts w:hint="eastAsia" w:ascii="宋体" w:hAnsi="宋体"/>
          <w:color w:val="auto"/>
          <w:szCs w:val="22"/>
          <w:highlight w:val="none"/>
        </w:rPr>
      </w:pPr>
    </w:p>
    <w:bookmarkEnd w:id="5"/>
    <w:p w14:paraId="11096B2B">
      <w:pPr>
        <w:pStyle w:val="42"/>
        <w:numPr>
          <w:ilvl w:val="0"/>
          <w:numId w:val="8"/>
        </w:numPr>
        <w:shd w:val="clear"/>
        <w:spacing w:before="0" w:after="0" w:line="420" w:lineRule="exact"/>
        <w:rPr>
          <w:rFonts w:hint="eastAsia" w:ascii="宋体" w:hAnsi="宋体"/>
          <w:color w:val="auto"/>
          <w:highlight w:val="none"/>
          <w:lang w:val="zh-CN"/>
        </w:rPr>
      </w:pPr>
      <w:bookmarkStart w:id="6" w:name="_Toc327258815"/>
      <w:r>
        <w:rPr>
          <w:rFonts w:hint="eastAsia" w:ascii="宋体" w:hAnsi="宋体"/>
          <w:color w:val="auto"/>
          <w:highlight w:val="none"/>
          <w:lang w:val="zh-CN"/>
        </w:rPr>
        <w:t>采购内容及要求</w:t>
      </w:r>
    </w:p>
    <w:p w14:paraId="1101738A">
      <w:pPr>
        <w:shd w:val="clear"/>
        <w:autoSpaceDE w:val="0"/>
        <w:autoSpaceDN w:val="0"/>
        <w:snapToGrid w:val="0"/>
        <w:jc w:val="center"/>
        <w:rPr>
          <w:rFonts w:ascii="宋体" w:hAnsi="宋体"/>
          <w:b/>
          <w:color w:val="auto"/>
          <w:szCs w:val="22"/>
          <w:highlight w:val="none"/>
        </w:rPr>
      </w:pPr>
    </w:p>
    <w:bookmarkEnd w:id="6"/>
    <w:p w14:paraId="55095275">
      <w:pPr>
        <w:shd w:val="clear" w:color="auto"/>
        <w:snapToGrid w:val="0"/>
        <w:spacing w:line="360" w:lineRule="auto"/>
        <w:rPr>
          <w:rFonts w:hint="eastAsia" w:ascii="宋体" w:hAnsi="宋体" w:eastAsia="宋体" w:cs="宋体"/>
          <w:b/>
          <w:bCs w:val="0"/>
          <w:color w:val="auto"/>
          <w:kern w:val="0"/>
          <w:sz w:val="22"/>
          <w:szCs w:val="20"/>
          <w:highlight w:val="none"/>
          <w:lang w:val="en-US" w:eastAsia="zh-CN"/>
        </w:rPr>
      </w:pPr>
      <w:r>
        <w:rPr>
          <w:rFonts w:hint="eastAsia" w:ascii="宋体" w:hAnsi="宋体" w:eastAsia="宋体" w:cs="宋体"/>
          <w:b/>
          <w:bCs w:val="0"/>
          <w:color w:val="auto"/>
          <w:kern w:val="0"/>
          <w:sz w:val="22"/>
          <w:szCs w:val="20"/>
          <w:highlight w:val="none"/>
          <w:lang w:val="en-US" w:eastAsia="zh-CN"/>
        </w:rPr>
        <w:t>一、采购总说明</w:t>
      </w:r>
    </w:p>
    <w:p w14:paraId="5C547BA3">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eastAsia="zh-CN"/>
        </w:rPr>
      </w:pPr>
      <w:r>
        <w:rPr>
          <w:rFonts w:hint="eastAsia" w:ascii="宋体" w:hAnsi="宋体" w:eastAsia="宋体" w:cs="宋体"/>
          <w:b w:val="0"/>
          <w:bCs/>
          <w:color w:val="auto"/>
          <w:kern w:val="0"/>
          <w:sz w:val="22"/>
          <w:szCs w:val="20"/>
          <w:highlight w:val="none"/>
          <w:lang w:eastAsia="zh-CN"/>
        </w:rPr>
        <w:t>1.1本技术规范要求提出的是最低限度的基本技术要求，并未对所有技术细节作出规定，供应商应提供符合本技术要求和国家标准、行业标准的优质服务。</w:t>
      </w:r>
    </w:p>
    <w:p w14:paraId="4CA3688E">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eastAsia="zh-CN"/>
        </w:rPr>
      </w:pPr>
      <w:r>
        <w:rPr>
          <w:rFonts w:hint="eastAsia" w:ascii="宋体" w:hAnsi="宋体" w:eastAsia="宋体" w:cs="宋体"/>
          <w:b w:val="0"/>
          <w:bCs/>
          <w:color w:val="auto"/>
          <w:kern w:val="0"/>
          <w:sz w:val="22"/>
          <w:szCs w:val="20"/>
          <w:highlight w:val="none"/>
          <w:lang w:eastAsia="zh-CN"/>
        </w:rPr>
        <w:t>1.2供应商服务与本技术要求不一致时，供应商应在报价文件中予以说明，并由磋商采购小组鉴定供应商服务能否达到要求。如供应商没有在响应文件中提出异议，则视为供应商提供的服务完全按照本采购文件要求。</w:t>
      </w:r>
    </w:p>
    <w:p w14:paraId="4B39ACBA">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eastAsia="zh-CN"/>
        </w:rPr>
      </w:pPr>
      <w:r>
        <w:rPr>
          <w:rFonts w:hint="eastAsia" w:ascii="宋体" w:hAnsi="宋体" w:eastAsia="宋体" w:cs="宋体"/>
          <w:b w:val="0"/>
          <w:bCs/>
          <w:color w:val="auto"/>
          <w:kern w:val="0"/>
          <w:sz w:val="22"/>
          <w:szCs w:val="20"/>
          <w:highlight w:val="none"/>
          <w:lang w:eastAsia="zh-CN"/>
        </w:rPr>
        <w:t>2、技术要求及标准的执行</w:t>
      </w:r>
    </w:p>
    <w:p w14:paraId="78E3B55B">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eastAsia="zh-CN"/>
        </w:rPr>
      </w:pPr>
      <w:r>
        <w:rPr>
          <w:rFonts w:hint="eastAsia" w:ascii="宋体" w:hAnsi="宋体" w:eastAsia="宋体" w:cs="宋体"/>
          <w:b w:val="0"/>
          <w:bCs/>
          <w:color w:val="auto"/>
          <w:kern w:val="0"/>
          <w:sz w:val="22"/>
          <w:szCs w:val="20"/>
          <w:highlight w:val="none"/>
          <w:lang w:eastAsia="zh-CN"/>
        </w:rPr>
        <w:t>供应商提供的服务应标明所执行的质量标准，若同一标准已颁发新标准，则按最新标准执行。若同一服务同时有几个标准（</w:t>
      </w:r>
      <w:r>
        <w:rPr>
          <w:rFonts w:hint="eastAsia" w:ascii="宋体" w:hAnsi="宋体" w:eastAsia="宋体" w:cs="宋体"/>
          <w:b w:val="0"/>
          <w:bCs/>
          <w:color w:val="auto"/>
          <w:kern w:val="0"/>
          <w:sz w:val="22"/>
          <w:szCs w:val="20"/>
          <w:highlight w:val="none"/>
          <w:lang w:val="en-US" w:eastAsia="zh-CN"/>
        </w:rPr>
        <w:t>国际标准、国家标准、行业标准、企业标准等</w:t>
      </w:r>
      <w:r>
        <w:rPr>
          <w:rFonts w:hint="eastAsia" w:ascii="宋体" w:hAnsi="宋体" w:eastAsia="宋体" w:cs="宋体"/>
          <w:b w:val="0"/>
          <w:bCs/>
          <w:color w:val="auto"/>
          <w:kern w:val="0"/>
          <w:sz w:val="22"/>
          <w:szCs w:val="20"/>
          <w:highlight w:val="none"/>
          <w:lang w:eastAsia="zh-CN"/>
        </w:rPr>
        <w:t>），则按最新管理办法或地方管理办法执行。</w:t>
      </w:r>
    </w:p>
    <w:p w14:paraId="7DF212BB">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eastAsia="zh-CN"/>
        </w:rPr>
      </w:pPr>
      <w:r>
        <w:rPr>
          <w:rFonts w:hint="eastAsia" w:ascii="宋体" w:hAnsi="宋体" w:eastAsia="宋体" w:cs="宋体"/>
          <w:b w:val="0"/>
          <w:bCs/>
          <w:color w:val="auto"/>
          <w:kern w:val="0"/>
          <w:sz w:val="22"/>
          <w:szCs w:val="20"/>
          <w:highlight w:val="none"/>
          <w:lang w:eastAsia="zh-CN"/>
        </w:rPr>
        <w:t>3、供应商须按国家有关规定及标准完成本次采购服务各项工作，并保证供应商提供相关数据与说明，报价文件须对本项目采购内容及具体要求作出实质性回应。</w:t>
      </w:r>
    </w:p>
    <w:p w14:paraId="6D5FBAA9">
      <w:pPr>
        <w:shd w:val="clear" w:color="auto"/>
        <w:snapToGrid w:val="0"/>
        <w:spacing w:line="360" w:lineRule="auto"/>
        <w:rPr>
          <w:rFonts w:hint="eastAsia" w:ascii="宋体" w:hAnsi="宋体" w:eastAsia="宋体" w:cs="宋体"/>
          <w:b/>
          <w:bCs w:val="0"/>
          <w:color w:val="auto"/>
          <w:kern w:val="0"/>
          <w:sz w:val="22"/>
          <w:szCs w:val="20"/>
          <w:highlight w:val="none"/>
          <w:lang w:val="en-US" w:eastAsia="zh-CN"/>
        </w:rPr>
      </w:pPr>
      <w:r>
        <w:rPr>
          <w:rFonts w:hint="eastAsia" w:ascii="宋体" w:hAnsi="宋体" w:eastAsia="宋体" w:cs="宋体"/>
          <w:b/>
          <w:bCs w:val="0"/>
          <w:color w:val="auto"/>
          <w:kern w:val="0"/>
          <w:sz w:val="22"/>
          <w:szCs w:val="20"/>
          <w:highlight w:val="none"/>
          <w:lang w:val="en-US" w:eastAsia="zh-CN"/>
        </w:rPr>
        <w:t>二、采购内容</w:t>
      </w:r>
    </w:p>
    <w:p w14:paraId="08788814">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eastAsia="zh-CN"/>
        </w:rPr>
        <w:t>1、</w:t>
      </w:r>
      <w:r>
        <w:rPr>
          <w:rFonts w:hint="eastAsia" w:ascii="宋体" w:hAnsi="宋体" w:eastAsia="宋体" w:cs="宋体"/>
          <w:b w:val="0"/>
          <w:bCs/>
          <w:color w:val="auto"/>
          <w:kern w:val="0"/>
          <w:sz w:val="22"/>
          <w:szCs w:val="20"/>
          <w:highlight w:val="none"/>
          <w:lang w:val="en-US" w:eastAsia="zh-CN"/>
        </w:rPr>
        <w:t>项目概况：</w:t>
      </w:r>
    </w:p>
    <w:p w14:paraId="1F7C8CC3">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本项目为2025年度鳌江镇苗木养护、补植、绿地修复</w:t>
      </w:r>
      <w:r>
        <w:rPr>
          <w:rFonts w:hint="eastAsia" w:ascii="宋体" w:hAnsi="宋体" w:cs="宋体"/>
          <w:b w:val="0"/>
          <w:bCs/>
          <w:color w:val="auto"/>
          <w:kern w:val="0"/>
          <w:sz w:val="22"/>
          <w:szCs w:val="20"/>
          <w:highlight w:val="none"/>
          <w:lang w:val="en-US" w:eastAsia="zh-CN"/>
        </w:rPr>
        <w:t>项目</w:t>
      </w:r>
      <w:r>
        <w:rPr>
          <w:rFonts w:hint="eastAsia" w:ascii="宋体" w:hAnsi="宋体" w:eastAsia="宋体" w:cs="宋体"/>
          <w:b w:val="0"/>
          <w:bCs/>
          <w:color w:val="auto"/>
          <w:kern w:val="0"/>
          <w:sz w:val="22"/>
          <w:szCs w:val="20"/>
          <w:highlight w:val="none"/>
          <w:lang w:val="en-US" w:eastAsia="zh-CN"/>
        </w:rPr>
        <w:t>，主要分为以下两个标项。</w:t>
      </w:r>
    </w:p>
    <w:p w14:paraId="4AA0B3F6">
      <w:pPr>
        <w:numPr>
          <w:ilvl w:val="0"/>
          <w:numId w:val="0"/>
        </w:numPr>
        <w:shd w:val="clear" w:color="auto"/>
        <w:snapToGrid w:val="0"/>
        <w:spacing w:line="360" w:lineRule="auto"/>
        <w:ind w:left="402" w:leftChars="0"/>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（一）标项一：</w:t>
      </w:r>
    </w:p>
    <w:p w14:paraId="6B8232D8">
      <w:pPr>
        <w:numPr>
          <w:ilvl w:val="0"/>
          <w:numId w:val="0"/>
        </w:num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绿化养护范围：包括但不限于2025年鳌江镇建成区、镇政府门口、浙鳌前养护、润德医院至火车站出口、站前A区三角绿地中间绿地、广场路绿地、兴鳌东路（名人酒吧）、柳下路与兴鳌路交叉口钟桥边、胜利路两侧、环城路与柳下路交叉口、曙光路与曙光东路交叉口、老人公寓边、柳浪花坛、曙光路（新移交）、曙光路与育才街交叉口、超风机械前、边防派出所、七小、七小南侧及七小北侧、南门胜利路、联合审批局（老）、东河村路边、店下老人亭、鳌江公园、兴鳌西路中医院前树池养护、鞋城垃圾转运站边（1）、鞋城垃圾转运站边（2）、海关停车广场、文苑小区小公园、浙鳌高中、动车站站前片区养护、欧南大桥、曾宅河边绿化养护、香缇原墅、东河临时生态停车场、游步道一期、纬二路、经五路、镇安路、文体中心楼上、人大屋顶、西桥村滨水小公园、明珠广场、兴鳌东路延伸段、兴鳌中路、锦东嘉苑、欧南大桥上、新镇内苗木、鳌江镇旧城五期改建工程周围道路一侧苗木、鳌江镇蓝田花苑建设项目昆鳌大道一侧苗木、标准段沿堤坝侧绿化、河滨堤对面、平阳县鳌江镇九叠河生态公园景观工程二期（港口公园）、公园路、老镇、横河、园林东路老人院前、蔡落桥、曙东生活区、死株处理、补植、清理石头等杂物（兴鳌东路、环城路、园林路等）、下埕公园对面停车场</w:t>
      </w:r>
      <w:r>
        <w:rPr>
          <w:rFonts w:hint="eastAsia" w:ascii="宋体" w:hAnsi="宋体" w:cs="宋体"/>
          <w:b w:val="0"/>
          <w:bCs/>
          <w:color w:val="auto"/>
          <w:kern w:val="0"/>
          <w:sz w:val="22"/>
          <w:szCs w:val="20"/>
          <w:highlight w:val="none"/>
          <w:lang w:val="en-US" w:eastAsia="zh-CN"/>
        </w:rPr>
        <w:t>、</w:t>
      </w:r>
      <w:r>
        <w:rPr>
          <w:rFonts w:hint="eastAsia" w:ascii="宋体" w:hAnsi="宋体" w:eastAsia="宋体" w:cs="宋体"/>
          <w:b w:val="0"/>
          <w:bCs/>
          <w:color w:val="auto"/>
          <w:kern w:val="0"/>
          <w:sz w:val="22"/>
          <w:szCs w:val="20"/>
          <w:highlight w:val="none"/>
          <w:lang w:val="en-US" w:eastAsia="zh-CN"/>
        </w:rPr>
        <w:t>常绿树修剪残枝运费及堆放（一年）、河边公园水泵含日常维护及维修、务垟苗木场杀虫、除草整理等事宜、花架，坐凳，设施清洗、苗木胸径15以上重剪、园林路榕树简单造型（750株含清理运费、安全设施设备树枝处理等等一切费用）、兴鳌中路、环城路重剪、河边栏杆外野树处理、其他需甲方同意确认的正常二级绿地养护、补植养护及补植工作内容以外的临时应急任务、墨城堆场管理等。详见养护内容。</w:t>
      </w:r>
    </w:p>
    <w:p w14:paraId="442865C2">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1.本项目地点常年处在开放状态，人流量较大，人员构成复杂。</w:t>
      </w:r>
    </w:p>
    <w:p w14:paraId="643A4033">
      <w:pPr>
        <w:shd w:val="clear" w:color="auto"/>
        <w:snapToGrid w:val="0"/>
        <w:spacing w:line="360" w:lineRule="auto"/>
        <w:ind w:firstLine="440" w:firstLineChars="200"/>
        <w:rPr>
          <w:rFonts w:hint="default"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2.</w:t>
      </w:r>
      <w:r>
        <w:rPr>
          <w:rFonts w:hint="eastAsia" w:ascii="宋体" w:hAnsi="宋体" w:eastAsia="宋体" w:cs="宋体"/>
          <w:b w:val="0"/>
          <w:bCs/>
          <w:color w:val="auto"/>
          <w:kern w:val="0"/>
          <w:sz w:val="22"/>
          <w:szCs w:val="20"/>
          <w:highlight w:val="none"/>
          <w:lang w:eastAsia="zh-CN"/>
        </w:rPr>
        <w:t>本次养护内容具体包括</w:t>
      </w:r>
      <w:r>
        <w:rPr>
          <w:rFonts w:hint="eastAsia" w:ascii="宋体" w:hAnsi="宋体" w:eastAsia="宋体" w:cs="宋体"/>
          <w:b w:val="0"/>
          <w:bCs/>
          <w:color w:val="auto"/>
          <w:kern w:val="0"/>
          <w:sz w:val="22"/>
          <w:szCs w:val="20"/>
          <w:highlight w:val="none"/>
          <w:lang w:val="en-US" w:eastAsia="zh-CN"/>
        </w:rPr>
        <w:t>养护范围</w:t>
      </w:r>
      <w:r>
        <w:rPr>
          <w:rFonts w:hint="eastAsia" w:ascii="宋体" w:hAnsi="宋体" w:eastAsia="宋体" w:cs="宋体"/>
          <w:b w:val="0"/>
          <w:bCs/>
          <w:color w:val="auto"/>
          <w:kern w:val="0"/>
          <w:sz w:val="22"/>
          <w:szCs w:val="20"/>
          <w:highlight w:val="none"/>
          <w:lang w:eastAsia="zh-CN"/>
        </w:rPr>
        <w:t>内乔灌木、地被植物、草坪、</w:t>
      </w:r>
      <w:r>
        <w:rPr>
          <w:rFonts w:hint="eastAsia" w:ascii="宋体" w:hAnsi="宋体" w:eastAsia="宋体" w:cs="宋体"/>
          <w:b w:val="0"/>
          <w:bCs/>
          <w:color w:val="auto"/>
          <w:kern w:val="0"/>
          <w:sz w:val="22"/>
          <w:szCs w:val="20"/>
          <w:highlight w:val="none"/>
          <w:lang w:val="en-US" w:eastAsia="zh-CN"/>
        </w:rPr>
        <w:t>养护范围内的养护</w:t>
      </w:r>
      <w:r>
        <w:rPr>
          <w:rFonts w:hint="eastAsia" w:ascii="宋体" w:hAnsi="宋体" w:eastAsia="宋体" w:cs="宋体"/>
          <w:b w:val="0"/>
          <w:bCs/>
          <w:color w:val="auto"/>
          <w:kern w:val="0"/>
          <w:sz w:val="22"/>
          <w:szCs w:val="20"/>
          <w:highlight w:val="none"/>
          <w:lang w:eastAsia="zh-CN"/>
        </w:rPr>
        <w:t>全部内容；</w:t>
      </w:r>
      <w:r>
        <w:rPr>
          <w:rFonts w:hint="eastAsia" w:ascii="宋体" w:hAnsi="宋体" w:eastAsia="宋体" w:cs="宋体"/>
          <w:b w:val="0"/>
          <w:bCs/>
          <w:color w:val="auto"/>
          <w:kern w:val="0"/>
          <w:sz w:val="22"/>
          <w:szCs w:val="20"/>
          <w:highlight w:val="none"/>
          <w:lang w:val="en-US" w:eastAsia="zh-CN"/>
        </w:rPr>
        <w:t>内容如下：</w:t>
      </w:r>
    </w:p>
    <w:tbl>
      <w:tblPr>
        <w:tblStyle w:val="13"/>
        <w:tblW w:w="9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4013"/>
        <w:gridCol w:w="973"/>
        <w:gridCol w:w="1041"/>
        <w:gridCol w:w="1155"/>
        <w:gridCol w:w="1342"/>
      </w:tblGrid>
      <w:tr w14:paraId="17735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B53F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4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76C8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工程名称</w:t>
            </w:r>
          </w:p>
        </w:tc>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3041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697A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最高限价(元)</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8A29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预估数量</w:t>
            </w:r>
          </w:p>
        </w:tc>
        <w:tc>
          <w:tcPr>
            <w:tcW w:w="13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319B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综合单价最高限价</w:t>
            </w:r>
            <w:r>
              <w:rPr>
                <w:rFonts w:hint="eastAsia" w:ascii="宋体" w:hAnsi="宋体" w:eastAsia="宋体" w:cs="宋体"/>
                <w:i w:val="0"/>
                <w:iCs w:val="0"/>
                <w:color w:val="auto"/>
                <w:kern w:val="0"/>
                <w:sz w:val="22"/>
                <w:szCs w:val="22"/>
                <w:highlight w:val="none"/>
                <w:u w:val="none"/>
                <w:lang w:val="en-US" w:eastAsia="zh-CN" w:bidi="ar"/>
              </w:rPr>
              <w:t>(元)</w:t>
            </w:r>
          </w:p>
        </w:tc>
      </w:tr>
      <w:tr w14:paraId="35AA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FBC63">
            <w:pPr>
              <w:shd w:val="clear"/>
              <w:jc w:val="center"/>
              <w:rPr>
                <w:rFonts w:hint="eastAsia" w:ascii="宋体" w:hAnsi="宋体" w:eastAsia="宋体" w:cs="宋体"/>
                <w:i w:val="0"/>
                <w:iCs w:val="0"/>
                <w:color w:val="auto"/>
                <w:sz w:val="22"/>
                <w:szCs w:val="22"/>
                <w:highlight w:val="none"/>
                <w:u w:val="none"/>
              </w:rPr>
            </w:pPr>
          </w:p>
        </w:tc>
        <w:tc>
          <w:tcPr>
            <w:tcW w:w="4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C8F5F">
            <w:pPr>
              <w:shd w:val="clear"/>
              <w:jc w:val="center"/>
              <w:rPr>
                <w:rFonts w:hint="eastAsia" w:ascii="宋体" w:hAnsi="宋体" w:eastAsia="宋体" w:cs="宋体"/>
                <w:i w:val="0"/>
                <w:iCs w:val="0"/>
                <w:color w:val="auto"/>
                <w:sz w:val="22"/>
                <w:szCs w:val="22"/>
                <w:highlight w:val="none"/>
                <w:u w:val="none"/>
              </w:rPr>
            </w:pPr>
          </w:p>
        </w:tc>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0A7F9">
            <w:pPr>
              <w:shd w:val="clear"/>
              <w:jc w:val="center"/>
              <w:rPr>
                <w:rFonts w:hint="eastAsia" w:ascii="宋体" w:hAnsi="宋体" w:eastAsia="宋体" w:cs="宋体"/>
                <w:i w:val="0"/>
                <w:iCs w:val="0"/>
                <w:color w:val="auto"/>
                <w:sz w:val="22"/>
                <w:szCs w:val="22"/>
                <w:highlight w:val="none"/>
                <w:u w:val="none"/>
              </w:rPr>
            </w:pP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DAEB0">
            <w:pPr>
              <w:shd w:val="clear"/>
              <w:jc w:val="center"/>
              <w:rPr>
                <w:rFonts w:hint="eastAsia" w:ascii="宋体" w:hAnsi="宋体" w:eastAsia="宋体" w:cs="宋体"/>
                <w:i w:val="0"/>
                <w:iCs w:val="0"/>
                <w:color w:val="auto"/>
                <w:sz w:val="22"/>
                <w:szCs w:val="22"/>
                <w:highlight w:val="none"/>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EBA8C">
            <w:pPr>
              <w:shd w:val="clear"/>
              <w:jc w:val="center"/>
              <w:rPr>
                <w:rFonts w:hint="eastAsia" w:ascii="宋体" w:hAnsi="宋体" w:eastAsia="宋体" w:cs="宋体"/>
                <w:i w:val="0"/>
                <w:iCs w:val="0"/>
                <w:color w:val="auto"/>
                <w:sz w:val="22"/>
                <w:szCs w:val="22"/>
                <w:highlight w:val="none"/>
                <w:u w:val="none"/>
              </w:rPr>
            </w:pPr>
          </w:p>
        </w:tc>
        <w:tc>
          <w:tcPr>
            <w:tcW w:w="13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62857">
            <w:pPr>
              <w:shd w:val="clear"/>
              <w:jc w:val="center"/>
              <w:rPr>
                <w:rFonts w:hint="eastAsia" w:ascii="宋体" w:hAnsi="宋体" w:eastAsia="宋体" w:cs="宋体"/>
                <w:i w:val="0"/>
                <w:iCs w:val="0"/>
                <w:color w:val="auto"/>
                <w:sz w:val="22"/>
                <w:szCs w:val="22"/>
                <w:highlight w:val="none"/>
                <w:u w:val="none"/>
              </w:rPr>
            </w:pPr>
          </w:p>
        </w:tc>
      </w:tr>
      <w:tr w14:paraId="086C2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3C1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40B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养护</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BC7C4">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80A9">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A2E0">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FB44">
            <w:pPr>
              <w:shd w:val="clear"/>
              <w:jc w:val="right"/>
              <w:rPr>
                <w:rFonts w:hint="eastAsia" w:ascii="宋体" w:hAnsi="宋体" w:eastAsia="宋体" w:cs="宋体"/>
                <w:i w:val="0"/>
                <w:iCs w:val="0"/>
                <w:color w:val="auto"/>
                <w:sz w:val="22"/>
                <w:szCs w:val="22"/>
                <w:highlight w:val="none"/>
                <w:u w:val="none"/>
              </w:rPr>
            </w:pPr>
          </w:p>
        </w:tc>
      </w:tr>
      <w:tr w14:paraId="7C5B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DC11">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68F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10以内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61C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310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7F7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2808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B6D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87048.00</w:t>
            </w:r>
          </w:p>
        </w:tc>
      </w:tr>
      <w:tr w14:paraId="04CEB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F7E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1A60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10-20以内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0E2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A50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BFC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9155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119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512680.00</w:t>
            </w:r>
          </w:p>
        </w:tc>
      </w:tr>
      <w:tr w14:paraId="0AE8E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270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0F1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20-30以内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417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B95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32F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2378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CC5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206886.00</w:t>
            </w:r>
          </w:p>
        </w:tc>
      </w:tr>
      <w:tr w14:paraId="0B2B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729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5E9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胸径（cm)30-40以内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CA2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6EE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B47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215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CF9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25370.00</w:t>
            </w:r>
          </w:p>
        </w:tc>
      </w:tr>
      <w:tr w14:paraId="6A639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24B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3BF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40-60以内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94F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4CF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879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141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48C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21573.00</w:t>
            </w:r>
          </w:p>
        </w:tc>
      </w:tr>
      <w:tr w14:paraId="5A626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5DE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32A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60-80以内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F02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459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A8C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BDE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4122</w:t>
            </w:r>
          </w:p>
        </w:tc>
      </w:tr>
      <w:tr w14:paraId="3F806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A7D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023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高度（cm以内） 50-100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E17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D13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3FB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20484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517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40968.00</w:t>
            </w:r>
          </w:p>
        </w:tc>
      </w:tr>
      <w:tr w14:paraId="3A9CF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50C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61C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高度（cm以内） 100-150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AD1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1DA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8E1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332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69A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996</w:t>
            </w:r>
          </w:p>
        </w:tc>
      </w:tr>
      <w:tr w14:paraId="555F9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4D8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379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150-200以内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928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9B3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B7A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182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BAB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910.00</w:t>
            </w:r>
          </w:p>
        </w:tc>
      </w:tr>
      <w:tr w14:paraId="73E45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E9F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550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200-250以内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AD4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8D1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254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47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7E4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376.00</w:t>
            </w:r>
          </w:p>
        </w:tc>
      </w:tr>
      <w:tr w14:paraId="368B9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B4A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217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250以上</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6B6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968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8BC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A9A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r>
      <w:tr w14:paraId="11D4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65F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84A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60-100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C42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8EA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5CA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91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9C8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910.00</w:t>
            </w:r>
          </w:p>
        </w:tc>
      </w:tr>
      <w:tr w14:paraId="2B6D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89F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36C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100-150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766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C1E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21E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294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126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4704.00</w:t>
            </w:r>
          </w:p>
        </w:tc>
      </w:tr>
      <w:tr w14:paraId="75A64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AF2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F8A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150-200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D50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179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70A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1806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E3E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45150.00</w:t>
            </w:r>
          </w:p>
        </w:tc>
      </w:tr>
      <w:tr w14:paraId="10EE6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247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F46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300以内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942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BD9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55F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628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49.00</w:t>
            </w:r>
          </w:p>
        </w:tc>
      </w:tr>
      <w:tr w14:paraId="548CB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1D0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A27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攀缘植物养护 攀缘植物生长年数3年内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573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4D9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D4F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AF5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30.00</w:t>
            </w:r>
          </w:p>
        </w:tc>
      </w:tr>
      <w:tr w14:paraId="5C410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BB3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1C8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片植灌木 常绿</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1EF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338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78F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39286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D0B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314288.00</w:t>
            </w:r>
          </w:p>
        </w:tc>
      </w:tr>
      <w:tr w14:paraId="5B51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5A8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F77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草坪 暖地型</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94A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FDF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84B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65677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585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656770.00</w:t>
            </w:r>
          </w:p>
        </w:tc>
      </w:tr>
      <w:tr w14:paraId="2F1A4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900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B91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地被植物 覆盖面积</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BD4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7A3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FD7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18346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C23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55038.00</w:t>
            </w:r>
          </w:p>
        </w:tc>
      </w:tr>
      <w:tr w14:paraId="3983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E83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20B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攀援植物 覆盖面积</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6CA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540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20A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D2C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2700</w:t>
            </w:r>
          </w:p>
        </w:tc>
      </w:tr>
      <w:tr w14:paraId="6338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460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A9A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散生竹</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D9D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C32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B5B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9D8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275.00</w:t>
            </w:r>
          </w:p>
        </w:tc>
      </w:tr>
      <w:tr w14:paraId="64018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FFA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826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单排绿篱 高度(cm) 100-150以内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7EA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8CF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0F2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5DA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r>
      <w:tr w14:paraId="28A4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33D3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B44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文体中心楼上</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FCF8">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17BE">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1F57">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9935">
            <w:pPr>
              <w:shd w:val="clear"/>
              <w:jc w:val="right"/>
              <w:rPr>
                <w:rFonts w:hint="eastAsia" w:ascii="宋体" w:hAnsi="宋体" w:eastAsia="宋体" w:cs="宋体"/>
                <w:i w:val="0"/>
                <w:iCs w:val="0"/>
                <w:color w:val="auto"/>
                <w:sz w:val="22"/>
                <w:szCs w:val="22"/>
                <w:highlight w:val="none"/>
                <w:u w:val="none"/>
              </w:rPr>
            </w:pPr>
          </w:p>
        </w:tc>
      </w:tr>
      <w:tr w14:paraId="3C2C8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168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CE3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文体中心楼上绿化养护总价包干</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170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488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1559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050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4AF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1559.00</w:t>
            </w:r>
          </w:p>
        </w:tc>
      </w:tr>
      <w:tr w14:paraId="01C73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217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B63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欧南大桥上</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ACEB">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E47C">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80D7">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40B7">
            <w:pPr>
              <w:shd w:val="clear"/>
              <w:jc w:val="right"/>
              <w:rPr>
                <w:rFonts w:hint="eastAsia" w:ascii="宋体" w:hAnsi="宋体" w:eastAsia="宋体" w:cs="宋体"/>
                <w:i w:val="0"/>
                <w:iCs w:val="0"/>
                <w:color w:val="auto"/>
                <w:sz w:val="22"/>
                <w:szCs w:val="22"/>
                <w:highlight w:val="none"/>
                <w:u w:val="none"/>
              </w:rPr>
            </w:pPr>
          </w:p>
        </w:tc>
      </w:tr>
      <w:tr w14:paraId="256E9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F73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59EC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自动喷灌等设施更换、检修维护</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C4A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0B3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3D8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015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500</w:t>
            </w:r>
          </w:p>
        </w:tc>
      </w:tr>
      <w:tr w14:paraId="6D088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671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4C8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其他</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B528">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B2DB">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6B2C">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1836">
            <w:pPr>
              <w:shd w:val="clear"/>
              <w:jc w:val="right"/>
              <w:rPr>
                <w:rFonts w:hint="eastAsia" w:ascii="宋体" w:hAnsi="宋体" w:eastAsia="宋体" w:cs="宋体"/>
                <w:i w:val="0"/>
                <w:iCs w:val="0"/>
                <w:color w:val="auto"/>
                <w:sz w:val="22"/>
                <w:szCs w:val="22"/>
                <w:highlight w:val="none"/>
                <w:u w:val="none"/>
              </w:rPr>
            </w:pPr>
          </w:p>
        </w:tc>
      </w:tr>
      <w:tr w14:paraId="47D23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4BE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DBD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造型榕胸径（cm）60cm内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497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C86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828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6FB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204.00</w:t>
            </w:r>
          </w:p>
        </w:tc>
      </w:tr>
      <w:tr w14:paraId="6B7BA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E2B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03E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老镇</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2329">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478C">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F424">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2A0D">
            <w:pPr>
              <w:shd w:val="clear"/>
              <w:jc w:val="right"/>
              <w:rPr>
                <w:rFonts w:hint="eastAsia" w:ascii="宋体" w:hAnsi="宋体" w:eastAsia="宋体" w:cs="宋体"/>
                <w:i w:val="0"/>
                <w:iCs w:val="0"/>
                <w:color w:val="auto"/>
                <w:sz w:val="22"/>
                <w:szCs w:val="22"/>
                <w:highlight w:val="none"/>
                <w:u w:val="none"/>
              </w:rPr>
            </w:pPr>
          </w:p>
        </w:tc>
      </w:tr>
      <w:tr w14:paraId="5A3C8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6E9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EA4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楼顶养护包干价</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C03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4D5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5B0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335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2000.00</w:t>
            </w:r>
          </w:p>
        </w:tc>
      </w:tr>
      <w:tr w14:paraId="2D660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4E4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291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0CFC">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AC92">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2682">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81E7">
            <w:pPr>
              <w:shd w:val="clear"/>
              <w:jc w:val="right"/>
              <w:rPr>
                <w:rFonts w:hint="eastAsia" w:ascii="宋体" w:hAnsi="宋体" w:eastAsia="宋体" w:cs="宋体"/>
                <w:i w:val="0"/>
                <w:iCs w:val="0"/>
                <w:color w:val="auto"/>
                <w:sz w:val="22"/>
                <w:szCs w:val="22"/>
                <w:highlight w:val="none"/>
                <w:u w:val="none"/>
              </w:rPr>
            </w:pPr>
          </w:p>
        </w:tc>
      </w:tr>
      <w:tr w14:paraId="2761D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60C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966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起挖乔木（带土球）胸径（cm）11以内`基价*0.3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0F48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004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CFD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8BF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5700.00</w:t>
            </w:r>
          </w:p>
        </w:tc>
      </w:tr>
      <w:tr w14:paraId="08237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4BF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8E8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起挖乔木（带土球）胸径（cm）11-20以内`基价*0.3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FCA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0C3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7A8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DCB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15200.00</w:t>
            </w:r>
          </w:p>
        </w:tc>
      </w:tr>
      <w:tr w14:paraId="25195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9D7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EDC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大树起挖（带土球）胸径（cm）25-35以内`基价*0.3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DA3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594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B0F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5EC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42900.00</w:t>
            </w:r>
          </w:p>
        </w:tc>
      </w:tr>
      <w:tr w14:paraId="552B2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5F9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916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死株处理胸径（cm）10以内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413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4F7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091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6B8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800.00</w:t>
            </w:r>
          </w:p>
        </w:tc>
      </w:tr>
      <w:tr w14:paraId="6C10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77F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6B2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死株处理胸径（cm）10-20以内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118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F04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C51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F53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1100.00</w:t>
            </w:r>
          </w:p>
        </w:tc>
      </w:tr>
      <w:tr w14:paraId="3412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023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2DE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死株处理胸径（cm）20-30以内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022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817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7E9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6AD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1600.00</w:t>
            </w:r>
          </w:p>
        </w:tc>
      </w:tr>
      <w:tr w14:paraId="09479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397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939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补植</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5D67">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6D1D">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69AD">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AD88">
            <w:pPr>
              <w:shd w:val="clear"/>
              <w:jc w:val="right"/>
              <w:rPr>
                <w:rFonts w:hint="eastAsia" w:ascii="宋体" w:hAnsi="宋体" w:eastAsia="宋体" w:cs="宋体"/>
                <w:i w:val="0"/>
                <w:iCs w:val="0"/>
                <w:color w:val="auto"/>
                <w:sz w:val="22"/>
                <w:szCs w:val="22"/>
                <w:highlight w:val="none"/>
                <w:u w:val="none"/>
              </w:rPr>
            </w:pPr>
          </w:p>
        </w:tc>
      </w:tr>
      <w:tr w14:paraId="38DC6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FB6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411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 香樟 胸径（cm）10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530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56E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F78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699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32060.00</w:t>
            </w:r>
          </w:p>
        </w:tc>
      </w:tr>
      <w:tr w14:paraId="4EE6D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05F1">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8AA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栽植香樟 胸径（cm）10-15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9F5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6EF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B4C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DFD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69930.00</w:t>
            </w:r>
          </w:p>
        </w:tc>
      </w:tr>
      <w:tr w14:paraId="2DBFF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312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660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栽植桂花 地径（cm）6 金桂 地径（cm）6</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3B6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B0B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EC4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ADB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12840.00</w:t>
            </w:r>
          </w:p>
        </w:tc>
      </w:tr>
      <w:tr w14:paraId="1199C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44F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418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栽植桂花 地径（cm）10 金桂 地径（cm）10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D73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508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957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900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411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38280.00</w:t>
            </w:r>
          </w:p>
        </w:tc>
      </w:tr>
      <w:tr w14:paraId="6DB1C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DBB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A53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栽植桂花 地径（cm以内）15 金桂 地径（cm）15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B48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EB7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3230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E81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12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FED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38760.00</w:t>
            </w:r>
          </w:p>
        </w:tc>
      </w:tr>
      <w:tr w14:paraId="1F81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32A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B2A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栽植草皮满铺-马尼拉草</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580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509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B95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3550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9D1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110050.00</w:t>
            </w:r>
          </w:p>
        </w:tc>
      </w:tr>
      <w:tr w14:paraId="2177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BAA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0DA4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栽植樱花D10cm</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17D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31E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BBE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80D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82600</w:t>
            </w:r>
          </w:p>
        </w:tc>
      </w:tr>
      <w:tr w14:paraId="11B57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898E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C06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地被植物片植[丛（株）/</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]-麦冬49丛/</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 xml:space="preserve"> 3-5芽/丛</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8E2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DBC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D98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1540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BBB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98560</w:t>
            </w:r>
          </w:p>
        </w:tc>
      </w:tr>
      <w:tr w14:paraId="03805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8B0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7.9</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F47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撒播草籽</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3A6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3CE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5EC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E2F5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7500</w:t>
            </w:r>
          </w:p>
        </w:tc>
      </w:tr>
      <w:tr w14:paraId="2A73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747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697B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综合部分</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33AA">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6596">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16A9">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7F35">
            <w:pPr>
              <w:shd w:val="clear"/>
              <w:jc w:val="right"/>
              <w:rPr>
                <w:rFonts w:hint="eastAsia" w:ascii="宋体" w:hAnsi="宋体" w:eastAsia="宋体" w:cs="宋体"/>
                <w:i w:val="0"/>
                <w:iCs w:val="0"/>
                <w:color w:val="auto"/>
                <w:sz w:val="22"/>
                <w:szCs w:val="22"/>
                <w:highlight w:val="none"/>
                <w:u w:val="none"/>
              </w:rPr>
            </w:pPr>
          </w:p>
        </w:tc>
      </w:tr>
      <w:tr w14:paraId="7A6F4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71E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BE2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清理石头等杂物（兴鳌东路、环城路、园林路等）</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352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工日</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213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098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012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9600.00</w:t>
            </w:r>
          </w:p>
        </w:tc>
      </w:tr>
      <w:tr w14:paraId="22EB5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731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001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 常绿树修剪残枝运费及堆放（一年）</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965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E80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6CA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BA8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33000.00</w:t>
            </w:r>
          </w:p>
        </w:tc>
      </w:tr>
      <w:tr w14:paraId="4CF46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8E3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672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包干价(不下浮）河边公园水泵含日常维护及维修</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555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DAA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81F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385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3200.00</w:t>
            </w:r>
          </w:p>
        </w:tc>
      </w:tr>
      <w:tr w14:paraId="5A14E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191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BBE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包干价务垟苗木场杀虫、除草整理等事宜</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0F5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E7F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981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7BC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12000.00</w:t>
            </w:r>
          </w:p>
        </w:tc>
      </w:tr>
      <w:tr w14:paraId="6D29F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A91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85C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包干价花架，坐凳，设施清洗</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828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980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E8B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AA4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6000.00</w:t>
            </w:r>
          </w:p>
        </w:tc>
      </w:tr>
      <w:tr w14:paraId="48B8B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7A4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DF9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苗木胸径15以上重剪、园林路榕树简单造型（750株含清理运费、安全设施设备树枝处理等等一切费用）</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371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026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41D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BC3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100000.00</w:t>
            </w:r>
          </w:p>
        </w:tc>
      </w:tr>
      <w:tr w14:paraId="3682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BA3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F68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兴鳌中路、环城路重剪</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848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0BA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B12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9B6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60000.00</w:t>
            </w:r>
          </w:p>
        </w:tc>
      </w:tr>
      <w:tr w14:paraId="0915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DF2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700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包干价河边栏杆外野树处理</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DD6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994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7406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22F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B33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7406.00</w:t>
            </w:r>
          </w:p>
        </w:tc>
      </w:tr>
      <w:tr w14:paraId="4C1D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765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044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其他（正常二级绿地养护、补植养护及补植工作内容以外的临时应急任务，需甲方同意确认）</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9323">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5EA6">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B85B">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8924">
            <w:pPr>
              <w:shd w:val="clear"/>
              <w:jc w:val="right"/>
              <w:rPr>
                <w:rFonts w:hint="eastAsia" w:ascii="宋体" w:hAnsi="宋体" w:eastAsia="宋体" w:cs="宋体"/>
                <w:i w:val="0"/>
                <w:iCs w:val="0"/>
                <w:color w:val="auto"/>
                <w:sz w:val="22"/>
                <w:szCs w:val="22"/>
                <w:highlight w:val="none"/>
                <w:u w:val="none"/>
              </w:rPr>
            </w:pPr>
          </w:p>
        </w:tc>
      </w:tr>
      <w:tr w14:paraId="2572D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E7A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780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吊机</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883D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7D7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3270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A3F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7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3F1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22890.00</w:t>
            </w:r>
          </w:p>
        </w:tc>
      </w:tr>
      <w:tr w14:paraId="5B034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5E7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9F0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拖拉机</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F22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38A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B87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7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F6C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9156.00</w:t>
            </w:r>
          </w:p>
        </w:tc>
      </w:tr>
      <w:tr w14:paraId="089EC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EAC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B49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人工</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516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工日</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B7D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1F5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80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D67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19200.00</w:t>
            </w:r>
          </w:p>
        </w:tc>
      </w:tr>
      <w:tr w14:paraId="7B32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AD7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B2F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墨城堆场管理</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0BB5">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C0D8">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9D7F">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BD3F">
            <w:pPr>
              <w:shd w:val="clear"/>
              <w:jc w:val="right"/>
              <w:rPr>
                <w:rFonts w:hint="eastAsia" w:ascii="宋体" w:hAnsi="宋体" w:eastAsia="宋体" w:cs="宋体"/>
                <w:i w:val="0"/>
                <w:iCs w:val="0"/>
                <w:color w:val="auto"/>
                <w:sz w:val="22"/>
                <w:szCs w:val="22"/>
                <w:highlight w:val="none"/>
                <w:u w:val="none"/>
              </w:rPr>
            </w:pPr>
          </w:p>
        </w:tc>
      </w:tr>
      <w:tr w14:paraId="1AFA4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810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DA1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人工</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AEC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工日</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41D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F841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75.00</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A09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18000.00</w:t>
            </w:r>
          </w:p>
        </w:tc>
      </w:tr>
      <w:tr w14:paraId="06AC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24C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83D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铲车</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C7E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01E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D30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500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15000.00</w:t>
            </w:r>
          </w:p>
        </w:tc>
      </w:tr>
      <w:tr w14:paraId="4587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D11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801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堆场内卫生、设施养护、场地内包干价</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049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F05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729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5A1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3000.00</w:t>
            </w:r>
          </w:p>
        </w:tc>
      </w:tr>
      <w:tr w14:paraId="746F3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C15A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合计</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1E7FEE">
            <w:pPr>
              <w:shd w:val="clear"/>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6745">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27BD">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AF6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2861500</w:t>
            </w:r>
          </w:p>
        </w:tc>
      </w:tr>
    </w:tbl>
    <w:p w14:paraId="350D6286">
      <w:pPr>
        <w:shd w:val="clear" w:color="auto"/>
        <w:adjustRightInd w:val="0"/>
        <w:snapToGrid w:val="0"/>
        <w:spacing w:line="360" w:lineRule="auto"/>
        <w:ind w:firstLine="440" w:firstLineChars="200"/>
        <w:rPr>
          <w:rFonts w:hint="default" w:ascii="仿宋_GB2312" w:hAnsi="仿宋_GB2312" w:eastAsia="宋体" w:cs="Times New Roman"/>
          <w:b/>
          <w:bCs w:val="0"/>
          <w:color w:val="auto"/>
          <w:kern w:val="0"/>
          <w:sz w:val="22"/>
          <w:szCs w:val="22"/>
          <w:highlight w:val="none"/>
          <w:lang w:val="en-US" w:eastAsia="zh-CN"/>
        </w:rPr>
      </w:pPr>
      <w:r>
        <w:rPr>
          <w:rFonts w:hint="eastAsia" w:ascii="仿宋_GB2312" w:hAnsi="仿宋_GB2312" w:eastAsia="宋体" w:cs="Times New Roman"/>
          <w:b w:val="0"/>
          <w:bCs/>
          <w:color w:val="auto"/>
          <w:kern w:val="0"/>
          <w:sz w:val="22"/>
          <w:szCs w:val="20"/>
          <w:highlight w:val="none"/>
        </w:rPr>
        <w:t>注：上述</w:t>
      </w:r>
      <w:r>
        <w:rPr>
          <w:rFonts w:hint="eastAsia" w:ascii="仿宋_GB2312" w:hAnsi="仿宋_GB2312" w:eastAsia="宋体" w:cs="Times New Roman"/>
          <w:b w:val="0"/>
          <w:bCs/>
          <w:color w:val="auto"/>
          <w:kern w:val="0"/>
          <w:sz w:val="22"/>
          <w:szCs w:val="20"/>
          <w:highlight w:val="none"/>
          <w:lang w:val="en-US" w:eastAsia="zh-CN"/>
        </w:rPr>
        <w:t>清单</w:t>
      </w:r>
      <w:r>
        <w:rPr>
          <w:rFonts w:hint="eastAsia" w:ascii="仿宋_GB2312" w:hAnsi="仿宋_GB2312" w:eastAsia="宋体" w:cs="Times New Roman"/>
          <w:b w:val="0"/>
          <w:bCs/>
          <w:color w:val="auto"/>
          <w:kern w:val="0"/>
          <w:sz w:val="22"/>
          <w:szCs w:val="20"/>
          <w:highlight w:val="none"/>
        </w:rPr>
        <w:t>均为预计清单，具体应按实际</w:t>
      </w:r>
      <w:r>
        <w:rPr>
          <w:rFonts w:hint="eastAsia" w:ascii="仿宋_GB2312" w:hAnsi="仿宋_GB2312" w:eastAsia="宋体" w:cs="Times New Roman"/>
          <w:b w:val="0"/>
          <w:bCs/>
          <w:color w:val="auto"/>
          <w:kern w:val="0"/>
          <w:sz w:val="22"/>
          <w:szCs w:val="20"/>
          <w:highlight w:val="none"/>
          <w:lang w:val="en-US" w:eastAsia="zh-CN"/>
        </w:rPr>
        <w:t>情况</w:t>
      </w:r>
      <w:r>
        <w:rPr>
          <w:rFonts w:hint="eastAsia" w:ascii="仿宋_GB2312" w:hAnsi="仿宋_GB2312" w:eastAsia="宋体" w:cs="Times New Roman"/>
          <w:b w:val="0"/>
          <w:bCs/>
          <w:color w:val="auto"/>
          <w:kern w:val="0"/>
          <w:sz w:val="22"/>
          <w:szCs w:val="20"/>
          <w:highlight w:val="none"/>
        </w:rPr>
        <w:t>进行养护</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bCs w:val="0"/>
          <w:color w:val="auto"/>
          <w:kern w:val="0"/>
          <w:sz w:val="22"/>
          <w:szCs w:val="22"/>
          <w:highlight w:val="none"/>
          <w:lang w:val="en-US" w:eastAsia="zh-CN"/>
        </w:rPr>
        <w:t>后期实际结算金额按照各分项单价最高限价*实际养护数量*中标折扣率进行结算。</w:t>
      </w:r>
    </w:p>
    <w:p w14:paraId="0FDB3EDE">
      <w:pPr>
        <w:numPr>
          <w:ilvl w:val="0"/>
          <w:numId w:val="9"/>
        </w:numPr>
        <w:shd w:val="clear" w:color="auto"/>
        <w:autoSpaceDE w:val="0"/>
        <w:autoSpaceDN w:val="0"/>
        <w:adjustRightInd w:val="0"/>
        <w:spacing w:line="460" w:lineRule="atLeast"/>
        <w:ind w:left="353" w:leftChars="0" w:firstLine="220" w:firstLineChars="0"/>
        <w:textAlignment w:val="bottom"/>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标项二：</w:t>
      </w:r>
    </w:p>
    <w:p w14:paraId="2D0DFD21">
      <w:pPr>
        <w:numPr>
          <w:ilvl w:val="0"/>
          <w:numId w:val="0"/>
        </w:numPr>
        <w:shd w:val="clear" w:color="auto"/>
        <w:autoSpaceDE w:val="0"/>
        <w:autoSpaceDN w:val="0"/>
        <w:adjustRightInd w:val="0"/>
        <w:spacing w:line="460" w:lineRule="atLeast"/>
        <w:ind w:firstLine="440" w:firstLineChars="200"/>
        <w:textAlignment w:val="bottom"/>
        <w:rPr>
          <w:rFonts w:hint="eastAsia" w:ascii="仿宋_GB2312" w:hAnsi="仿宋_GB2312" w:eastAsia="宋体" w:cs="Times New Roman"/>
          <w:b w:val="0"/>
          <w:bCs/>
          <w:color w:val="auto"/>
          <w:kern w:val="0"/>
          <w:sz w:val="22"/>
          <w:szCs w:val="20"/>
          <w:highlight w:val="none"/>
        </w:rPr>
      </w:pPr>
      <w:r>
        <w:rPr>
          <w:rFonts w:hint="eastAsia" w:ascii="宋体" w:hAnsi="宋体" w:eastAsia="宋体" w:cs="宋体"/>
          <w:b w:val="0"/>
          <w:bCs/>
          <w:color w:val="auto"/>
          <w:kern w:val="0"/>
          <w:sz w:val="22"/>
          <w:szCs w:val="20"/>
          <w:highlight w:val="none"/>
          <w:lang w:val="en-US" w:eastAsia="zh-CN"/>
        </w:rPr>
        <w:t>绿化养护范围：104钱仓段钱梅路、104(东江道侧绿地）(扣除罗赛洛部分）、园林路延伸段（鳌江五小至鳌江水厂段）、包田、五小、下河街头公园、下河村复兴大厦路侧绿化、104国道交叉口绿地、西塘菜场边、鸽巢路一期、二期、昆鳌大道厚垟村口、昆鳌大道厚垟塘下、昆仑公馆附近、务垟新路、务垟西路、御龙湾附近、铂金湾、华鸿公园华府红线外沿河绿化带、昆玉华府小区停车场、鳌江镇港口公园（一期）、新纪元新校区、车站大道与园林路交叉口、墨城工业园区、务垟前苗圃、蓝田2号路、环城东路、墨城道路绿化、纬四路</w:t>
      </w:r>
      <w:r>
        <w:rPr>
          <w:rFonts w:hint="eastAsia" w:ascii="宋体" w:hAnsi="宋体" w:cs="宋体"/>
          <w:b w:val="0"/>
          <w:bCs/>
          <w:color w:val="auto"/>
          <w:kern w:val="0"/>
          <w:sz w:val="22"/>
          <w:szCs w:val="20"/>
          <w:highlight w:val="none"/>
          <w:lang w:val="en-US" w:eastAsia="zh-CN"/>
        </w:rPr>
        <w:t>、</w:t>
      </w:r>
      <w:r>
        <w:rPr>
          <w:rFonts w:hint="eastAsia" w:ascii="宋体" w:hAnsi="宋体" w:eastAsia="宋体" w:cs="宋体"/>
          <w:b w:val="0"/>
          <w:bCs/>
          <w:color w:val="auto"/>
          <w:kern w:val="0"/>
          <w:sz w:val="22"/>
          <w:szCs w:val="20"/>
          <w:highlight w:val="none"/>
          <w:lang w:val="en-US" w:eastAsia="zh-CN"/>
        </w:rPr>
        <w:t>纬四路延伸段</w:t>
      </w:r>
      <w:r>
        <w:rPr>
          <w:rFonts w:hint="eastAsia" w:ascii="宋体" w:hAnsi="宋体" w:cs="宋体"/>
          <w:b w:val="0"/>
          <w:bCs/>
          <w:color w:val="auto"/>
          <w:kern w:val="0"/>
          <w:sz w:val="22"/>
          <w:szCs w:val="20"/>
          <w:highlight w:val="none"/>
          <w:lang w:val="en-US" w:eastAsia="zh-CN"/>
        </w:rPr>
        <w:t>、</w:t>
      </w:r>
      <w:r>
        <w:rPr>
          <w:rFonts w:hint="eastAsia" w:ascii="宋体" w:hAnsi="宋体" w:eastAsia="宋体" w:cs="宋体"/>
          <w:b w:val="0"/>
          <w:bCs/>
          <w:color w:val="auto"/>
          <w:kern w:val="0"/>
          <w:sz w:val="22"/>
          <w:szCs w:val="20"/>
          <w:highlight w:val="none"/>
          <w:lang w:val="en-US" w:eastAsia="zh-CN"/>
        </w:rPr>
        <w:t>新河北路二期、三期配套绿化工程、下河南、岱口部分绿化、鸽巢路延伸段、鸽巢路、国际大酒围墙边、广场路、一桥二期、海关路、园林西路、志澄路、下河路口绿地、鳌江镇执法局（疏港大道办公楼）、鳌江镇鸽巢路B-16地块周边绿地、平阳县鳌江镇蓝田河滨水绿化工程（前湖河曙东路-兴鳌东路段）、钱仓社区史伯璿文化广场、江城里小区围墙边、公园天下围墙边、长庚医院前绿地、中梁壹品围墙边、东塘花苑外围绿化、新明村委入口绿化、新明村花坛、胜利路与车站大道交叉处（泵站前）、广场路（靠新民村安置房）、站前广场路至铁路桥下、岱口村办公楼前、名木古树养护、江滨公园、动车站(西）、平阳县鳌江镇蓝田河滨水绿化景观、新河北路、死株处理、补植、常绿树修剪残枝运费及堆放（一年）、地被植物片植[丛（株）/</w:t>
      </w:r>
      <w:r>
        <w:rPr>
          <w:rFonts w:hint="eastAsia" w:ascii="宋体" w:hAnsi="宋体" w:cs="宋体"/>
          <w:b w:val="0"/>
          <w:bCs/>
          <w:color w:val="auto"/>
          <w:kern w:val="0"/>
          <w:sz w:val="22"/>
          <w:szCs w:val="20"/>
          <w:highlight w:val="none"/>
          <w:lang w:val="en-US" w:eastAsia="zh-CN"/>
        </w:rPr>
        <w:t>㎡</w:t>
      </w:r>
      <w:r>
        <w:rPr>
          <w:rFonts w:hint="eastAsia" w:ascii="宋体" w:hAnsi="宋体" w:eastAsia="宋体" w:cs="宋体"/>
          <w:b w:val="0"/>
          <w:bCs/>
          <w:color w:val="auto"/>
          <w:kern w:val="0"/>
          <w:sz w:val="22"/>
          <w:szCs w:val="20"/>
          <w:highlight w:val="none"/>
          <w:lang w:val="en-US" w:eastAsia="zh-CN"/>
        </w:rPr>
        <w:t>]-麦冬49丛/</w:t>
      </w:r>
      <w:r>
        <w:rPr>
          <w:rFonts w:hint="eastAsia" w:ascii="宋体" w:hAnsi="宋体" w:cs="宋体"/>
          <w:b w:val="0"/>
          <w:bCs/>
          <w:color w:val="auto"/>
          <w:kern w:val="0"/>
          <w:sz w:val="22"/>
          <w:szCs w:val="20"/>
          <w:highlight w:val="none"/>
          <w:lang w:val="en-US" w:eastAsia="zh-CN"/>
        </w:rPr>
        <w:t>㎡</w:t>
      </w:r>
      <w:r>
        <w:rPr>
          <w:rFonts w:hint="eastAsia" w:ascii="宋体" w:hAnsi="宋体" w:eastAsia="宋体" w:cs="宋体"/>
          <w:b w:val="0"/>
          <w:bCs/>
          <w:color w:val="auto"/>
          <w:kern w:val="0"/>
          <w:sz w:val="22"/>
          <w:szCs w:val="20"/>
          <w:highlight w:val="none"/>
          <w:lang w:val="en-US" w:eastAsia="zh-CN"/>
        </w:rPr>
        <w:t xml:space="preserve"> 3-5芽/丛、花架，坐凳，设施清洗、清理石头等杂物</w:t>
      </w:r>
      <w:r>
        <w:rPr>
          <w:rFonts w:hint="eastAsia" w:ascii="仿宋_GB2312" w:hAnsi="仿宋_GB2312" w:eastAsia="宋体" w:cs="Times New Roman"/>
          <w:b w:val="0"/>
          <w:bCs/>
          <w:color w:val="auto"/>
          <w:kern w:val="0"/>
          <w:sz w:val="22"/>
          <w:szCs w:val="20"/>
          <w:highlight w:val="none"/>
          <w:lang w:eastAsia="zh-CN"/>
        </w:rPr>
        <w:t>等杂物</w:t>
      </w:r>
      <w:r>
        <w:rPr>
          <w:rFonts w:hint="eastAsia" w:ascii="仿宋_GB2312" w:hAnsi="仿宋_GB2312" w:eastAsia="宋体" w:cs="Times New Roman"/>
          <w:b w:val="0"/>
          <w:bCs/>
          <w:color w:val="auto"/>
          <w:kern w:val="0"/>
          <w:sz w:val="22"/>
          <w:szCs w:val="20"/>
          <w:highlight w:val="none"/>
        </w:rPr>
        <w:t>综合部分</w:t>
      </w:r>
      <w:r>
        <w:rPr>
          <w:rFonts w:hint="eastAsia" w:ascii="仿宋_GB2312" w:hAnsi="仿宋_GB2312" w:eastAsia="宋体" w:cs="Times New Roman"/>
          <w:b w:val="0"/>
          <w:bCs/>
          <w:color w:val="auto"/>
          <w:kern w:val="0"/>
          <w:sz w:val="22"/>
          <w:szCs w:val="20"/>
          <w:highlight w:val="none"/>
          <w:lang w:eastAsia="zh-CN"/>
        </w:rPr>
        <w:t>等</w:t>
      </w:r>
      <w:r>
        <w:rPr>
          <w:rFonts w:hint="eastAsia" w:ascii="仿宋_GB2312" w:hAnsi="仿宋_GB2312" w:eastAsia="宋体" w:cs="Times New Roman"/>
          <w:b w:val="0"/>
          <w:bCs/>
          <w:color w:val="auto"/>
          <w:kern w:val="0"/>
          <w:sz w:val="22"/>
          <w:szCs w:val="20"/>
          <w:highlight w:val="none"/>
        </w:rPr>
        <w:t>，详见</w:t>
      </w:r>
      <w:r>
        <w:rPr>
          <w:rFonts w:hint="eastAsia" w:ascii="仿宋_GB2312" w:hAnsi="仿宋_GB2312" w:eastAsia="宋体" w:cs="Times New Roman"/>
          <w:b w:val="0"/>
          <w:bCs/>
          <w:color w:val="auto"/>
          <w:kern w:val="0"/>
          <w:sz w:val="22"/>
          <w:szCs w:val="20"/>
          <w:highlight w:val="none"/>
          <w:lang w:eastAsia="zh-CN"/>
        </w:rPr>
        <w:t>养护内容</w:t>
      </w:r>
      <w:r>
        <w:rPr>
          <w:rFonts w:hint="eastAsia" w:ascii="仿宋_GB2312" w:hAnsi="仿宋_GB2312" w:eastAsia="宋体" w:cs="Times New Roman"/>
          <w:b w:val="0"/>
          <w:bCs/>
          <w:color w:val="auto"/>
          <w:kern w:val="0"/>
          <w:sz w:val="22"/>
          <w:szCs w:val="20"/>
          <w:highlight w:val="none"/>
        </w:rPr>
        <w:t>。</w:t>
      </w:r>
    </w:p>
    <w:p w14:paraId="49725DB7">
      <w:pPr>
        <w:numPr>
          <w:ilvl w:val="0"/>
          <w:numId w:val="0"/>
        </w:numPr>
        <w:shd w:val="clear" w:color="auto"/>
        <w:autoSpaceDE w:val="0"/>
        <w:autoSpaceDN w:val="0"/>
        <w:adjustRightInd w:val="0"/>
        <w:spacing w:line="460" w:lineRule="atLeast"/>
        <w:ind w:firstLine="440" w:firstLineChars="200"/>
        <w:textAlignment w:val="bottom"/>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1.本项目地点常年处在开放状态，人流量较大，人员构成复杂。</w:t>
      </w:r>
    </w:p>
    <w:p w14:paraId="49CAE76D">
      <w:pPr>
        <w:numPr>
          <w:ilvl w:val="0"/>
          <w:numId w:val="0"/>
        </w:numPr>
        <w:shd w:val="clear" w:color="auto"/>
        <w:autoSpaceDE w:val="0"/>
        <w:autoSpaceDN w:val="0"/>
        <w:adjustRightInd w:val="0"/>
        <w:spacing w:line="460" w:lineRule="atLeast"/>
        <w:ind w:firstLine="440" w:firstLineChars="200"/>
        <w:textAlignment w:val="bottom"/>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2.</w:t>
      </w:r>
      <w:r>
        <w:rPr>
          <w:rFonts w:hint="eastAsia" w:ascii="宋体" w:hAnsi="宋体" w:eastAsia="宋体" w:cs="宋体"/>
          <w:b w:val="0"/>
          <w:bCs/>
          <w:color w:val="auto"/>
          <w:kern w:val="0"/>
          <w:sz w:val="22"/>
          <w:szCs w:val="20"/>
          <w:highlight w:val="none"/>
          <w:lang w:eastAsia="zh-CN"/>
        </w:rPr>
        <w:t>本次养护内容具体包括</w:t>
      </w:r>
      <w:r>
        <w:rPr>
          <w:rFonts w:hint="eastAsia" w:ascii="宋体" w:hAnsi="宋体" w:eastAsia="宋体" w:cs="宋体"/>
          <w:b w:val="0"/>
          <w:bCs/>
          <w:color w:val="auto"/>
          <w:kern w:val="0"/>
          <w:sz w:val="22"/>
          <w:szCs w:val="20"/>
          <w:highlight w:val="none"/>
          <w:lang w:val="en-US" w:eastAsia="zh-CN"/>
        </w:rPr>
        <w:t>养护范围</w:t>
      </w:r>
      <w:r>
        <w:rPr>
          <w:rFonts w:hint="eastAsia" w:ascii="宋体" w:hAnsi="宋体" w:eastAsia="宋体" w:cs="宋体"/>
          <w:b w:val="0"/>
          <w:bCs/>
          <w:color w:val="auto"/>
          <w:kern w:val="0"/>
          <w:sz w:val="22"/>
          <w:szCs w:val="20"/>
          <w:highlight w:val="none"/>
          <w:lang w:eastAsia="zh-CN"/>
        </w:rPr>
        <w:t>内乔灌木、地被植物、草坪、</w:t>
      </w:r>
      <w:r>
        <w:rPr>
          <w:rFonts w:hint="eastAsia" w:ascii="宋体" w:hAnsi="宋体" w:eastAsia="宋体" w:cs="宋体"/>
          <w:b w:val="0"/>
          <w:bCs/>
          <w:color w:val="auto"/>
          <w:kern w:val="0"/>
          <w:sz w:val="22"/>
          <w:szCs w:val="20"/>
          <w:highlight w:val="none"/>
          <w:lang w:val="en-US" w:eastAsia="zh-CN"/>
        </w:rPr>
        <w:t>养护范围内的养护</w:t>
      </w:r>
      <w:r>
        <w:rPr>
          <w:rFonts w:hint="eastAsia" w:ascii="宋体" w:hAnsi="宋体" w:eastAsia="宋体" w:cs="宋体"/>
          <w:b w:val="0"/>
          <w:bCs/>
          <w:color w:val="auto"/>
          <w:kern w:val="0"/>
          <w:sz w:val="22"/>
          <w:szCs w:val="20"/>
          <w:highlight w:val="none"/>
          <w:lang w:eastAsia="zh-CN"/>
        </w:rPr>
        <w:t>全部内容；</w:t>
      </w:r>
      <w:r>
        <w:rPr>
          <w:rFonts w:hint="eastAsia" w:ascii="宋体" w:hAnsi="宋体" w:eastAsia="宋体" w:cs="宋体"/>
          <w:b w:val="0"/>
          <w:bCs/>
          <w:color w:val="auto"/>
          <w:kern w:val="0"/>
          <w:sz w:val="22"/>
          <w:szCs w:val="20"/>
          <w:highlight w:val="none"/>
          <w:lang w:val="en-US" w:eastAsia="zh-CN"/>
        </w:rPr>
        <w:t>内容如下：</w:t>
      </w:r>
    </w:p>
    <w:tbl>
      <w:tblPr>
        <w:tblStyle w:val="13"/>
        <w:tblW w:w="94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76"/>
        <w:gridCol w:w="3360"/>
        <w:gridCol w:w="1528"/>
        <w:gridCol w:w="980"/>
        <w:gridCol w:w="1336"/>
        <w:gridCol w:w="1476"/>
      </w:tblGrid>
      <w:tr w14:paraId="778D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vMerge w:val="restart"/>
            <w:shd w:val="clear" w:color="auto" w:fill="auto"/>
            <w:vAlign w:val="center"/>
          </w:tcPr>
          <w:p w14:paraId="244ABB3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3360" w:type="dxa"/>
            <w:vMerge w:val="restart"/>
            <w:shd w:val="clear" w:color="auto" w:fill="auto"/>
            <w:vAlign w:val="center"/>
          </w:tcPr>
          <w:p w14:paraId="6B6D623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工程名称</w:t>
            </w:r>
          </w:p>
        </w:tc>
        <w:tc>
          <w:tcPr>
            <w:tcW w:w="1528" w:type="dxa"/>
            <w:vMerge w:val="restart"/>
            <w:shd w:val="clear" w:color="auto" w:fill="auto"/>
            <w:vAlign w:val="center"/>
          </w:tcPr>
          <w:p w14:paraId="01D7C3D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980" w:type="dxa"/>
            <w:vMerge w:val="restart"/>
            <w:shd w:val="clear" w:color="auto" w:fill="auto"/>
            <w:vAlign w:val="center"/>
          </w:tcPr>
          <w:p w14:paraId="7F0CCB2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最高限价(元)</w:t>
            </w:r>
          </w:p>
        </w:tc>
        <w:tc>
          <w:tcPr>
            <w:tcW w:w="1336" w:type="dxa"/>
            <w:vMerge w:val="restart"/>
            <w:shd w:val="clear" w:color="auto" w:fill="auto"/>
            <w:vAlign w:val="center"/>
          </w:tcPr>
          <w:p w14:paraId="4300560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预估数量</w:t>
            </w:r>
          </w:p>
        </w:tc>
        <w:tc>
          <w:tcPr>
            <w:tcW w:w="1476" w:type="dxa"/>
            <w:vMerge w:val="restart"/>
            <w:shd w:val="clear" w:color="auto" w:fill="auto"/>
            <w:vAlign w:val="center"/>
          </w:tcPr>
          <w:p w14:paraId="2E69C8C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综合单价最高限价</w:t>
            </w:r>
            <w:r>
              <w:rPr>
                <w:rFonts w:hint="eastAsia" w:ascii="宋体" w:hAnsi="宋体" w:eastAsia="宋体" w:cs="宋体"/>
                <w:i w:val="0"/>
                <w:iCs w:val="0"/>
                <w:color w:val="auto"/>
                <w:kern w:val="0"/>
                <w:sz w:val="22"/>
                <w:szCs w:val="22"/>
                <w:highlight w:val="none"/>
                <w:u w:val="none"/>
                <w:lang w:val="en-US" w:eastAsia="zh-CN" w:bidi="ar"/>
              </w:rPr>
              <w:t>(元)</w:t>
            </w:r>
          </w:p>
        </w:tc>
      </w:tr>
      <w:tr w14:paraId="60AA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vMerge w:val="continue"/>
            <w:shd w:val="clear" w:color="auto" w:fill="auto"/>
            <w:vAlign w:val="center"/>
          </w:tcPr>
          <w:p w14:paraId="4A81DB63">
            <w:pPr>
              <w:shd w:val="clear"/>
              <w:jc w:val="center"/>
              <w:rPr>
                <w:rFonts w:hint="eastAsia" w:ascii="宋体" w:hAnsi="宋体" w:eastAsia="宋体" w:cs="宋体"/>
                <w:i w:val="0"/>
                <w:iCs w:val="0"/>
                <w:color w:val="auto"/>
                <w:sz w:val="22"/>
                <w:szCs w:val="22"/>
                <w:highlight w:val="none"/>
                <w:u w:val="none"/>
              </w:rPr>
            </w:pPr>
          </w:p>
        </w:tc>
        <w:tc>
          <w:tcPr>
            <w:tcW w:w="3360" w:type="dxa"/>
            <w:vMerge w:val="continue"/>
            <w:shd w:val="clear" w:color="auto" w:fill="auto"/>
            <w:vAlign w:val="center"/>
          </w:tcPr>
          <w:p w14:paraId="0B8219C7">
            <w:pPr>
              <w:shd w:val="clear"/>
              <w:jc w:val="center"/>
              <w:rPr>
                <w:rFonts w:hint="eastAsia" w:ascii="宋体" w:hAnsi="宋体" w:eastAsia="宋体" w:cs="宋体"/>
                <w:i w:val="0"/>
                <w:iCs w:val="0"/>
                <w:color w:val="auto"/>
                <w:sz w:val="22"/>
                <w:szCs w:val="22"/>
                <w:highlight w:val="none"/>
                <w:u w:val="none"/>
              </w:rPr>
            </w:pPr>
          </w:p>
        </w:tc>
        <w:tc>
          <w:tcPr>
            <w:tcW w:w="1528" w:type="dxa"/>
            <w:vMerge w:val="continue"/>
            <w:shd w:val="clear" w:color="auto" w:fill="auto"/>
            <w:vAlign w:val="center"/>
          </w:tcPr>
          <w:p w14:paraId="59B3C54F">
            <w:pPr>
              <w:shd w:val="clear"/>
              <w:jc w:val="center"/>
              <w:rPr>
                <w:rFonts w:hint="eastAsia" w:ascii="宋体" w:hAnsi="宋体" w:eastAsia="宋体" w:cs="宋体"/>
                <w:i w:val="0"/>
                <w:iCs w:val="0"/>
                <w:color w:val="auto"/>
                <w:sz w:val="22"/>
                <w:szCs w:val="22"/>
                <w:highlight w:val="none"/>
                <w:u w:val="none"/>
              </w:rPr>
            </w:pPr>
          </w:p>
        </w:tc>
        <w:tc>
          <w:tcPr>
            <w:tcW w:w="980" w:type="dxa"/>
            <w:vMerge w:val="continue"/>
            <w:shd w:val="clear" w:color="auto" w:fill="auto"/>
            <w:vAlign w:val="center"/>
          </w:tcPr>
          <w:p w14:paraId="58D5E529">
            <w:pPr>
              <w:shd w:val="clear"/>
              <w:jc w:val="center"/>
              <w:rPr>
                <w:rFonts w:hint="eastAsia" w:ascii="宋体" w:hAnsi="宋体" w:eastAsia="宋体" w:cs="宋体"/>
                <w:i w:val="0"/>
                <w:iCs w:val="0"/>
                <w:color w:val="auto"/>
                <w:sz w:val="22"/>
                <w:szCs w:val="22"/>
                <w:highlight w:val="none"/>
                <w:u w:val="none"/>
              </w:rPr>
            </w:pPr>
          </w:p>
        </w:tc>
        <w:tc>
          <w:tcPr>
            <w:tcW w:w="1336" w:type="dxa"/>
            <w:vMerge w:val="continue"/>
            <w:shd w:val="clear" w:color="auto" w:fill="auto"/>
            <w:vAlign w:val="center"/>
          </w:tcPr>
          <w:p w14:paraId="3DBCA9C7">
            <w:pPr>
              <w:shd w:val="clear"/>
              <w:jc w:val="center"/>
              <w:rPr>
                <w:rFonts w:hint="eastAsia" w:ascii="宋体" w:hAnsi="宋体" w:eastAsia="宋体" w:cs="宋体"/>
                <w:i w:val="0"/>
                <w:iCs w:val="0"/>
                <w:color w:val="auto"/>
                <w:sz w:val="22"/>
                <w:szCs w:val="22"/>
                <w:highlight w:val="none"/>
                <w:u w:val="none"/>
              </w:rPr>
            </w:pPr>
          </w:p>
        </w:tc>
        <w:tc>
          <w:tcPr>
            <w:tcW w:w="1476" w:type="dxa"/>
            <w:vMerge w:val="continue"/>
            <w:shd w:val="clear" w:color="auto" w:fill="auto"/>
            <w:vAlign w:val="center"/>
          </w:tcPr>
          <w:p w14:paraId="15D4B251">
            <w:pPr>
              <w:shd w:val="clear"/>
              <w:jc w:val="center"/>
              <w:rPr>
                <w:rFonts w:hint="eastAsia" w:ascii="宋体" w:hAnsi="宋体" w:eastAsia="宋体" w:cs="宋体"/>
                <w:i w:val="0"/>
                <w:iCs w:val="0"/>
                <w:color w:val="auto"/>
                <w:sz w:val="22"/>
                <w:szCs w:val="22"/>
                <w:highlight w:val="none"/>
                <w:u w:val="none"/>
              </w:rPr>
            </w:pPr>
          </w:p>
        </w:tc>
      </w:tr>
      <w:tr w14:paraId="139C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63C47E6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360" w:type="dxa"/>
            <w:shd w:val="clear" w:color="auto" w:fill="auto"/>
            <w:vAlign w:val="center"/>
          </w:tcPr>
          <w:p w14:paraId="6C3B129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养护</w:t>
            </w:r>
          </w:p>
        </w:tc>
        <w:tc>
          <w:tcPr>
            <w:tcW w:w="1528" w:type="dxa"/>
            <w:shd w:val="clear" w:color="auto" w:fill="auto"/>
            <w:vAlign w:val="center"/>
          </w:tcPr>
          <w:p w14:paraId="1E11EDF5">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1D80756E">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11141EE7">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7E5AB94F">
            <w:pPr>
              <w:shd w:val="clear"/>
              <w:jc w:val="right"/>
              <w:rPr>
                <w:rFonts w:hint="eastAsia" w:ascii="宋体" w:hAnsi="宋体" w:eastAsia="宋体" w:cs="宋体"/>
                <w:i w:val="0"/>
                <w:iCs w:val="0"/>
                <w:color w:val="auto"/>
                <w:sz w:val="22"/>
                <w:szCs w:val="22"/>
                <w:highlight w:val="none"/>
                <w:u w:val="none"/>
              </w:rPr>
            </w:pPr>
          </w:p>
        </w:tc>
      </w:tr>
      <w:tr w14:paraId="1E21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6C911AD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3360" w:type="dxa"/>
            <w:shd w:val="clear" w:color="auto" w:fill="auto"/>
            <w:vAlign w:val="center"/>
          </w:tcPr>
          <w:p w14:paraId="19AD38C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10以内</w:t>
            </w:r>
          </w:p>
        </w:tc>
        <w:tc>
          <w:tcPr>
            <w:tcW w:w="1528" w:type="dxa"/>
            <w:shd w:val="clear" w:color="auto" w:fill="auto"/>
            <w:vAlign w:val="center"/>
          </w:tcPr>
          <w:p w14:paraId="7262BFE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583B308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31 </w:t>
            </w:r>
          </w:p>
        </w:tc>
        <w:tc>
          <w:tcPr>
            <w:tcW w:w="1336" w:type="dxa"/>
            <w:shd w:val="clear" w:color="auto" w:fill="auto"/>
            <w:vAlign w:val="center"/>
          </w:tcPr>
          <w:p w14:paraId="26FA556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2366</w:t>
            </w:r>
          </w:p>
        </w:tc>
        <w:tc>
          <w:tcPr>
            <w:tcW w:w="1476" w:type="dxa"/>
            <w:shd w:val="clear" w:color="auto" w:fill="auto"/>
            <w:vAlign w:val="center"/>
          </w:tcPr>
          <w:p w14:paraId="4008912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73346</w:t>
            </w:r>
          </w:p>
        </w:tc>
      </w:tr>
      <w:tr w14:paraId="130C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3676976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3360" w:type="dxa"/>
            <w:shd w:val="clear" w:color="auto" w:fill="auto"/>
            <w:vAlign w:val="center"/>
          </w:tcPr>
          <w:p w14:paraId="44CDCBF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10-20以内</w:t>
            </w:r>
          </w:p>
        </w:tc>
        <w:tc>
          <w:tcPr>
            <w:tcW w:w="1528" w:type="dxa"/>
            <w:shd w:val="clear" w:color="auto" w:fill="auto"/>
            <w:vAlign w:val="center"/>
          </w:tcPr>
          <w:p w14:paraId="050DED4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2B4200B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56 </w:t>
            </w:r>
          </w:p>
        </w:tc>
        <w:tc>
          <w:tcPr>
            <w:tcW w:w="1336" w:type="dxa"/>
            <w:shd w:val="clear" w:color="auto" w:fill="auto"/>
            <w:vAlign w:val="center"/>
          </w:tcPr>
          <w:p w14:paraId="6870698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6477</w:t>
            </w:r>
          </w:p>
        </w:tc>
        <w:tc>
          <w:tcPr>
            <w:tcW w:w="1476" w:type="dxa"/>
            <w:shd w:val="clear" w:color="auto" w:fill="auto"/>
            <w:vAlign w:val="center"/>
          </w:tcPr>
          <w:p w14:paraId="50240C1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362712</w:t>
            </w:r>
          </w:p>
        </w:tc>
      </w:tr>
      <w:tr w14:paraId="2BF3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74B0FC2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3360" w:type="dxa"/>
            <w:shd w:val="clear" w:color="auto" w:fill="auto"/>
            <w:vAlign w:val="center"/>
          </w:tcPr>
          <w:p w14:paraId="46AFFBD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20-30以内</w:t>
            </w:r>
          </w:p>
        </w:tc>
        <w:tc>
          <w:tcPr>
            <w:tcW w:w="1528" w:type="dxa"/>
            <w:shd w:val="clear" w:color="auto" w:fill="auto"/>
            <w:vAlign w:val="center"/>
          </w:tcPr>
          <w:p w14:paraId="0A92423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604216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87 </w:t>
            </w:r>
          </w:p>
        </w:tc>
        <w:tc>
          <w:tcPr>
            <w:tcW w:w="1336" w:type="dxa"/>
            <w:shd w:val="clear" w:color="auto" w:fill="auto"/>
            <w:vAlign w:val="center"/>
          </w:tcPr>
          <w:p w14:paraId="6552E6C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357</w:t>
            </w:r>
          </w:p>
        </w:tc>
        <w:tc>
          <w:tcPr>
            <w:tcW w:w="1476" w:type="dxa"/>
            <w:shd w:val="clear" w:color="auto" w:fill="auto"/>
            <w:vAlign w:val="center"/>
          </w:tcPr>
          <w:p w14:paraId="4EB326F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31059</w:t>
            </w:r>
          </w:p>
        </w:tc>
      </w:tr>
      <w:tr w14:paraId="55BF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1330B16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3360" w:type="dxa"/>
            <w:shd w:val="clear" w:color="auto" w:fill="auto"/>
            <w:vAlign w:val="center"/>
          </w:tcPr>
          <w:p w14:paraId="749BCB5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30-40以内</w:t>
            </w:r>
          </w:p>
        </w:tc>
        <w:tc>
          <w:tcPr>
            <w:tcW w:w="1528" w:type="dxa"/>
            <w:shd w:val="clear" w:color="auto" w:fill="auto"/>
            <w:vAlign w:val="center"/>
          </w:tcPr>
          <w:p w14:paraId="39DB0B3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3E0578D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118 </w:t>
            </w:r>
          </w:p>
        </w:tc>
        <w:tc>
          <w:tcPr>
            <w:tcW w:w="1336" w:type="dxa"/>
            <w:shd w:val="clear" w:color="auto" w:fill="auto"/>
            <w:vAlign w:val="center"/>
          </w:tcPr>
          <w:p w14:paraId="75F9D87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w:t>
            </w:r>
          </w:p>
        </w:tc>
        <w:tc>
          <w:tcPr>
            <w:tcW w:w="1476" w:type="dxa"/>
            <w:shd w:val="clear" w:color="auto" w:fill="auto"/>
            <w:vAlign w:val="center"/>
          </w:tcPr>
          <w:p w14:paraId="5414907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21240</w:t>
            </w:r>
          </w:p>
        </w:tc>
      </w:tr>
      <w:tr w14:paraId="4D32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34B98D8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3360" w:type="dxa"/>
            <w:shd w:val="clear" w:color="auto" w:fill="auto"/>
            <w:vAlign w:val="center"/>
          </w:tcPr>
          <w:p w14:paraId="0CFD447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40-60以内</w:t>
            </w:r>
          </w:p>
        </w:tc>
        <w:tc>
          <w:tcPr>
            <w:tcW w:w="1528" w:type="dxa"/>
            <w:shd w:val="clear" w:color="auto" w:fill="auto"/>
            <w:vAlign w:val="center"/>
          </w:tcPr>
          <w:p w14:paraId="6CE5FB6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8AC6B2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153 </w:t>
            </w:r>
          </w:p>
        </w:tc>
        <w:tc>
          <w:tcPr>
            <w:tcW w:w="1336" w:type="dxa"/>
            <w:shd w:val="clear" w:color="auto" w:fill="auto"/>
            <w:vAlign w:val="center"/>
          </w:tcPr>
          <w:p w14:paraId="6CB2399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1476" w:type="dxa"/>
            <w:shd w:val="clear" w:color="auto" w:fill="auto"/>
            <w:vAlign w:val="center"/>
          </w:tcPr>
          <w:p w14:paraId="781BDB8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5661</w:t>
            </w:r>
          </w:p>
        </w:tc>
      </w:tr>
      <w:tr w14:paraId="204A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0F710A6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3360" w:type="dxa"/>
            <w:shd w:val="clear" w:color="auto" w:fill="auto"/>
            <w:vAlign w:val="center"/>
          </w:tcPr>
          <w:p w14:paraId="0EC2BA1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高度（cm以内） 50-100</w:t>
            </w:r>
          </w:p>
        </w:tc>
        <w:tc>
          <w:tcPr>
            <w:tcW w:w="1528" w:type="dxa"/>
            <w:shd w:val="clear" w:color="auto" w:fill="auto"/>
            <w:vAlign w:val="center"/>
          </w:tcPr>
          <w:p w14:paraId="2603791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2D7F13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336" w:type="dxa"/>
            <w:shd w:val="clear" w:color="auto" w:fill="auto"/>
            <w:vAlign w:val="center"/>
          </w:tcPr>
          <w:p w14:paraId="29F1E92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228</w:t>
            </w:r>
          </w:p>
        </w:tc>
        <w:tc>
          <w:tcPr>
            <w:tcW w:w="1476" w:type="dxa"/>
            <w:shd w:val="clear" w:color="auto" w:fill="auto"/>
            <w:vAlign w:val="center"/>
          </w:tcPr>
          <w:p w14:paraId="66AD7F7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456.00</w:t>
            </w:r>
          </w:p>
        </w:tc>
      </w:tr>
      <w:tr w14:paraId="0A5A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3F09563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3360" w:type="dxa"/>
            <w:shd w:val="clear" w:color="auto" w:fill="auto"/>
            <w:vAlign w:val="center"/>
          </w:tcPr>
          <w:p w14:paraId="1A75000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高度（cm以内） 100-150</w:t>
            </w:r>
          </w:p>
        </w:tc>
        <w:tc>
          <w:tcPr>
            <w:tcW w:w="1528" w:type="dxa"/>
            <w:shd w:val="clear" w:color="auto" w:fill="auto"/>
            <w:vAlign w:val="center"/>
          </w:tcPr>
          <w:p w14:paraId="38EABB1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2054940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336" w:type="dxa"/>
            <w:shd w:val="clear" w:color="auto" w:fill="auto"/>
            <w:vAlign w:val="center"/>
          </w:tcPr>
          <w:p w14:paraId="497B1ED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234</w:t>
            </w:r>
          </w:p>
        </w:tc>
        <w:tc>
          <w:tcPr>
            <w:tcW w:w="1476" w:type="dxa"/>
            <w:shd w:val="clear" w:color="auto" w:fill="auto"/>
            <w:vAlign w:val="center"/>
          </w:tcPr>
          <w:p w14:paraId="0D34648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702</w:t>
            </w:r>
          </w:p>
        </w:tc>
      </w:tr>
      <w:tr w14:paraId="5DD8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8DBFF4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3360" w:type="dxa"/>
            <w:shd w:val="clear" w:color="auto" w:fill="auto"/>
            <w:vAlign w:val="center"/>
          </w:tcPr>
          <w:p w14:paraId="6958C13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150-200以内</w:t>
            </w:r>
          </w:p>
        </w:tc>
        <w:tc>
          <w:tcPr>
            <w:tcW w:w="1528" w:type="dxa"/>
            <w:shd w:val="clear" w:color="auto" w:fill="auto"/>
            <w:vAlign w:val="center"/>
          </w:tcPr>
          <w:p w14:paraId="3A07FCF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14E76AE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336" w:type="dxa"/>
            <w:shd w:val="clear" w:color="auto" w:fill="auto"/>
            <w:vAlign w:val="center"/>
          </w:tcPr>
          <w:p w14:paraId="3525850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476" w:type="dxa"/>
            <w:shd w:val="clear" w:color="auto" w:fill="auto"/>
            <w:vAlign w:val="center"/>
          </w:tcPr>
          <w:p w14:paraId="5C7371B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1200.00</w:t>
            </w:r>
          </w:p>
        </w:tc>
      </w:tr>
      <w:tr w14:paraId="754F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2D9C3CA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3360" w:type="dxa"/>
            <w:shd w:val="clear" w:color="auto" w:fill="auto"/>
            <w:vAlign w:val="center"/>
          </w:tcPr>
          <w:p w14:paraId="0783D8B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250以上</w:t>
            </w:r>
          </w:p>
        </w:tc>
        <w:tc>
          <w:tcPr>
            <w:tcW w:w="1528" w:type="dxa"/>
            <w:shd w:val="clear" w:color="auto" w:fill="auto"/>
            <w:vAlign w:val="center"/>
          </w:tcPr>
          <w:p w14:paraId="27EF0A2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5FE8004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336" w:type="dxa"/>
            <w:shd w:val="clear" w:color="auto" w:fill="auto"/>
            <w:vAlign w:val="center"/>
          </w:tcPr>
          <w:p w14:paraId="0B8E415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1476" w:type="dxa"/>
            <w:shd w:val="clear" w:color="auto" w:fill="auto"/>
            <w:vAlign w:val="center"/>
          </w:tcPr>
          <w:p w14:paraId="185A7A6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253.00</w:t>
            </w:r>
          </w:p>
        </w:tc>
      </w:tr>
      <w:tr w14:paraId="0B75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5A28A0A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1.10 </w:t>
            </w:r>
          </w:p>
        </w:tc>
        <w:tc>
          <w:tcPr>
            <w:tcW w:w="3360" w:type="dxa"/>
            <w:shd w:val="clear" w:color="auto" w:fill="auto"/>
            <w:vAlign w:val="center"/>
          </w:tcPr>
          <w:p w14:paraId="037C081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60以内</w:t>
            </w:r>
          </w:p>
        </w:tc>
        <w:tc>
          <w:tcPr>
            <w:tcW w:w="1528" w:type="dxa"/>
            <w:shd w:val="clear" w:color="auto" w:fill="auto"/>
            <w:vAlign w:val="center"/>
          </w:tcPr>
          <w:p w14:paraId="1A5B35A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53A829F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1336" w:type="dxa"/>
            <w:shd w:val="clear" w:color="auto" w:fill="auto"/>
            <w:vAlign w:val="center"/>
          </w:tcPr>
          <w:p w14:paraId="08F1585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476" w:type="dxa"/>
            <w:shd w:val="clear" w:color="auto" w:fill="auto"/>
            <w:vAlign w:val="center"/>
          </w:tcPr>
          <w:p w14:paraId="573A818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77</w:t>
            </w:r>
          </w:p>
        </w:tc>
      </w:tr>
      <w:tr w14:paraId="3515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0D28BEA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3360" w:type="dxa"/>
            <w:shd w:val="clear" w:color="auto" w:fill="auto"/>
            <w:vAlign w:val="center"/>
          </w:tcPr>
          <w:p w14:paraId="2F63034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60-100</w:t>
            </w:r>
          </w:p>
        </w:tc>
        <w:tc>
          <w:tcPr>
            <w:tcW w:w="1528" w:type="dxa"/>
            <w:shd w:val="clear" w:color="auto" w:fill="auto"/>
            <w:vAlign w:val="center"/>
          </w:tcPr>
          <w:p w14:paraId="1476DD8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920987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 </w:t>
            </w:r>
          </w:p>
        </w:tc>
        <w:tc>
          <w:tcPr>
            <w:tcW w:w="1336" w:type="dxa"/>
            <w:shd w:val="clear" w:color="auto" w:fill="auto"/>
            <w:vAlign w:val="center"/>
          </w:tcPr>
          <w:p w14:paraId="7F91818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314</w:t>
            </w:r>
          </w:p>
        </w:tc>
        <w:tc>
          <w:tcPr>
            <w:tcW w:w="1476" w:type="dxa"/>
            <w:shd w:val="clear" w:color="auto" w:fill="auto"/>
            <w:vAlign w:val="center"/>
          </w:tcPr>
          <w:p w14:paraId="313E9D3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3140</w:t>
            </w:r>
          </w:p>
        </w:tc>
      </w:tr>
      <w:tr w14:paraId="535A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634273A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1.12 </w:t>
            </w:r>
          </w:p>
        </w:tc>
        <w:tc>
          <w:tcPr>
            <w:tcW w:w="3360" w:type="dxa"/>
            <w:shd w:val="clear" w:color="auto" w:fill="auto"/>
            <w:vAlign w:val="center"/>
          </w:tcPr>
          <w:p w14:paraId="62EB701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100-150</w:t>
            </w:r>
          </w:p>
        </w:tc>
        <w:tc>
          <w:tcPr>
            <w:tcW w:w="1528" w:type="dxa"/>
            <w:shd w:val="clear" w:color="auto" w:fill="auto"/>
            <w:vAlign w:val="center"/>
          </w:tcPr>
          <w:p w14:paraId="5C60E94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202822B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16 </w:t>
            </w:r>
          </w:p>
        </w:tc>
        <w:tc>
          <w:tcPr>
            <w:tcW w:w="1336" w:type="dxa"/>
            <w:shd w:val="clear" w:color="auto" w:fill="auto"/>
            <w:vAlign w:val="center"/>
          </w:tcPr>
          <w:p w14:paraId="46678EB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769</w:t>
            </w:r>
          </w:p>
        </w:tc>
        <w:tc>
          <w:tcPr>
            <w:tcW w:w="1476" w:type="dxa"/>
            <w:shd w:val="clear" w:color="auto" w:fill="auto"/>
            <w:vAlign w:val="center"/>
          </w:tcPr>
          <w:p w14:paraId="30D531C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12304</w:t>
            </w:r>
          </w:p>
        </w:tc>
      </w:tr>
      <w:tr w14:paraId="12C5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60229E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3360" w:type="dxa"/>
            <w:shd w:val="clear" w:color="auto" w:fill="auto"/>
            <w:vAlign w:val="center"/>
          </w:tcPr>
          <w:p w14:paraId="3DCA4E4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150-200</w:t>
            </w:r>
          </w:p>
        </w:tc>
        <w:tc>
          <w:tcPr>
            <w:tcW w:w="1528" w:type="dxa"/>
            <w:shd w:val="clear" w:color="auto" w:fill="auto"/>
            <w:vAlign w:val="center"/>
          </w:tcPr>
          <w:p w14:paraId="47260EC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9953EC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25 </w:t>
            </w:r>
          </w:p>
        </w:tc>
        <w:tc>
          <w:tcPr>
            <w:tcW w:w="1336" w:type="dxa"/>
            <w:shd w:val="clear" w:color="auto" w:fill="auto"/>
            <w:vAlign w:val="center"/>
          </w:tcPr>
          <w:p w14:paraId="050A2FF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701</w:t>
            </w:r>
          </w:p>
        </w:tc>
        <w:tc>
          <w:tcPr>
            <w:tcW w:w="1476" w:type="dxa"/>
            <w:shd w:val="clear" w:color="auto" w:fill="auto"/>
            <w:vAlign w:val="center"/>
          </w:tcPr>
          <w:p w14:paraId="3315E7D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17525</w:t>
            </w:r>
          </w:p>
        </w:tc>
      </w:tr>
      <w:tr w14:paraId="6EF4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4" w:hRule="atLeast"/>
        </w:trPr>
        <w:tc>
          <w:tcPr>
            <w:tcW w:w="776" w:type="dxa"/>
            <w:shd w:val="clear" w:color="auto" w:fill="auto"/>
            <w:vAlign w:val="center"/>
          </w:tcPr>
          <w:p w14:paraId="5D7B3B7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1.14 </w:t>
            </w:r>
          </w:p>
        </w:tc>
        <w:tc>
          <w:tcPr>
            <w:tcW w:w="3360" w:type="dxa"/>
            <w:shd w:val="clear" w:color="auto" w:fill="auto"/>
            <w:vAlign w:val="center"/>
          </w:tcPr>
          <w:p w14:paraId="05E53FA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200-250以内</w:t>
            </w:r>
          </w:p>
        </w:tc>
        <w:tc>
          <w:tcPr>
            <w:tcW w:w="1528" w:type="dxa"/>
            <w:shd w:val="clear" w:color="auto" w:fill="auto"/>
            <w:vAlign w:val="center"/>
          </w:tcPr>
          <w:p w14:paraId="6676384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A4D287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37 </w:t>
            </w:r>
          </w:p>
        </w:tc>
        <w:tc>
          <w:tcPr>
            <w:tcW w:w="1336" w:type="dxa"/>
            <w:shd w:val="clear" w:color="auto" w:fill="auto"/>
            <w:vAlign w:val="center"/>
          </w:tcPr>
          <w:p w14:paraId="69305B0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476" w:type="dxa"/>
            <w:shd w:val="clear" w:color="auto" w:fill="auto"/>
            <w:vAlign w:val="center"/>
          </w:tcPr>
          <w:p w14:paraId="3D7EC12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740</w:t>
            </w:r>
          </w:p>
        </w:tc>
      </w:tr>
      <w:tr w14:paraId="5A7E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776" w:type="dxa"/>
            <w:shd w:val="clear" w:color="auto" w:fill="auto"/>
            <w:vAlign w:val="center"/>
          </w:tcPr>
          <w:p w14:paraId="6BBF85D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3360" w:type="dxa"/>
            <w:shd w:val="clear" w:color="auto" w:fill="auto"/>
            <w:vAlign w:val="center"/>
          </w:tcPr>
          <w:p w14:paraId="50AAD40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250-300以内</w:t>
            </w:r>
          </w:p>
        </w:tc>
        <w:tc>
          <w:tcPr>
            <w:tcW w:w="1528" w:type="dxa"/>
            <w:shd w:val="clear" w:color="auto" w:fill="auto"/>
            <w:vAlign w:val="center"/>
          </w:tcPr>
          <w:p w14:paraId="794F673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3C1194C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49 </w:t>
            </w:r>
          </w:p>
        </w:tc>
        <w:tc>
          <w:tcPr>
            <w:tcW w:w="1336" w:type="dxa"/>
            <w:shd w:val="clear" w:color="auto" w:fill="auto"/>
            <w:vAlign w:val="center"/>
          </w:tcPr>
          <w:p w14:paraId="5657CBD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1476" w:type="dxa"/>
            <w:shd w:val="clear" w:color="auto" w:fill="auto"/>
            <w:vAlign w:val="center"/>
          </w:tcPr>
          <w:p w14:paraId="77CAFC2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441.00</w:t>
            </w:r>
          </w:p>
        </w:tc>
      </w:tr>
      <w:tr w14:paraId="2C60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6CBD682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1.16 </w:t>
            </w:r>
          </w:p>
        </w:tc>
        <w:tc>
          <w:tcPr>
            <w:tcW w:w="3360" w:type="dxa"/>
            <w:shd w:val="clear" w:color="auto" w:fill="auto"/>
            <w:vAlign w:val="center"/>
          </w:tcPr>
          <w:p w14:paraId="660783E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片植灌木 常绿</w:t>
            </w:r>
          </w:p>
        </w:tc>
        <w:tc>
          <w:tcPr>
            <w:tcW w:w="1528" w:type="dxa"/>
            <w:shd w:val="clear" w:color="auto" w:fill="auto"/>
            <w:vAlign w:val="center"/>
          </w:tcPr>
          <w:p w14:paraId="66AE846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44BC1A3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8 </w:t>
            </w:r>
          </w:p>
        </w:tc>
        <w:tc>
          <w:tcPr>
            <w:tcW w:w="1336" w:type="dxa"/>
            <w:shd w:val="clear" w:color="auto" w:fill="auto"/>
            <w:vAlign w:val="center"/>
          </w:tcPr>
          <w:p w14:paraId="534238B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38107</w:t>
            </w:r>
          </w:p>
        </w:tc>
        <w:tc>
          <w:tcPr>
            <w:tcW w:w="1476" w:type="dxa"/>
            <w:shd w:val="clear" w:color="auto" w:fill="auto"/>
            <w:vAlign w:val="center"/>
          </w:tcPr>
          <w:p w14:paraId="2AF27B3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304856</w:t>
            </w:r>
          </w:p>
        </w:tc>
      </w:tr>
      <w:tr w14:paraId="1EA5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9CB6AB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3360" w:type="dxa"/>
            <w:shd w:val="clear" w:color="auto" w:fill="auto"/>
            <w:vAlign w:val="center"/>
          </w:tcPr>
          <w:p w14:paraId="322499E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草坪 暖地型</w:t>
            </w:r>
          </w:p>
        </w:tc>
        <w:tc>
          <w:tcPr>
            <w:tcW w:w="1528" w:type="dxa"/>
            <w:shd w:val="clear" w:color="auto" w:fill="auto"/>
            <w:vAlign w:val="center"/>
          </w:tcPr>
          <w:p w14:paraId="0519C69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3AD7FD4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 </w:t>
            </w:r>
          </w:p>
        </w:tc>
        <w:tc>
          <w:tcPr>
            <w:tcW w:w="1336" w:type="dxa"/>
            <w:shd w:val="clear" w:color="auto" w:fill="auto"/>
            <w:vAlign w:val="center"/>
          </w:tcPr>
          <w:p w14:paraId="1C2BE73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68621.80</w:t>
            </w:r>
          </w:p>
        </w:tc>
        <w:tc>
          <w:tcPr>
            <w:tcW w:w="1476" w:type="dxa"/>
            <w:shd w:val="clear" w:color="auto" w:fill="auto"/>
            <w:vAlign w:val="center"/>
          </w:tcPr>
          <w:p w14:paraId="6B83C2C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686218</w:t>
            </w:r>
          </w:p>
        </w:tc>
      </w:tr>
      <w:tr w14:paraId="6F37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0BA181D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1.18 </w:t>
            </w:r>
          </w:p>
        </w:tc>
        <w:tc>
          <w:tcPr>
            <w:tcW w:w="3360" w:type="dxa"/>
            <w:shd w:val="clear" w:color="auto" w:fill="auto"/>
            <w:vAlign w:val="center"/>
          </w:tcPr>
          <w:p w14:paraId="619128E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地被植物 覆盖面积</w:t>
            </w:r>
          </w:p>
        </w:tc>
        <w:tc>
          <w:tcPr>
            <w:tcW w:w="1528" w:type="dxa"/>
            <w:shd w:val="clear" w:color="auto" w:fill="auto"/>
            <w:vAlign w:val="center"/>
          </w:tcPr>
          <w:p w14:paraId="4A1E472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48B0547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336" w:type="dxa"/>
            <w:shd w:val="clear" w:color="auto" w:fill="auto"/>
            <w:vAlign w:val="center"/>
          </w:tcPr>
          <w:p w14:paraId="2177DE4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5631.36</w:t>
            </w:r>
          </w:p>
        </w:tc>
        <w:tc>
          <w:tcPr>
            <w:tcW w:w="1476" w:type="dxa"/>
            <w:shd w:val="clear" w:color="auto" w:fill="auto"/>
            <w:vAlign w:val="center"/>
          </w:tcPr>
          <w:p w14:paraId="45E0AFC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16894</w:t>
            </w:r>
          </w:p>
        </w:tc>
      </w:tr>
      <w:tr w14:paraId="593F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5F7FA7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3360" w:type="dxa"/>
            <w:shd w:val="clear" w:color="auto" w:fill="auto"/>
            <w:vAlign w:val="center"/>
          </w:tcPr>
          <w:p w14:paraId="259B850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单排绿篱 高度(cm) 50-100以内</w:t>
            </w:r>
          </w:p>
        </w:tc>
        <w:tc>
          <w:tcPr>
            <w:tcW w:w="1528" w:type="dxa"/>
            <w:shd w:val="clear" w:color="auto" w:fill="auto"/>
            <w:vAlign w:val="center"/>
          </w:tcPr>
          <w:p w14:paraId="2C0EC1A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980" w:type="dxa"/>
            <w:shd w:val="clear" w:color="auto" w:fill="auto"/>
            <w:vAlign w:val="center"/>
          </w:tcPr>
          <w:p w14:paraId="4856A4D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336" w:type="dxa"/>
            <w:shd w:val="clear" w:color="auto" w:fill="auto"/>
            <w:vAlign w:val="center"/>
          </w:tcPr>
          <w:p w14:paraId="0CDE6A6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1476" w:type="dxa"/>
            <w:shd w:val="clear" w:color="auto" w:fill="auto"/>
            <w:vAlign w:val="center"/>
          </w:tcPr>
          <w:p w14:paraId="1EF4C93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12.00</w:t>
            </w:r>
          </w:p>
        </w:tc>
      </w:tr>
      <w:tr w14:paraId="4642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708E38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1.20 </w:t>
            </w:r>
          </w:p>
        </w:tc>
        <w:tc>
          <w:tcPr>
            <w:tcW w:w="3360" w:type="dxa"/>
            <w:shd w:val="clear" w:color="auto" w:fill="auto"/>
            <w:vAlign w:val="center"/>
          </w:tcPr>
          <w:p w14:paraId="61931A7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单排绿篱 高度(cm) 100-150以内</w:t>
            </w:r>
          </w:p>
        </w:tc>
        <w:tc>
          <w:tcPr>
            <w:tcW w:w="1528" w:type="dxa"/>
            <w:shd w:val="clear" w:color="auto" w:fill="auto"/>
            <w:vAlign w:val="center"/>
          </w:tcPr>
          <w:p w14:paraId="092BED7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980" w:type="dxa"/>
            <w:shd w:val="clear" w:color="auto" w:fill="auto"/>
            <w:vAlign w:val="center"/>
          </w:tcPr>
          <w:p w14:paraId="04A07E7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336" w:type="dxa"/>
            <w:shd w:val="clear" w:color="auto" w:fill="auto"/>
            <w:vAlign w:val="center"/>
          </w:tcPr>
          <w:p w14:paraId="4C97E65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1476" w:type="dxa"/>
            <w:shd w:val="clear" w:color="auto" w:fill="auto"/>
            <w:vAlign w:val="center"/>
          </w:tcPr>
          <w:p w14:paraId="5305BC6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r>
      <w:tr w14:paraId="1BAE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A7AB31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3360" w:type="dxa"/>
            <w:shd w:val="clear" w:color="auto" w:fill="auto"/>
            <w:vAlign w:val="center"/>
          </w:tcPr>
          <w:p w14:paraId="759D77F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单排绿篱 高度(cm) 150-200以内</w:t>
            </w:r>
          </w:p>
        </w:tc>
        <w:tc>
          <w:tcPr>
            <w:tcW w:w="1528" w:type="dxa"/>
            <w:shd w:val="clear" w:color="auto" w:fill="auto"/>
            <w:vAlign w:val="center"/>
          </w:tcPr>
          <w:p w14:paraId="56EF54C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980" w:type="dxa"/>
            <w:shd w:val="clear" w:color="auto" w:fill="auto"/>
            <w:vAlign w:val="center"/>
          </w:tcPr>
          <w:p w14:paraId="65E5C09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1336" w:type="dxa"/>
            <w:shd w:val="clear" w:color="auto" w:fill="auto"/>
            <w:vAlign w:val="center"/>
          </w:tcPr>
          <w:p w14:paraId="341D600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476" w:type="dxa"/>
            <w:shd w:val="clear" w:color="auto" w:fill="auto"/>
            <w:vAlign w:val="center"/>
          </w:tcPr>
          <w:p w14:paraId="66D0C97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70.00</w:t>
            </w:r>
          </w:p>
        </w:tc>
      </w:tr>
      <w:tr w14:paraId="6FED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07020F0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360" w:type="dxa"/>
            <w:shd w:val="clear" w:color="auto" w:fill="auto"/>
            <w:vAlign w:val="center"/>
          </w:tcPr>
          <w:p w14:paraId="3D93BCD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w:t>
            </w:r>
          </w:p>
        </w:tc>
        <w:tc>
          <w:tcPr>
            <w:tcW w:w="1528" w:type="dxa"/>
            <w:shd w:val="clear" w:color="auto" w:fill="auto"/>
            <w:vAlign w:val="center"/>
          </w:tcPr>
          <w:p w14:paraId="5DA21791">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2EBFCD82">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22AB92D9">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579CC7C4">
            <w:pPr>
              <w:shd w:val="clear"/>
              <w:jc w:val="right"/>
              <w:rPr>
                <w:rFonts w:hint="eastAsia" w:ascii="宋体" w:hAnsi="宋体" w:eastAsia="宋体" w:cs="宋体"/>
                <w:i w:val="0"/>
                <w:iCs w:val="0"/>
                <w:color w:val="auto"/>
                <w:sz w:val="22"/>
                <w:szCs w:val="22"/>
                <w:highlight w:val="none"/>
                <w:u w:val="none"/>
              </w:rPr>
            </w:pPr>
          </w:p>
        </w:tc>
      </w:tr>
      <w:tr w14:paraId="68F0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15670AF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3360" w:type="dxa"/>
            <w:shd w:val="clear" w:color="auto" w:fill="auto"/>
            <w:vAlign w:val="center"/>
          </w:tcPr>
          <w:p w14:paraId="0925CD2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起挖乔木（带土球）胸径（cm）11以内`基价*0.3</w:t>
            </w:r>
          </w:p>
        </w:tc>
        <w:tc>
          <w:tcPr>
            <w:tcW w:w="1528" w:type="dxa"/>
            <w:shd w:val="clear" w:color="auto" w:fill="auto"/>
            <w:vAlign w:val="center"/>
          </w:tcPr>
          <w:p w14:paraId="61C7DDA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BDD2B6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336" w:type="dxa"/>
            <w:shd w:val="clear" w:color="auto" w:fill="auto"/>
            <w:vAlign w:val="center"/>
          </w:tcPr>
          <w:p w14:paraId="3C3EA34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3044521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5700.00</w:t>
            </w:r>
          </w:p>
        </w:tc>
      </w:tr>
      <w:tr w14:paraId="5660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7DD4D97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3360" w:type="dxa"/>
            <w:shd w:val="clear" w:color="auto" w:fill="auto"/>
            <w:vAlign w:val="center"/>
          </w:tcPr>
          <w:p w14:paraId="205786A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起挖乔木（带土球）胸径（cm）11-20以内`基价*0.3</w:t>
            </w:r>
          </w:p>
        </w:tc>
        <w:tc>
          <w:tcPr>
            <w:tcW w:w="1528" w:type="dxa"/>
            <w:shd w:val="clear" w:color="auto" w:fill="auto"/>
            <w:vAlign w:val="center"/>
          </w:tcPr>
          <w:p w14:paraId="6BEECFB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6D3FCA8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w:t>
            </w:r>
          </w:p>
        </w:tc>
        <w:tc>
          <w:tcPr>
            <w:tcW w:w="1336" w:type="dxa"/>
            <w:shd w:val="clear" w:color="auto" w:fill="auto"/>
            <w:vAlign w:val="center"/>
          </w:tcPr>
          <w:p w14:paraId="5275CA9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7BB68C3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15200.00</w:t>
            </w:r>
          </w:p>
        </w:tc>
      </w:tr>
      <w:tr w14:paraId="2305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C68B63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3360" w:type="dxa"/>
            <w:shd w:val="clear" w:color="auto" w:fill="auto"/>
            <w:vAlign w:val="center"/>
          </w:tcPr>
          <w:p w14:paraId="67B6D89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大树起挖（带土球）胸径（cm）25-35以内`基价*0.3</w:t>
            </w:r>
          </w:p>
        </w:tc>
        <w:tc>
          <w:tcPr>
            <w:tcW w:w="1528" w:type="dxa"/>
            <w:shd w:val="clear" w:color="auto" w:fill="auto"/>
            <w:vAlign w:val="center"/>
          </w:tcPr>
          <w:p w14:paraId="54362E2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246D39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429</w:t>
            </w:r>
          </w:p>
        </w:tc>
        <w:tc>
          <w:tcPr>
            <w:tcW w:w="1336" w:type="dxa"/>
            <w:shd w:val="clear" w:color="auto" w:fill="auto"/>
            <w:vAlign w:val="center"/>
          </w:tcPr>
          <w:p w14:paraId="45EA18B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7F79CA6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42900.00</w:t>
            </w:r>
          </w:p>
        </w:tc>
      </w:tr>
      <w:tr w14:paraId="0278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0F030831">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3360" w:type="dxa"/>
            <w:shd w:val="clear" w:color="auto" w:fill="auto"/>
            <w:vAlign w:val="center"/>
          </w:tcPr>
          <w:p w14:paraId="3889118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死株处理胸径（cm）10以内</w:t>
            </w:r>
          </w:p>
        </w:tc>
        <w:tc>
          <w:tcPr>
            <w:tcW w:w="1528" w:type="dxa"/>
            <w:shd w:val="clear" w:color="auto" w:fill="auto"/>
            <w:vAlign w:val="center"/>
          </w:tcPr>
          <w:p w14:paraId="034117A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678388B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336" w:type="dxa"/>
            <w:shd w:val="clear" w:color="auto" w:fill="auto"/>
            <w:vAlign w:val="center"/>
          </w:tcPr>
          <w:p w14:paraId="71CD17E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2012D73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800.00</w:t>
            </w:r>
          </w:p>
        </w:tc>
      </w:tr>
      <w:tr w14:paraId="757F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75DB5DE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3360" w:type="dxa"/>
            <w:shd w:val="clear" w:color="auto" w:fill="auto"/>
            <w:vAlign w:val="center"/>
          </w:tcPr>
          <w:p w14:paraId="20883AB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死株处理胸径（cm）10-20以内</w:t>
            </w:r>
          </w:p>
        </w:tc>
        <w:tc>
          <w:tcPr>
            <w:tcW w:w="1528" w:type="dxa"/>
            <w:shd w:val="clear" w:color="auto" w:fill="auto"/>
            <w:vAlign w:val="center"/>
          </w:tcPr>
          <w:p w14:paraId="5AF24B9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589048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336" w:type="dxa"/>
            <w:shd w:val="clear" w:color="auto" w:fill="auto"/>
            <w:vAlign w:val="center"/>
          </w:tcPr>
          <w:p w14:paraId="4AA6A0B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0505DCF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1100.00</w:t>
            </w:r>
          </w:p>
        </w:tc>
      </w:tr>
      <w:tr w14:paraId="6021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3FE78E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3360" w:type="dxa"/>
            <w:shd w:val="clear" w:color="auto" w:fill="auto"/>
            <w:vAlign w:val="center"/>
          </w:tcPr>
          <w:p w14:paraId="3141248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死株处理胸径（cm）20-30以内</w:t>
            </w:r>
          </w:p>
        </w:tc>
        <w:tc>
          <w:tcPr>
            <w:tcW w:w="1528" w:type="dxa"/>
            <w:shd w:val="clear" w:color="auto" w:fill="auto"/>
            <w:vAlign w:val="center"/>
          </w:tcPr>
          <w:p w14:paraId="2269AE2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76C1E98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336" w:type="dxa"/>
            <w:shd w:val="clear" w:color="auto" w:fill="auto"/>
            <w:vAlign w:val="center"/>
          </w:tcPr>
          <w:p w14:paraId="21814D5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146F298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1600.00</w:t>
            </w:r>
          </w:p>
        </w:tc>
      </w:tr>
      <w:tr w14:paraId="4537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74D90D8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360" w:type="dxa"/>
            <w:shd w:val="clear" w:color="auto" w:fill="auto"/>
            <w:vAlign w:val="center"/>
          </w:tcPr>
          <w:p w14:paraId="320605A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补植</w:t>
            </w:r>
          </w:p>
        </w:tc>
        <w:tc>
          <w:tcPr>
            <w:tcW w:w="1528" w:type="dxa"/>
            <w:shd w:val="clear" w:color="auto" w:fill="auto"/>
            <w:vAlign w:val="center"/>
          </w:tcPr>
          <w:p w14:paraId="2FF3F4F2">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4AD89CEA">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70565112">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05A479B4">
            <w:pPr>
              <w:shd w:val="clear"/>
              <w:jc w:val="right"/>
              <w:rPr>
                <w:rFonts w:hint="eastAsia" w:ascii="宋体" w:hAnsi="宋体" w:eastAsia="宋体" w:cs="宋体"/>
                <w:i w:val="0"/>
                <w:iCs w:val="0"/>
                <w:color w:val="auto"/>
                <w:sz w:val="22"/>
                <w:szCs w:val="22"/>
                <w:highlight w:val="none"/>
                <w:u w:val="none"/>
              </w:rPr>
            </w:pPr>
          </w:p>
        </w:tc>
      </w:tr>
      <w:tr w14:paraId="0B76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686AE49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3360" w:type="dxa"/>
            <w:shd w:val="clear" w:color="auto" w:fill="auto"/>
            <w:vAlign w:val="center"/>
          </w:tcPr>
          <w:p w14:paraId="425F393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栽植草皮满铺-马尼拉草</w:t>
            </w:r>
          </w:p>
        </w:tc>
        <w:tc>
          <w:tcPr>
            <w:tcW w:w="1528" w:type="dxa"/>
            <w:shd w:val="clear" w:color="auto" w:fill="auto"/>
            <w:vAlign w:val="center"/>
          </w:tcPr>
          <w:p w14:paraId="4828CC8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7BDCAE4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336" w:type="dxa"/>
            <w:shd w:val="clear" w:color="auto" w:fill="auto"/>
            <w:vAlign w:val="center"/>
          </w:tcPr>
          <w:p w14:paraId="5E9C4CB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1715</w:t>
            </w:r>
          </w:p>
        </w:tc>
        <w:tc>
          <w:tcPr>
            <w:tcW w:w="1476" w:type="dxa"/>
            <w:shd w:val="clear" w:color="auto" w:fill="auto"/>
            <w:vAlign w:val="center"/>
          </w:tcPr>
          <w:p w14:paraId="3281A84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53165</w:t>
            </w:r>
          </w:p>
        </w:tc>
      </w:tr>
      <w:tr w14:paraId="4BB1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4A1293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3360" w:type="dxa"/>
            <w:shd w:val="clear" w:color="auto" w:fill="auto"/>
            <w:vAlign w:val="center"/>
          </w:tcPr>
          <w:p w14:paraId="3E2FD55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撒播草籽</w:t>
            </w:r>
          </w:p>
        </w:tc>
        <w:tc>
          <w:tcPr>
            <w:tcW w:w="1528" w:type="dxa"/>
            <w:shd w:val="clear" w:color="auto" w:fill="auto"/>
            <w:vAlign w:val="center"/>
          </w:tcPr>
          <w:p w14:paraId="6D36AD2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4DF4875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1336" w:type="dxa"/>
            <w:shd w:val="clear" w:color="auto" w:fill="auto"/>
            <w:vAlign w:val="center"/>
          </w:tcPr>
          <w:p w14:paraId="6D0B310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7550.00</w:t>
            </w:r>
          </w:p>
        </w:tc>
        <w:tc>
          <w:tcPr>
            <w:tcW w:w="1476" w:type="dxa"/>
            <w:shd w:val="clear" w:color="auto" w:fill="auto"/>
            <w:vAlign w:val="center"/>
          </w:tcPr>
          <w:p w14:paraId="78040C5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56625</w:t>
            </w:r>
          </w:p>
        </w:tc>
      </w:tr>
      <w:tr w14:paraId="26EE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7768BB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3360" w:type="dxa"/>
            <w:shd w:val="clear" w:color="auto" w:fill="auto"/>
            <w:vAlign w:val="center"/>
          </w:tcPr>
          <w:p w14:paraId="688ED1C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综合部分</w:t>
            </w:r>
          </w:p>
        </w:tc>
        <w:tc>
          <w:tcPr>
            <w:tcW w:w="1528" w:type="dxa"/>
            <w:shd w:val="clear" w:color="auto" w:fill="auto"/>
            <w:vAlign w:val="center"/>
          </w:tcPr>
          <w:p w14:paraId="5132A3C8">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03E1B222">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3A46BA26">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1F202E2C">
            <w:pPr>
              <w:shd w:val="clear"/>
              <w:jc w:val="right"/>
              <w:rPr>
                <w:rFonts w:hint="eastAsia" w:ascii="宋体" w:hAnsi="宋体" w:eastAsia="宋体" w:cs="宋体"/>
                <w:i w:val="0"/>
                <w:iCs w:val="0"/>
                <w:color w:val="auto"/>
                <w:sz w:val="22"/>
                <w:szCs w:val="22"/>
                <w:highlight w:val="none"/>
                <w:u w:val="none"/>
              </w:rPr>
            </w:pPr>
          </w:p>
        </w:tc>
      </w:tr>
      <w:tr w14:paraId="6D1A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5172264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3360" w:type="dxa"/>
            <w:shd w:val="clear" w:color="auto" w:fill="auto"/>
            <w:vAlign w:val="center"/>
          </w:tcPr>
          <w:p w14:paraId="1022176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包干价常绿树修剪残枝运费及堆放（一年）</w:t>
            </w:r>
          </w:p>
        </w:tc>
        <w:tc>
          <w:tcPr>
            <w:tcW w:w="1528" w:type="dxa"/>
            <w:shd w:val="clear" w:color="auto" w:fill="auto"/>
            <w:vAlign w:val="center"/>
          </w:tcPr>
          <w:p w14:paraId="782973D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3BA4A1B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23000</w:t>
            </w:r>
          </w:p>
        </w:tc>
        <w:tc>
          <w:tcPr>
            <w:tcW w:w="1336" w:type="dxa"/>
            <w:shd w:val="clear" w:color="auto" w:fill="auto"/>
            <w:vAlign w:val="center"/>
          </w:tcPr>
          <w:p w14:paraId="027BFD6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476" w:type="dxa"/>
            <w:shd w:val="clear" w:color="auto" w:fill="auto"/>
            <w:vAlign w:val="center"/>
          </w:tcPr>
          <w:p w14:paraId="4409C0B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23000.00</w:t>
            </w:r>
          </w:p>
        </w:tc>
      </w:tr>
      <w:tr w14:paraId="657A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7007A63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3360" w:type="dxa"/>
            <w:shd w:val="clear" w:color="auto" w:fill="auto"/>
            <w:vAlign w:val="center"/>
          </w:tcPr>
          <w:p w14:paraId="5FB88C6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地被植物片植[丛（株）/</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]-麦冬49丛/</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 xml:space="preserve"> 3-5芽/丛</w:t>
            </w:r>
          </w:p>
        </w:tc>
        <w:tc>
          <w:tcPr>
            <w:tcW w:w="1528" w:type="dxa"/>
            <w:shd w:val="clear" w:color="auto" w:fill="auto"/>
            <w:vAlign w:val="center"/>
          </w:tcPr>
          <w:p w14:paraId="69611EA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614A52E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1336" w:type="dxa"/>
            <w:shd w:val="clear" w:color="auto" w:fill="auto"/>
            <w:vAlign w:val="center"/>
          </w:tcPr>
          <w:p w14:paraId="0254CE6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1672</w:t>
            </w:r>
          </w:p>
        </w:tc>
        <w:tc>
          <w:tcPr>
            <w:tcW w:w="1476" w:type="dxa"/>
            <w:shd w:val="clear" w:color="auto" w:fill="auto"/>
            <w:vAlign w:val="center"/>
          </w:tcPr>
          <w:p w14:paraId="4BE0502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107008.00</w:t>
            </w:r>
          </w:p>
        </w:tc>
      </w:tr>
      <w:tr w14:paraId="671B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EE41CB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3360" w:type="dxa"/>
            <w:shd w:val="clear" w:color="auto" w:fill="auto"/>
            <w:vAlign w:val="center"/>
          </w:tcPr>
          <w:p w14:paraId="1D04D69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包干价花架，坐凳，设施清洗</w:t>
            </w:r>
          </w:p>
        </w:tc>
        <w:tc>
          <w:tcPr>
            <w:tcW w:w="1528" w:type="dxa"/>
            <w:shd w:val="clear" w:color="auto" w:fill="auto"/>
            <w:vAlign w:val="center"/>
          </w:tcPr>
          <w:p w14:paraId="23609A1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6ED6362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w:t>
            </w:r>
          </w:p>
        </w:tc>
        <w:tc>
          <w:tcPr>
            <w:tcW w:w="1336" w:type="dxa"/>
            <w:shd w:val="clear" w:color="auto" w:fill="auto"/>
            <w:vAlign w:val="center"/>
          </w:tcPr>
          <w:p w14:paraId="1C187C5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476" w:type="dxa"/>
            <w:shd w:val="clear" w:color="auto" w:fill="auto"/>
            <w:vAlign w:val="center"/>
          </w:tcPr>
          <w:p w14:paraId="5536FFA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6000.00</w:t>
            </w:r>
          </w:p>
        </w:tc>
      </w:tr>
      <w:tr w14:paraId="0955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397052B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3360" w:type="dxa"/>
            <w:shd w:val="clear" w:color="auto" w:fill="auto"/>
            <w:vAlign w:val="center"/>
          </w:tcPr>
          <w:p w14:paraId="3866A65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包干价清理石头等杂物</w:t>
            </w:r>
          </w:p>
        </w:tc>
        <w:tc>
          <w:tcPr>
            <w:tcW w:w="1528" w:type="dxa"/>
            <w:shd w:val="clear" w:color="auto" w:fill="auto"/>
            <w:vAlign w:val="center"/>
          </w:tcPr>
          <w:p w14:paraId="32F6C2D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2C06290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6009</w:t>
            </w:r>
          </w:p>
        </w:tc>
        <w:tc>
          <w:tcPr>
            <w:tcW w:w="1336" w:type="dxa"/>
            <w:shd w:val="clear" w:color="auto" w:fill="auto"/>
            <w:vAlign w:val="center"/>
          </w:tcPr>
          <w:p w14:paraId="51F648B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476" w:type="dxa"/>
            <w:shd w:val="clear" w:color="auto" w:fill="auto"/>
            <w:vAlign w:val="center"/>
          </w:tcPr>
          <w:p w14:paraId="62C8F75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6009.00</w:t>
            </w:r>
          </w:p>
        </w:tc>
      </w:tr>
      <w:tr w14:paraId="3767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0DE3A18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3360" w:type="dxa"/>
            <w:shd w:val="clear" w:color="auto" w:fill="auto"/>
            <w:vAlign w:val="center"/>
          </w:tcPr>
          <w:p w14:paraId="23EF9BE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名木古树养护</w:t>
            </w:r>
          </w:p>
        </w:tc>
        <w:tc>
          <w:tcPr>
            <w:tcW w:w="1528" w:type="dxa"/>
            <w:shd w:val="clear" w:color="auto" w:fill="auto"/>
            <w:vAlign w:val="center"/>
          </w:tcPr>
          <w:p w14:paraId="13CD7625">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4BDC10C6">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36F32FD2">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289DB90A">
            <w:pPr>
              <w:shd w:val="clear"/>
              <w:jc w:val="right"/>
              <w:rPr>
                <w:rFonts w:hint="eastAsia" w:ascii="宋体" w:hAnsi="宋体" w:eastAsia="宋体" w:cs="宋体"/>
                <w:i w:val="0"/>
                <w:iCs w:val="0"/>
                <w:color w:val="auto"/>
                <w:sz w:val="22"/>
                <w:szCs w:val="22"/>
                <w:highlight w:val="none"/>
                <w:u w:val="none"/>
              </w:rPr>
            </w:pPr>
          </w:p>
        </w:tc>
      </w:tr>
      <w:tr w14:paraId="0C3C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2FF6B6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3360" w:type="dxa"/>
            <w:shd w:val="clear" w:color="auto" w:fill="auto"/>
            <w:vAlign w:val="center"/>
          </w:tcPr>
          <w:p w14:paraId="3467639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吊机</w:t>
            </w:r>
          </w:p>
        </w:tc>
        <w:tc>
          <w:tcPr>
            <w:tcW w:w="1528" w:type="dxa"/>
            <w:shd w:val="clear" w:color="auto" w:fill="auto"/>
            <w:vAlign w:val="center"/>
          </w:tcPr>
          <w:p w14:paraId="70FEA2B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140BC84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3270</w:t>
            </w:r>
          </w:p>
        </w:tc>
        <w:tc>
          <w:tcPr>
            <w:tcW w:w="1336" w:type="dxa"/>
            <w:shd w:val="clear" w:color="auto" w:fill="auto"/>
            <w:vAlign w:val="center"/>
          </w:tcPr>
          <w:p w14:paraId="3D5F595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476" w:type="dxa"/>
            <w:shd w:val="clear" w:color="auto" w:fill="auto"/>
            <w:vAlign w:val="center"/>
          </w:tcPr>
          <w:p w14:paraId="5956642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32700</w:t>
            </w:r>
          </w:p>
        </w:tc>
      </w:tr>
      <w:tr w14:paraId="260C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0411AFF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3360" w:type="dxa"/>
            <w:shd w:val="clear" w:color="auto" w:fill="auto"/>
            <w:vAlign w:val="center"/>
          </w:tcPr>
          <w:p w14:paraId="24E433D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人工</w:t>
            </w:r>
          </w:p>
        </w:tc>
        <w:tc>
          <w:tcPr>
            <w:tcW w:w="1528" w:type="dxa"/>
            <w:shd w:val="clear" w:color="auto" w:fill="auto"/>
            <w:vAlign w:val="center"/>
          </w:tcPr>
          <w:p w14:paraId="58354C4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工日</w:t>
            </w:r>
          </w:p>
        </w:tc>
        <w:tc>
          <w:tcPr>
            <w:tcW w:w="980" w:type="dxa"/>
            <w:shd w:val="clear" w:color="auto" w:fill="auto"/>
            <w:vAlign w:val="center"/>
          </w:tcPr>
          <w:p w14:paraId="707B202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336" w:type="dxa"/>
            <w:shd w:val="clear" w:color="auto" w:fill="auto"/>
            <w:vAlign w:val="center"/>
          </w:tcPr>
          <w:p w14:paraId="42A3076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1476" w:type="dxa"/>
            <w:shd w:val="clear" w:color="auto" w:fill="auto"/>
            <w:vAlign w:val="center"/>
          </w:tcPr>
          <w:p w14:paraId="646E926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19440</w:t>
            </w:r>
          </w:p>
        </w:tc>
      </w:tr>
      <w:tr w14:paraId="1407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9399A2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3360" w:type="dxa"/>
            <w:shd w:val="clear" w:color="auto" w:fill="auto"/>
            <w:vAlign w:val="center"/>
          </w:tcPr>
          <w:p w14:paraId="6932B55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拖拉机</w:t>
            </w:r>
          </w:p>
        </w:tc>
        <w:tc>
          <w:tcPr>
            <w:tcW w:w="1528" w:type="dxa"/>
            <w:shd w:val="clear" w:color="auto" w:fill="auto"/>
            <w:vAlign w:val="center"/>
          </w:tcPr>
          <w:p w14:paraId="5BF4FB8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59C6220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1308</w:t>
            </w:r>
          </w:p>
        </w:tc>
        <w:tc>
          <w:tcPr>
            <w:tcW w:w="1336" w:type="dxa"/>
            <w:shd w:val="clear" w:color="auto" w:fill="auto"/>
            <w:vAlign w:val="center"/>
          </w:tcPr>
          <w:p w14:paraId="2D8652A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476" w:type="dxa"/>
            <w:shd w:val="clear" w:color="auto" w:fill="auto"/>
            <w:vAlign w:val="center"/>
          </w:tcPr>
          <w:p w14:paraId="4E646EB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13080</w:t>
            </w:r>
          </w:p>
        </w:tc>
      </w:tr>
      <w:tr w14:paraId="6A9D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7BBCD75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3360" w:type="dxa"/>
            <w:shd w:val="clear" w:color="auto" w:fill="auto"/>
            <w:vAlign w:val="center"/>
          </w:tcPr>
          <w:p w14:paraId="6396A7E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树木支撑架（树棍四角支撑）</w:t>
            </w:r>
          </w:p>
        </w:tc>
        <w:tc>
          <w:tcPr>
            <w:tcW w:w="1528" w:type="dxa"/>
            <w:shd w:val="clear" w:color="auto" w:fill="auto"/>
            <w:vAlign w:val="center"/>
          </w:tcPr>
          <w:p w14:paraId="2A98B71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618D16F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1336" w:type="dxa"/>
            <w:shd w:val="clear" w:color="auto" w:fill="auto"/>
            <w:vAlign w:val="center"/>
          </w:tcPr>
          <w:p w14:paraId="34ACBFF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1476" w:type="dxa"/>
            <w:shd w:val="clear" w:color="auto" w:fill="auto"/>
            <w:vAlign w:val="center"/>
          </w:tcPr>
          <w:p w14:paraId="653DD4E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3960</w:t>
            </w:r>
          </w:p>
        </w:tc>
      </w:tr>
      <w:tr w14:paraId="31D2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5DA6AC6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3360" w:type="dxa"/>
            <w:shd w:val="clear" w:color="auto" w:fill="auto"/>
            <w:vAlign w:val="center"/>
          </w:tcPr>
          <w:p w14:paraId="1D5C78F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黄泥</w:t>
            </w:r>
          </w:p>
        </w:tc>
        <w:tc>
          <w:tcPr>
            <w:tcW w:w="1528" w:type="dxa"/>
            <w:shd w:val="clear" w:color="auto" w:fill="auto"/>
            <w:vAlign w:val="center"/>
          </w:tcPr>
          <w:p w14:paraId="22B9143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立方</w:t>
            </w:r>
          </w:p>
        </w:tc>
        <w:tc>
          <w:tcPr>
            <w:tcW w:w="980" w:type="dxa"/>
            <w:shd w:val="clear" w:color="auto" w:fill="auto"/>
            <w:vAlign w:val="center"/>
          </w:tcPr>
          <w:p w14:paraId="704360D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1336" w:type="dxa"/>
            <w:shd w:val="clear" w:color="auto" w:fill="auto"/>
            <w:vAlign w:val="center"/>
          </w:tcPr>
          <w:p w14:paraId="60A37A6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w:t>
            </w:r>
          </w:p>
        </w:tc>
        <w:tc>
          <w:tcPr>
            <w:tcW w:w="1476" w:type="dxa"/>
            <w:shd w:val="clear" w:color="auto" w:fill="auto"/>
            <w:vAlign w:val="center"/>
          </w:tcPr>
          <w:p w14:paraId="349D6F1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11250</w:t>
            </w:r>
          </w:p>
        </w:tc>
      </w:tr>
      <w:tr w14:paraId="72C8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4136" w:type="dxa"/>
            <w:gridSpan w:val="2"/>
            <w:shd w:val="clear" w:color="auto" w:fill="auto"/>
            <w:vAlign w:val="center"/>
          </w:tcPr>
          <w:p w14:paraId="5125A90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合计</w:t>
            </w:r>
          </w:p>
        </w:tc>
        <w:tc>
          <w:tcPr>
            <w:tcW w:w="1528" w:type="dxa"/>
            <w:shd w:val="clear" w:color="auto" w:fill="auto"/>
            <w:noWrap/>
            <w:vAlign w:val="bottom"/>
          </w:tcPr>
          <w:p w14:paraId="18411D97">
            <w:pPr>
              <w:shd w:val="clear"/>
              <w:rPr>
                <w:rFonts w:hint="eastAsia" w:ascii="Arial" w:hAnsi="Arial" w:cs="Arial"/>
                <w:i w:val="0"/>
                <w:iCs w:val="0"/>
                <w:color w:val="auto"/>
                <w:sz w:val="22"/>
                <w:szCs w:val="22"/>
                <w:highlight w:val="none"/>
                <w:u w:val="none"/>
              </w:rPr>
            </w:pPr>
          </w:p>
        </w:tc>
        <w:tc>
          <w:tcPr>
            <w:tcW w:w="980" w:type="dxa"/>
            <w:shd w:val="clear" w:color="auto" w:fill="auto"/>
            <w:vAlign w:val="center"/>
          </w:tcPr>
          <w:p w14:paraId="06880651">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3168EFC6">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6A3D30D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1938500</w:t>
            </w:r>
          </w:p>
        </w:tc>
      </w:tr>
    </w:tbl>
    <w:p w14:paraId="3D16F6DE">
      <w:pPr>
        <w:shd w:val="clear" w:color="auto"/>
        <w:adjustRightInd w:val="0"/>
        <w:snapToGrid w:val="0"/>
        <w:spacing w:line="360" w:lineRule="auto"/>
        <w:ind w:firstLine="440" w:firstLineChars="200"/>
        <w:rPr>
          <w:rFonts w:hint="eastAsia" w:ascii="仿宋_GB2312" w:hAnsi="仿宋_GB2312" w:eastAsia="宋体" w:cs="Times New Roman"/>
          <w:b/>
          <w:bCs w:val="0"/>
          <w:color w:val="auto"/>
          <w:kern w:val="0"/>
          <w:sz w:val="22"/>
          <w:szCs w:val="22"/>
          <w:highlight w:val="none"/>
          <w:lang w:val="en-US" w:eastAsia="zh-CN"/>
        </w:rPr>
      </w:pPr>
      <w:r>
        <w:rPr>
          <w:rFonts w:hint="eastAsia" w:ascii="仿宋_GB2312" w:hAnsi="仿宋_GB2312" w:eastAsia="宋体" w:cs="Times New Roman"/>
          <w:b w:val="0"/>
          <w:bCs/>
          <w:color w:val="auto"/>
          <w:kern w:val="0"/>
          <w:sz w:val="22"/>
          <w:szCs w:val="20"/>
          <w:highlight w:val="none"/>
        </w:rPr>
        <w:t>注：上述</w:t>
      </w:r>
      <w:r>
        <w:rPr>
          <w:rFonts w:hint="eastAsia" w:ascii="仿宋_GB2312" w:hAnsi="仿宋_GB2312" w:eastAsia="宋体" w:cs="Times New Roman"/>
          <w:b w:val="0"/>
          <w:bCs/>
          <w:color w:val="auto"/>
          <w:kern w:val="0"/>
          <w:sz w:val="22"/>
          <w:szCs w:val="20"/>
          <w:highlight w:val="none"/>
          <w:lang w:val="en-US" w:eastAsia="zh-CN"/>
        </w:rPr>
        <w:t>清单</w:t>
      </w:r>
      <w:r>
        <w:rPr>
          <w:rFonts w:hint="eastAsia" w:ascii="仿宋_GB2312" w:hAnsi="仿宋_GB2312" w:eastAsia="宋体" w:cs="Times New Roman"/>
          <w:b w:val="0"/>
          <w:bCs/>
          <w:color w:val="auto"/>
          <w:kern w:val="0"/>
          <w:sz w:val="22"/>
          <w:szCs w:val="20"/>
          <w:highlight w:val="none"/>
        </w:rPr>
        <w:t>均为预计清单，具体应按实际</w:t>
      </w:r>
      <w:r>
        <w:rPr>
          <w:rFonts w:hint="eastAsia" w:ascii="仿宋_GB2312" w:hAnsi="仿宋_GB2312" w:eastAsia="宋体" w:cs="Times New Roman"/>
          <w:b w:val="0"/>
          <w:bCs/>
          <w:color w:val="auto"/>
          <w:kern w:val="0"/>
          <w:sz w:val="22"/>
          <w:szCs w:val="20"/>
          <w:highlight w:val="none"/>
          <w:lang w:val="en-US" w:eastAsia="zh-CN"/>
        </w:rPr>
        <w:t>情况</w:t>
      </w:r>
      <w:r>
        <w:rPr>
          <w:rFonts w:hint="eastAsia" w:ascii="仿宋_GB2312" w:hAnsi="仿宋_GB2312" w:eastAsia="宋体" w:cs="Times New Roman"/>
          <w:b w:val="0"/>
          <w:bCs/>
          <w:color w:val="auto"/>
          <w:kern w:val="0"/>
          <w:sz w:val="22"/>
          <w:szCs w:val="20"/>
          <w:highlight w:val="none"/>
        </w:rPr>
        <w:t>进行养护，供应商须自行考虑其中差异风险，</w:t>
      </w:r>
      <w:r>
        <w:rPr>
          <w:rFonts w:hint="eastAsia" w:ascii="仿宋_GB2312" w:hAnsi="仿宋_GB2312" w:eastAsia="宋体" w:cs="Times New Roman"/>
          <w:b/>
          <w:bCs w:val="0"/>
          <w:color w:val="auto"/>
          <w:kern w:val="0"/>
          <w:sz w:val="22"/>
          <w:szCs w:val="22"/>
          <w:highlight w:val="none"/>
          <w:lang w:val="en-US" w:eastAsia="zh-CN"/>
        </w:rPr>
        <w:t>后期实际结算金额按照各分项单价最高限价*实际养护数量*中标折扣率进行结算</w:t>
      </w:r>
    </w:p>
    <w:p w14:paraId="50BAA86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承包内容</w:t>
      </w:r>
    </w:p>
    <w:p w14:paraId="4A983D1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3.1</w:t>
      </w:r>
      <w:r>
        <w:rPr>
          <w:rFonts w:hint="eastAsia" w:ascii="仿宋_GB2312" w:hAnsi="仿宋_GB2312" w:eastAsia="宋体" w:cs="Times New Roman"/>
          <w:b w:val="0"/>
          <w:bCs/>
          <w:color w:val="auto"/>
          <w:kern w:val="0"/>
          <w:sz w:val="22"/>
          <w:szCs w:val="20"/>
          <w:highlight w:val="none"/>
        </w:rPr>
        <w:t>服务要求、内容和范围：</w:t>
      </w:r>
    </w:p>
    <w:p w14:paraId="6B0F50D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1.1以安全管理、环境卫生、绿化养护为主要管理内容，在满足</w:t>
      </w:r>
      <w:r>
        <w:rPr>
          <w:rFonts w:hint="eastAsia" w:ascii="仿宋_GB2312" w:hAnsi="仿宋_GB2312" w:eastAsia="宋体" w:cs="Times New Roman"/>
          <w:b w:val="0"/>
          <w:bCs/>
          <w:color w:val="auto"/>
          <w:kern w:val="0"/>
          <w:sz w:val="22"/>
          <w:szCs w:val="20"/>
          <w:highlight w:val="none"/>
          <w:lang w:eastAsia="zh-CN"/>
        </w:rPr>
        <w:t>《鳌江镇绿化养护实施细则》、《鳌江镇绿化养护考核服务质量表》</w:t>
      </w:r>
      <w:r>
        <w:rPr>
          <w:rFonts w:hint="eastAsia" w:ascii="仿宋_GB2312" w:hAnsi="仿宋_GB2312" w:eastAsia="宋体" w:cs="Times New Roman"/>
          <w:b w:val="0"/>
          <w:bCs/>
          <w:color w:val="auto"/>
          <w:kern w:val="0"/>
          <w:sz w:val="22"/>
          <w:szCs w:val="20"/>
          <w:highlight w:val="none"/>
        </w:rPr>
        <w:t>为前提来开展工作，确保养护内容处于正常、有序的状态。</w:t>
      </w:r>
    </w:p>
    <w:p w14:paraId="5E88691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1.2建立并完善各种管理制度和工作流程，明确分工及职责和工作质量标准，强化工作的计划性、可操作性和实效性，确保设备安全和维保质量，确保设备维运的及时性和准确性，确保环境舒适、有序。</w:t>
      </w:r>
    </w:p>
    <w:p w14:paraId="1EF7564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按照管理内容编制检查表，每日进行检查，发现问题及时整改。对各工作岗位的服务质量随时进行抽查，发现问题，及时整改。定期向服务对象发放“服务意见征询书”，根据反馈意见进行统计，进行优化调整</w:t>
      </w:r>
      <w:r>
        <w:rPr>
          <w:rFonts w:hint="eastAsia" w:ascii="仿宋_GB2312" w:hAnsi="仿宋_GB2312" w:eastAsia="宋体" w:cs="Times New Roman"/>
          <w:b w:val="0"/>
          <w:bCs/>
          <w:color w:val="auto"/>
          <w:kern w:val="0"/>
          <w:sz w:val="22"/>
          <w:szCs w:val="20"/>
          <w:highlight w:val="none"/>
          <w:lang w:eastAsia="zh-CN"/>
        </w:rPr>
        <w:t>。</w:t>
      </w:r>
    </w:p>
    <w:p w14:paraId="104F9B0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1.4建立各类应急预案（如消防、防汛、抗台等）并实施，培训相关人员达到相关要求。</w:t>
      </w:r>
    </w:p>
    <w:p w14:paraId="004AA36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1.5自行按需要和</w:t>
      </w:r>
      <w:r>
        <w:rPr>
          <w:rFonts w:hint="eastAsia" w:ascii="仿宋_GB2312" w:hAnsi="仿宋_GB2312" w:eastAsia="宋体" w:cs="Times New Roman"/>
          <w:b w:val="0"/>
          <w:bCs/>
          <w:color w:val="auto"/>
          <w:kern w:val="0"/>
          <w:sz w:val="22"/>
          <w:szCs w:val="20"/>
          <w:highlight w:val="none"/>
          <w:lang w:val="en-US" w:eastAsia="zh-CN"/>
        </w:rPr>
        <w:t>《鳌江镇绿化养护实施细则》、《鳌江镇绿化养护考核服务质量表》</w:t>
      </w:r>
      <w:r>
        <w:rPr>
          <w:rFonts w:hint="eastAsia" w:ascii="仿宋_GB2312" w:hAnsi="仿宋_GB2312" w:eastAsia="宋体" w:cs="Times New Roman"/>
          <w:b w:val="0"/>
          <w:bCs/>
          <w:color w:val="auto"/>
          <w:kern w:val="0"/>
          <w:sz w:val="22"/>
          <w:szCs w:val="20"/>
          <w:highlight w:val="none"/>
        </w:rPr>
        <w:t>对服务人员进行培训，并接受招标人对服务人员的集中培训。</w:t>
      </w:r>
    </w:p>
    <w:p w14:paraId="7A09D59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1.6自觉接受采购人考核，并根据考核结果及时调整改进。</w:t>
      </w:r>
    </w:p>
    <w:p w14:paraId="36E3B5C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val="en-US" w:eastAsia="zh-CN"/>
        </w:rPr>
        <w:t>7</w:t>
      </w:r>
      <w:r>
        <w:rPr>
          <w:rFonts w:hint="eastAsia" w:ascii="仿宋_GB2312" w:hAnsi="仿宋_GB2312" w:eastAsia="宋体" w:cs="Times New Roman"/>
          <w:b w:val="0"/>
          <w:bCs/>
          <w:color w:val="auto"/>
          <w:kern w:val="0"/>
          <w:sz w:val="22"/>
          <w:szCs w:val="20"/>
          <w:highlight w:val="none"/>
        </w:rPr>
        <w:t>日常管理细则必须按采购人要求规定执行。</w:t>
      </w:r>
    </w:p>
    <w:p w14:paraId="50CB1EB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1.8做好相关台账。</w:t>
      </w:r>
    </w:p>
    <w:p w14:paraId="2A9F3700">
      <w:pPr>
        <w:shd w:val="clear" w:color="auto"/>
        <w:adjustRightInd w:val="0"/>
        <w:snapToGrid w:val="0"/>
        <w:spacing w:line="360" w:lineRule="auto"/>
        <w:ind w:firstLine="440" w:firstLineChars="200"/>
        <w:rPr>
          <w:rFonts w:hint="default"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3.1.9遇到灾害性气候发生，应及时组织人员进行抗旱、浇水、抗台扶树、抗雪保绿，并在2天内完成所有损坏树木的扶植、加固、清枝等工作。</w:t>
      </w:r>
    </w:p>
    <w:p w14:paraId="07D386C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3.2</w:t>
      </w:r>
      <w:r>
        <w:rPr>
          <w:rFonts w:hint="eastAsia" w:ascii="仿宋_GB2312" w:hAnsi="仿宋_GB2312" w:eastAsia="宋体" w:cs="Times New Roman"/>
          <w:b w:val="0"/>
          <w:bCs/>
          <w:color w:val="auto"/>
          <w:kern w:val="0"/>
          <w:sz w:val="22"/>
          <w:szCs w:val="20"/>
          <w:highlight w:val="none"/>
        </w:rPr>
        <w:t>保洁服务部分</w:t>
      </w:r>
    </w:p>
    <w:p w14:paraId="796C599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2.1具体要求</w:t>
      </w:r>
    </w:p>
    <w:p w14:paraId="46496A0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负责本标项区域（招标范围内）的卫生保洁</w:t>
      </w:r>
      <w:r>
        <w:rPr>
          <w:rFonts w:hint="eastAsia" w:ascii="仿宋_GB2312" w:hAnsi="仿宋_GB2312" w:eastAsia="宋体" w:cs="Times New Roman"/>
          <w:b w:val="0"/>
          <w:bCs/>
          <w:color w:val="auto"/>
          <w:kern w:val="0"/>
          <w:sz w:val="22"/>
          <w:szCs w:val="20"/>
          <w:highlight w:val="none"/>
        </w:rPr>
        <w:t>。</w:t>
      </w:r>
    </w:p>
    <w:p w14:paraId="7CF861F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（1）按照规定卫生标准提供24小时的清洁服务，并针对特殊情况，协助制定防止交叉感染、消毒隔离制度和工作标准、流程。</w:t>
      </w:r>
    </w:p>
    <w:p w14:paraId="59E7DC9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（2）协助做好预防与灭治白蚁、消杀老鼠、蟑螂、蚊子、苍蝇等“四害”。</w:t>
      </w:r>
    </w:p>
    <w:p w14:paraId="2F82F30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（3）保洁频率及标准按招标人要求执行，人员配置按招标人要求执行（详见养护管理日常管理人员配置要求）</w:t>
      </w:r>
    </w:p>
    <w:p w14:paraId="149A932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 </w:t>
      </w:r>
      <w:r>
        <w:rPr>
          <w:rFonts w:hint="eastAsia" w:ascii="仿宋_GB2312" w:hAnsi="仿宋_GB2312" w:eastAsia="宋体" w:cs="Times New Roman"/>
          <w:b w:val="0"/>
          <w:bCs/>
          <w:color w:val="auto"/>
          <w:kern w:val="0"/>
          <w:sz w:val="22"/>
          <w:szCs w:val="20"/>
          <w:highlight w:val="none"/>
          <w:lang w:val="en-US" w:eastAsia="zh-CN"/>
        </w:rPr>
        <w:t>3.3</w:t>
      </w:r>
      <w:r>
        <w:rPr>
          <w:rFonts w:hint="eastAsia" w:ascii="仿宋_GB2312" w:hAnsi="仿宋_GB2312" w:eastAsia="宋体" w:cs="Times New Roman"/>
          <w:b w:val="0"/>
          <w:bCs/>
          <w:color w:val="auto"/>
          <w:kern w:val="0"/>
          <w:sz w:val="22"/>
          <w:szCs w:val="20"/>
          <w:highlight w:val="none"/>
        </w:rPr>
        <w:t>绿化养护部分（</w:t>
      </w:r>
      <w:r>
        <w:rPr>
          <w:rFonts w:hint="eastAsia" w:ascii="仿宋_GB2312" w:hAnsi="仿宋_GB2312" w:eastAsia="宋体" w:cs="Times New Roman"/>
          <w:b w:val="0"/>
          <w:bCs/>
          <w:color w:val="auto"/>
          <w:kern w:val="0"/>
          <w:sz w:val="22"/>
          <w:szCs w:val="20"/>
          <w:highlight w:val="none"/>
          <w:lang w:eastAsia="zh-CN"/>
        </w:rPr>
        <w:t>绿化养护范围详见各标项“养护内容”</w:t>
      </w:r>
      <w:r>
        <w:rPr>
          <w:rFonts w:hint="eastAsia" w:ascii="仿宋_GB2312" w:hAnsi="仿宋_GB2312" w:eastAsia="宋体" w:cs="Times New Roman"/>
          <w:b w:val="0"/>
          <w:bCs/>
          <w:color w:val="auto"/>
          <w:kern w:val="0"/>
          <w:sz w:val="22"/>
          <w:szCs w:val="20"/>
          <w:highlight w:val="none"/>
        </w:rPr>
        <w:t>，统计表数量仅为参考，实际数量投标单位中标后可自行进行校对并校对结果上报招标人确认后，以最终校对结果做为移交清单，否则招标人可将以本统计表做为最终移交清单，校对过程中可能产生的费用需要包含在此次报价中）</w:t>
      </w:r>
    </w:p>
    <w:p w14:paraId="08B79B2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3.3</w:t>
      </w:r>
      <w:r>
        <w:rPr>
          <w:rFonts w:hint="eastAsia" w:ascii="仿宋_GB2312" w:hAnsi="仿宋_GB2312" w:eastAsia="宋体" w:cs="Times New Roman"/>
          <w:b w:val="0"/>
          <w:bCs/>
          <w:color w:val="auto"/>
          <w:kern w:val="0"/>
          <w:sz w:val="22"/>
          <w:szCs w:val="20"/>
          <w:highlight w:val="none"/>
        </w:rPr>
        <w:t>.1养护标准</w:t>
      </w:r>
    </w:p>
    <w:p w14:paraId="56FCFBB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 符合《中华人民共和国城市绿化条例》、《城市绿化工程施工及验收规范》、《园林绿化技术规程》、《温州市园林绿化工程验收标准》（修订）、《温州市绿地养护管理标准》</w:t>
      </w:r>
      <w:r>
        <w:rPr>
          <w:rFonts w:hint="eastAsia" w:ascii="仿宋_GB2312" w:hAnsi="仿宋_GB2312" w:eastAsia="宋体" w:cs="Times New Roman"/>
          <w:b w:val="0"/>
          <w:bCs/>
          <w:color w:val="auto"/>
          <w:kern w:val="0"/>
          <w:sz w:val="22"/>
          <w:szCs w:val="20"/>
          <w:highlight w:val="none"/>
          <w:lang w:eastAsia="zh-CN"/>
        </w:rPr>
        <w:t>二级</w:t>
      </w:r>
      <w:r>
        <w:rPr>
          <w:rFonts w:hint="eastAsia" w:ascii="仿宋_GB2312" w:hAnsi="仿宋_GB2312" w:eastAsia="宋体" w:cs="Times New Roman"/>
          <w:b w:val="0"/>
          <w:bCs/>
          <w:color w:val="auto"/>
          <w:kern w:val="0"/>
          <w:sz w:val="22"/>
          <w:szCs w:val="20"/>
          <w:highlight w:val="none"/>
        </w:rPr>
        <w:t>绿地标准</w:t>
      </w:r>
      <w:r>
        <w:rPr>
          <w:rFonts w:hint="eastAsia" w:ascii="仿宋_GB2312" w:hAnsi="仿宋_GB2312" w:eastAsia="宋体" w:cs="Times New Roman"/>
          <w:b w:val="0"/>
          <w:bCs/>
          <w:color w:val="auto"/>
          <w:kern w:val="0"/>
          <w:sz w:val="22"/>
          <w:szCs w:val="20"/>
          <w:highlight w:val="none"/>
          <w:lang w:eastAsia="zh-CN"/>
        </w:rPr>
        <w:t>（详见附表）</w:t>
      </w:r>
      <w:r>
        <w:rPr>
          <w:rFonts w:hint="eastAsia" w:ascii="仿宋_GB2312" w:hAnsi="仿宋_GB2312" w:eastAsia="宋体" w:cs="Times New Roman"/>
          <w:b w:val="0"/>
          <w:bCs/>
          <w:color w:val="auto"/>
          <w:kern w:val="0"/>
          <w:sz w:val="22"/>
          <w:szCs w:val="20"/>
          <w:highlight w:val="none"/>
        </w:rPr>
        <w:t>，达到绿化养护</w:t>
      </w:r>
      <w:r>
        <w:rPr>
          <w:rFonts w:hint="eastAsia" w:ascii="仿宋_GB2312" w:hAnsi="仿宋_GB2312" w:eastAsia="宋体" w:cs="Times New Roman"/>
          <w:b w:val="0"/>
          <w:bCs/>
          <w:color w:val="auto"/>
          <w:kern w:val="0"/>
          <w:sz w:val="22"/>
          <w:szCs w:val="20"/>
          <w:highlight w:val="none"/>
          <w:lang w:eastAsia="zh-CN"/>
        </w:rPr>
        <w:t>二</w:t>
      </w:r>
      <w:r>
        <w:rPr>
          <w:rFonts w:hint="eastAsia" w:ascii="仿宋_GB2312" w:hAnsi="仿宋_GB2312" w:eastAsia="宋体" w:cs="Times New Roman"/>
          <w:b w:val="0"/>
          <w:bCs/>
          <w:color w:val="auto"/>
          <w:kern w:val="0"/>
          <w:sz w:val="22"/>
          <w:szCs w:val="20"/>
          <w:highlight w:val="none"/>
        </w:rPr>
        <w:t>级标准。</w:t>
      </w:r>
    </w:p>
    <w:p w14:paraId="6463D2A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（1）乔木:树冠完整美观，分枝点合适，枝条粗壮，无枯枝死杈；主侧枝分布匀称、数量适宜；内膛不乱，通风透光。行道树树穴有平整盖板或种植地被植物，黄土不裸露，设施完好。</w:t>
      </w:r>
    </w:p>
    <w:p w14:paraId="6D0B3AA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（2）花灌木:适时开花，株形丰满，枝叶茂密，无缺株，花后修剪及时合理。绿篱、色块等修剪及时整齐一致。修剪高度根据不同层次合理控制。</w:t>
      </w:r>
    </w:p>
    <w:p w14:paraId="61B571B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（3）地被草坪:外观整齐，边缘线清晰，生长旺盛，草根不裸露，生长季节不枯黄，修剪及时，基本无杂草。</w:t>
      </w:r>
    </w:p>
    <w:p w14:paraId="0E040CB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（4）花坛花带:轮廓清晰，整齐美观，色彩艳丽，无残缺，无残花败叶。花卉生长健壮，色彩鲜艳，株行距适宜，花期整齐，图案清晰。</w:t>
      </w:r>
    </w:p>
    <w:p w14:paraId="514590A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（5）病虫害防治:绿化养护技术措施完善，管理得当，病虫害控制及时，无明显虫害发生。</w:t>
      </w:r>
    </w:p>
    <w:p w14:paraId="743D1E2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质量技术要求</w:t>
      </w:r>
    </w:p>
    <w:p w14:paraId="6E7C8F3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.1灌溉和排水</w:t>
      </w:r>
    </w:p>
    <w:p w14:paraId="0362193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（1）排水：严格保持绿地排水通畅，大雨后及时排出局部积水，每株树都要避免雨后根部淹水，避免绿地积水；下暴雨后，要确保排水通畅。</w:t>
      </w:r>
    </w:p>
    <w:p w14:paraId="2A6862A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灌溉：根据土壤“墒情”及时灌溉，夏季浇水时间应在下午4点以后；水量适当，既要浇透不能只湿地皮不湿根，又不可水分过多，以防底土过湿而影响植物根系生长。第二天上午土壤湿度达到“耕性”状态时，立即松土，以切断上部毛细管，减少土表水蒸发。不得出现树木因缺水死亡的现象。</w:t>
      </w:r>
    </w:p>
    <w:p w14:paraId="125133C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（3）根据季节适时浇水、排水。</w:t>
      </w:r>
    </w:p>
    <w:p w14:paraId="499116A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.2 中耕除草、挑草</w:t>
      </w:r>
    </w:p>
    <w:p w14:paraId="77A7F02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1）树木根部附近土壤要保持疏松，易板结的土壤在蒸腾旺季每月松土一次。在生长旺季，每月松土除草1-2次。中耕除草应选在晴朗或初晴天气，土壤不过分湿润的时期进行。中耕除草以不影响根系生长为限。</w:t>
      </w:r>
    </w:p>
    <w:p w14:paraId="0E1B44D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2）人工挑草有利于地被植物的保护，防止杂草与地被争水争肥影响地被健康生长。</w:t>
      </w:r>
    </w:p>
    <w:p w14:paraId="40866A5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.3 施肥</w:t>
      </w:r>
    </w:p>
    <w:p w14:paraId="66FD86A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 行道树要求每年施肥二次，绿地内各类树木要求一年施肥二次，肥料为复合肥或肥饼，施肥时需通知采购人，以采购人验收为准；实际施肥数量未达到标内要求用量将在结算中扣除相应费用。改善土壤理化性状，保持土壤疏松。不出现因缺肥造成树木产生病害。(包工包料)</w:t>
      </w:r>
    </w:p>
    <w:p w14:paraId="718C4D2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.4</w:t>
      </w:r>
      <w:r>
        <w:rPr>
          <w:rFonts w:hint="eastAsia" w:ascii="仿宋_GB2312" w:hAnsi="仿宋_GB2312" w:eastAsia="宋体" w:cs="Times New Roman"/>
          <w:b w:val="0"/>
          <w:bCs/>
          <w:color w:val="auto"/>
          <w:kern w:val="0"/>
          <w:sz w:val="22"/>
          <w:szCs w:val="20"/>
          <w:highlight w:val="none"/>
          <w:lang w:val="en-US" w:eastAsia="zh-CN"/>
        </w:rPr>
        <w:t xml:space="preserve"> </w:t>
      </w:r>
      <w:r>
        <w:rPr>
          <w:rFonts w:hint="eastAsia" w:ascii="仿宋_GB2312" w:hAnsi="仿宋_GB2312" w:eastAsia="宋体" w:cs="Times New Roman"/>
          <w:b w:val="0"/>
          <w:bCs/>
          <w:color w:val="auto"/>
          <w:kern w:val="0"/>
          <w:sz w:val="22"/>
          <w:szCs w:val="20"/>
          <w:highlight w:val="none"/>
        </w:rPr>
        <w:t>病虫害防治</w:t>
      </w:r>
    </w:p>
    <w:p w14:paraId="54464A2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对园林植物为害及普遍又严重的“五小、二病”加强防治。五小指：疥虫、蚜虫、粉虱、蓟马、叶螨；二病指：病毒病、线虫病、还应该对天牛以及其他病害进行防治。使用的农药必须符合国家规定，如高效低毒或生物农药等。</w:t>
      </w:r>
    </w:p>
    <w:p w14:paraId="2F1D390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综合防治，以防为主；病虫害危害控制在以不影响观赏效果的范围之内。其中食叶性害虫危害的叶片，每株不超过10%；刺吸式害虫危害的叶片，每株不超过15%；无蛀干性害虫的株数在2%以下。（需在人流量较少的时候进行施药）</w:t>
      </w:r>
    </w:p>
    <w:p w14:paraId="31D27AE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（3）所有树木冬季必须刷白，及时防治病虫害。发现枯枝、死枝必须24小时处理完毕；对枯死的树木应连同根部在24小时内挖除，并在1周内补种完毕。</w:t>
      </w:r>
    </w:p>
    <w:p w14:paraId="1563D74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（4)配备专职植保员，应每天检查病虫害发生情况，发现病虫害应在2天内治理完毕，并做好病虫害防治工作台账，要求树木常年无明显病虫害。</w:t>
      </w:r>
    </w:p>
    <w:p w14:paraId="22CFE6F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.5修剪</w:t>
      </w:r>
    </w:p>
    <w:p w14:paraId="52B2ABB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（1）乔木类主要修除病虫害枝、扭伤枝、枯烂枝、徒长枝、过密枝以及基部萌芽。主梢明显的乔木应保护顶芽，孤植树应保留下枝，保持树冠丰满；</w:t>
      </w:r>
    </w:p>
    <w:p w14:paraId="19E2D5E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（2）灌木类修剪遵循“先上后下，先外后内，去弱留强，去老留新”的原则进行，修剪促使枝叶茂盛，分布匀称，高度合理；</w:t>
      </w:r>
    </w:p>
    <w:p w14:paraId="457F8D5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（3）色块应及时整修，保持和达到设计要求。</w:t>
      </w:r>
    </w:p>
    <w:p w14:paraId="06A7364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（4）一年至少对树木保持三次以上大型修剪。树木要求无徒长枝、病虫枝、过密枝、枯枝、伤损枝、无死树木现象。</w:t>
      </w:r>
    </w:p>
    <w:p w14:paraId="2DE3284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（5）草坪内草高不得超过8cm，常绿草高不得超过6cm，草种基本纯，无杂草，草坪覆盖率应大于95%，无孔秃现象。</w:t>
      </w:r>
    </w:p>
    <w:p w14:paraId="365541F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（6）整形植物必须及时修剪保持形态，悬垂植物生长健壮，整体效果好。采用修剪等特殊手法，控制高度，植物高度不得影响交通视线。</w:t>
      </w:r>
    </w:p>
    <w:p w14:paraId="69739AB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.6 剥芽</w:t>
      </w:r>
    </w:p>
    <w:p w14:paraId="6B99731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   对白玉兰、梧桐、榕树、紫荆等树种在春季应及时剥去主干上根基部的萌蘖条。</w:t>
      </w:r>
    </w:p>
    <w:p w14:paraId="3D5C30E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.7 防寒、防冻措施</w:t>
      </w:r>
    </w:p>
    <w:p w14:paraId="6CDDBE0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   寒流来临前应采取根基培土、主干和根颈包扎等措施（耐寒性差的树种主枝也要包扎），防寒工作宜在常规寒流来临前完成，如遇有大雪及时清除树冠积雪，但不要损伤树冠。</w:t>
      </w:r>
    </w:p>
    <w:p w14:paraId="6159757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.8 抗台风及紧急情况抢救措施</w:t>
      </w:r>
    </w:p>
    <w:p w14:paraId="428A4EE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（1）高大乔木在台风来临前，应以预防为主的原则，对树木存在根浅、迎风、树冠大、树枝过密以及立地条件差等，要根据实际情况分别采取绑扎、加土、扶正、疏枝、加桩等几项综合措施。</w:t>
      </w:r>
    </w:p>
    <w:p w14:paraId="6FC3C1C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（2）绑扎宜采用8号铅丝或绳索绑扎树干，绑扎点应衬垫橡皮，不得损伤树枝；另一端必须固定；不得多株串联起来再行固定，以免影响美观。</w:t>
      </w:r>
    </w:p>
    <w:p w14:paraId="59751BB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（3）加土：树穴内的土壤，出现低洼和积水现象时，必须在台风来临前加土，使根颈周围的土保持馒头状。对枝叶茂密、树冠庞大的树木经行疏稀修剪；</w:t>
      </w:r>
    </w:p>
    <w:p w14:paraId="6F1A1B8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（4）如果在台风暴雨中树木倒伏，应先强行修剪疏冠，在土壤耕性状态时扶起重栽，重栽后必须采取有效的固定措施如用三角撑等。</w:t>
      </w:r>
    </w:p>
    <w:p w14:paraId="73FD3E8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（5）台风过后影响安全、畅通的树木要求在12小时内处理完毕，其余受损树木等应在三天内处理完毕。</w:t>
      </w:r>
    </w:p>
    <w:p w14:paraId="20AAEB0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.9 环境卫生：</w:t>
      </w:r>
    </w:p>
    <w:p w14:paraId="1AC60DE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要求绿地整洁，草坪与树穴内无杂草，不得有石块、果壳、纸屑及其他垃圾，树木无张贴、无钉子、铁丝等破坏树木生长的东西。修剪留下的树枝及草末要求在当天必须清理完毕。</w:t>
      </w:r>
    </w:p>
    <w:p w14:paraId="385B4DB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.10 树木成活率</w:t>
      </w:r>
    </w:p>
    <w:p w14:paraId="46CA1F4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新栽树木成活率在95%以上；原有树木保存率在100%，无死株、无缺株（遇人力不可抗拒的自然灾害，并防范措施到位者除外）。由自身养护及防护措施不到位造成树木死亡率超过采购人标准，损失的费用由中标供应商承担（如补植，树木品种规格应一致，胸径误差≤20%）。如果非法侵占或砍伐树木，要及时向采购人汇报，由采购人配合乙方追查，补植由中标供应商负责。</w:t>
      </w:r>
    </w:p>
    <w:p w14:paraId="2FD96E4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3.4</w:t>
      </w:r>
      <w:r>
        <w:rPr>
          <w:rFonts w:hint="eastAsia" w:ascii="仿宋_GB2312" w:hAnsi="仿宋_GB2312" w:eastAsia="宋体" w:cs="Times New Roman"/>
          <w:b w:val="0"/>
          <w:bCs/>
          <w:color w:val="auto"/>
          <w:kern w:val="0"/>
          <w:sz w:val="22"/>
          <w:szCs w:val="20"/>
          <w:highlight w:val="none"/>
        </w:rPr>
        <w:t>.11补植</w:t>
      </w:r>
    </w:p>
    <w:p w14:paraId="678D8EFB">
      <w:pPr>
        <w:numPr>
          <w:ilvl w:val="0"/>
          <w:numId w:val="0"/>
        </w:num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由中标供应商养护不到位</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lang w:val="en-US" w:eastAsia="zh-CN"/>
        </w:rPr>
        <w:t>包括但不限于未及时浇水、除草、除虫等</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而造成的</w:t>
      </w:r>
      <w:r>
        <w:rPr>
          <w:rFonts w:hint="eastAsia" w:ascii="仿宋_GB2312" w:hAnsi="仿宋_GB2312" w:eastAsia="宋体" w:cs="Times New Roman"/>
          <w:b w:val="0"/>
          <w:bCs/>
          <w:color w:val="auto"/>
          <w:kern w:val="0"/>
          <w:sz w:val="22"/>
          <w:szCs w:val="20"/>
          <w:highlight w:val="none"/>
          <w:lang w:val="en-US" w:eastAsia="zh-CN"/>
        </w:rPr>
        <w:t>植株枯死等</w:t>
      </w:r>
      <w:r>
        <w:rPr>
          <w:rFonts w:hint="eastAsia" w:ascii="仿宋_GB2312" w:hAnsi="仿宋_GB2312" w:eastAsia="宋体" w:cs="Times New Roman"/>
          <w:b w:val="0"/>
          <w:bCs/>
          <w:color w:val="auto"/>
          <w:kern w:val="0"/>
          <w:sz w:val="22"/>
          <w:szCs w:val="20"/>
          <w:highlight w:val="none"/>
        </w:rPr>
        <w:t>一切损失由中标供应商自行负责，必须无条件在1周内补植完毕。</w:t>
      </w:r>
    </w:p>
    <w:p w14:paraId="46A02EF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3.4</w:t>
      </w:r>
      <w:r>
        <w:rPr>
          <w:rFonts w:hint="eastAsia" w:ascii="仿宋_GB2312" w:hAnsi="仿宋_GB2312" w:eastAsia="宋体" w:cs="Times New Roman"/>
          <w:b w:val="0"/>
          <w:bCs/>
          <w:color w:val="auto"/>
          <w:kern w:val="0"/>
          <w:sz w:val="22"/>
          <w:szCs w:val="20"/>
          <w:highlight w:val="none"/>
        </w:rPr>
        <w:t>.12及时向采购人反映</w:t>
      </w:r>
    </w:p>
    <w:p w14:paraId="3FFBBD3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采购人对绿化情况进行登记管理，在绿化养护移交后，若发现垃圾死角、缺株、死株是采购人未进行登记管理的，需及时向采购人反映，第一次由采购人及时进行处理，处理完毕后，后续还出现类似问题，均需中标供应商负责。</w:t>
      </w:r>
    </w:p>
    <w:p w14:paraId="23D3EC9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2</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对损坏绿化、侵占绿地的现象应及时予以制止，遇到严重的破坏树木行为应及时上报采购人及执法部门，并做好配合。</w:t>
      </w:r>
    </w:p>
    <w:p w14:paraId="0D7F1F3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3.5</w:t>
      </w:r>
      <w:r>
        <w:rPr>
          <w:rFonts w:hint="eastAsia" w:ascii="仿宋_GB2312" w:hAnsi="仿宋_GB2312" w:eastAsia="宋体" w:cs="Times New Roman"/>
          <w:b w:val="0"/>
          <w:bCs/>
          <w:color w:val="auto"/>
          <w:kern w:val="0"/>
          <w:sz w:val="22"/>
          <w:szCs w:val="20"/>
          <w:highlight w:val="none"/>
        </w:rPr>
        <w:t xml:space="preserve"> 其他任务要求：</w:t>
      </w:r>
    </w:p>
    <w:p w14:paraId="6820244C">
      <w:pPr>
        <w:shd w:val="clear" w:color="auto"/>
        <w:adjustRightInd w:val="0"/>
        <w:snapToGrid w:val="0"/>
        <w:spacing w:line="360" w:lineRule="auto"/>
        <w:ind w:firstLine="440" w:firstLineChars="200"/>
        <w:rPr>
          <w:rFonts w:hint="default"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rPr>
        <w:t>（1）因工作需要，采购人临时向中标供应商提出种植、补植、移植乔、灌木的要求，中标供应商应全力配合，按照采购人提出标准及要求完成任务并保活，不得无故拖延。其中，种植、补植的苗木费用由采购人</w:t>
      </w:r>
      <w:r>
        <w:rPr>
          <w:rFonts w:hint="eastAsia" w:ascii="仿宋_GB2312" w:hAnsi="仿宋_GB2312" w:eastAsia="宋体" w:cs="Times New Roman"/>
          <w:b w:val="0"/>
          <w:bCs/>
          <w:color w:val="auto"/>
          <w:kern w:val="0"/>
          <w:sz w:val="22"/>
          <w:szCs w:val="20"/>
          <w:highlight w:val="none"/>
          <w:lang w:eastAsia="zh-CN"/>
        </w:rPr>
        <w:t>另计</w:t>
      </w:r>
      <w:r>
        <w:rPr>
          <w:rFonts w:hint="eastAsia" w:ascii="仿宋_GB2312" w:hAnsi="仿宋_GB2312" w:eastAsia="宋体" w:cs="Times New Roman"/>
          <w:b w:val="0"/>
          <w:bCs/>
          <w:color w:val="auto"/>
          <w:kern w:val="0"/>
          <w:sz w:val="22"/>
          <w:szCs w:val="20"/>
          <w:highlight w:val="none"/>
        </w:rPr>
        <w:t>支付，人工等费用由中标供应商</w:t>
      </w:r>
      <w:r>
        <w:rPr>
          <w:rFonts w:hint="eastAsia" w:ascii="仿宋_GB2312" w:hAnsi="仿宋_GB2312" w:eastAsia="宋体" w:cs="Times New Roman"/>
          <w:b w:val="0"/>
          <w:bCs/>
          <w:color w:val="auto"/>
          <w:kern w:val="0"/>
          <w:sz w:val="22"/>
          <w:szCs w:val="20"/>
          <w:highlight w:val="none"/>
          <w:lang w:eastAsia="zh-CN"/>
        </w:rPr>
        <w:t>承担（包括在本次投标报价中）</w:t>
      </w:r>
      <w:r>
        <w:rPr>
          <w:rFonts w:hint="eastAsia" w:ascii="仿宋_GB2312" w:hAnsi="仿宋_GB2312" w:eastAsia="宋体" w:cs="Times New Roman"/>
          <w:b w:val="0"/>
          <w:bCs/>
          <w:color w:val="auto"/>
          <w:kern w:val="0"/>
          <w:sz w:val="22"/>
          <w:szCs w:val="20"/>
          <w:highlight w:val="none"/>
        </w:rPr>
        <w:t>。</w:t>
      </w:r>
      <w:r>
        <w:rPr>
          <w:rFonts w:hint="eastAsia" w:ascii="仿宋_GB2312" w:hAnsi="仿宋_GB2312" w:eastAsia="宋体" w:cs="Times New Roman"/>
          <w:b w:val="0"/>
          <w:bCs/>
          <w:color w:val="auto"/>
          <w:kern w:val="0"/>
          <w:sz w:val="22"/>
          <w:szCs w:val="20"/>
          <w:highlight w:val="none"/>
          <w:lang w:eastAsia="zh-CN"/>
        </w:rPr>
        <w:t>如无故拖延，作为养护管理不合格处理，扣除当月养护费用的</w:t>
      </w:r>
      <w:r>
        <w:rPr>
          <w:rFonts w:hint="eastAsia" w:ascii="仿宋_GB2312" w:hAnsi="仿宋_GB2312" w:eastAsia="宋体" w:cs="Times New Roman"/>
          <w:b w:val="0"/>
          <w:bCs/>
          <w:color w:val="auto"/>
          <w:kern w:val="0"/>
          <w:sz w:val="22"/>
          <w:szCs w:val="20"/>
          <w:highlight w:val="none"/>
          <w:lang w:val="en-US" w:eastAsia="zh-CN"/>
        </w:rPr>
        <w:t>5%。</w:t>
      </w:r>
    </w:p>
    <w:p w14:paraId="06432F6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（2）中标供应商应根据采购人要求在指定地段完成临时性的花卉摆放（经费由中标供应商向采购人另外清算，不列在养护经费之内）。</w:t>
      </w:r>
    </w:p>
    <w:p w14:paraId="5E795E2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管理及作业要求</w:t>
      </w:r>
    </w:p>
    <w:p w14:paraId="243C7D1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1 中标供应商应建立完善的管理制度及《质量考核奖惩规定》；并建立健全的管理制度及档案资料（包括对树种、数量、更换等情况及时记录入档）；</w:t>
      </w:r>
    </w:p>
    <w:p w14:paraId="171BA59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2 中标供应商必须信守承诺，认真落实具有相应技术的固定养护人员；</w:t>
      </w:r>
    </w:p>
    <w:p w14:paraId="376A266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3 中标供应商应认真落实具有相应技术的固定养护人员；每位上岗员工在上岗工作前，应接受过绿化技术普及培训，安全教育，包括道路交通安全教育，机械操作规程教育，消防教育等，明确每项养护工作的质量要求，并按规定操作；</w:t>
      </w:r>
    </w:p>
    <w:p w14:paraId="5D509BC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4 养护人员必须挂牌上岗，统一穿着工作服，工作鞋，不能穿拖鞋上岗操作；</w:t>
      </w:r>
    </w:p>
    <w:p w14:paraId="5E6895B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5 中标供应商应制定各类应急措施，如发生车损、土方倾倒、树木被台风吹倒等情况，在半小时内赶到现场，拍照后汇报采购人，并立即处置现场，尽快恢复绿化面貌；</w:t>
      </w:r>
    </w:p>
    <w:p w14:paraId="4BC4933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6 每天巡视养护路段，遇有树木倒伏等突发情况，及时赶到现场作业，尽快恢复绿化面貌；</w:t>
      </w:r>
    </w:p>
    <w:p w14:paraId="75114AC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7 各类农药专门放置，并安排专人保管，专人使用；</w:t>
      </w:r>
    </w:p>
    <w:p w14:paraId="0A41186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8 机械设备的操作者，必须持有专门的上岗证书，不得擅自违章操作；</w:t>
      </w:r>
    </w:p>
    <w:p w14:paraId="79FF3DE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9 制定安全生产奖罚制度，对违反制度的工作人员，根据情节轻重予以教育和处罚；</w:t>
      </w:r>
    </w:p>
    <w:p w14:paraId="0C6C542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10 实行挂牌施工，标明施工范围、内容、开竣工日期、施工单位、项目经理、监督电话、牌子置于施工范围明显处，以便监督；开展文明施工，职业道德教育，做到无野蛮施工，无违章施工和无重大安全伤亡事故</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lang w:val="en-US" w:eastAsia="zh-CN"/>
        </w:rPr>
        <w:t>如有，采购人不承担任何责任</w:t>
      </w:r>
      <w:r>
        <w:rPr>
          <w:rFonts w:hint="eastAsia" w:ascii="仿宋_GB2312" w:hAnsi="仿宋_GB2312" w:eastAsia="宋体" w:cs="Times New Roman"/>
          <w:b w:val="0"/>
          <w:bCs/>
          <w:color w:val="auto"/>
          <w:kern w:val="0"/>
          <w:sz w:val="22"/>
          <w:szCs w:val="20"/>
          <w:highlight w:val="none"/>
        </w:rPr>
        <w:t>；</w:t>
      </w:r>
    </w:p>
    <w:p w14:paraId="61AB380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11 施工现场的材料堆放整齐有序，施工结束后做到工完场地清，如割完草皮后及时将草屑清理干净；</w:t>
      </w:r>
    </w:p>
    <w:p w14:paraId="62BAD68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3.6.12</w:t>
      </w:r>
      <w:r>
        <w:rPr>
          <w:rFonts w:hint="eastAsia" w:ascii="仿宋_GB2312" w:hAnsi="仿宋_GB2312" w:eastAsia="宋体" w:cs="Times New Roman"/>
          <w:b w:val="0"/>
          <w:bCs/>
          <w:color w:val="auto"/>
          <w:kern w:val="0"/>
          <w:sz w:val="22"/>
          <w:szCs w:val="20"/>
          <w:highlight w:val="none"/>
        </w:rPr>
        <w:t>中标供应商在承包期内，未经采购单位的同意，不得变换项目负责人，如若不能兑现，视同违约处理。</w:t>
      </w:r>
    </w:p>
    <w:p w14:paraId="244969F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3.7</w:t>
      </w:r>
      <w:r>
        <w:rPr>
          <w:rFonts w:hint="eastAsia" w:ascii="仿宋_GB2312" w:hAnsi="仿宋_GB2312" w:eastAsia="宋体" w:cs="Times New Roman"/>
          <w:b w:val="0"/>
          <w:bCs/>
          <w:color w:val="auto"/>
          <w:kern w:val="0"/>
          <w:sz w:val="22"/>
          <w:szCs w:val="20"/>
          <w:highlight w:val="none"/>
        </w:rPr>
        <w:t xml:space="preserve">员工劳动保障 </w:t>
      </w:r>
    </w:p>
    <w:p w14:paraId="1B31B41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（1）必须与员工签订书面劳动合同，招收人员在主管部门备案。</w:t>
      </w:r>
    </w:p>
    <w:p w14:paraId="30C04CD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（2）执行《劳动法》、《劳动合同法》有关员工保障的其他规定，由劳动部门查实的，根据查实情况处罚。</w:t>
      </w:r>
    </w:p>
    <w:p w14:paraId="386CCE09">
      <w:pPr>
        <w:shd w:val="clear" w:color="auto"/>
        <w:adjustRightInd w:val="0"/>
        <w:snapToGrid w:val="0"/>
        <w:spacing w:line="360" w:lineRule="auto"/>
        <w:ind w:firstLine="440" w:firstLineChars="200"/>
        <w:rPr>
          <w:rFonts w:hint="eastAsia" w:ascii="仿宋_GB2312" w:hAnsi="仿宋_GB2312"/>
          <w:b/>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（3）用工年龄按照国家劳动法律法规相关规定执行。</w:t>
      </w:r>
    </w:p>
    <w:p w14:paraId="6268748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 xml:space="preserve">3.8 </w:t>
      </w:r>
      <w:r>
        <w:rPr>
          <w:rFonts w:hint="eastAsia" w:ascii="仿宋_GB2312" w:hAnsi="仿宋_GB2312" w:eastAsia="宋体" w:cs="Times New Roman"/>
          <w:b w:val="0"/>
          <w:bCs/>
          <w:color w:val="auto"/>
          <w:kern w:val="0"/>
          <w:sz w:val="22"/>
          <w:szCs w:val="20"/>
          <w:highlight w:val="none"/>
        </w:rPr>
        <w:t>绿化残肢堆放消纳场所要求</w:t>
      </w:r>
      <w:r>
        <w:rPr>
          <w:rFonts w:hint="eastAsia" w:ascii="仿宋_GB2312" w:hAnsi="仿宋_GB2312" w:eastAsia="宋体" w:cs="Times New Roman"/>
          <w:b w:val="0"/>
          <w:bCs/>
          <w:color w:val="auto"/>
          <w:kern w:val="0"/>
          <w:sz w:val="22"/>
          <w:szCs w:val="20"/>
          <w:highlight w:val="none"/>
          <w:lang w:eastAsia="zh-CN"/>
        </w:rPr>
        <w:t>（根据县有关部门规定）</w:t>
      </w:r>
      <w:r>
        <w:rPr>
          <w:rFonts w:hint="eastAsia" w:ascii="仿宋_GB2312" w:hAnsi="仿宋_GB2312" w:eastAsia="宋体" w:cs="Times New Roman"/>
          <w:b w:val="0"/>
          <w:bCs/>
          <w:color w:val="auto"/>
          <w:kern w:val="0"/>
          <w:sz w:val="22"/>
          <w:szCs w:val="20"/>
          <w:highlight w:val="none"/>
        </w:rPr>
        <w:t>：</w:t>
      </w:r>
    </w:p>
    <w:p w14:paraId="2B4251C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四周设置不低于2米的实体围墙，或设置界桩，明确控制范围；</w:t>
      </w:r>
    </w:p>
    <w:p w14:paraId="1E279CA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应当配备用于绿化垃圾消纳的机械设备。</w:t>
      </w:r>
    </w:p>
    <w:p w14:paraId="0729F33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消纳场必须配有专业工作人员现场管理。</w:t>
      </w:r>
    </w:p>
    <w:p w14:paraId="7F4ED38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需配合并通过采购人每月进行考核。</w:t>
      </w:r>
    </w:p>
    <w:p w14:paraId="1FA7B73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9</w:t>
      </w:r>
      <w:r>
        <w:rPr>
          <w:rFonts w:hint="eastAsia" w:ascii="仿宋_GB2312" w:hAnsi="仿宋_GB2312" w:eastAsia="宋体" w:cs="Times New Roman"/>
          <w:b w:val="0"/>
          <w:bCs/>
          <w:color w:val="auto"/>
          <w:kern w:val="0"/>
          <w:sz w:val="22"/>
          <w:szCs w:val="20"/>
          <w:highlight w:val="none"/>
        </w:rPr>
        <w:t xml:space="preserve"> 绿化维护及保洁所用耗材、材料装备设施；水、电的接入及费用；人员食宿、安全等均由中标供应商自行负责解决，包含在投标总价中；</w:t>
      </w:r>
    </w:p>
    <w:p w14:paraId="06F63A1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10</w:t>
      </w:r>
      <w:r>
        <w:rPr>
          <w:rFonts w:hint="eastAsia" w:ascii="仿宋_GB2312" w:hAnsi="仿宋_GB2312" w:eastAsia="宋体" w:cs="Times New Roman"/>
          <w:b w:val="0"/>
          <w:bCs/>
          <w:color w:val="auto"/>
          <w:kern w:val="0"/>
          <w:sz w:val="22"/>
          <w:szCs w:val="20"/>
          <w:highlight w:val="none"/>
        </w:rPr>
        <w:t>在合同执行期内，投标人应遵守法律法规及其他有关规定，并接受采购人及有关部门的监督、检查和管理。</w:t>
      </w:r>
    </w:p>
    <w:p w14:paraId="193942F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11</w:t>
      </w:r>
      <w:r>
        <w:rPr>
          <w:rFonts w:hint="eastAsia" w:ascii="仿宋_GB2312" w:hAnsi="仿宋_GB2312" w:eastAsia="宋体" w:cs="Times New Roman"/>
          <w:b w:val="0"/>
          <w:bCs/>
          <w:color w:val="auto"/>
          <w:kern w:val="0"/>
          <w:sz w:val="22"/>
          <w:szCs w:val="20"/>
          <w:highlight w:val="none"/>
        </w:rPr>
        <w:t xml:space="preserve"> 本项目不得转包、分包。</w:t>
      </w:r>
    </w:p>
    <w:p w14:paraId="4C224326">
      <w:pPr>
        <w:shd w:val="clear" w:color="auto"/>
        <w:adjustRightInd w:val="0"/>
        <w:snapToGrid w:val="0"/>
        <w:spacing w:line="360" w:lineRule="auto"/>
        <w:ind w:firstLine="442" w:firstLineChars="200"/>
        <w:rPr>
          <w:rFonts w:hint="eastAsia" w:ascii="仿宋_GB2312" w:hAnsi="仿宋_GB2312" w:eastAsia="宋体" w:cs="Times New Roman"/>
          <w:b/>
          <w:bCs w:val="0"/>
          <w:color w:val="auto"/>
          <w:kern w:val="0"/>
          <w:sz w:val="22"/>
          <w:szCs w:val="20"/>
          <w:highlight w:val="none"/>
        </w:rPr>
      </w:pPr>
      <w:r>
        <w:rPr>
          <w:rFonts w:hint="eastAsia" w:ascii="仿宋_GB2312" w:hAnsi="仿宋_GB2312" w:eastAsia="宋体" w:cs="Times New Roman"/>
          <w:b/>
          <w:bCs w:val="0"/>
          <w:color w:val="auto"/>
          <w:kern w:val="0"/>
          <w:sz w:val="22"/>
          <w:szCs w:val="20"/>
          <w:highlight w:val="none"/>
          <w:lang w:val="en-US" w:eastAsia="zh-CN"/>
        </w:rPr>
        <w:t>4.</w:t>
      </w:r>
      <w:r>
        <w:rPr>
          <w:rFonts w:hint="eastAsia" w:ascii="仿宋_GB2312" w:hAnsi="仿宋_GB2312" w:eastAsia="宋体" w:cs="Times New Roman"/>
          <w:b/>
          <w:bCs w:val="0"/>
          <w:color w:val="auto"/>
          <w:kern w:val="0"/>
          <w:sz w:val="22"/>
          <w:szCs w:val="20"/>
          <w:highlight w:val="none"/>
        </w:rPr>
        <w:t>服务质量要求</w:t>
      </w:r>
    </w:p>
    <w:p w14:paraId="6D6B122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w:t>
      </w:r>
      <w:r>
        <w:rPr>
          <w:rFonts w:hint="eastAsia" w:ascii="仿宋_GB2312" w:hAnsi="仿宋_GB2312" w:eastAsia="宋体" w:cs="Times New Roman"/>
          <w:b w:val="0"/>
          <w:bCs/>
          <w:color w:val="auto"/>
          <w:kern w:val="0"/>
          <w:sz w:val="22"/>
          <w:szCs w:val="20"/>
          <w:highlight w:val="none"/>
        </w:rPr>
        <w:t>各投标供应商需本着对企业品牌的延伸，以社会效益为重的原则进行报价。</w:t>
      </w:r>
    </w:p>
    <w:p w14:paraId="56DE4CF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4.2</w:t>
      </w:r>
      <w:r>
        <w:rPr>
          <w:rFonts w:hint="eastAsia" w:ascii="仿宋_GB2312" w:hAnsi="仿宋_GB2312" w:eastAsia="宋体" w:cs="Times New Roman"/>
          <w:b w:val="0"/>
          <w:bCs/>
          <w:color w:val="auto"/>
          <w:kern w:val="0"/>
          <w:sz w:val="22"/>
          <w:szCs w:val="20"/>
          <w:highlight w:val="none"/>
        </w:rPr>
        <w:t>各投标供应商自行对现场、周边环境全面了解的情况下编制科学合理、切实可行的组织实施计划以及具体的保障措施、工作程序。</w:t>
      </w:r>
    </w:p>
    <w:p w14:paraId="5D2154F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4.3</w:t>
      </w:r>
      <w:r>
        <w:rPr>
          <w:rFonts w:hint="eastAsia" w:ascii="仿宋_GB2312" w:hAnsi="仿宋_GB2312" w:eastAsia="宋体" w:cs="Times New Roman"/>
          <w:b w:val="0"/>
          <w:bCs/>
          <w:color w:val="auto"/>
          <w:kern w:val="0"/>
          <w:sz w:val="22"/>
          <w:szCs w:val="20"/>
          <w:highlight w:val="none"/>
        </w:rPr>
        <w:t>服务质量标准要求订立服务规程。投标供应商应制订具体的质量保证措施及质量保证和相关服务承诺。如因质量未达到目标，投标供应商应因此承担责任和经济赔偿。</w:t>
      </w:r>
    </w:p>
    <w:p w14:paraId="64FA7BE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服务区内垃圾用袋装收集，存放在指定地点。清卫、保洁及生活服务的工作质量按国家卫生城市管理的有关标准严格验收。</w:t>
      </w:r>
    </w:p>
    <w:p w14:paraId="049AB11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4.5</w:t>
      </w:r>
      <w:r>
        <w:rPr>
          <w:rFonts w:hint="eastAsia" w:ascii="仿宋_GB2312" w:hAnsi="仿宋_GB2312" w:eastAsia="宋体" w:cs="Times New Roman"/>
          <w:b w:val="0"/>
          <w:bCs/>
          <w:color w:val="auto"/>
          <w:kern w:val="0"/>
          <w:sz w:val="22"/>
          <w:szCs w:val="20"/>
          <w:highlight w:val="none"/>
        </w:rPr>
        <w:t>投标供应商须按现代企业制度运行，发挥自身优势，以热心、爱心、专心、贴心的服务，为养护区后勤提供全方位、一体化的专业服务保障。确保养护区正常运转。</w:t>
      </w:r>
    </w:p>
    <w:p w14:paraId="0AFAC0F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4.6</w:t>
      </w:r>
      <w:r>
        <w:rPr>
          <w:rFonts w:hint="eastAsia" w:ascii="仿宋_GB2312" w:hAnsi="仿宋_GB2312" w:eastAsia="宋体" w:cs="Times New Roman"/>
          <w:b w:val="0"/>
          <w:bCs/>
          <w:color w:val="auto"/>
          <w:kern w:val="0"/>
          <w:sz w:val="22"/>
          <w:szCs w:val="20"/>
          <w:highlight w:val="none"/>
        </w:rPr>
        <w:t>招标人有权在需要时对相关人员做集中调配并以调休、补休等方式进行补偿。此方式投标供应商必须认可。</w:t>
      </w:r>
    </w:p>
    <w:p w14:paraId="59ACA6F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4.7</w:t>
      </w:r>
      <w:r>
        <w:rPr>
          <w:rFonts w:hint="eastAsia" w:ascii="仿宋_GB2312" w:hAnsi="仿宋_GB2312" w:eastAsia="宋体" w:cs="Times New Roman"/>
          <w:b w:val="0"/>
          <w:bCs/>
          <w:color w:val="auto"/>
          <w:kern w:val="0"/>
          <w:sz w:val="22"/>
          <w:szCs w:val="20"/>
          <w:highlight w:val="none"/>
        </w:rPr>
        <w:t>投标供应商达不到招标人要求及投标供应商各项服务承诺，招标人有权要求其整改，直至扣款或终止合同。</w:t>
      </w:r>
    </w:p>
    <w:p w14:paraId="460D423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4.8</w:t>
      </w:r>
      <w:r>
        <w:rPr>
          <w:rFonts w:hint="eastAsia" w:ascii="仿宋_GB2312" w:hAnsi="仿宋_GB2312" w:eastAsia="宋体" w:cs="Times New Roman"/>
          <w:b w:val="0"/>
          <w:bCs/>
          <w:color w:val="auto"/>
          <w:kern w:val="0"/>
          <w:sz w:val="22"/>
          <w:szCs w:val="20"/>
          <w:highlight w:val="none"/>
        </w:rPr>
        <w:t>投标供应商所有的工作除应按投标供应商的内部流程实施外还应接受采购人的检查。</w:t>
      </w:r>
    </w:p>
    <w:p w14:paraId="01C76AA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4.9</w:t>
      </w:r>
      <w:r>
        <w:rPr>
          <w:rFonts w:hint="eastAsia" w:ascii="仿宋_GB2312" w:hAnsi="仿宋_GB2312" w:eastAsia="宋体" w:cs="Times New Roman"/>
          <w:b w:val="0"/>
          <w:bCs/>
          <w:color w:val="auto"/>
          <w:kern w:val="0"/>
          <w:sz w:val="22"/>
          <w:szCs w:val="20"/>
          <w:highlight w:val="none"/>
        </w:rPr>
        <w:t>投标供应商需制定消防、抗台、防汛、安全等紧急预案，并切实地培训到每个岗位人员。</w:t>
      </w:r>
    </w:p>
    <w:p w14:paraId="0CB1BE1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4.10</w:t>
      </w:r>
      <w:r>
        <w:rPr>
          <w:rFonts w:hint="eastAsia" w:ascii="仿宋_GB2312" w:hAnsi="仿宋_GB2312" w:eastAsia="宋体" w:cs="Times New Roman"/>
          <w:b w:val="0"/>
          <w:bCs/>
          <w:color w:val="auto"/>
          <w:kern w:val="0"/>
          <w:sz w:val="22"/>
          <w:szCs w:val="20"/>
          <w:highlight w:val="none"/>
        </w:rPr>
        <w:t>绿化养护质量严格按照温州市市政园林局印发的《温州市绿地养护管理标准》</w:t>
      </w:r>
      <w:r>
        <w:rPr>
          <w:rFonts w:hint="eastAsia" w:ascii="仿宋_GB2312" w:hAnsi="仿宋_GB2312" w:eastAsia="宋体" w:cs="Times New Roman"/>
          <w:b w:val="0"/>
          <w:bCs/>
          <w:color w:val="auto"/>
          <w:kern w:val="0"/>
          <w:sz w:val="22"/>
          <w:szCs w:val="20"/>
          <w:highlight w:val="none"/>
          <w:lang w:eastAsia="zh-CN"/>
        </w:rPr>
        <w:t>二级</w:t>
      </w:r>
      <w:r>
        <w:rPr>
          <w:rFonts w:hint="eastAsia" w:ascii="仿宋_GB2312" w:hAnsi="仿宋_GB2312" w:eastAsia="宋体" w:cs="Times New Roman"/>
          <w:b w:val="0"/>
          <w:bCs/>
          <w:color w:val="auto"/>
          <w:kern w:val="0"/>
          <w:sz w:val="22"/>
          <w:szCs w:val="20"/>
          <w:highlight w:val="none"/>
        </w:rPr>
        <w:t>绿地标准</w:t>
      </w:r>
      <w:r>
        <w:rPr>
          <w:rFonts w:hint="eastAsia" w:ascii="仿宋_GB2312" w:hAnsi="仿宋_GB2312" w:eastAsia="宋体" w:cs="Times New Roman"/>
          <w:b w:val="0"/>
          <w:bCs/>
          <w:color w:val="auto"/>
          <w:kern w:val="0"/>
          <w:sz w:val="22"/>
          <w:szCs w:val="20"/>
          <w:highlight w:val="none"/>
          <w:lang w:eastAsia="zh-CN"/>
        </w:rPr>
        <w:t>（详见附表）</w:t>
      </w:r>
      <w:r>
        <w:rPr>
          <w:rFonts w:hint="eastAsia" w:ascii="仿宋_GB2312" w:hAnsi="仿宋_GB2312" w:eastAsia="宋体" w:cs="Times New Roman"/>
          <w:b w:val="0"/>
          <w:bCs/>
          <w:color w:val="auto"/>
          <w:kern w:val="0"/>
          <w:sz w:val="22"/>
          <w:szCs w:val="20"/>
          <w:highlight w:val="none"/>
        </w:rPr>
        <w:t>及相关规定执行。</w:t>
      </w:r>
    </w:p>
    <w:p w14:paraId="685C972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4.11</w:t>
      </w:r>
      <w:r>
        <w:rPr>
          <w:rFonts w:hint="eastAsia" w:ascii="仿宋_GB2312" w:hAnsi="仿宋_GB2312" w:eastAsia="宋体" w:cs="Times New Roman"/>
          <w:b w:val="0"/>
          <w:bCs/>
          <w:color w:val="auto"/>
          <w:kern w:val="0"/>
          <w:sz w:val="22"/>
          <w:szCs w:val="20"/>
          <w:highlight w:val="none"/>
        </w:rPr>
        <w:t>本项目承包期内，中标人必须对承包区域内有死株现象发生的苗木及时进行补种。承包期满后，招标人对养护区域内所有苗木进行移交验收，苗木数量必须与</w:t>
      </w:r>
      <w:r>
        <w:rPr>
          <w:rFonts w:hint="eastAsia" w:ascii="仿宋_GB2312" w:hAnsi="仿宋_GB2312" w:eastAsia="宋体" w:cs="Times New Roman"/>
          <w:b w:val="0"/>
          <w:bCs/>
          <w:color w:val="auto"/>
          <w:kern w:val="0"/>
          <w:sz w:val="22"/>
          <w:szCs w:val="20"/>
          <w:highlight w:val="none"/>
          <w:lang w:val="en-US" w:eastAsia="zh-CN"/>
        </w:rPr>
        <w:t>移交前数量</w:t>
      </w:r>
      <w:r>
        <w:rPr>
          <w:rFonts w:hint="eastAsia" w:ascii="仿宋_GB2312" w:hAnsi="仿宋_GB2312" w:eastAsia="宋体" w:cs="Times New Roman"/>
          <w:b w:val="0"/>
          <w:bCs/>
          <w:color w:val="auto"/>
          <w:kern w:val="0"/>
          <w:sz w:val="22"/>
          <w:szCs w:val="20"/>
          <w:highlight w:val="none"/>
        </w:rPr>
        <w:t>一致，若少于</w:t>
      </w:r>
      <w:r>
        <w:rPr>
          <w:rFonts w:hint="eastAsia" w:ascii="仿宋_GB2312" w:hAnsi="仿宋_GB2312" w:eastAsia="宋体" w:cs="Times New Roman"/>
          <w:b w:val="0"/>
          <w:bCs/>
          <w:color w:val="auto"/>
          <w:kern w:val="0"/>
          <w:sz w:val="22"/>
          <w:szCs w:val="20"/>
          <w:highlight w:val="none"/>
          <w:lang w:val="en-US" w:eastAsia="zh-CN"/>
        </w:rPr>
        <w:t>移交前数量</w:t>
      </w:r>
      <w:r>
        <w:rPr>
          <w:rFonts w:hint="eastAsia" w:ascii="仿宋_GB2312" w:hAnsi="仿宋_GB2312" w:eastAsia="宋体" w:cs="Times New Roman"/>
          <w:b w:val="0"/>
          <w:bCs/>
          <w:color w:val="auto"/>
          <w:kern w:val="0"/>
          <w:sz w:val="22"/>
          <w:szCs w:val="20"/>
          <w:highlight w:val="none"/>
        </w:rPr>
        <w:t>，则在退还履约保证金之前必须进行补种，否则履约保证金不予退还。</w:t>
      </w:r>
    </w:p>
    <w:p w14:paraId="339F541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4.12</w:t>
      </w:r>
      <w:r>
        <w:rPr>
          <w:rFonts w:hint="eastAsia" w:ascii="仿宋_GB2312" w:hAnsi="仿宋_GB2312" w:eastAsia="宋体" w:cs="Times New Roman"/>
          <w:b w:val="0"/>
          <w:bCs/>
          <w:color w:val="auto"/>
          <w:kern w:val="0"/>
          <w:sz w:val="22"/>
          <w:szCs w:val="20"/>
          <w:highlight w:val="none"/>
        </w:rPr>
        <w:t>供应商必须提供购置化肥的清单凭证给采购人，且须与实物对照，经</w:t>
      </w:r>
      <w:r>
        <w:rPr>
          <w:rFonts w:hint="eastAsia" w:ascii="仿宋_GB2312" w:hAnsi="仿宋_GB2312" w:eastAsia="宋体" w:cs="Times New Roman"/>
          <w:b w:val="0"/>
          <w:bCs/>
          <w:color w:val="auto"/>
          <w:kern w:val="0"/>
          <w:sz w:val="22"/>
          <w:szCs w:val="20"/>
          <w:highlight w:val="none"/>
          <w:lang w:eastAsia="zh-CN"/>
        </w:rPr>
        <w:t>业主方经办人</w:t>
      </w:r>
      <w:r>
        <w:rPr>
          <w:rFonts w:hint="eastAsia" w:ascii="仿宋_GB2312" w:hAnsi="仿宋_GB2312" w:eastAsia="宋体" w:cs="Times New Roman"/>
          <w:b w:val="0"/>
          <w:bCs/>
          <w:color w:val="auto"/>
          <w:kern w:val="0"/>
          <w:sz w:val="22"/>
          <w:szCs w:val="20"/>
          <w:highlight w:val="none"/>
        </w:rPr>
        <w:t>签字确认后，方可实施。否则采购人可不予支付化肥的结算费用。</w:t>
      </w:r>
    </w:p>
    <w:p w14:paraId="3F3E7BF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4.13供应商增加车辆的，须相应增加机动车驾驶员人数；供应商增加设备的，须相应增加设备操作人员。在实际养护过程质量不合格的（以考核评分结果为准），招标人有权要求供应商增加投入养护人员进行作业，中标价（合同价）不予调整。</w:t>
      </w:r>
    </w:p>
    <w:p w14:paraId="615DB57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4.14中标后实施养护过程中，如中标供应商提出机械化替代人工作业方案或优化方案结构（减少作业人数），可优于现养护效果的，须经招标人同意后方可实施。</w:t>
      </w:r>
    </w:p>
    <w:p w14:paraId="0DFD84A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4.15车辆配备要求：</w:t>
      </w:r>
      <w:r>
        <w:rPr>
          <w:rFonts w:hint="eastAsia" w:ascii="仿宋_GB2312" w:hAnsi="仿宋_GB2312" w:eastAsia="宋体" w:cs="Times New Roman"/>
          <w:b w:val="0"/>
          <w:bCs/>
          <w:color w:val="auto"/>
          <w:kern w:val="0"/>
          <w:sz w:val="22"/>
          <w:szCs w:val="20"/>
          <w:highlight w:val="none"/>
        </w:rPr>
        <w:t>车辆需长期停放在</w:t>
      </w:r>
      <w:r>
        <w:rPr>
          <w:rFonts w:hint="eastAsia" w:ascii="仿宋_GB2312" w:hAnsi="仿宋_GB2312" w:eastAsia="宋体" w:cs="Times New Roman"/>
          <w:b w:val="0"/>
          <w:bCs/>
          <w:color w:val="auto"/>
          <w:kern w:val="0"/>
          <w:sz w:val="22"/>
          <w:szCs w:val="20"/>
          <w:highlight w:val="none"/>
          <w:lang w:eastAsia="zh-CN"/>
        </w:rPr>
        <w:t>平阳县</w:t>
      </w:r>
      <w:r>
        <w:rPr>
          <w:rFonts w:hint="eastAsia" w:ascii="仿宋_GB2312" w:hAnsi="仿宋_GB2312" w:eastAsia="宋体" w:cs="Times New Roman"/>
          <w:b w:val="0"/>
          <w:bCs/>
          <w:color w:val="auto"/>
          <w:kern w:val="0"/>
          <w:sz w:val="22"/>
          <w:szCs w:val="20"/>
          <w:highlight w:val="none"/>
        </w:rPr>
        <w:t>，如因特殊原因(如年审等)需驶离项目所在地，中标供应商须另行提供同规格的备用车辆，经</w:t>
      </w:r>
      <w:r>
        <w:rPr>
          <w:rFonts w:hint="eastAsia" w:ascii="仿宋_GB2312" w:hAnsi="仿宋_GB2312" w:eastAsia="宋体" w:cs="Times New Roman"/>
          <w:b w:val="0"/>
          <w:bCs/>
          <w:color w:val="auto"/>
          <w:kern w:val="0"/>
          <w:sz w:val="22"/>
          <w:szCs w:val="20"/>
          <w:highlight w:val="none"/>
          <w:lang w:eastAsia="zh-CN"/>
        </w:rPr>
        <w:t>采购人</w:t>
      </w:r>
      <w:r>
        <w:rPr>
          <w:rFonts w:hint="eastAsia" w:ascii="仿宋_GB2312" w:hAnsi="仿宋_GB2312" w:eastAsia="宋体" w:cs="Times New Roman"/>
          <w:b w:val="0"/>
          <w:bCs/>
          <w:color w:val="auto"/>
          <w:kern w:val="0"/>
          <w:sz w:val="22"/>
          <w:szCs w:val="20"/>
          <w:highlight w:val="none"/>
        </w:rPr>
        <w:t>报备并得到许可后方可更换。车辆进场验收后，如经采购人同意，中标供应商可以根据实际作业情况用优于投标车辆品牌、参数的车辆以新换旧、以优换次来替代投标时投入的车辆，但最终投入进场的车辆须专车专用，只用于本项目，未经采购人同意不得自行变更或另用他处。</w:t>
      </w:r>
    </w:p>
    <w:p w14:paraId="73FF626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4.16车辆持有形式可以自有已上牌(指投标供应商自行购置，包括分公司或全资子公司购置)或现已租赁或承诺中标后购买或承诺中标后租赁，并按要求提供车辆行驶证及车辆全身彩色照片,若供应商现有车辆未达到本项目数量要求的，则应在投标文件中承诺合同签订生效之日起7日历天内购置（租赁）剩余车辆并配备相应的驾驶员，确保能及时到位工作，否则采购人单方面解除合同。所有车辆在合同期间的运行、维保等费用均由供应商自行承担。</w:t>
      </w:r>
    </w:p>
    <w:p w14:paraId="105D6E5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4.17供应商自备或承诺养护设备及工具，中标后，供应商自备或承诺的设备及工具应在合同签订生效之日起7日历天内配置完成到位，确保能及时到位工作，否则采购人单方面解除合同。</w:t>
      </w:r>
    </w:p>
    <w:p w14:paraId="5451469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4.18合同签订生效之日起7日历天内中标供应商需提供详细的全年养护管理计划；各路段养护作业人员的花名册及计划表；绿化喷洒车及轻型货车的驾驶员详细名单、身份证、联系电话及相应的行驶证。</w:t>
      </w:r>
    </w:p>
    <w:p w14:paraId="22C0E06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4.19建立完善的巡查制度、培训制度及例会制度，管理人员需每日定期对绿地进行巡查，并且做好相关记录工作，需每日向招标人报告巡查线路及巡查中发现的问题；每月养护项目部至少安排召开一次例会。</w:t>
      </w:r>
    </w:p>
    <w:p w14:paraId="523B3AB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lang w:val="en-US" w:eastAsia="zh-CN"/>
        </w:rPr>
        <w:t>20养护用水由中标供应商负责提供接水点，其相关费用包含于投标总价中。</w:t>
      </w:r>
    </w:p>
    <w:p w14:paraId="087402A6">
      <w:pPr>
        <w:shd w:val="clear" w:color="auto"/>
        <w:adjustRightInd w:val="0"/>
        <w:snapToGrid w:val="0"/>
        <w:spacing w:line="360" w:lineRule="auto"/>
        <w:ind w:firstLine="440" w:firstLineChars="200"/>
        <w:rPr>
          <w:rFonts w:hint="default" w:ascii="仿宋_GB2312" w:hAnsi="仿宋_GB2312" w:eastAsia="宋体" w:cs="Times New Roman"/>
          <w:b w:val="0"/>
          <w:bCs/>
          <w:color w:val="auto"/>
          <w:kern w:val="0"/>
          <w:sz w:val="22"/>
          <w:szCs w:val="20"/>
          <w:highlight w:val="none"/>
          <w:lang w:val="en-US" w:eastAsia="zh-CN"/>
        </w:rPr>
      </w:pPr>
      <w:r>
        <w:rPr>
          <w:rFonts w:hint="eastAsia" w:ascii="仿宋_GB2312" w:hAnsi="仿宋_GB2312"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lang w:val="en-US" w:eastAsia="zh-CN"/>
        </w:rPr>
        <w:t>21本地化服务要求：中标供应商如为平阳以外的企业须在发出中标通知书后30天内在平阳县设立办事处，并配置办公场地及一定规模的仓库，满足项目需求。否则将取消中标资格。</w:t>
      </w:r>
    </w:p>
    <w:p w14:paraId="2BA4F44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三</w:t>
      </w:r>
      <w:r>
        <w:rPr>
          <w:rFonts w:hint="eastAsia" w:ascii="仿宋_GB2312" w:hAnsi="仿宋_GB2312" w:eastAsia="宋体" w:cs="Times New Roman"/>
          <w:b w:val="0"/>
          <w:bCs/>
          <w:color w:val="auto"/>
          <w:kern w:val="0"/>
          <w:sz w:val="22"/>
          <w:szCs w:val="20"/>
          <w:highlight w:val="none"/>
        </w:rPr>
        <w:t>、其他要求及说明</w:t>
      </w:r>
    </w:p>
    <w:p w14:paraId="10FA7A3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1.投标报价</w:t>
      </w:r>
    </w:p>
    <w:p w14:paraId="4F8AB9B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1.1本次招标实行</w:t>
      </w:r>
      <w:r>
        <w:rPr>
          <w:rFonts w:hint="eastAsia" w:ascii="仿宋_GB2312" w:hAnsi="仿宋_GB2312" w:eastAsia="宋体" w:cs="Times New Roman"/>
          <w:b w:val="0"/>
          <w:bCs/>
          <w:color w:val="auto"/>
          <w:kern w:val="0"/>
          <w:sz w:val="22"/>
          <w:szCs w:val="20"/>
          <w:highlight w:val="none"/>
          <w:lang w:val="en-US" w:eastAsia="zh-CN"/>
        </w:rPr>
        <w:t>折扣率报价，养护数量按实际结算。</w:t>
      </w:r>
      <w:r>
        <w:rPr>
          <w:rFonts w:hint="eastAsia" w:ascii="仿宋_GB2312" w:hAnsi="仿宋_GB2312" w:eastAsia="宋体" w:cs="Times New Roman"/>
          <w:b w:val="0"/>
          <w:bCs/>
          <w:color w:val="auto"/>
          <w:kern w:val="0"/>
          <w:sz w:val="22"/>
          <w:szCs w:val="20"/>
          <w:highlight w:val="none"/>
        </w:rPr>
        <w:t>承包价必须包括投标人在承包区域内提供绿化养护、补种、保洁及所有设施维护的相关服务所需的</w:t>
      </w:r>
      <w:r>
        <w:rPr>
          <w:rFonts w:hint="eastAsia" w:ascii="仿宋_GB2312" w:hAnsi="仿宋_GB2312" w:eastAsia="宋体" w:cs="Times New Roman"/>
          <w:b w:val="0"/>
          <w:bCs/>
          <w:color w:val="auto"/>
          <w:kern w:val="0"/>
          <w:sz w:val="22"/>
          <w:szCs w:val="20"/>
          <w:highlight w:val="none"/>
          <w:lang w:eastAsia="zh-CN"/>
        </w:rPr>
        <w:t>一切劳务、材料、设备、配件、备件、损耗（包括水、电等）、仓储、运输（包括垃圾外运）、维护、税费、保险、利润、验收、</w:t>
      </w:r>
      <w:r>
        <w:rPr>
          <w:rFonts w:hint="eastAsia" w:ascii="仿宋_GB2312" w:hAnsi="仿宋_GB2312" w:eastAsia="宋体" w:cs="Times New Roman"/>
          <w:b w:val="0"/>
          <w:bCs/>
          <w:color w:val="auto"/>
          <w:kern w:val="0"/>
          <w:sz w:val="22"/>
          <w:szCs w:val="20"/>
          <w:highlight w:val="none"/>
        </w:rPr>
        <w:t>完成合同所需的一切本身和不可或缺的所有工作开支、政策性文件规定及合同包含的所有风险、责任等各项全部费用并承担一切风险责任。除发生下列因素可调整合同价外，不得以任何其他理由调整任何费用。</w:t>
      </w:r>
    </w:p>
    <w:p w14:paraId="279369E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（1）发包方提出的承包区域面积变更，根据原中标</w:t>
      </w:r>
      <w:r>
        <w:rPr>
          <w:rFonts w:hint="eastAsia" w:ascii="仿宋_GB2312" w:hAnsi="仿宋_GB2312" w:eastAsia="宋体" w:cs="Times New Roman"/>
          <w:b w:val="0"/>
          <w:bCs/>
          <w:color w:val="auto"/>
          <w:kern w:val="0"/>
          <w:sz w:val="22"/>
          <w:szCs w:val="20"/>
          <w:highlight w:val="none"/>
          <w:lang w:eastAsia="zh-CN"/>
        </w:rPr>
        <w:t>单价最高限价</w:t>
      </w:r>
      <w:r>
        <w:rPr>
          <w:rFonts w:hint="eastAsia" w:ascii="仿宋_GB2312" w:hAnsi="仿宋_GB2312" w:eastAsia="宋体" w:cs="Times New Roman"/>
          <w:b w:val="0"/>
          <w:bCs/>
          <w:color w:val="auto"/>
          <w:kern w:val="0"/>
          <w:sz w:val="22"/>
          <w:szCs w:val="20"/>
          <w:highlight w:val="none"/>
        </w:rPr>
        <w:t>计算变更费用。但属于承包方投标漏项少算的费用不得追补。</w:t>
      </w:r>
    </w:p>
    <w:p w14:paraId="0CA45C3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发生不可抗力的因素造成中标供应商直接损失的费用，经鉴定核准，采购人酌情予以一定补偿。但属于中标供应商可以预见、预防，而中标供应商预防不力所造成的损失，不予补偿。其经济损失由中标供应商承担。</w:t>
      </w:r>
    </w:p>
    <w:p w14:paraId="22CDD43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1.2  投标人认为为完成本招标文件规定的承包内容所需发生的直接成本、间接成本、利润、税金、政策性文件规定的费用、技术措施费、原材料价格变化风险等一切费用均应计入投标报价；凡未列入的，将被认为均已包含在投标</w:t>
      </w:r>
      <w:r>
        <w:rPr>
          <w:rFonts w:hint="eastAsia" w:ascii="仿宋_GB2312" w:hAnsi="仿宋_GB2312" w:eastAsia="宋体" w:cs="Times New Roman"/>
          <w:b w:val="0"/>
          <w:bCs/>
          <w:color w:val="auto"/>
          <w:kern w:val="0"/>
          <w:sz w:val="22"/>
          <w:szCs w:val="20"/>
          <w:highlight w:val="none"/>
          <w:lang w:val="en-US" w:eastAsia="zh-CN"/>
        </w:rPr>
        <w:t>单价</w:t>
      </w:r>
      <w:r>
        <w:rPr>
          <w:rFonts w:hint="eastAsia" w:ascii="仿宋_GB2312" w:hAnsi="仿宋_GB2312" w:eastAsia="宋体" w:cs="Times New Roman"/>
          <w:b w:val="0"/>
          <w:bCs/>
          <w:color w:val="auto"/>
          <w:kern w:val="0"/>
          <w:sz w:val="22"/>
          <w:szCs w:val="20"/>
          <w:highlight w:val="none"/>
        </w:rPr>
        <w:t>中，今后不得以任何理由追加或调整。</w:t>
      </w:r>
    </w:p>
    <w:p w14:paraId="55CC378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一线职工、项目负责人、技术管理人员在承包期内意外险由乙方一次性投保意外险，在签订合同</w:t>
      </w:r>
      <w:r>
        <w:rPr>
          <w:rFonts w:hint="eastAsia" w:ascii="仿宋_GB2312" w:hAnsi="仿宋_GB2312" w:eastAsia="宋体" w:cs="Times New Roman"/>
          <w:b w:val="0"/>
          <w:bCs/>
          <w:color w:val="auto"/>
          <w:kern w:val="0"/>
          <w:sz w:val="22"/>
          <w:szCs w:val="20"/>
          <w:highlight w:val="none"/>
          <w:lang w:eastAsia="zh-CN"/>
        </w:rPr>
        <w:t>后</w:t>
      </w:r>
      <w:r>
        <w:rPr>
          <w:rFonts w:hint="eastAsia" w:ascii="仿宋_GB2312" w:hAnsi="仿宋_GB2312" w:eastAsia="宋体" w:cs="Times New Roman"/>
          <w:b w:val="0"/>
          <w:bCs/>
          <w:color w:val="auto"/>
          <w:kern w:val="0"/>
          <w:sz w:val="22"/>
          <w:szCs w:val="20"/>
          <w:highlight w:val="none"/>
        </w:rPr>
        <w:t>一个月内提供保险材料有关复印件。</w:t>
      </w:r>
    </w:p>
    <w:p w14:paraId="4702163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 xml:space="preserve"> 供应商的报价应包括为完成本项目服务可能发生的全部费用及供应商的利润和应交纳的税金等。供应商对合同内容的费用、质量、安全、文明服务等实行全面承包。</w:t>
      </w:r>
    </w:p>
    <w:p w14:paraId="41DFE6B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2.承包期限</w:t>
      </w:r>
    </w:p>
    <w:p w14:paraId="04010E4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2.1</w:t>
      </w:r>
      <w:r>
        <w:rPr>
          <w:rFonts w:hint="eastAsia" w:ascii="仿宋_GB2312" w:hAnsi="仿宋_GB2312" w:eastAsia="宋体" w:cs="Times New Roman"/>
          <w:b w:val="0"/>
          <w:bCs/>
          <w:color w:val="auto"/>
          <w:kern w:val="0"/>
          <w:sz w:val="22"/>
          <w:szCs w:val="20"/>
          <w:highlight w:val="none"/>
          <w:lang w:eastAsia="zh-CN"/>
        </w:rPr>
        <w:t>管理服务期为一年</w:t>
      </w:r>
      <w:r>
        <w:rPr>
          <w:rFonts w:hint="eastAsia" w:ascii="仿宋_GB2312" w:hAnsi="仿宋_GB2312" w:eastAsia="宋体" w:cs="Times New Roman"/>
          <w:b w:val="0"/>
          <w:bCs/>
          <w:color w:val="auto"/>
          <w:kern w:val="0"/>
          <w:sz w:val="22"/>
          <w:szCs w:val="20"/>
          <w:highlight w:val="none"/>
          <w:lang w:val="en-US" w:eastAsia="zh-CN"/>
        </w:rPr>
        <w:t>或支付至各标项采购预算满则视为合同履约结束（按先达到的条件认定）</w:t>
      </w:r>
      <w:r>
        <w:rPr>
          <w:rFonts w:hint="eastAsia" w:ascii="仿宋_GB2312" w:hAnsi="仿宋_GB2312" w:eastAsia="宋体" w:cs="Times New Roman"/>
          <w:b w:val="0"/>
          <w:bCs/>
          <w:color w:val="auto"/>
          <w:kern w:val="0"/>
          <w:sz w:val="22"/>
          <w:szCs w:val="20"/>
          <w:highlight w:val="none"/>
        </w:rPr>
        <w:t>。</w:t>
      </w:r>
    </w:p>
    <w:p w14:paraId="1CE0A47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3.商务条款</w:t>
      </w:r>
      <w:r>
        <w:rPr>
          <w:rFonts w:hint="eastAsia" w:ascii="仿宋_GB2312" w:hAnsi="仿宋_GB2312" w:eastAsia="宋体" w:cs="Times New Roman"/>
          <w:b w:val="0"/>
          <w:bCs/>
          <w:color w:val="auto"/>
          <w:kern w:val="0"/>
          <w:sz w:val="22"/>
          <w:szCs w:val="20"/>
          <w:highlight w:val="none"/>
        </w:rPr>
        <w:t>（或具体款项支付视财政部门资金拨付情况而定）：</w:t>
      </w:r>
    </w:p>
    <w:p w14:paraId="106635C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rPr>
        <w:t>3.1</w:t>
      </w:r>
      <w:r>
        <w:rPr>
          <w:rFonts w:hint="eastAsia" w:ascii="仿宋_GB2312" w:hAnsi="仿宋_GB2312" w:eastAsia="宋体" w:cs="Times New Roman"/>
          <w:b w:val="0"/>
          <w:bCs/>
          <w:color w:val="auto"/>
          <w:kern w:val="0"/>
          <w:sz w:val="22"/>
          <w:szCs w:val="20"/>
          <w:highlight w:val="none"/>
          <w:lang w:val="en-US" w:eastAsia="zh-CN"/>
        </w:rPr>
        <w:t>付款方式</w:t>
      </w:r>
    </w:p>
    <w:p w14:paraId="6E00CE0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（1）履约保证金</w:t>
      </w:r>
    </w:p>
    <w:p w14:paraId="098AE02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①签订合同后7个工作日内，中标供应商须向采购人递交预算金额1%的履约保证金（转账或汇票或保函等非现金方式）；</w:t>
      </w:r>
    </w:p>
    <w:p w14:paraId="4DA7A7A0">
      <w:pPr>
        <w:shd w:val="clear" w:color="auto"/>
        <w:adjustRightInd w:val="0"/>
        <w:snapToGrid w:val="0"/>
        <w:spacing w:line="360" w:lineRule="auto"/>
        <w:ind w:firstLine="440" w:firstLineChars="200"/>
        <w:rPr>
          <w:rFonts w:hint="default"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②</w:t>
      </w:r>
      <w:r>
        <w:rPr>
          <w:rFonts w:hint="eastAsia" w:ascii="宋体" w:hAnsi="宋体" w:eastAsia="宋体" w:cs="宋体"/>
          <w:b w:val="0"/>
          <w:bCs/>
          <w:color w:val="auto"/>
          <w:kern w:val="0"/>
          <w:sz w:val="22"/>
          <w:szCs w:val="24"/>
          <w:highlight w:val="none"/>
          <w:lang w:val="en-US" w:eastAsia="zh-CN"/>
        </w:rPr>
        <w:t>服务期到期经验收合格后，无</w:t>
      </w:r>
      <w:r>
        <w:rPr>
          <w:rFonts w:hint="eastAsia" w:ascii="宋体" w:hAnsi="宋体" w:eastAsia="宋体" w:cs="宋体"/>
          <w:b w:val="0"/>
          <w:bCs/>
          <w:color w:val="auto"/>
          <w:kern w:val="0"/>
          <w:sz w:val="22"/>
          <w:szCs w:val="24"/>
          <w:highlight w:val="none"/>
        </w:rPr>
        <w:t>息将履约保证金（预算金额的</w:t>
      </w:r>
      <w:r>
        <w:rPr>
          <w:rFonts w:hint="eastAsia" w:ascii="宋体" w:hAnsi="宋体" w:eastAsia="宋体" w:cs="宋体"/>
          <w:b w:val="0"/>
          <w:bCs/>
          <w:color w:val="auto"/>
          <w:kern w:val="0"/>
          <w:sz w:val="22"/>
          <w:szCs w:val="24"/>
          <w:highlight w:val="none"/>
          <w:lang w:val="en-US" w:eastAsia="zh-CN"/>
        </w:rPr>
        <w:t>1</w:t>
      </w:r>
      <w:r>
        <w:rPr>
          <w:rFonts w:hint="eastAsia" w:ascii="宋体" w:hAnsi="宋体" w:eastAsia="宋体" w:cs="宋体"/>
          <w:b w:val="0"/>
          <w:bCs/>
          <w:color w:val="auto"/>
          <w:kern w:val="0"/>
          <w:sz w:val="22"/>
          <w:szCs w:val="24"/>
          <w:highlight w:val="none"/>
        </w:rPr>
        <w:t>%）一次性退还。</w:t>
      </w:r>
    </w:p>
    <w:p w14:paraId="798041D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（2）付款方式（具体付款时间以财政拨付为准）：</w:t>
      </w:r>
    </w:p>
    <w:p w14:paraId="68A9784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zh-CN" w:eastAsia="zh-CN"/>
        </w:rPr>
      </w:pPr>
      <w:r>
        <w:rPr>
          <w:rFonts w:hint="eastAsia" w:ascii="仿宋_GB2312" w:hAnsi="仿宋_GB2312" w:eastAsia="宋体" w:cs="Times New Roman"/>
          <w:b w:val="0"/>
          <w:bCs/>
          <w:color w:val="auto"/>
          <w:kern w:val="0"/>
          <w:sz w:val="22"/>
          <w:szCs w:val="20"/>
          <w:highlight w:val="none"/>
          <w:lang w:val="en-US" w:eastAsia="zh-CN"/>
        </w:rPr>
        <w:t>①在合同生效以及具备实施条件后七个工作</w:t>
      </w:r>
      <w:r>
        <w:rPr>
          <w:rFonts w:hint="eastAsia" w:ascii="仿宋_GB2312" w:hAnsi="仿宋_GB2312" w:eastAsia="宋体" w:cs="Times New Roman"/>
          <w:b w:val="0"/>
          <w:bCs/>
          <w:color w:val="auto"/>
          <w:kern w:val="0"/>
          <w:sz w:val="22"/>
          <w:szCs w:val="20"/>
          <w:highlight w:val="none"/>
          <w:lang w:val="zh-CN" w:eastAsia="zh-CN"/>
        </w:rPr>
        <w:t>日内</w:t>
      </w:r>
      <w:r>
        <w:rPr>
          <w:rFonts w:hint="eastAsia" w:ascii="仿宋_GB2312" w:hAnsi="仿宋_GB2312" w:eastAsia="宋体" w:cs="Times New Roman"/>
          <w:b w:val="0"/>
          <w:bCs/>
          <w:color w:val="auto"/>
          <w:kern w:val="0"/>
          <w:sz w:val="22"/>
          <w:szCs w:val="20"/>
          <w:highlight w:val="none"/>
          <w:lang w:val="en-US" w:eastAsia="zh-CN"/>
        </w:rPr>
        <w:t>，</w:t>
      </w:r>
      <w:r>
        <w:rPr>
          <w:rFonts w:hint="eastAsia" w:ascii="仿宋_GB2312" w:hAnsi="仿宋_GB2312" w:eastAsia="宋体" w:cs="Times New Roman"/>
          <w:b w:val="0"/>
          <w:bCs/>
          <w:color w:val="auto"/>
          <w:kern w:val="0"/>
          <w:sz w:val="22"/>
          <w:szCs w:val="20"/>
          <w:highlight w:val="none"/>
          <w:lang w:val="zh-CN" w:eastAsia="zh-CN"/>
        </w:rPr>
        <w:t>采购人</w:t>
      </w:r>
      <w:r>
        <w:rPr>
          <w:rFonts w:hint="eastAsia" w:ascii="仿宋_GB2312" w:hAnsi="仿宋_GB2312" w:eastAsia="宋体" w:cs="Times New Roman"/>
          <w:b w:val="0"/>
          <w:bCs/>
          <w:color w:val="auto"/>
          <w:kern w:val="0"/>
          <w:sz w:val="22"/>
          <w:szCs w:val="20"/>
          <w:highlight w:val="none"/>
          <w:lang w:val="en-US" w:eastAsia="zh-CN"/>
        </w:rPr>
        <w:t>向中标单位</w:t>
      </w:r>
      <w:r>
        <w:rPr>
          <w:rFonts w:hint="eastAsia" w:ascii="仿宋_GB2312" w:hAnsi="仿宋_GB2312" w:eastAsia="宋体" w:cs="Times New Roman"/>
          <w:b w:val="0"/>
          <w:bCs/>
          <w:color w:val="auto"/>
          <w:kern w:val="0"/>
          <w:sz w:val="22"/>
          <w:szCs w:val="20"/>
          <w:highlight w:val="none"/>
          <w:lang w:val="zh-CN" w:eastAsia="zh-CN"/>
        </w:rPr>
        <w:t>支付预算金额的</w:t>
      </w:r>
      <w:r>
        <w:rPr>
          <w:rFonts w:hint="eastAsia" w:ascii="仿宋_GB2312" w:hAnsi="仿宋_GB2312" w:eastAsia="宋体" w:cs="Times New Roman"/>
          <w:b w:val="0"/>
          <w:bCs/>
          <w:color w:val="auto"/>
          <w:kern w:val="0"/>
          <w:sz w:val="22"/>
          <w:szCs w:val="20"/>
          <w:highlight w:val="none"/>
          <w:lang w:val="en-US" w:eastAsia="zh-CN"/>
        </w:rPr>
        <w:t>40</w:t>
      </w:r>
      <w:r>
        <w:rPr>
          <w:rFonts w:hint="eastAsia" w:ascii="仿宋_GB2312" w:hAnsi="仿宋_GB2312" w:eastAsia="宋体" w:cs="Times New Roman"/>
          <w:b w:val="0"/>
          <w:bCs/>
          <w:color w:val="auto"/>
          <w:kern w:val="0"/>
          <w:sz w:val="22"/>
          <w:szCs w:val="20"/>
          <w:highlight w:val="none"/>
          <w:lang w:val="zh-CN" w:eastAsia="zh-CN"/>
        </w:rPr>
        <w:t>%作为预付款。</w:t>
      </w:r>
    </w:p>
    <w:p w14:paraId="7F33BCC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zh-CN" w:eastAsia="zh-CN"/>
        </w:rPr>
      </w:pPr>
      <w:r>
        <w:rPr>
          <w:rFonts w:hint="eastAsia" w:ascii="仿宋_GB2312" w:hAnsi="仿宋_GB2312" w:eastAsia="宋体" w:cs="Times New Roman"/>
          <w:b w:val="0"/>
          <w:bCs/>
          <w:color w:val="auto"/>
          <w:kern w:val="0"/>
          <w:sz w:val="22"/>
          <w:szCs w:val="20"/>
          <w:highlight w:val="none"/>
          <w:lang w:val="zh-CN" w:eastAsia="zh-CN"/>
        </w:rPr>
        <w:t>（</w:t>
      </w:r>
      <w:r>
        <w:rPr>
          <w:rFonts w:hint="eastAsia" w:ascii="仿宋_GB2312" w:hAnsi="仿宋_GB2312" w:eastAsia="宋体" w:cs="Times New Roman"/>
          <w:b w:val="0"/>
          <w:bCs/>
          <w:color w:val="auto"/>
          <w:kern w:val="0"/>
          <w:sz w:val="22"/>
          <w:szCs w:val="20"/>
          <w:highlight w:val="none"/>
          <w:lang w:val="en-US" w:eastAsia="zh-CN"/>
        </w:rPr>
        <w:t>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浙财采监[2022]3号文件</w:t>
      </w:r>
      <w:r>
        <w:rPr>
          <w:rFonts w:hint="eastAsia" w:ascii="仿宋_GB2312" w:hAnsi="仿宋_GB2312" w:eastAsia="宋体" w:cs="Times New Roman"/>
          <w:b w:val="0"/>
          <w:bCs/>
          <w:color w:val="auto"/>
          <w:kern w:val="0"/>
          <w:sz w:val="22"/>
          <w:szCs w:val="20"/>
          <w:highlight w:val="none"/>
          <w:lang w:val="zh-CN" w:eastAsia="zh-CN"/>
        </w:rPr>
        <w:t>）</w:t>
      </w:r>
    </w:p>
    <w:p w14:paraId="6DF9BD5A">
      <w:pPr>
        <w:shd w:val="clear" w:color="auto"/>
        <w:adjustRightInd w:val="0"/>
        <w:snapToGrid w:val="0"/>
        <w:spacing w:line="360" w:lineRule="auto"/>
        <w:ind w:firstLine="440" w:firstLineChars="200"/>
        <w:rPr>
          <w:rFonts w:hint="eastAsia" w:ascii="宋体" w:hAnsi="宋体" w:eastAsia="宋体" w:cs="宋体"/>
          <w:b w:val="0"/>
          <w:bCs/>
          <w:color w:val="auto"/>
          <w:kern w:val="0"/>
          <w:sz w:val="22"/>
          <w:szCs w:val="22"/>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②</w:t>
      </w:r>
      <w:r>
        <w:rPr>
          <w:rFonts w:hint="eastAsia" w:ascii="宋体" w:hAnsi="宋体" w:eastAsia="宋体" w:cs="宋体"/>
          <w:b w:val="0"/>
          <w:bCs/>
          <w:color w:val="auto"/>
          <w:kern w:val="0"/>
          <w:sz w:val="22"/>
          <w:szCs w:val="22"/>
          <w:highlight w:val="none"/>
          <w:lang w:val="en-US" w:eastAsia="zh-CN"/>
        </w:rPr>
        <w:t xml:space="preserve"> 每季度验收一次。每季度按采购人完成本季度养护、种植、补植等工作，经验收合格且当季度养护期结束，完成审价后支付至该季度费用的 100%。(第一季度应付金额未超过预付款则不予支付。当应支付金额超过预付款时，支付超出部分款项)。第四季度验收合格、养护期结算，并经审价完成后支付该季度费用的 100%。（具体以合同为主)。</w:t>
      </w:r>
      <w:r>
        <w:rPr>
          <w:rFonts w:hint="eastAsia" w:ascii="仿宋_GB2312" w:hAnsi="仿宋_GB2312" w:eastAsia="宋体" w:cs="Times New Roman"/>
          <w:b w:val="0"/>
          <w:bCs/>
          <w:color w:val="auto"/>
          <w:kern w:val="0"/>
          <w:sz w:val="22"/>
          <w:szCs w:val="20"/>
          <w:highlight w:val="none"/>
        </w:rPr>
        <w:t>其中肥料费用按</w:t>
      </w:r>
      <w:r>
        <w:rPr>
          <w:rFonts w:hint="eastAsia" w:ascii="仿宋_GB2312" w:hAnsi="仿宋_GB2312" w:cs="Times New Roman"/>
          <w:b w:val="0"/>
          <w:bCs/>
          <w:color w:val="auto"/>
          <w:kern w:val="0"/>
          <w:sz w:val="22"/>
          <w:szCs w:val="20"/>
          <w:highlight w:val="none"/>
          <w:lang w:val="en-US" w:eastAsia="zh-CN"/>
        </w:rPr>
        <w:t>中标单位</w:t>
      </w:r>
      <w:r>
        <w:rPr>
          <w:rFonts w:hint="eastAsia" w:ascii="仿宋_GB2312" w:hAnsi="仿宋_GB2312" w:eastAsia="宋体" w:cs="Times New Roman"/>
          <w:b w:val="0"/>
          <w:bCs/>
          <w:color w:val="auto"/>
          <w:kern w:val="0"/>
          <w:sz w:val="22"/>
          <w:szCs w:val="20"/>
          <w:highlight w:val="none"/>
        </w:rPr>
        <w:t>实际用量并提供发票由</w:t>
      </w:r>
      <w:r>
        <w:rPr>
          <w:rFonts w:hint="eastAsia" w:ascii="宋体" w:hAnsi="宋体" w:eastAsia="宋体" w:cs="宋体"/>
          <w:b w:val="0"/>
          <w:bCs/>
          <w:color w:val="auto"/>
          <w:kern w:val="0"/>
          <w:sz w:val="22"/>
          <w:szCs w:val="22"/>
          <w:highlight w:val="none"/>
          <w:lang w:val="en-US" w:eastAsia="zh-CN"/>
        </w:rPr>
        <w:t>采购人</w:t>
      </w:r>
      <w:r>
        <w:rPr>
          <w:rFonts w:hint="eastAsia" w:ascii="仿宋_GB2312" w:hAnsi="仿宋_GB2312" w:eastAsia="宋体" w:cs="Times New Roman"/>
          <w:b w:val="0"/>
          <w:bCs/>
          <w:color w:val="auto"/>
          <w:kern w:val="0"/>
          <w:sz w:val="22"/>
          <w:szCs w:val="20"/>
          <w:highlight w:val="none"/>
        </w:rPr>
        <w:t>确认后支付（</w:t>
      </w:r>
      <w:r>
        <w:rPr>
          <w:rFonts w:hint="eastAsia" w:ascii="仿宋_GB2312" w:hAnsi="仿宋_GB2312" w:cs="Times New Roman"/>
          <w:b w:val="0"/>
          <w:bCs/>
          <w:color w:val="auto"/>
          <w:kern w:val="0"/>
          <w:sz w:val="22"/>
          <w:szCs w:val="20"/>
          <w:highlight w:val="none"/>
          <w:lang w:val="en-US" w:eastAsia="zh-CN"/>
        </w:rPr>
        <w:t>中标单位</w:t>
      </w:r>
      <w:r>
        <w:rPr>
          <w:rFonts w:hint="eastAsia" w:ascii="仿宋_GB2312" w:hAnsi="仿宋_GB2312" w:eastAsia="宋体" w:cs="Times New Roman"/>
          <w:b w:val="0"/>
          <w:bCs/>
          <w:color w:val="auto"/>
          <w:kern w:val="0"/>
          <w:sz w:val="22"/>
          <w:szCs w:val="20"/>
          <w:highlight w:val="none"/>
        </w:rPr>
        <w:t>必须提供购置化肥的清单凭证给</w:t>
      </w:r>
      <w:r>
        <w:rPr>
          <w:rFonts w:hint="eastAsia" w:ascii="宋体" w:hAnsi="宋体" w:eastAsia="宋体" w:cs="宋体"/>
          <w:b w:val="0"/>
          <w:bCs/>
          <w:color w:val="auto"/>
          <w:kern w:val="0"/>
          <w:sz w:val="22"/>
          <w:szCs w:val="22"/>
          <w:highlight w:val="none"/>
          <w:lang w:val="en-US" w:eastAsia="zh-CN"/>
        </w:rPr>
        <w:t>采购人</w:t>
      </w:r>
      <w:r>
        <w:rPr>
          <w:rFonts w:hint="eastAsia" w:ascii="仿宋_GB2312" w:hAnsi="仿宋_GB2312" w:eastAsia="宋体" w:cs="Times New Roman"/>
          <w:b w:val="0"/>
          <w:bCs/>
          <w:color w:val="auto"/>
          <w:kern w:val="0"/>
          <w:sz w:val="22"/>
          <w:szCs w:val="20"/>
          <w:highlight w:val="none"/>
        </w:rPr>
        <w:t>，且须与实物对照，经</w:t>
      </w:r>
      <w:r>
        <w:rPr>
          <w:rFonts w:hint="eastAsia" w:ascii="仿宋_GB2312" w:hAnsi="仿宋_GB2312" w:eastAsia="宋体" w:cs="Times New Roman"/>
          <w:b w:val="0"/>
          <w:bCs/>
          <w:color w:val="auto"/>
          <w:kern w:val="0"/>
          <w:sz w:val="22"/>
          <w:szCs w:val="20"/>
          <w:highlight w:val="none"/>
          <w:lang w:eastAsia="zh-CN"/>
        </w:rPr>
        <w:t>业主方经办人</w:t>
      </w:r>
      <w:r>
        <w:rPr>
          <w:rFonts w:hint="eastAsia" w:ascii="仿宋_GB2312" w:hAnsi="仿宋_GB2312" w:eastAsia="宋体" w:cs="Times New Roman"/>
          <w:b w:val="0"/>
          <w:bCs/>
          <w:color w:val="auto"/>
          <w:kern w:val="0"/>
          <w:sz w:val="22"/>
          <w:szCs w:val="20"/>
          <w:highlight w:val="none"/>
        </w:rPr>
        <w:t>签字确认后，方可实施。否则</w:t>
      </w:r>
      <w:r>
        <w:rPr>
          <w:rFonts w:hint="eastAsia" w:ascii="宋体" w:hAnsi="宋体" w:eastAsia="宋体" w:cs="宋体"/>
          <w:b w:val="0"/>
          <w:bCs/>
          <w:color w:val="auto"/>
          <w:kern w:val="0"/>
          <w:sz w:val="22"/>
          <w:szCs w:val="22"/>
          <w:highlight w:val="none"/>
          <w:lang w:val="en-US" w:eastAsia="zh-CN"/>
        </w:rPr>
        <w:t>采购人</w:t>
      </w:r>
      <w:r>
        <w:rPr>
          <w:rFonts w:hint="eastAsia" w:ascii="仿宋_GB2312" w:hAnsi="仿宋_GB2312" w:eastAsia="宋体" w:cs="Times New Roman"/>
          <w:b w:val="0"/>
          <w:bCs/>
          <w:color w:val="auto"/>
          <w:kern w:val="0"/>
          <w:sz w:val="22"/>
          <w:szCs w:val="20"/>
          <w:highlight w:val="none"/>
        </w:rPr>
        <w:t>可不予支付化肥的结算费用）。</w:t>
      </w:r>
    </w:p>
    <w:p w14:paraId="672F8EC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3.2</w:t>
      </w:r>
      <w:r>
        <w:rPr>
          <w:rFonts w:hint="eastAsia" w:ascii="仿宋_GB2312" w:hAnsi="仿宋_GB2312" w:eastAsia="宋体" w:cs="Times New Roman"/>
          <w:b w:val="0"/>
          <w:bCs/>
          <w:color w:val="auto"/>
          <w:kern w:val="0"/>
          <w:sz w:val="22"/>
          <w:szCs w:val="20"/>
          <w:highlight w:val="none"/>
          <w:lang w:eastAsia="zh-CN"/>
        </w:rPr>
        <w:t>其他</w:t>
      </w:r>
    </w:p>
    <w:p w14:paraId="4D9456B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zh-CN" w:eastAsia="zh-CN"/>
        </w:rPr>
      </w:pPr>
      <w:r>
        <w:rPr>
          <w:rFonts w:hint="eastAsia" w:ascii="仿宋_GB2312" w:hAnsi="仿宋_GB2312" w:eastAsia="宋体" w:cs="Times New Roman"/>
          <w:b w:val="0"/>
          <w:bCs/>
          <w:color w:val="auto"/>
          <w:kern w:val="0"/>
          <w:sz w:val="22"/>
          <w:szCs w:val="20"/>
          <w:highlight w:val="none"/>
          <w:lang w:val="zh-CN" w:eastAsia="zh-CN"/>
        </w:rPr>
        <w:t>投标报价应</w:t>
      </w:r>
      <w:r>
        <w:rPr>
          <w:rFonts w:hint="eastAsia" w:ascii="仿宋_GB2312" w:hAnsi="仿宋_GB2312" w:eastAsia="宋体" w:cs="Times New Roman"/>
          <w:b w:val="0"/>
          <w:bCs/>
          <w:color w:val="auto"/>
          <w:kern w:val="0"/>
          <w:sz w:val="22"/>
          <w:szCs w:val="20"/>
          <w:highlight w:val="none"/>
          <w:lang w:eastAsia="zh-CN"/>
        </w:rPr>
        <w:t>包括</w:t>
      </w:r>
      <w:r>
        <w:rPr>
          <w:rFonts w:hint="eastAsia" w:ascii="仿宋_GB2312" w:hAnsi="仿宋_GB2312" w:eastAsia="宋体" w:cs="Times New Roman"/>
          <w:b w:val="0"/>
          <w:bCs/>
          <w:color w:val="auto"/>
          <w:kern w:val="0"/>
          <w:sz w:val="22"/>
          <w:szCs w:val="20"/>
          <w:highlight w:val="none"/>
        </w:rPr>
        <w:t>投标人在承包区域内提供绿化养护、补种、保洁及所有设施维护的相关服务所需的</w:t>
      </w:r>
      <w:r>
        <w:rPr>
          <w:rFonts w:hint="eastAsia" w:ascii="仿宋_GB2312" w:hAnsi="仿宋_GB2312" w:eastAsia="宋体" w:cs="Times New Roman"/>
          <w:b w:val="0"/>
          <w:bCs/>
          <w:color w:val="auto"/>
          <w:kern w:val="0"/>
          <w:sz w:val="22"/>
          <w:szCs w:val="20"/>
          <w:highlight w:val="none"/>
          <w:lang w:eastAsia="zh-CN"/>
        </w:rPr>
        <w:t>一切劳务、材料、设备、配件、备件、损耗（包括水、电等）、仓储、运输（包括垃圾外运）、维护、税费、保险、利润、验收、</w:t>
      </w:r>
      <w:r>
        <w:rPr>
          <w:rFonts w:hint="eastAsia" w:ascii="仿宋_GB2312" w:hAnsi="仿宋_GB2312" w:eastAsia="宋体" w:cs="Times New Roman"/>
          <w:b w:val="0"/>
          <w:bCs/>
          <w:color w:val="auto"/>
          <w:kern w:val="0"/>
          <w:sz w:val="22"/>
          <w:szCs w:val="20"/>
          <w:highlight w:val="none"/>
        </w:rPr>
        <w:t>完成合同所需的一切本身和不可或缺的所有工作开支、政策性文件规定及合同包含的所有风险、责任等各项全部费用并承担一切风险责任</w:t>
      </w:r>
      <w:r>
        <w:rPr>
          <w:rFonts w:hint="eastAsia" w:ascii="仿宋_GB2312" w:hAnsi="仿宋_GB2312" w:eastAsia="宋体" w:cs="Times New Roman"/>
          <w:b w:val="0"/>
          <w:bCs/>
          <w:color w:val="auto"/>
          <w:kern w:val="0"/>
          <w:sz w:val="22"/>
          <w:szCs w:val="20"/>
          <w:highlight w:val="none"/>
          <w:lang w:eastAsia="zh-CN"/>
        </w:rPr>
        <w:t>，采购人不再另外支付其他费用</w:t>
      </w:r>
      <w:r>
        <w:rPr>
          <w:rFonts w:hint="eastAsia" w:ascii="仿宋_GB2312" w:hAnsi="仿宋_GB2312" w:eastAsia="宋体" w:cs="Times New Roman"/>
          <w:b w:val="0"/>
          <w:bCs/>
          <w:color w:val="auto"/>
          <w:kern w:val="0"/>
          <w:sz w:val="22"/>
          <w:szCs w:val="20"/>
          <w:highlight w:val="none"/>
          <w:lang w:val="zh-CN" w:eastAsia="zh-CN"/>
        </w:rPr>
        <w:t>。</w:t>
      </w:r>
    </w:p>
    <w:p w14:paraId="455DA8C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lang w:eastAsia="zh-CN"/>
        </w:rPr>
        <w:t>验收</w:t>
      </w:r>
    </w:p>
    <w:p w14:paraId="10B2E98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zh-CN" w:eastAsia="zh-CN"/>
        </w:rPr>
      </w:pPr>
      <w:r>
        <w:rPr>
          <w:rFonts w:hint="eastAsia" w:ascii="仿宋_GB2312" w:hAnsi="仿宋_GB2312" w:eastAsia="宋体" w:cs="Times New Roman"/>
          <w:b w:val="0"/>
          <w:bCs/>
          <w:color w:val="auto"/>
          <w:kern w:val="0"/>
          <w:sz w:val="22"/>
          <w:szCs w:val="20"/>
          <w:highlight w:val="none"/>
          <w:lang w:val="zh-CN" w:eastAsia="zh-CN"/>
        </w:rPr>
        <w:t>（1）</w:t>
      </w:r>
      <w:r>
        <w:rPr>
          <w:rFonts w:hint="eastAsia" w:ascii="仿宋_GB2312" w:hAnsi="仿宋_GB2312" w:cs="Times New Roman"/>
          <w:b w:val="0"/>
          <w:bCs/>
          <w:color w:val="auto"/>
          <w:kern w:val="0"/>
          <w:sz w:val="22"/>
          <w:szCs w:val="20"/>
          <w:highlight w:val="none"/>
          <w:lang w:val="en-US" w:eastAsia="zh-CN"/>
        </w:rPr>
        <w:t>国企</w:t>
      </w:r>
      <w:r>
        <w:rPr>
          <w:rFonts w:hint="eastAsia" w:ascii="仿宋_GB2312" w:hAnsi="仿宋_GB2312" w:eastAsia="宋体" w:cs="Times New Roman"/>
          <w:b w:val="0"/>
          <w:bCs/>
          <w:color w:val="auto"/>
          <w:kern w:val="0"/>
          <w:sz w:val="22"/>
          <w:szCs w:val="20"/>
          <w:highlight w:val="none"/>
          <w:lang w:val="zh-CN" w:eastAsia="zh-CN"/>
        </w:rPr>
        <w:t>采购项目无论金额大小，都要进行履约验收，履约验收工作由采购人负责。采购人可以根据采购项目具体情况自行组织验收，采购人自行组织验收的，该项目招标代理负责人须在场作出有关解答；也可委托采购代理机构组织验收，但委托验收不能免除采购人应当承担的法律责任。</w:t>
      </w:r>
    </w:p>
    <w:p w14:paraId="7901982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zh-CN" w:eastAsia="zh-CN"/>
        </w:rPr>
      </w:pPr>
      <w:r>
        <w:rPr>
          <w:rFonts w:hint="eastAsia" w:ascii="仿宋_GB2312" w:hAnsi="仿宋_GB2312" w:eastAsia="宋体" w:cs="Times New Roman"/>
          <w:b w:val="0"/>
          <w:bCs/>
          <w:color w:val="auto"/>
          <w:kern w:val="0"/>
          <w:sz w:val="22"/>
          <w:szCs w:val="20"/>
          <w:highlight w:val="none"/>
          <w:lang w:val="zh-CN" w:eastAsia="zh-CN"/>
        </w:rPr>
        <w:t>（</w:t>
      </w:r>
      <w:r>
        <w:rPr>
          <w:rFonts w:hint="eastAsia" w:ascii="仿宋_GB2312" w:hAnsi="仿宋_GB2312" w:eastAsia="宋体" w:cs="Times New Roman"/>
          <w:b w:val="0"/>
          <w:bCs/>
          <w:color w:val="auto"/>
          <w:kern w:val="0"/>
          <w:sz w:val="22"/>
          <w:szCs w:val="20"/>
          <w:highlight w:val="none"/>
          <w:lang w:val="en-US" w:eastAsia="zh-CN"/>
        </w:rPr>
        <w:t>2</w:t>
      </w:r>
      <w:r>
        <w:rPr>
          <w:rFonts w:hint="eastAsia" w:ascii="仿宋_GB2312" w:hAnsi="仿宋_GB2312" w:eastAsia="宋体" w:cs="Times New Roman"/>
          <w:b w:val="0"/>
          <w:bCs/>
          <w:color w:val="auto"/>
          <w:kern w:val="0"/>
          <w:sz w:val="22"/>
          <w:szCs w:val="20"/>
          <w:highlight w:val="none"/>
          <w:lang w:val="zh-CN" w:eastAsia="zh-CN"/>
        </w:rPr>
        <w:t>）采购人对中标(成交)人的履约验收应按《温州市政府采购履约验收办法》执行。</w:t>
      </w:r>
    </w:p>
    <w:p w14:paraId="2E3C7D6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5.</w:t>
      </w:r>
      <w:r>
        <w:rPr>
          <w:rFonts w:hint="eastAsia" w:ascii="仿宋_GB2312" w:hAnsi="仿宋_GB2312" w:eastAsia="宋体" w:cs="Times New Roman"/>
          <w:b w:val="0"/>
          <w:bCs/>
          <w:color w:val="auto"/>
          <w:kern w:val="0"/>
          <w:sz w:val="22"/>
          <w:szCs w:val="20"/>
          <w:highlight w:val="none"/>
          <w:lang w:eastAsia="zh-CN"/>
        </w:rPr>
        <w:t>本项目有下列情形的，采购人有权终止合同：</w:t>
      </w:r>
    </w:p>
    <w:p w14:paraId="3E8E759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（一）合同生效：本合同自双方法定代表人签字、盖章之日起生效。</w:t>
      </w:r>
    </w:p>
    <w:p w14:paraId="2C97F0F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（二）合同终止：本项目有下列情形的，采购人有权终止合同：</w:t>
      </w:r>
    </w:p>
    <w:p w14:paraId="119640A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1）本项目遇不可抗力影响或法律、法规、国家政策重大调整影响合同无法执行的； </w:t>
      </w:r>
    </w:p>
    <w:p w14:paraId="50E3A33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2）中标供应商对监管人员，考核成员有行贿或其它利益输送行为的。</w:t>
      </w:r>
    </w:p>
    <w:p w14:paraId="22FF886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3）按相关法律、法规、招标文件规定及考核办法，有下列情形之一的，采购人有权终止合同：</w:t>
      </w:r>
    </w:p>
    <w:p w14:paraId="2675577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（1）全年有两次被严重警告或三次被警告（含一次严重警告，两次警告）的承包单位，采购人有权无责任终止采购合同。</w:t>
      </w:r>
    </w:p>
    <w:p w14:paraId="491A74F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（2）连续两个月考核得分低于86分时，采购人有权无责任终止采购合同。</w:t>
      </w:r>
    </w:p>
    <w:p w14:paraId="6EA14DD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（3）经有关部门认定严重违反劳动法，造成恶劣影响的；或其它因违法经营受到刑事处罚或者责令停产停业、吊销许可证或者执照、较大数额罚款等行政处罚的。</w:t>
      </w:r>
    </w:p>
    <w:p w14:paraId="6296564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（4）其它弄虚作假及其他不正当行为。</w:t>
      </w:r>
    </w:p>
    <w:p w14:paraId="34503B4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（5）合同履约期间，中标供应商法人组织破产，或重组变更法人主体的；</w:t>
      </w:r>
    </w:p>
    <w:p w14:paraId="12CB86D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（6）根据招标文件及合同约定，其它终止合同的规定，其它法律规定的终止情形。</w:t>
      </w:r>
    </w:p>
    <w:p w14:paraId="1DCAA67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（7）中标供应商承诺在中标后为此项目在平阳县内设立服务机构，但在中标后1个月内未设置相关服务机构的。</w:t>
      </w:r>
    </w:p>
    <w:p w14:paraId="4D2C76D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（8）由于中标供应商原因造成采购人经济损失的，所造成的损失由中标供应商承担；同时采购人有权终止合同。</w:t>
      </w:r>
    </w:p>
    <w:p w14:paraId="43AE67C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其他要求及说明</w:t>
      </w:r>
    </w:p>
    <w:p w14:paraId="72CEA9D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6.1</w:t>
      </w:r>
      <w:r>
        <w:rPr>
          <w:rFonts w:hint="eastAsia" w:ascii="仿宋_GB2312" w:hAnsi="仿宋_GB2312" w:eastAsia="宋体" w:cs="Times New Roman"/>
          <w:b w:val="0"/>
          <w:bCs/>
          <w:color w:val="auto"/>
          <w:kern w:val="0"/>
          <w:sz w:val="22"/>
          <w:szCs w:val="20"/>
          <w:highlight w:val="none"/>
        </w:rPr>
        <w:t>在保证服务质量与最精简优化人员配备的前提下，实行费用包干。</w:t>
      </w:r>
    </w:p>
    <w:p w14:paraId="26A49C6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6.2</w:t>
      </w:r>
      <w:r>
        <w:rPr>
          <w:rFonts w:hint="eastAsia" w:ascii="仿宋_GB2312" w:hAnsi="仿宋_GB2312" w:eastAsia="宋体" w:cs="Times New Roman"/>
          <w:b w:val="0"/>
          <w:bCs/>
          <w:color w:val="auto"/>
          <w:kern w:val="0"/>
          <w:sz w:val="22"/>
          <w:szCs w:val="20"/>
          <w:highlight w:val="none"/>
        </w:rPr>
        <w:t>招标人提供的各种设备、设施、工具，投标供应商应安全、规范使用。除正常使用折旧外，投标供应商应保证各设备、设施、工具的完好性，如有非正常损坏或遗失，投标供应商应照价赔偿。</w:t>
      </w:r>
    </w:p>
    <w:p w14:paraId="4F1100D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6.3</w:t>
      </w:r>
      <w:r>
        <w:rPr>
          <w:rFonts w:hint="eastAsia" w:ascii="仿宋_GB2312" w:hAnsi="仿宋_GB2312" w:eastAsia="宋体" w:cs="Times New Roman"/>
          <w:b w:val="0"/>
          <w:bCs/>
          <w:color w:val="auto"/>
          <w:kern w:val="0"/>
          <w:sz w:val="22"/>
          <w:szCs w:val="20"/>
          <w:highlight w:val="none"/>
        </w:rPr>
        <w:t>所有人员的服装费用由投标供应商自行负责配备，分类统一着装，但服装样式需经招标人核准。</w:t>
      </w:r>
    </w:p>
    <w:p w14:paraId="50491A2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6.4</w:t>
      </w:r>
      <w:r>
        <w:rPr>
          <w:rFonts w:hint="eastAsia" w:ascii="仿宋_GB2312" w:hAnsi="仿宋_GB2312" w:eastAsia="宋体" w:cs="Times New Roman"/>
          <w:b w:val="0"/>
          <w:bCs/>
          <w:color w:val="auto"/>
          <w:kern w:val="0"/>
          <w:sz w:val="22"/>
          <w:szCs w:val="20"/>
          <w:highlight w:val="none"/>
        </w:rPr>
        <w:t>中标供应商必须节约用水、用电、用汽、用油，并严格按招标文件要求提供各种工作报表，如果未按要求提供工作报表一次，则扣罚当月综合养护费用服务费10%。</w:t>
      </w:r>
    </w:p>
    <w:p w14:paraId="0E0B3DB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6.5</w:t>
      </w:r>
      <w:r>
        <w:rPr>
          <w:rFonts w:hint="eastAsia" w:ascii="仿宋_GB2312" w:hAnsi="仿宋_GB2312" w:eastAsia="宋体" w:cs="Times New Roman"/>
          <w:b w:val="0"/>
          <w:bCs/>
          <w:color w:val="auto"/>
          <w:kern w:val="0"/>
          <w:sz w:val="22"/>
          <w:szCs w:val="20"/>
          <w:highlight w:val="none"/>
        </w:rPr>
        <w:t>中标供应商必须对下属服务人员严格管理，如发现服务人员有赌博、滋事、扰乱治安、偷盗物资、拿一次性消耗品回家等情况，发现一次则扣罚当月综合养护费用服务费10%。</w:t>
      </w:r>
    </w:p>
    <w:p w14:paraId="30EF498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6.6</w:t>
      </w:r>
      <w:r>
        <w:rPr>
          <w:rFonts w:hint="eastAsia" w:ascii="仿宋_GB2312" w:hAnsi="仿宋_GB2312" w:eastAsia="宋体" w:cs="Times New Roman"/>
          <w:b w:val="0"/>
          <w:bCs/>
          <w:color w:val="auto"/>
          <w:kern w:val="0"/>
          <w:sz w:val="22"/>
          <w:szCs w:val="20"/>
          <w:highlight w:val="none"/>
        </w:rPr>
        <w:t>为确保本项目服务人员相对稳定和如实到位，中标供应商应按月提供服务人员实发工资册给招标人，经招标人核实确认后支付，如发现中标供应商服务人员不到位或因中标供应商主观原因而虚造工资的，一经查实，招标人有权拒付工资乃至终止服务合同。</w:t>
      </w:r>
    </w:p>
    <w:p w14:paraId="47BC67D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三</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现场条件</w:t>
      </w:r>
    </w:p>
    <w:p w14:paraId="6EA6540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1．此次招标所涉及的人员食宿和作业工具、服装等均由承包单位自行负责解决。此次招标所涉及的人员全部由中标供应商自行负责解决。</w:t>
      </w:r>
    </w:p>
    <w:p w14:paraId="6BE4645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2．作业工具的临时停放由承包单位负责。</w:t>
      </w:r>
    </w:p>
    <w:p w14:paraId="52AF5274">
      <w:pPr>
        <w:shd w:val="clear" w:color="auto"/>
        <w:adjustRightInd w:val="0"/>
        <w:snapToGrid w:val="0"/>
        <w:spacing w:line="360" w:lineRule="auto"/>
        <w:ind w:firstLine="442" w:firstLineChars="200"/>
        <w:rPr>
          <w:rFonts w:hint="default" w:ascii="仿宋_GB2312" w:hAnsi="仿宋_GB2312" w:eastAsia="宋体" w:cs="Times New Roman"/>
          <w:b/>
          <w:bCs w:val="0"/>
          <w:color w:val="auto"/>
          <w:kern w:val="0"/>
          <w:sz w:val="22"/>
          <w:szCs w:val="20"/>
          <w:highlight w:val="none"/>
          <w:lang w:val="en-US" w:eastAsia="zh-CN"/>
        </w:rPr>
      </w:pPr>
      <w:r>
        <w:rPr>
          <w:rFonts w:hint="eastAsia" w:ascii="仿宋_GB2312" w:hAnsi="仿宋_GB2312" w:eastAsia="宋体" w:cs="Times New Roman"/>
          <w:b/>
          <w:bCs w:val="0"/>
          <w:color w:val="auto"/>
          <w:kern w:val="0"/>
          <w:sz w:val="22"/>
          <w:szCs w:val="20"/>
          <w:highlight w:val="none"/>
          <w:lang w:val="en-US" w:eastAsia="zh-CN"/>
        </w:rPr>
        <w:t>四</w:t>
      </w:r>
      <w:r>
        <w:rPr>
          <w:rFonts w:hint="eastAsia" w:ascii="仿宋_GB2312" w:hAnsi="仿宋_GB2312" w:eastAsia="宋体" w:cs="Times New Roman"/>
          <w:b/>
          <w:bCs w:val="0"/>
          <w:color w:val="auto"/>
          <w:kern w:val="0"/>
          <w:sz w:val="22"/>
          <w:szCs w:val="20"/>
          <w:highlight w:val="none"/>
        </w:rPr>
        <w:t>、养护管理日常管理人员配置要求</w:t>
      </w:r>
      <w:r>
        <w:rPr>
          <w:rFonts w:hint="eastAsia" w:ascii="仿宋_GB2312" w:hAnsi="仿宋_GB2312" w:eastAsia="宋体" w:cs="Times New Roman"/>
          <w:b/>
          <w:bCs w:val="0"/>
          <w:color w:val="auto"/>
          <w:kern w:val="0"/>
          <w:sz w:val="22"/>
          <w:szCs w:val="20"/>
          <w:highlight w:val="none"/>
          <w:lang w:val="en-US" w:eastAsia="zh-CN"/>
        </w:rPr>
        <w:t>(按各标项不同要求进行配备）</w:t>
      </w:r>
    </w:p>
    <w:p w14:paraId="5B00E4D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标项一</w:t>
      </w:r>
      <w:r>
        <w:rPr>
          <w:rFonts w:hint="eastAsia" w:ascii="仿宋_GB2312" w:hAnsi="仿宋_GB2312" w:cs="Times New Roman"/>
          <w:b w:val="0"/>
          <w:bCs/>
          <w:color w:val="auto"/>
          <w:kern w:val="0"/>
          <w:sz w:val="22"/>
          <w:szCs w:val="20"/>
          <w:highlight w:val="none"/>
          <w:lang w:val="en-US" w:eastAsia="zh-CN"/>
        </w:rPr>
        <w:t>：</w:t>
      </w:r>
      <w:r>
        <w:rPr>
          <w:rFonts w:hint="eastAsia" w:ascii="仿宋_GB2312" w:hAnsi="仿宋_GB2312" w:eastAsia="宋体" w:cs="Times New Roman"/>
          <w:b w:val="0"/>
          <w:bCs/>
          <w:color w:val="auto"/>
          <w:kern w:val="0"/>
          <w:sz w:val="22"/>
          <w:szCs w:val="20"/>
          <w:highlight w:val="none"/>
          <w:lang w:val="en-US" w:eastAsia="zh-CN"/>
        </w:rPr>
        <w:t>▲投标供应商须按照本项目绿化保洁管理的特点，成立专业的项目组。项目负责</w:t>
      </w:r>
    </w:p>
    <w:p w14:paraId="2E29C9B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现场绿化管理人员、专业绿化养护工与其他人员(保洁人员、车辆司机人员等)四者之间不得互相兼任;项目负责人(项目经理)不少于1名，须具有多年园林绿化行业经验;现场到岗绿化管理人员须具有助理园林工程师及以上职称证书且具有园林绿化行业经验;到场专业绿化养护工(包括草坪工，绿化工，花卉工，绿修剪工</w:t>
      </w:r>
      <w:r>
        <w:rPr>
          <w:rFonts w:hint="eastAsia" w:ascii="仿宋_GB2312" w:hAnsi="仿宋_GB2312" w:cs="Times New Roman"/>
          <w:b w:val="0"/>
          <w:bCs/>
          <w:color w:val="auto"/>
          <w:kern w:val="0"/>
          <w:sz w:val="22"/>
          <w:szCs w:val="20"/>
          <w:highlight w:val="none"/>
          <w:lang w:val="en-US" w:eastAsia="zh-CN"/>
        </w:rPr>
        <w:t>，</w:t>
      </w:r>
      <w:r>
        <w:rPr>
          <w:rFonts w:hint="eastAsia" w:ascii="仿宋_GB2312" w:hAnsi="仿宋_GB2312" w:eastAsia="宋体" w:cs="Times New Roman"/>
          <w:b w:val="0"/>
          <w:bCs/>
          <w:color w:val="auto"/>
          <w:kern w:val="0"/>
          <w:sz w:val="22"/>
          <w:szCs w:val="20"/>
          <w:highlight w:val="none"/>
          <w:lang w:val="en-US" w:eastAsia="zh-CN"/>
        </w:rPr>
        <w:t>具体工种按照实际需要配备)保洁人员、车辆司机人员等不少于15 名，人员年龄不能超过 60 周岁:</w:t>
      </w:r>
    </w:p>
    <w:p w14:paraId="3964F39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标项二</w:t>
      </w:r>
      <w:r>
        <w:rPr>
          <w:rFonts w:hint="eastAsia" w:ascii="仿宋_GB2312" w:hAnsi="仿宋_GB2312" w:cs="Times New Roman"/>
          <w:b w:val="0"/>
          <w:bCs/>
          <w:color w:val="auto"/>
          <w:kern w:val="0"/>
          <w:sz w:val="22"/>
          <w:szCs w:val="20"/>
          <w:highlight w:val="none"/>
          <w:lang w:val="en-US" w:eastAsia="zh-CN"/>
        </w:rPr>
        <w:t>：</w:t>
      </w:r>
      <w:r>
        <w:rPr>
          <w:rFonts w:hint="eastAsia" w:ascii="仿宋_GB2312" w:hAnsi="仿宋_GB2312" w:eastAsia="宋体" w:cs="Times New Roman"/>
          <w:b w:val="0"/>
          <w:bCs/>
          <w:color w:val="auto"/>
          <w:kern w:val="0"/>
          <w:sz w:val="22"/>
          <w:szCs w:val="20"/>
          <w:highlight w:val="none"/>
          <w:lang w:val="en-US" w:eastAsia="zh-CN"/>
        </w:rPr>
        <w:t>上投标供应商须按照本项目绿化保洁管理的特点，成立专业的项目组。项目负责</w:t>
      </w:r>
    </w:p>
    <w:p w14:paraId="358A4AC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人、现场绿化管理人员、专业绿化养护工与其他人员(保洁人员、车辆司机人员等)四者之间不得互相兼任;项目负责人(项目经理)不少于1名，须具有多年园林绿化行业经验;现场到岗绿化管理人员须具有助理园林工程师及以上职称证书且具有园林绿化行业经验:到场专业绿化养护工(包括草坪工，绿化工，花卉工，绿修剪工，具体工种按照实际需要配备)、保洁人员、车辆司机人员等不少于 12名，人员年龄不能超过 60 周岁;</w:t>
      </w:r>
    </w:p>
    <w:p w14:paraId="156890CE">
      <w:pPr>
        <w:shd w:val="clear" w:color="auto"/>
        <w:adjustRightInd w:val="0"/>
        <w:snapToGrid w:val="0"/>
        <w:spacing w:line="360" w:lineRule="auto"/>
        <w:ind w:firstLine="442" w:firstLineChars="200"/>
        <w:rPr>
          <w:rFonts w:hint="default" w:ascii="仿宋_GB2312" w:hAnsi="仿宋_GB2312" w:eastAsia="宋体" w:cs="Times New Roman"/>
          <w:b/>
          <w:bCs w:val="0"/>
          <w:color w:val="auto"/>
          <w:kern w:val="0"/>
          <w:sz w:val="22"/>
          <w:szCs w:val="20"/>
          <w:highlight w:val="none"/>
          <w:lang w:val="en-US" w:eastAsia="zh-CN"/>
        </w:rPr>
      </w:pPr>
      <w:r>
        <w:rPr>
          <w:rFonts w:hint="eastAsia" w:ascii="仿宋_GB2312" w:hAnsi="仿宋_GB2312" w:eastAsia="宋体" w:cs="Times New Roman"/>
          <w:b/>
          <w:bCs w:val="0"/>
          <w:color w:val="auto"/>
          <w:kern w:val="0"/>
          <w:sz w:val="22"/>
          <w:szCs w:val="20"/>
          <w:highlight w:val="none"/>
          <w:lang w:val="en-US" w:eastAsia="zh-CN"/>
        </w:rPr>
        <w:t>1</w:t>
      </w:r>
      <w:r>
        <w:rPr>
          <w:rFonts w:hint="default" w:ascii="仿宋_GB2312" w:hAnsi="仿宋_GB2312" w:eastAsia="宋体" w:cs="Times New Roman"/>
          <w:b/>
          <w:bCs w:val="0"/>
          <w:color w:val="auto"/>
          <w:kern w:val="0"/>
          <w:sz w:val="22"/>
          <w:szCs w:val="20"/>
          <w:highlight w:val="none"/>
          <w:lang w:val="en-US" w:eastAsia="zh-CN"/>
        </w:rPr>
        <w:t>、▲中标原则：对标项一、二，满足要求的供应商均可参与投标，评标委员会按标项一、二的顺序进行评审，并推荐各标项最高得分的投标人为中标候选人。本次评标，若投标人在前一个标项中标，则第二标项进行技术、服务、资信、业绩综合评分时，则须提供不同的项目组成员，若拟投入人员为同一批人，则第二标项拟投入人员情况部分得分不再计分。</w:t>
      </w:r>
    </w:p>
    <w:p w14:paraId="115E4AF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2、到位率及处罚：</w:t>
      </w:r>
      <w:r>
        <w:rPr>
          <w:rFonts w:hint="eastAsia" w:ascii="仿宋_GB2312" w:hAnsi="仿宋_GB2312" w:cs="Times New Roman"/>
          <w:b w:val="0"/>
          <w:bCs/>
          <w:color w:val="auto"/>
          <w:kern w:val="0"/>
          <w:sz w:val="22"/>
          <w:szCs w:val="20"/>
          <w:highlight w:val="none"/>
          <w:lang w:val="en-US" w:eastAsia="zh-CN"/>
        </w:rPr>
        <w:t>各标项中标单位按采购人要求安装考勤打卡机，采购人可在手机端实时查看每日到岗情况。</w:t>
      </w:r>
      <w:r>
        <w:rPr>
          <w:rFonts w:hint="eastAsia" w:ascii="仿宋_GB2312" w:hAnsi="仿宋_GB2312" w:eastAsia="宋体" w:cs="Times New Roman"/>
          <w:b w:val="0"/>
          <w:bCs/>
          <w:color w:val="auto"/>
          <w:kern w:val="0"/>
          <w:sz w:val="22"/>
          <w:szCs w:val="20"/>
          <w:highlight w:val="none"/>
        </w:rPr>
        <w:t>项目负责人到岗率应达90%以上，平常巡查管理由专业技工负责。项目组各岗位人员人数构成则由投标人根据自身情况提出最优配置并保证人员到位率100%，如没达到上述要求采购人将在每月的考核中做出扣分处理</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现场到岗绿化管理人员必须人证合一</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如不能履行要求按旷工处理</w:t>
      </w:r>
      <w:r>
        <w:rPr>
          <w:rFonts w:hint="eastAsia" w:ascii="仿宋_GB2312" w:hAnsi="仿宋_GB2312" w:eastAsia="宋体" w:cs="Times New Roman"/>
          <w:b w:val="0"/>
          <w:bCs/>
          <w:color w:val="auto"/>
          <w:kern w:val="0"/>
          <w:sz w:val="22"/>
          <w:szCs w:val="20"/>
          <w:highlight w:val="none"/>
          <w:lang w:eastAsia="zh-CN"/>
        </w:rPr>
        <w:t>，按一</w:t>
      </w:r>
      <w:r>
        <w:rPr>
          <w:rFonts w:hint="eastAsia" w:ascii="仿宋_GB2312" w:hAnsi="仿宋_GB2312" w:eastAsia="宋体" w:cs="Times New Roman"/>
          <w:b w:val="0"/>
          <w:bCs/>
          <w:color w:val="auto"/>
          <w:kern w:val="0"/>
          <w:sz w:val="22"/>
          <w:szCs w:val="20"/>
          <w:highlight w:val="none"/>
        </w:rPr>
        <w:t>天1000元</w:t>
      </w:r>
      <w:r>
        <w:rPr>
          <w:rFonts w:hint="eastAsia" w:ascii="仿宋_GB2312" w:hAnsi="仿宋_GB2312" w:eastAsia="宋体" w:cs="Times New Roman"/>
          <w:b w:val="0"/>
          <w:bCs/>
          <w:color w:val="auto"/>
          <w:kern w:val="0"/>
          <w:sz w:val="22"/>
          <w:szCs w:val="20"/>
          <w:highlight w:val="none"/>
          <w:lang w:val="en-US" w:eastAsia="zh-CN"/>
        </w:rPr>
        <w:t>/人扣</w:t>
      </w:r>
      <w:r>
        <w:rPr>
          <w:rFonts w:hint="eastAsia" w:ascii="仿宋_GB2312" w:hAnsi="仿宋_GB2312" w:eastAsia="宋体" w:cs="Times New Roman"/>
          <w:b w:val="0"/>
          <w:bCs/>
          <w:color w:val="auto"/>
          <w:kern w:val="0"/>
          <w:sz w:val="22"/>
          <w:szCs w:val="20"/>
          <w:highlight w:val="none"/>
        </w:rPr>
        <w:t>，上不封顶</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养护人员少于一人一天扣500元，上不封顶（特殊情况人员临时休假，需马上安排人员替补到岗）</w:t>
      </w:r>
      <w:r>
        <w:rPr>
          <w:rFonts w:hint="eastAsia" w:ascii="仿宋_GB2312" w:hAnsi="仿宋_GB2312" w:eastAsia="宋体" w:cs="Times New Roman"/>
          <w:b w:val="0"/>
          <w:bCs/>
          <w:color w:val="auto"/>
          <w:kern w:val="0"/>
          <w:sz w:val="22"/>
          <w:szCs w:val="20"/>
          <w:highlight w:val="none"/>
          <w:lang w:eastAsia="zh-CN"/>
        </w:rPr>
        <w:t>；</w:t>
      </w:r>
    </w:p>
    <w:p w14:paraId="7FA8B59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、中标供应商必须在合同签订前提供所有与投标承诺相符的技术人员的有效职称证、上岗证原件供采购人审核，如果中标供应商不能提供，则采购人有权废除中标人的中标资格。</w:t>
      </w:r>
    </w:p>
    <w:p w14:paraId="4B15DCC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、所有人员除特殊说明的外，必须专职为本项目服务，不得兼职。中标后所有人员需要更换，须及时上报招标人，经招标人认可后方可更换。</w:t>
      </w:r>
    </w:p>
    <w:p w14:paraId="1FE2444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五</w:t>
      </w:r>
      <w:r>
        <w:rPr>
          <w:rFonts w:hint="eastAsia" w:ascii="仿宋_GB2312" w:hAnsi="仿宋_GB2312" w:eastAsia="宋体" w:cs="Times New Roman"/>
          <w:b w:val="0"/>
          <w:bCs/>
          <w:color w:val="auto"/>
          <w:kern w:val="0"/>
          <w:sz w:val="22"/>
          <w:szCs w:val="20"/>
          <w:highlight w:val="none"/>
          <w:lang w:eastAsia="zh-CN"/>
        </w:rPr>
        <w:t>、设备根据配置要求</w:t>
      </w:r>
      <w:r>
        <w:rPr>
          <w:rFonts w:hint="eastAsia" w:ascii="仿宋_GB2312" w:hAnsi="仿宋_GB2312" w:eastAsia="宋体" w:cs="Times New Roman"/>
          <w:b w:val="0"/>
          <w:bCs/>
          <w:color w:val="auto"/>
          <w:kern w:val="0"/>
          <w:sz w:val="22"/>
          <w:szCs w:val="20"/>
          <w:highlight w:val="none"/>
        </w:rPr>
        <w:t>：</w:t>
      </w:r>
    </w:p>
    <w:p w14:paraId="554A08B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eastAsia="zh-CN"/>
        </w:rPr>
        <w:t>养护</w:t>
      </w:r>
      <w:r>
        <w:rPr>
          <w:rFonts w:hint="eastAsia" w:ascii="仿宋_GB2312" w:hAnsi="仿宋_GB2312" w:eastAsia="宋体" w:cs="Times New Roman"/>
          <w:b w:val="0"/>
          <w:bCs/>
          <w:color w:val="auto"/>
          <w:kern w:val="0"/>
          <w:sz w:val="22"/>
          <w:szCs w:val="20"/>
          <w:highlight w:val="none"/>
        </w:rPr>
        <w:t>所需设备、清洁工具（如水桶、毛巾、抹布、拖把等）均由投标供应商提供使用</w:t>
      </w:r>
      <w:r>
        <w:rPr>
          <w:rFonts w:hint="eastAsia" w:ascii="仿宋_GB2312" w:hAnsi="仿宋_GB2312" w:eastAsia="宋体" w:cs="Times New Roman"/>
          <w:b w:val="0"/>
          <w:bCs/>
          <w:color w:val="auto"/>
          <w:kern w:val="0"/>
          <w:sz w:val="22"/>
          <w:szCs w:val="20"/>
          <w:highlight w:val="none"/>
          <w:lang w:eastAsia="zh-CN"/>
        </w:rPr>
        <w:t>，费用包括在总报价中</w:t>
      </w:r>
      <w:r>
        <w:rPr>
          <w:rFonts w:hint="eastAsia" w:ascii="仿宋_GB2312" w:hAnsi="仿宋_GB2312" w:eastAsia="宋体" w:cs="Times New Roman"/>
          <w:b w:val="0"/>
          <w:bCs/>
          <w:color w:val="auto"/>
          <w:kern w:val="0"/>
          <w:sz w:val="22"/>
          <w:szCs w:val="20"/>
          <w:highlight w:val="none"/>
        </w:rPr>
        <w:t>。</w:t>
      </w:r>
    </w:p>
    <w:p w14:paraId="719AFD6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rPr>
        <w:t>2、在保证清洁质量、节约使用的前提下，清洁材料由投标供应商自行提供。</w:t>
      </w:r>
    </w:p>
    <w:p w14:paraId="157081CB">
      <w:pPr>
        <w:shd w:val="clear" w:color="auto"/>
        <w:adjustRightInd w:val="0"/>
        <w:snapToGrid w:val="0"/>
        <w:spacing w:line="360" w:lineRule="auto"/>
        <w:ind w:firstLine="442"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bCs w:val="0"/>
          <w:color w:val="auto"/>
          <w:kern w:val="0"/>
          <w:sz w:val="22"/>
          <w:szCs w:val="20"/>
          <w:highlight w:val="none"/>
          <w:lang w:val="en-US" w:eastAsia="zh-CN"/>
        </w:rPr>
        <w:t>六</w:t>
      </w:r>
      <w:r>
        <w:rPr>
          <w:rFonts w:hint="eastAsia" w:ascii="仿宋_GB2312" w:hAnsi="仿宋_GB2312" w:eastAsia="宋体" w:cs="Times New Roman"/>
          <w:b/>
          <w:bCs w:val="0"/>
          <w:color w:val="auto"/>
          <w:kern w:val="0"/>
          <w:sz w:val="22"/>
          <w:szCs w:val="20"/>
          <w:highlight w:val="none"/>
          <w:lang w:eastAsia="zh-CN"/>
        </w:rPr>
        <w:t>、车辆配备要求</w:t>
      </w:r>
      <w:r>
        <w:rPr>
          <w:rFonts w:hint="eastAsia" w:ascii="仿宋_GB2312" w:hAnsi="仿宋_GB2312" w:eastAsia="宋体" w:cs="Times New Roman"/>
          <w:b/>
          <w:bCs w:val="0"/>
          <w:color w:val="auto"/>
          <w:kern w:val="0"/>
          <w:sz w:val="22"/>
          <w:szCs w:val="20"/>
          <w:highlight w:val="none"/>
          <w:lang w:val="en-US" w:eastAsia="zh-CN"/>
        </w:rPr>
        <w:t>(按各标项不同要求进行配备）</w:t>
      </w:r>
      <w:r>
        <w:rPr>
          <w:rFonts w:hint="eastAsia" w:ascii="仿宋_GB2312" w:hAnsi="仿宋_GB2312" w:eastAsia="宋体" w:cs="Times New Roman"/>
          <w:b/>
          <w:bCs w:val="0"/>
          <w:color w:val="auto"/>
          <w:kern w:val="0"/>
          <w:sz w:val="22"/>
          <w:szCs w:val="20"/>
          <w:highlight w:val="none"/>
          <w:lang w:eastAsia="zh-CN"/>
        </w:rPr>
        <w:t>：</w:t>
      </w:r>
    </w:p>
    <w:p w14:paraId="2394EDD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标项一：</w:t>
      </w:r>
      <w:r>
        <w:rPr>
          <w:rFonts w:hint="eastAsia" w:ascii="仿宋_GB2312" w:hAnsi="仿宋_GB2312" w:eastAsia="宋体" w:cs="Times New Roman"/>
          <w:b w:val="0"/>
          <w:bCs/>
          <w:color w:val="auto"/>
          <w:kern w:val="0"/>
          <w:sz w:val="22"/>
          <w:szCs w:val="20"/>
          <w:highlight w:val="none"/>
        </w:rPr>
        <w:t>▲供应商须配备以下车种:洒水车、登高车、草坪修剪机、绿篱机、割灌机、打药车(机)不少于一辆(台)、高枝剪不少于1个(最低配置要求)。养护期内需要该设备必须三天内到场作业，否则迟一天罚款 3000 元。</w:t>
      </w:r>
    </w:p>
    <w:p w14:paraId="2F379009">
      <w:pPr>
        <w:shd w:val="clear" w:color="auto"/>
        <w:adjustRightInd w:val="0"/>
        <w:snapToGrid w:val="0"/>
        <w:spacing w:line="360" w:lineRule="auto"/>
        <w:ind w:firstLine="440" w:firstLineChars="200"/>
        <w:rPr>
          <w:rFonts w:hint="eastAsia" w:ascii="仿宋_GB2312" w:hAnsi="仿宋_GB2312" w:eastAsia="宋体" w:cs="Times New Roman"/>
          <w:b/>
          <w:bCs w:val="0"/>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标项二：▲供应商须配备以下车种:洒水车、登高车、草坪修剪机不少于1辆，绿篱机不少于2台，割灌机不少于1台，高枝剪不少于1个，打药车(机)不少于1辆(最低配置要求)</w:t>
      </w:r>
      <w:r>
        <w:rPr>
          <w:rFonts w:hint="eastAsia" w:ascii="仿宋_GB2312" w:hAnsi="仿宋_GB2312" w:eastAsia="宋体" w:cs="Times New Roman"/>
          <w:b/>
          <w:bCs w:val="0"/>
          <w:color w:val="auto"/>
          <w:kern w:val="0"/>
          <w:sz w:val="22"/>
          <w:szCs w:val="20"/>
          <w:highlight w:val="none"/>
          <w:lang w:val="en-US" w:eastAsia="zh-CN"/>
        </w:rPr>
        <w:t>。</w:t>
      </w:r>
    </w:p>
    <w:p w14:paraId="335225B5">
      <w:pPr>
        <w:shd w:val="clear" w:color="auto"/>
        <w:adjustRightInd w:val="0"/>
        <w:snapToGrid w:val="0"/>
        <w:spacing w:line="360" w:lineRule="auto"/>
        <w:ind w:firstLine="442"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bCs w:val="0"/>
          <w:color w:val="auto"/>
          <w:kern w:val="0"/>
          <w:sz w:val="22"/>
          <w:szCs w:val="20"/>
          <w:highlight w:val="none"/>
          <w:lang w:val="en-US" w:eastAsia="zh-CN"/>
        </w:rPr>
        <w:t>养护期内需要该设备必须三天内到场作业，否则迟一天罚款3000元。</w:t>
      </w:r>
    </w:p>
    <w:p w14:paraId="02F0E33A">
      <w:pPr>
        <w:shd w:val="clear" w:color="auto"/>
        <w:adjustRightInd w:val="0"/>
        <w:snapToGrid w:val="0"/>
        <w:spacing w:line="360" w:lineRule="auto"/>
        <w:ind w:firstLine="442" w:firstLineChars="200"/>
        <w:rPr>
          <w:rFonts w:hint="eastAsia" w:ascii="仿宋_GB2312" w:hAnsi="仿宋_GB2312" w:eastAsia="宋体" w:cs="Times New Roman"/>
          <w:b/>
          <w:bCs w:val="0"/>
          <w:color w:val="auto"/>
          <w:kern w:val="0"/>
          <w:sz w:val="22"/>
          <w:szCs w:val="20"/>
          <w:highlight w:val="none"/>
          <w:lang w:val="en-US" w:eastAsia="zh-CN"/>
        </w:rPr>
      </w:pPr>
      <w:r>
        <w:rPr>
          <w:rFonts w:hint="eastAsia" w:ascii="仿宋_GB2312" w:hAnsi="仿宋_GB2312" w:eastAsia="宋体" w:cs="Times New Roman"/>
          <w:b/>
          <w:bCs w:val="0"/>
          <w:color w:val="auto"/>
          <w:kern w:val="0"/>
          <w:sz w:val="22"/>
          <w:szCs w:val="20"/>
          <w:highlight w:val="none"/>
          <w:lang w:val="en-US" w:eastAsia="zh-CN"/>
        </w:rPr>
        <w:t>七、考核及处罚标准</w:t>
      </w:r>
    </w:p>
    <w:p w14:paraId="5FED0714">
      <w:pPr>
        <w:shd w:val="clear" w:color="auto"/>
        <w:adjustRightInd w:val="0"/>
        <w:snapToGrid w:val="0"/>
        <w:spacing w:line="360" w:lineRule="auto"/>
        <w:ind w:firstLine="440" w:firstLineChars="200"/>
        <w:rPr>
          <w:rFonts w:hint="eastAsia" w:ascii="仿宋_GB2312" w:hAnsi="仿宋_GB2312"/>
          <w:b/>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1、鳌江镇园林绿化管护作业考核以日常考核、月考核和年度考核相结合。每月考核为不定期，</w:t>
      </w:r>
      <w:r>
        <w:rPr>
          <w:rFonts w:hint="eastAsia" w:ascii="仿宋_GB2312" w:hAnsi="仿宋_GB2312" w:eastAsia="宋体" w:cs="Times New Roman"/>
          <w:b w:val="0"/>
          <w:bCs/>
          <w:color w:val="auto"/>
          <w:kern w:val="0"/>
          <w:sz w:val="22"/>
          <w:szCs w:val="20"/>
          <w:highlight w:val="none"/>
          <w:lang w:val="en-US" w:eastAsia="zh-CN" w:bidi="ar-SA"/>
        </w:rPr>
        <w:t>鳌江</w:t>
      </w:r>
      <w:r>
        <w:rPr>
          <w:rFonts w:hint="eastAsia" w:ascii="宋体" w:hAnsi="宋体" w:eastAsia="宋体" w:cs="宋体"/>
          <w:b w:val="0"/>
          <w:bCs/>
          <w:color w:val="auto"/>
          <w:kern w:val="0"/>
          <w:sz w:val="21"/>
          <w:szCs w:val="21"/>
          <w:highlight w:val="none"/>
          <w:lang w:val="en-US" w:eastAsia="zh-CN"/>
        </w:rPr>
        <w:t xml:space="preserve">镇可组织暗查，其暗查资料可作为考核依据。 </w:t>
      </w:r>
      <w:r>
        <w:rPr>
          <w:rFonts w:hint="eastAsia" w:ascii="宋体" w:hAnsi="宋体" w:eastAsia="宋体" w:cs="宋体"/>
          <w:b w:val="0"/>
          <w:bCs/>
          <w:color w:val="auto"/>
          <w:kern w:val="0"/>
          <w:sz w:val="21"/>
          <w:szCs w:val="21"/>
          <w:highlight w:val="none"/>
          <w:lang w:val="en-US" w:eastAsia="zh-CN"/>
        </w:rPr>
        <w:cr/>
      </w:r>
      <w:r>
        <w:rPr>
          <w:rFonts w:hint="eastAsia" w:ascii="宋体" w:hAnsi="宋体" w:eastAsia="宋体" w:cs="宋体"/>
          <w:b w:val="0"/>
          <w:bCs/>
          <w:color w:val="auto"/>
          <w:kern w:val="0"/>
          <w:sz w:val="21"/>
          <w:szCs w:val="21"/>
          <w:highlight w:val="none"/>
          <w:lang w:val="en-US" w:eastAsia="zh-CN"/>
        </w:rPr>
        <w:t xml:space="preserve">    2、媒体曝光市、县通报批评经查属实纳入考核结果。一年内查证属实累计超过5次取消管护资格。</w:t>
      </w:r>
    </w:p>
    <w:tbl>
      <w:tblPr>
        <w:tblStyle w:val="13"/>
        <w:tblW w:w="9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608"/>
        <w:gridCol w:w="2613"/>
        <w:gridCol w:w="769"/>
        <w:gridCol w:w="769"/>
        <w:gridCol w:w="1556"/>
      </w:tblGrid>
      <w:tr w14:paraId="66A7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620" w:type="dxa"/>
            <w:gridSpan w:val="6"/>
            <w:noWrap w:val="0"/>
            <w:vAlign w:val="top"/>
          </w:tcPr>
          <w:p w14:paraId="2F163411">
            <w:pPr>
              <w:keepNext w:val="0"/>
              <w:keepLines w:val="0"/>
              <w:pageBreakBefore w:val="0"/>
              <w:shd w:val="clear" w:color="auto"/>
              <w:kinsoku/>
              <w:wordWrap/>
              <w:overflowPunct/>
              <w:topLinePunct w:val="0"/>
              <w:autoSpaceDE/>
              <w:autoSpaceDN/>
              <w:bidi w:val="0"/>
              <w:spacing w:line="360" w:lineRule="auto"/>
              <w:textAlignment w:val="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被考核单位：</w:t>
            </w:r>
          </w:p>
        </w:tc>
      </w:tr>
      <w:tr w14:paraId="385E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620" w:type="dxa"/>
            <w:gridSpan w:val="6"/>
            <w:noWrap w:val="0"/>
            <w:vAlign w:val="top"/>
          </w:tcPr>
          <w:p w14:paraId="3AC7A5B5">
            <w:pPr>
              <w:keepNext w:val="0"/>
              <w:keepLines w:val="0"/>
              <w:pageBreakBefore w:val="0"/>
              <w:shd w:val="clear" w:color="auto"/>
              <w:kinsoku/>
              <w:wordWrap/>
              <w:overflowPunct/>
              <w:topLinePunct w:val="0"/>
              <w:autoSpaceDE/>
              <w:autoSpaceDN/>
              <w:bidi w:val="0"/>
              <w:spacing w:line="360" w:lineRule="auto"/>
              <w:textAlignment w:val="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r>
      <w:tr w14:paraId="3EEB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620" w:type="dxa"/>
            <w:gridSpan w:val="6"/>
            <w:noWrap w:val="0"/>
            <w:vAlign w:val="top"/>
          </w:tcPr>
          <w:p w14:paraId="52FC6D30">
            <w:pPr>
              <w:keepNext w:val="0"/>
              <w:keepLines w:val="0"/>
              <w:pageBreakBefore w:val="0"/>
              <w:shd w:val="clear" w:color="auto"/>
              <w:kinsoku/>
              <w:wordWrap/>
              <w:overflowPunct/>
              <w:topLinePunct w:val="0"/>
              <w:autoSpaceDE/>
              <w:autoSpaceDN/>
              <w:bidi w:val="0"/>
              <w:spacing w:line="360" w:lineRule="auto"/>
              <w:textAlignment w:val="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考核</w:t>
            </w:r>
            <w:r>
              <w:rPr>
                <w:rFonts w:hint="eastAsia" w:ascii="宋体" w:hAnsi="宋体" w:eastAsia="宋体" w:cs="宋体"/>
                <w:color w:val="auto"/>
                <w:sz w:val="22"/>
                <w:szCs w:val="22"/>
                <w:highlight w:val="none"/>
                <w:lang w:val="en-US" w:eastAsia="zh-CN"/>
              </w:rPr>
              <w:t>组成员</w:t>
            </w:r>
            <w:r>
              <w:rPr>
                <w:rFonts w:hint="eastAsia" w:ascii="宋体" w:hAnsi="宋体" w:eastAsia="宋体" w:cs="宋体"/>
                <w:color w:val="auto"/>
                <w:sz w:val="22"/>
                <w:szCs w:val="22"/>
                <w:highlight w:val="none"/>
              </w:rPr>
              <w:t>：</w:t>
            </w:r>
          </w:p>
        </w:tc>
      </w:tr>
      <w:tr w14:paraId="6C40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1305" w:type="dxa"/>
            <w:noWrap w:val="0"/>
            <w:vAlign w:val="center"/>
          </w:tcPr>
          <w:p w14:paraId="42FEDFB7">
            <w:pPr>
              <w:shd w:val="clear" w:color="auto"/>
              <w:topLinePunct/>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考核内容</w:t>
            </w:r>
          </w:p>
        </w:tc>
        <w:tc>
          <w:tcPr>
            <w:tcW w:w="5221" w:type="dxa"/>
            <w:gridSpan w:val="2"/>
            <w:noWrap w:val="0"/>
            <w:vAlign w:val="center"/>
          </w:tcPr>
          <w:p w14:paraId="64DE8570">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评分标准</w:t>
            </w:r>
          </w:p>
        </w:tc>
        <w:tc>
          <w:tcPr>
            <w:tcW w:w="769" w:type="dxa"/>
            <w:noWrap w:val="0"/>
            <w:vAlign w:val="center"/>
          </w:tcPr>
          <w:p w14:paraId="57A03079">
            <w:pPr>
              <w:keepNext w:val="0"/>
              <w:keepLines w:val="0"/>
              <w:pageBreakBefore w:val="0"/>
              <w:shd w:val="clear" w:color="auto"/>
              <w:kinsoku/>
              <w:wordWrap/>
              <w:overflowPunct/>
              <w:topLinePunct w:val="0"/>
              <w:autoSpaceDE/>
              <w:autoSpaceDN/>
              <w:bidi w:val="0"/>
              <w:spacing w:line="360" w:lineRule="auto"/>
              <w:jc w:val="center"/>
              <w:textAlignment w:val="auto"/>
              <w:outlineLvl w:val="0"/>
              <w:rPr>
                <w:rFonts w:hint="eastAsia" w:ascii="宋体" w:hAnsi="宋体" w:eastAsia="宋体" w:cs="宋体"/>
                <w:b w:val="0"/>
                <w:bCs/>
                <w:color w:val="auto"/>
                <w:sz w:val="21"/>
                <w:szCs w:val="21"/>
                <w:highlight w:val="none"/>
                <w:lang w:eastAsia="zh-CN"/>
              </w:rPr>
            </w:pPr>
            <w:r>
              <w:rPr>
                <w:rFonts w:hint="eastAsia" w:ascii="宋体" w:hAnsi="宋体" w:eastAsia="宋体" w:cs="宋体"/>
                <w:color w:val="auto"/>
                <w:sz w:val="22"/>
                <w:szCs w:val="22"/>
                <w:highlight w:val="none"/>
                <w:lang w:val="en-US" w:eastAsia="zh-CN"/>
              </w:rPr>
              <w:t>分值</w:t>
            </w:r>
          </w:p>
        </w:tc>
        <w:tc>
          <w:tcPr>
            <w:tcW w:w="769" w:type="dxa"/>
            <w:noWrap w:val="0"/>
            <w:vAlign w:val="center"/>
          </w:tcPr>
          <w:p w14:paraId="789EAF60">
            <w:pPr>
              <w:keepNext w:val="0"/>
              <w:keepLines w:val="0"/>
              <w:pageBreakBefore w:val="0"/>
              <w:shd w:val="clear" w:color="auto"/>
              <w:kinsoku/>
              <w:wordWrap/>
              <w:overflowPunct/>
              <w:topLinePunct w:val="0"/>
              <w:autoSpaceDE/>
              <w:autoSpaceDN/>
              <w:bidi w:val="0"/>
              <w:spacing w:line="360" w:lineRule="auto"/>
              <w:jc w:val="center"/>
              <w:textAlignment w:val="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扣分原因</w:t>
            </w:r>
          </w:p>
        </w:tc>
        <w:tc>
          <w:tcPr>
            <w:tcW w:w="1556" w:type="dxa"/>
            <w:noWrap w:val="0"/>
            <w:vAlign w:val="center"/>
          </w:tcPr>
          <w:p w14:paraId="708C09A0">
            <w:pPr>
              <w:keepNext w:val="0"/>
              <w:keepLines w:val="0"/>
              <w:pageBreakBefore w:val="0"/>
              <w:shd w:val="clear" w:color="auto"/>
              <w:kinsoku/>
              <w:wordWrap/>
              <w:overflowPunct/>
              <w:topLinePunct w:val="0"/>
              <w:autoSpaceDE/>
              <w:autoSpaceDN/>
              <w:bidi w:val="0"/>
              <w:spacing w:line="360" w:lineRule="auto"/>
              <w:jc w:val="center"/>
              <w:textAlignment w:val="auto"/>
              <w:outlineLvl w:val="0"/>
              <w:rPr>
                <w:rFonts w:hint="eastAsia" w:ascii="宋体" w:hAnsi="宋体" w:eastAsia="宋体" w:cs="宋体"/>
                <w:b w:val="0"/>
                <w:bCs/>
                <w:color w:val="auto"/>
                <w:sz w:val="21"/>
                <w:szCs w:val="21"/>
                <w:highlight w:val="none"/>
              </w:rPr>
            </w:pPr>
            <w:r>
              <w:rPr>
                <w:rFonts w:hint="eastAsia" w:ascii="宋体" w:hAnsi="宋体" w:eastAsia="宋体" w:cs="宋体"/>
                <w:color w:val="auto"/>
                <w:sz w:val="22"/>
                <w:szCs w:val="22"/>
                <w:highlight w:val="none"/>
              </w:rPr>
              <w:t>得分</w:t>
            </w:r>
          </w:p>
        </w:tc>
      </w:tr>
      <w:tr w14:paraId="6D51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6" w:hRule="atLeast"/>
        </w:trPr>
        <w:tc>
          <w:tcPr>
            <w:tcW w:w="1305" w:type="dxa"/>
            <w:noWrap w:val="0"/>
            <w:vAlign w:val="center"/>
          </w:tcPr>
          <w:p w14:paraId="43D77F88">
            <w:pPr>
              <w:shd w:val="clear" w:color="auto"/>
              <w:topLinePunct/>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绿地</w:t>
            </w:r>
          </w:p>
        </w:tc>
        <w:tc>
          <w:tcPr>
            <w:tcW w:w="5221" w:type="dxa"/>
            <w:gridSpan w:val="2"/>
            <w:noWrap w:val="0"/>
            <w:vAlign w:val="center"/>
          </w:tcPr>
          <w:p w14:paraId="6A3E6836">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rPr>
              <w:t xml:space="preserve">对绿地内整形植物修剪不符合形状要求的球形、柱形，扣0.1分/个绿篱，植物线条不清晰出现凹凸不平每米超过两处扣0.1分/米每㎡有超过10株杂草，扣0.1分/㎡。                  </w:t>
            </w:r>
          </w:p>
          <w:p w14:paraId="0CE648C9">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 xml:space="preserve">地被出现斑秃扣0.1分/㎡，杂草每㎡出现超过20株，扣0.1分/㎡，树木落叶、换叶时出现每㎡超过30片陈旧性落叶，扣0.1分/㎡。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 xml:space="preserve">践踏处植物未及时扶正、松土，限期内未完成整改扣0.2分/㎡。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 xml:space="preserve">绿地内乔木有过密枝、枯枝、吊枝，出现歪斜现象，修枝切口不平整，出现叉棍现象，限期内未完成整改，扣0.5分/株。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 xml:space="preserve">绿地内植物出现枯死株是管理原因造成的死亡由管护单位负责补栽限期内未完成的灌木2株扣0.1分，胸径5cm以下乔木扣0.5分/株，胸径5cm以上乔木扣1分/株。 </w:t>
            </w:r>
          </w:p>
          <w:p w14:paraId="782E1ECE">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 xml:space="preserve">花镜内基本无残花败叶，残花每㎡超过10朵或败叶每㎡超过20片扣0.1分/㎡，无明显杂草每㎡有超过10株杂草扣0.1分/㎡。鲜花生长期内长势良好无萎焉和死亡现象，发生萎焉现象应立即进行救治，不及时采取救治措施造成死亡发现一处扣0.5分/㎡或每50株扣0.5分，采取措施后仍然死亡，经检查是因缺水或病虫危害造成的扣0.2分/㎡。花镜病虫害发生率超过3%，扣0.1分/㎡ </w:t>
            </w:r>
          </w:p>
          <w:p w14:paraId="6BC6524E">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 xml:space="preserve">植物病虫害发生率超过3%，扣0.1分/㎡。 </w:t>
            </w:r>
          </w:p>
          <w:p w14:paraId="13D20704">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 xml:space="preserve">桥下无法接受自然雨水的绿地内植物未采取措施致使植物死亡经检查是因缺水造成的，扣0.5分/㎡。已采取措施仍然造成植物死亡的扣0.1分/㎡。 </w:t>
            </w:r>
          </w:p>
          <w:p w14:paraId="0481BD3E">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rPr>
              <w:t xml:space="preserve">植株叶面不清洁有明显陈旧粉尘，大小乔木扣0.1分/株，绿地扣0.1分/㎡。 </w:t>
            </w:r>
          </w:p>
          <w:p w14:paraId="08640326">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rPr>
              <w:t xml:space="preserve">加强巡查、巡视发现损坏设施、花木等行为时不及时劝阻对劝阻无效的未向业主报告发现一次扣0.2分。 </w:t>
            </w:r>
          </w:p>
        </w:tc>
        <w:tc>
          <w:tcPr>
            <w:tcW w:w="769" w:type="dxa"/>
            <w:noWrap w:val="0"/>
            <w:vAlign w:val="center"/>
          </w:tcPr>
          <w:p w14:paraId="53D5A581">
            <w:pPr>
              <w:shd w:val="clear" w:color="auto"/>
              <w:topLinePunct/>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50</w:t>
            </w:r>
          </w:p>
        </w:tc>
        <w:tc>
          <w:tcPr>
            <w:tcW w:w="769" w:type="dxa"/>
            <w:noWrap w:val="0"/>
            <w:vAlign w:val="center"/>
          </w:tcPr>
          <w:p w14:paraId="05D37BA7">
            <w:pPr>
              <w:shd w:val="clear" w:color="auto"/>
              <w:topLinePunct/>
              <w:spacing w:line="240" w:lineRule="auto"/>
              <w:rPr>
                <w:rFonts w:hint="eastAsia" w:ascii="宋体" w:hAnsi="宋体" w:eastAsia="宋体" w:cs="宋体"/>
                <w:b w:val="0"/>
                <w:bCs/>
                <w:color w:val="auto"/>
                <w:sz w:val="21"/>
                <w:szCs w:val="21"/>
                <w:highlight w:val="none"/>
                <w:lang w:val="en-US" w:eastAsia="zh-CN"/>
              </w:rPr>
            </w:pPr>
          </w:p>
        </w:tc>
        <w:tc>
          <w:tcPr>
            <w:tcW w:w="1556" w:type="dxa"/>
            <w:noWrap w:val="0"/>
            <w:vAlign w:val="center"/>
          </w:tcPr>
          <w:p w14:paraId="7F01E7C7">
            <w:pPr>
              <w:shd w:val="clear" w:color="auto"/>
              <w:topLinePunct/>
              <w:spacing w:line="240" w:lineRule="auto"/>
              <w:rPr>
                <w:rFonts w:hint="eastAsia" w:ascii="宋体" w:hAnsi="宋体" w:eastAsia="宋体" w:cs="宋体"/>
                <w:b w:val="0"/>
                <w:bCs/>
                <w:color w:val="auto"/>
                <w:sz w:val="21"/>
                <w:szCs w:val="21"/>
                <w:highlight w:val="none"/>
                <w:lang w:val="en-US" w:eastAsia="zh-CN"/>
              </w:rPr>
            </w:pPr>
          </w:p>
        </w:tc>
      </w:tr>
      <w:tr w14:paraId="368A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3" w:hRule="atLeast"/>
        </w:trPr>
        <w:tc>
          <w:tcPr>
            <w:tcW w:w="1305" w:type="dxa"/>
            <w:noWrap w:val="0"/>
            <w:vAlign w:val="center"/>
          </w:tcPr>
          <w:p w14:paraId="1857F0DB">
            <w:pPr>
              <w:shd w:val="clear" w:color="auto"/>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行道树</w:t>
            </w:r>
          </w:p>
        </w:tc>
        <w:tc>
          <w:tcPr>
            <w:tcW w:w="5221" w:type="dxa"/>
            <w:gridSpan w:val="2"/>
            <w:noWrap w:val="0"/>
            <w:vAlign w:val="center"/>
          </w:tcPr>
          <w:p w14:paraId="4B047078">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rPr>
              <w:t xml:space="preserve">发出新芽后未进行抹芽，有徒长枝、病虫枝、过密枝、并生枝、交叉枝、吊枝、枯枝。修枝切口不平整，出现叉棍现象，限期内未完成整改扣0.5分/株。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 xml:space="preserve">出现行道树枝条影响行人与车辆通行的，下垂枝低于2.5m，限期内未完成整改扣0.2分/株。 </w:t>
            </w:r>
          </w:p>
          <w:p w14:paraId="60643859">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 xml:space="preserve">行道树病虫害发生率超过3%，扣0.5分/株。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 xml:space="preserve">行道树小叶榕出现气生根，每株气生根长度超过20cm且数量超过50根气生根，限期内未完成整改扣0.5分/株。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 xml:space="preserve">加强巡查、巡视，发现损坏设施行为时不及时劝阻，对劝阻无效的未向单位报告，发现一次扣0.5分。 </w:t>
            </w:r>
          </w:p>
          <w:p w14:paraId="4AA1A733">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 xml:space="preserve">植株叶面不清洁有明显陈旧粉尘，大小乔木扣0.1分/株，绿地扣0.1分/㎡。  </w:t>
            </w:r>
          </w:p>
          <w:p w14:paraId="5A5F81D3">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不及时抗旱，造成严重缺水，叶片枯萎，每次扣1-2分，抗旱时间不符，每次扣1分</w:t>
            </w:r>
          </w:p>
        </w:tc>
        <w:tc>
          <w:tcPr>
            <w:tcW w:w="769" w:type="dxa"/>
            <w:noWrap w:val="0"/>
            <w:vAlign w:val="center"/>
          </w:tcPr>
          <w:p w14:paraId="0D281F03">
            <w:pPr>
              <w:shd w:val="clear" w:color="auto"/>
              <w:topLinePunct/>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20</w:t>
            </w:r>
          </w:p>
        </w:tc>
        <w:tc>
          <w:tcPr>
            <w:tcW w:w="769" w:type="dxa"/>
            <w:noWrap w:val="0"/>
            <w:vAlign w:val="center"/>
          </w:tcPr>
          <w:p w14:paraId="7AD6AEDA">
            <w:pPr>
              <w:shd w:val="clear" w:color="auto"/>
              <w:topLinePunct/>
              <w:spacing w:line="240" w:lineRule="auto"/>
              <w:rPr>
                <w:rFonts w:hint="eastAsia" w:ascii="宋体" w:hAnsi="宋体" w:eastAsia="宋体" w:cs="宋体"/>
                <w:b w:val="0"/>
                <w:bCs/>
                <w:color w:val="auto"/>
                <w:sz w:val="21"/>
                <w:szCs w:val="21"/>
                <w:highlight w:val="none"/>
                <w:lang w:val="en-US" w:eastAsia="zh-CN"/>
              </w:rPr>
            </w:pPr>
          </w:p>
        </w:tc>
        <w:tc>
          <w:tcPr>
            <w:tcW w:w="1556" w:type="dxa"/>
            <w:noWrap w:val="0"/>
            <w:vAlign w:val="center"/>
          </w:tcPr>
          <w:p w14:paraId="05444D00">
            <w:pPr>
              <w:shd w:val="clear" w:color="auto"/>
              <w:topLinePunct/>
              <w:spacing w:line="240" w:lineRule="auto"/>
              <w:rPr>
                <w:rFonts w:hint="eastAsia" w:ascii="宋体" w:hAnsi="宋体" w:eastAsia="宋体" w:cs="宋体"/>
                <w:b w:val="0"/>
                <w:bCs/>
                <w:color w:val="auto"/>
                <w:sz w:val="21"/>
                <w:szCs w:val="21"/>
                <w:highlight w:val="none"/>
                <w:lang w:val="en-US" w:eastAsia="zh-CN"/>
              </w:rPr>
            </w:pPr>
          </w:p>
        </w:tc>
      </w:tr>
      <w:tr w14:paraId="15CB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trPr>
        <w:tc>
          <w:tcPr>
            <w:tcW w:w="1305" w:type="dxa"/>
            <w:noWrap w:val="0"/>
            <w:vAlign w:val="center"/>
          </w:tcPr>
          <w:p w14:paraId="1CD6EBFC">
            <w:pPr>
              <w:shd w:val="clear" w:color="auto"/>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问题交办督办处置</w:t>
            </w:r>
          </w:p>
        </w:tc>
        <w:tc>
          <w:tcPr>
            <w:tcW w:w="5221" w:type="dxa"/>
            <w:gridSpan w:val="2"/>
            <w:noWrap w:val="0"/>
            <w:vAlign w:val="center"/>
          </w:tcPr>
          <w:p w14:paraId="46A7C974">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指挥中心、智慧城管等交办问题未处置（办理）的，发生一次扣0.1分，未按期处置（办理）或处置（办理）不到位的，发生一次减半扣分。社会反映的热点、焦点问题和市政府阶段重点工作保障任务、领导重要批示要求、市局巡查督办等重点督办件办理、回复不及时、不到位的，发现一次扣1分。对因管理不当被媒体曝光并造成社会恶劣影响的，发生一次，市级扣6分，区级扣3分。</w:t>
            </w:r>
          </w:p>
        </w:tc>
        <w:tc>
          <w:tcPr>
            <w:tcW w:w="769" w:type="dxa"/>
            <w:noWrap w:val="0"/>
            <w:vAlign w:val="center"/>
          </w:tcPr>
          <w:p w14:paraId="5EEA6E6D">
            <w:pPr>
              <w:shd w:val="clear" w:color="auto"/>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10</w:t>
            </w:r>
          </w:p>
        </w:tc>
        <w:tc>
          <w:tcPr>
            <w:tcW w:w="769" w:type="dxa"/>
            <w:noWrap w:val="0"/>
            <w:vAlign w:val="center"/>
          </w:tcPr>
          <w:p w14:paraId="7073A5BF">
            <w:pPr>
              <w:shd w:val="clear" w:color="auto"/>
              <w:spacing w:line="240" w:lineRule="auto"/>
              <w:rPr>
                <w:rFonts w:hint="eastAsia" w:ascii="宋体" w:hAnsi="宋体" w:eastAsia="宋体" w:cs="宋体"/>
                <w:b w:val="0"/>
                <w:bCs/>
                <w:color w:val="auto"/>
                <w:sz w:val="21"/>
                <w:szCs w:val="21"/>
                <w:highlight w:val="none"/>
              </w:rPr>
            </w:pPr>
          </w:p>
        </w:tc>
        <w:tc>
          <w:tcPr>
            <w:tcW w:w="1556" w:type="dxa"/>
            <w:noWrap w:val="0"/>
            <w:vAlign w:val="center"/>
          </w:tcPr>
          <w:p w14:paraId="7A3C6E8B">
            <w:pPr>
              <w:shd w:val="clear" w:color="auto"/>
              <w:spacing w:line="240" w:lineRule="auto"/>
              <w:rPr>
                <w:rFonts w:hint="eastAsia" w:ascii="宋体" w:hAnsi="宋体" w:eastAsia="宋体" w:cs="宋体"/>
                <w:b w:val="0"/>
                <w:bCs/>
                <w:color w:val="auto"/>
                <w:sz w:val="21"/>
                <w:szCs w:val="21"/>
                <w:highlight w:val="none"/>
              </w:rPr>
            </w:pPr>
          </w:p>
        </w:tc>
      </w:tr>
      <w:tr w14:paraId="0515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305" w:type="dxa"/>
            <w:vMerge w:val="restart"/>
            <w:noWrap w:val="0"/>
            <w:vAlign w:val="center"/>
          </w:tcPr>
          <w:p w14:paraId="163B180C">
            <w:pPr>
              <w:shd w:val="clear" w:color="auto"/>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管理制度落实情况</w:t>
            </w:r>
          </w:p>
        </w:tc>
        <w:tc>
          <w:tcPr>
            <w:tcW w:w="2608" w:type="dxa"/>
            <w:noWrap w:val="0"/>
            <w:vAlign w:val="center"/>
          </w:tcPr>
          <w:p w14:paraId="6EA5E1A7">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绿化管养、安保、保洁等各类日常管理台帐齐全，并及时上报各类报表和业主交付的工作</w:t>
            </w:r>
          </w:p>
        </w:tc>
        <w:tc>
          <w:tcPr>
            <w:tcW w:w="2613" w:type="dxa"/>
            <w:noWrap w:val="0"/>
            <w:vAlign w:val="center"/>
          </w:tcPr>
          <w:p w14:paraId="270E0AC6">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台账不齐全，发现一类扣1分；</w:t>
            </w:r>
          </w:p>
          <w:p w14:paraId="778D94EF">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没按时完成业主交付工作一次扣2分</w:t>
            </w:r>
          </w:p>
        </w:tc>
        <w:tc>
          <w:tcPr>
            <w:tcW w:w="769" w:type="dxa"/>
            <w:noWrap w:val="0"/>
            <w:vAlign w:val="center"/>
          </w:tcPr>
          <w:p w14:paraId="56763BF6">
            <w:pPr>
              <w:shd w:val="clear" w:color="auto"/>
              <w:spacing w:line="24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w:t>
            </w:r>
          </w:p>
        </w:tc>
        <w:tc>
          <w:tcPr>
            <w:tcW w:w="769" w:type="dxa"/>
            <w:noWrap w:val="0"/>
            <w:vAlign w:val="center"/>
          </w:tcPr>
          <w:p w14:paraId="1E4AC27A">
            <w:pPr>
              <w:shd w:val="clear" w:color="auto"/>
              <w:spacing w:line="240" w:lineRule="auto"/>
              <w:rPr>
                <w:rFonts w:hint="eastAsia" w:ascii="宋体" w:hAnsi="宋体" w:eastAsia="宋体" w:cs="宋体"/>
                <w:b w:val="0"/>
                <w:bCs/>
                <w:color w:val="auto"/>
                <w:sz w:val="21"/>
                <w:szCs w:val="21"/>
                <w:highlight w:val="none"/>
              </w:rPr>
            </w:pPr>
          </w:p>
        </w:tc>
        <w:tc>
          <w:tcPr>
            <w:tcW w:w="1556" w:type="dxa"/>
            <w:noWrap w:val="0"/>
            <w:vAlign w:val="center"/>
          </w:tcPr>
          <w:p w14:paraId="0E9C9059">
            <w:pPr>
              <w:shd w:val="clear" w:color="auto"/>
              <w:spacing w:line="240" w:lineRule="auto"/>
              <w:rPr>
                <w:rFonts w:hint="eastAsia" w:ascii="宋体" w:hAnsi="宋体" w:eastAsia="宋体" w:cs="宋体"/>
                <w:b w:val="0"/>
                <w:bCs/>
                <w:color w:val="auto"/>
                <w:sz w:val="21"/>
                <w:szCs w:val="21"/>
                <w:highlight w:val="none"/>
              </w:rPr>
            </w:pPr>
          </w:p>
        </w:tc>
      </w:tr>
      <w:tr w14:paraId="40A7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305" w:type="dxa"/>
            <w:vMerge w:val="continue"/>
            <w:noWrap w:val="0"/>
            <w:vAlign w:val="center"/>
          </w:tcPr>
          <w:p w14:paraId="6BE9A8FE">
            <w:pPr>
              <w:shd w:val="clear" w:color="auto"/>
              <w:spacing w:line="240" w:lineRule="auto"/>
              <w:jc w:val="center"/>
              <w:rPr>
                <w:rFonts w:hint="eastAsia" w:ascii="宋体" w:hAnsi="宋体" w:eastAsia="宋体" w:cs="宋体"/>
                <w:b w:val="0"/>
                <w:bCs/>
                <w:color w:val="auto"/>
                <w:sz w:val="21"/>
                <w:szCs w:val="21"/>
                <w:highlight w:val="none"/>
              </w:rPr>
            </w:pPr>
          </w:p>
        </w:tc>
        <w:tc>
          <w:tcPr>
            <w:tcW w:w="2608" w:type="dxa"/>
            <w:noWrap w:val="0"/>
            <w:vAlign w:val="center"/>
          </w:tcPr>
          <w:p w14:paraId="76803343">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养管人员形象良好，服装统一，人员到位情况和投入设备与承诺一致，无缺人、少人、不在岗情况</w:t>
            </w:r>
          </w:p>
        </w:tc>
        <w:tc>
          <w:tcPr>
            <w:tcW w:w="2613" w:type="dxa"/>
            <w:noWrap w:val="0"/>
            <w:vAlign w:val="center"/>
          </w:tcPr>
          <w:p w14:paraId="64181C1E">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发现一次扣1分</w:t>
            </w:r>
          </w:p>
        </w:tc>
        <w:tc>
          <w:tcPr>
            <w:tcW w:w="769" w:type="dxa"/>
            <w:noWrap w:val="0"/>
            <w:vAlign w:val="center"/>
          </w:tcPr>
          <w:p w14:paraId="7FA93736">
            <w:pPr>
              <w:shd w:val="clear" w:color="auto"/>
              <w:spacing w:line="24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w:t>
            </w:r>
          </w:p>
        </w:tc>
        <w:tc>
          <w:tcPr>
            <w:tcW w:w="769" w:type="dxa"/>
            <w:noWrap w:val="0"/>
            <w:vAlign w:val="center"/>
          </w:tcPr>
          <w:p w14:paraId="31D14F21">
            <w:pPr>
              <w:shd w:val="clear" w:color="auto"/>
              <w:spacing w:line="240" w:lineRule="auto"/>
              <w:rPr>
                <w:rFonts w:hint="eastAsia" w:ascii="宋体" w:hAnsi="宋体" w:eastAsia="宋体" w:cs="宋体"/>
                <w:b w:val="0"/>
                <w:bCs/>
                <w:color w:val="auto"/>
                <w:sz w:val="21"/>
                <w:szCs w:val="21"/>
                <w:highlight w:val="none"/>
              </w:rPr>
            </w:pPr>
          </w:p>
        </w:tc>
        <w:tc>
          <w:tcPr>
            <w:tcW w:w="1556" w:type="dxa"/>
            <w:noWrap w:val="0"/>
            <w:vAlign w:val="center"/>
          </w:tcPr>
          <w:p w14:paraId="4FD85F05">
            <w:pPr>
              <w:shd w:val="clear" w:color="auto"/>
              <w:spacing w:line="240" w:lineRule="auto"/>
              <w:rPr>
                <w:rFonts w:hint="eastAsia" w:ascii="宋体" w:hAnsi="宋体" w:eastAsia="宋体" w:cs="宋体"/>
                <w:b w:val="0"/>
                <w:bCs/>
                <w:color w:val="auto"/>
                <w:sz w:val="21"/>
                <w:szCs w:val="21"/>
                <w:highlight w:val="none"/>
              </w:rPr>
            </w:pPr>
          </w:p>
        </w:tc>
      </w:tr>
      <w:tr w14:paraId="1C1C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305" w:type="dxa"/>
            <w:vMerge w:val="continue"/>
            <w:noWrap w:val="0"/>
            <w:vAlign w:val="center"/>
          </w:tcPr>
          <w:p w14:paraId="386C6EBA">
            <w:pPr>
              <w:shd w:val="clear" w:color="auto"/>
              <w:spacing w:line="240" w:lineRule="auto"/>
              <w:jc w:val="center"/>
              <w:rPr>
                <w:rFonts w:hint="eastAsia" w:ascii="宋体" w:hAnsi="宋体" w:eastAsia="宋体" w:cs="宋体"/>
                <w:b w:val="0"/>
                <w:bCs/>
                <w:color w:val="auto"/>
                <w:sz w:val="21"/>
                <w:szCs w:val="21"/>
                <w:highlight w:val="none"/>
              </w:rPr>
            </w:pPr>
          </w:p>
        </w:tc>
        <w:tc>
          <w:tcPr>
            <w:tcW w:w="2608" w:type="dxa"/>
            <w:noWrap w:val="0"/>
            <w:vAlign w:val="center"/>
          </w:tcPr>
          <w:p w14:paraId="3989BC78">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管理责任落实到人，禁泳区无人游泳，无非法猎杀动物行为，无责任安全事故</w:t>
            </w:r>
          </w:p>
        </w:tc>
        <w:tc>
          <w:tcPr>
            <w:tcW w:w="2613" w:type="dxa"/>
            <w:noWrap w:val="0"/>
            <w:vAlign w:val="center"/>
          </w:tcPr>
          <w:p w14:paraId="6CD58FD4">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发现一次扣1分，有责任的伤亡事故扣4分</w:t>
            </w:r>
          </w:p>
        </w:tc>
        <w:tc>
          <w:tcPr>
            <w:tcW w:w="769" w:type="dxa"/>
            <w:noWrap w:val="0"/>
            <w:vAlign w:val="center"/>
          </w:tcPr>
          <w:p w14:paraId="5B1D25BB">
            <w:pPr>
              <w:shd w:val="clear" w:color="auto"/>
              <w:spacing w:line="24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4</w:t>
            </w:r>
          </w:p>
        </w:tc>
        <w:tc>
          <w:tcPr>
            <w:tcW w:w="769" w:type="dxa"/>
            <w:noWrap w:val="0"/>
            <w:vAlign w:val="center"/>
          </w:tcPr>
          <w:p w14:paraId="726FCDB8">
            <w:pPr>
              <w:shd w:val="clear" w:color="auto"/>
              <w:spacing w:line="240" w:lineRule="auto"/>
              <w:rPr>
                <w:rFonts w:hint="eastAsia" w:ascii="宋体" w:hAnsi="宋体" w:eastAsia="宋体" w:cs="宋体"/>
                <w:b w:val="0"/>
                <w:bCs/>
                <w:color w:val="auto"/>
                <w:sz w:val="21"/>
                <w:szCs w:val="21"/>
                <w:highlight w:val="none"/>
              </w:rPr>
            </w:pPr>
          </w:p>
        </w:tc>
        <w:tc>
          <w:tcPr>
            <w:tcW w:w="1556" w:type="dxa"/>
            <w:noWrap w:val="0"/>
            <w:vAlign w:val="center"/>
          </w:tcPr>
          <w:p w14:paraId="4806068A">
            <w:pPr>
              <w:shd w:val="clear" w:color="auto"/>
              <w:spacing w:line="240" w:lineRule="auto"/>
              <w:rPr>
                <w:rFonts w:hint="eastAsia" w:ascii="宋体" w:hAnsi="宋体" w:eastAsia="宋体" w:cs="宋体"/>
                <w:b w:val="0"/>
                <w:bCs/>
                <w:color w:val="auto"/>
                <w:sz w:val="21"/>
                <w:szCs w:val="21"/>
                <w:highlight w:val="none"/>
              </w:rPr>
            </w:pPr>
          </w:p>
        </w:tc>
      </w:tr>
      <w:tr w14:paraId="533F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305" w:type="dxa"/>
            <w:vMerge w:val="restart"/>
            <w:noWrap w:val="0"/>
            <w:vAlign w:val="center"/>
          </w:tcPr>
          <w:p w14:paraId="31D91DB5">
            <w:pPr>
              <w:shd w:val="clear" w:color="auto"/>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安全制度落实情况</w:t>
            </w:r>
          </w:p>
        </w:tc>
        <w:tc>
          <w:tcPr>
            <w:tcW w:w="2608" w:type="dxa"/>
            <w:noWrap w:val="0"/>
            <w:vAlign w:val="center"/>
          </w:tcPr>
          <w:p w14:paraId="26746AD3">
            <w:pPr>
              <w:shd w:val="clear" w:color="auto"/>
              <w:spacing w:line="240" w:lineRule="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要确认适当的安全作业距离并设置安全警示标牌</w:t>
            </w:r>
          </w:p>
        </w:tc>
        <w:tc>
          <w:tcPr>
            <w:tcW w:w="2613" w:type="dxa"/>
            <w:noWrap w:val="0"/>
            <w:vAlign w:val="center"/>
          </w:tcPr>
          <w:p w14:paraId="100CEE5B">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发现一次扣1分</w:t>
            </w:r>
          </w:p>
        </w:tc>
        <w:tc>
          <w:tcPr>
            <w:tcW w:w="769" w:type="dxa"/>
            <w:noWrap w:val="0"/>
            <w:vAlign w:val="center"/>
          </w:tcPr>
          <w:p w14:paraId="6B53F7BF">
            <w:pPr>
              <w:shd w:val="clear" w:color="auto"/>
              <w:spacing w:line="240" w:lineRule="auto"/>
              <w:jc w:val="center"/>
              <w:rPr>
                <w:rFonts w:hint="default"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w:t>
            </w:r>
          </w:p>
        </w:tc>
        <w:tc>
          <w:tcPr>
            <w:tcW w:w="769" w:type="dxa"/>
            <w:noWrap w:val="0"/>
            <w:vAlign w:val="center"/>
          </w:tcPr>
          <w:p w14:paraId="70B51361">
            <w:pPr>
              <w:shd w:val="clear" w:color="auto"/>
              <w:spacing w:line="240" w:lineRule="auto"/>
              <w:rPr>
                <w:rFonts w:hint="eastAsia" w:ascii="宋体" w:hAnsi="宋体" w:eastAsia="宋体" w:cs="宋体"/>
                <w:b w:val="0"/>
                <w:bCs/>
                <w:color w:val="auto"/>
                <w:sz w:val="21"/>
                <w:szCs w:val="21"/>
                <w:highlight w:val="none"/>
              </w:rPr>
            </w:pPr>
          </w:p>
        </w:tc>
        <w:tc>
          <w:tcPr>
            <w:tcW w:w="1556" w:type="dxa"/>
            <w:noWrap w:val="0"/>
            <w:vAlign w:val="center"/>
          </w:tcPr>
          <w:p w14:paraId="28342724">
            <w:pPr>
              <w:shd w:val="clear" w:color="auto"/>
              <w:spacing w:line="240" w:lineRule="auto"/>
              <w:rPr>
                <w:rFonts w:hint="eastAsia" w:ascii="宋体" w:hAnsi="宋体" w:eastAsia="宋体" w:cs="宋体"/>
                <w:b w:val="0"/>
                <w:bCs/>
                <w:color w:val="auto"/>
                <w:sz w:val="21"/>
                <w:szCs w:val="21"/>
                <w:highlight w:val="none"/>
              </w:rPr>
            </w:pPr>
          </w:p>
        </w:tc>
      </w:tr>
      <w:tr w14:paraId="6FEA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305" w:type="dxa"/>
            <w:vMerge w:val="continue"/>
            <w:noWrap w:val="0"/>
            <w:vAlign w:val="center"/>
          </w:tcPr>
          <w:p w14:paraId="3D7BAD24">
            <w:pPr>
              <w:shd w:val="clear" w:color="auto"/>
              <w:spacing w:line="240" w:lineRule="auto"/>
              <w:rPr>
                <w:color w:val="auto"/>
                <w:highlight w:val="none"/>
              </w:rPr>
            </w:pPr>
          </w:p>
        </w:tc>
        <w:tc>
          <w:tcPr>
            <w:tcW w:w="2608" w:type="dxa"/>
            <w:noWrap w:val="0"/>
            <w:vAlign w:val="center"/>
          </w:tcPr>
          <w:p w14:paraId="185D495B">
            <w:pPr>
              <w:shd w:val="clear" w:color="auto"/>
              <w:spacing w:line="240" w:lineRule="auto"/>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操作不规范但未造成事故</w:t>
            </w:r>
          </w:p>
        </w:tc>
        <w:tc>
          <w:tcPr>
            <w:tcW w:w="2613" w:type="dxa"/>
            <w:noWrap w:val="0"/>
            <w:vAlign w:val="center"/>
          </w:tcPr>
          <w:p w14:paraId="189F5E56">
            <w:pPr>
              <w:shd w:val="clear" w:color="auto"/>
              <w:spacing w:line="240" w:lineRule="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发现一次扣1分，有责任的伤亡事故</w:t>
            </w:r>
            <w:r>
              <w:rPr>
                <w:rFonts w:hint="eastAsia" w:ascii="宋体" w:hAnsi="宋体" w:cs="宋体"/>
                <w:b w:val="0"/>
                <w:bCs/>
                <w:color w:val="auto"/>
                <w:sz w:val="21"/>
                <w:szCs w:val="21"/>
                <w:highlight w:val="none"/>
                <w:lang w:val="en-US" w:eastAsia="zh-CN"/>
              </w:rPr>
              <w:t>采购人有权直接终止合同并追究其相关责任</w:t>
            </w:r>
          </w:p>
        </w:tc>
        <w:tc>
          <w:tcPr>
            <w:tcW w:w="769" w:type="dxa"/>
            <w:noWrap w:val="0"/>
            <w:vAlign w:val="center"/>
          </w:tcPr>
          <w:p w14:paraId="2A26A9DC">
            <w:pPr>
              <w:shd w:val="clear" w:color="auto"/>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p>
        </w:tc>
        <w:tc>
          <w:tcPr>
            <w:tcW w:w="769" w:type="dxa"/>
            <w:noWrap w:val="0"/>
            <w:vAlign w:val="center"/>
          </w:tcPr>
          <w:p w14:paraId="311FB12A">
            <w:pPr>
              <w:shd w:val="clear" w:color="auto"/>
              <w:spacing w:line="240" w:lineRule="auto"/>
              <w:rPr>
                <w:rFonts w:hint="eastAsia" w:ascii="宋体" w:hAnsi="宋体" w:eastAsia="宋体" w:cs="宋体"/>
                <w:b w:val="0"/>
                <w:bCs/>
                <w:color w:val="auto"/>
                <w:sz w:val="21"/>
                <w:szCs w:val="21"/>
                <w:highlight w:val="none"/>
                <w:lang w:val="en-US" w:eastAsia="zh-CN"/>
              </w:rPr>
            </w:pPr>
          </w:p>
        </w:tc>
        <w:tc>
          <w:tcPr>
            <w:tcW w:w="1556" w:type="dxa"/>
            <w:noWrap w:val="0"/>
            <w:vAlign w:val="center"/>
          </w:tcPr>
          <w:p w14:paraId="5F959C87">
            <w:pPr>
              <w:shd w:val="clear" w:color="auto"/>
              <w:spacing w:line="240" w:lineRule="auto"/>
              <w:rPr>
                <w:rFonts w:hint="eastAsia" w:ascii="宋体" w:hAnsi="宋体" w:eastAsia="宋体" w:cs="宋体"/>
                <w:b w:val="0"/>
                <w:bCs/>
                <w:color w:val="auto"/>
                <w:sz w:val="21"/>
                <w:szCs w:val="21"/>
                <w:highlight w:val="none"/>
                <w:lang w:val="en-US" w:eastAsia="zh-CN"/>
              </w:rPr>
            </w:pPr>
          </w:p>
        </w:tc>
      </w:tr>
      <w:tr w14:paraId="7A15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6526" w:type="dxa"/>
            <w:gridSpan w:val="3"/>
            <w:noWrap w:val="0"/>
            <w:vAlign w:val="center"/>
          </w:tcPr>
          <w:p w14:paraId="63D49879">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合计</w:t>
            </w:r>
          </w:p>
        </w:tc>
        <w:tc>
          <w:tcPr>
            <w:tcW w:w="769" w:type="dxa"/>
            <w:noWrap w:val="0"/>
            <w:vAlign w:val="center"/>
          </w:tcPr>
          <w:p w14:paraId="201D093D">
            <w:pPr>
              <w:shd w:val="clear" w:color="auto"/>
              <w:spacing w:line="240" w:lineRule="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100</w:t>
            </w:r>
          </w:p>
        </w:tc>
        <w:tc>
          <w:tcPr>
            <w:tcW w:w="769" w:type="dxa"/>
            <w:noWrap w:val="0"/>
            <w:vAlign w:val="center"/>
          </w:tcPr>
          <w:p w14:paraId="297CADE6">
            <w:pPr>
              <w:shd w:val="clear" w:color="auto"/>
              <w:spacing w:line="240" w:lineRule="auto"/>
              <w:rPr>
                <w:rFonts w:hint="eastAsia" w:ascii="宋体" w:hAnsi="宋体" w:eastAsia="宋体" w:cs="宋体"/>
                <w:b w:val="0"/>
                <w:bCs/>
                <w:color w:val="auto"/>
                <w:sz w:val="21"/>
                <w:szCs w:val="21"/>
                <w:highlight w:val="none"/>
                <w:lang w:val="en-US" w:eastAsia="zh-CN"/>
              </w:rPr>
            </w:pPr>
          </w:p>
        </w:tc>
        <w:tc>
          <w:tcPr>
            <w:tcW w:w="1556" w:type="dxa"/>
            <w:noWrap w:val="0"/>
            <w:vAlign w:val="center"/>
          </w:tcPr>
          <w:p w14:paraId="4FBCDE61">
            <w:pPr>
              <w:shd w:val="clear" w:color="auto"/>
              <w:spacing w:line="240" w:lineRule="auto"/>
              <w:rPr>
                <w:rFonts w:hint="eastAsia" w:ascii="宋体" w:hAnsi="宋体" w:eastAsia="宋体" w:cs="宋体"/>
                <w:b w:val="0"/>
                <w:bCs/>
                <w:color w:val="auto"/>
                <w:sz w:val="21"/>
                <w:szCs w:val="21"/>
                <w:highlight w:val="none"/>
                <w:lang w:val="en-US" w:eastAsia="zh-CN"/>
              </w:rPr>
            </w:pPr>
          </w:p>
        </w:tc>
      </w:tr>
      <w:tr w14:paraId="4F0B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1" w:hRule="atLeast"/>
        </w:trPr>
        <w:tc>
          <w:tcPr>
            <w:tcW w:w="9620" w:type="dxa"/>
            <w:gridSpan w:val="6"/>
            <w:noWrap w:val="0"/>
            <w:vAlign w:val="center"/>
          </w:tcPr>
          <w:p w14:paraId="575E0DD5">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考核办法：</w:t>
            </w:r>
          </w:p>
          <w:p w14:paraId="0089BF60">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日常考核评分按照《鳌江镇绿化养护考核服务质量表》执行实行倒扣分制其结果用于月考核评分。每月考核，累计按季度支付。月考核评分实行百分制，其考核取当月日常考核扣分之和，分值即月考核得分等于100分减去当月日常考核扣分累计数。考核得分情况与每季度管护经费的发放挂钩。</w:t>
            </w:r>
          </w:p>
          <w:p w14:paraId="76BFFD15">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A、月考核得分在94分及以上，当月管护合格，执行中标单价。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B、月考核得分在94分以下，当月管护经费单价下浮。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C、月考核得分在93分，含93分至94分，当月管护经费单价下浮1%。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C1、月考核得分在92分，含92分至93分，当月管护经费单价下浮2%。 </w:t>
            </w:r>
          </w:p>
          <w:p w14:paraId="77B173ED">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C2、月考核得分在91分，含91分至92分，当月管护经费单价下浮3%。 </w:t>
            </w:r>
          </w:p>
          <w:p w14:paraId="3BA7135D">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C3、月考核得分在90分，含90分至91分，当月管护经费单价下浮4%。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C4、月考核得分在88分，含88分至90分，当月管护经费单价下浮7%。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C5、月考核得分在86分，含86分至88分，当月管护经费单价下浮8%。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D、月考核得分在86分以下，当月管护经费单价下浮10%。 中标人若连续两个月考核86分以下，取消管护资格。 </w:t>
            </w:r>
          </w:p>
          <w:p w14:paraId="4884BE68">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巡查考核人员在进行检查考核时详实记录考核时间、地点和考核情况加以照片记录。 </w:t>
            </w:r>
          </w:p>
          <w:p w14:paraId="75E05944">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（三）管护作业单位不得以任何理由拒绝检查考核。</w:t>
            </w:r>
          </w:p>
        </w:tc>
      </w:tr>
    </w:tbl>
    <w:p w14:paraId="597F75AE">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15AD8DA2">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4C3D7607">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0701F30B">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r>
        <w:rPr>
          <w:rFonts w:hint="eastAsia" w:ascii="仿宋_GB2312" w:hAnsi="仿宋_GB2312" w:eastAsia="宋体" w:cs="Times New Roman"/>
          <w:b/>
          <w:color w:val="auto"/>
          <w:kern w:val="0"/>
          <w:sz w:val="22"/>
          <w:szCs w:val="20"/>
          <w:highlight w:val="none"/>
          <w:lang w:eastAsia="zh-CN"/>
        </w:rPr>
        <w:t>养护等级附表（</w:t>
      </w:r>
      <w:r>
        <w:rPr>
          <w:rFonts w:hint="eastAsia" w:ascii="仿宋_GB2312" w:hAnsi="仿宋_GB2312" w:eastAsia="宋体" w:cs="Times New Roman"/>
          <w:b/>
          <w:color w:val="auto"/>
          <w:kern w:val="0"/>
          <w:sz w:val="22"/>
          <w:szCs w:val="20"/>
          <w:highlight w:val="none"/>
          <w:lang w:val="en-US" w:eastAsia="zh-CN"/>
        </w:rPr>
        <w:t>A、B、C、D、E、F、G</w:t>
      </w:r>
      <w:r>
        <w:rPr>
          <w:rFonts w:hint="eastAsia" w:ascii="仿宋_GB2312" w:hAnsi="仿宋_GB2312" w:eastAsia="宋体" w:cs="Times New Roman"/>
          <w:b/>
          <w:color w:val="auto"/>
          <w:kern w:val="0"/>
          <w:sz w:val="22"/>
          <w:szCs w:val="20"/>
          <w:highlight w:val="none"/>
          <w:lang w:eastAsia="zh-CN"/>
        </w:rPr>
        <w:t>）</w:t>
      </w:r>
    </w:p>
    <w:p w14:paraId="3901F314">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rPr>
      </w:pPr>
      <w:r>
        <w:rPr>
          <w:rFonts w:hint="eastAsia" w:ascii="仿宋_GB2312" w:hAnsi="仿宋_GB2312" w:eastAsia="宋体" w:cs="Times New Roman"/>
          <w:b/>
          <w:color w:val="auto"/>
          <w:kern w:val="0"/>
          <w:sz w:val="22"/>
          <w:szCs w:val="20"/>
          <w:highlight w:val="none"/>
        </w:rPr>
        <w:t>表A 树木养护质量等级</w:t>
      </w:r>
    </w:p>
    <w:tbl>
      <w:tblPr>
        <w:tblStyle w:val="13"/>
        <w:tblW w:w="9758" w:type="dxa"/>
        <w:tblInd w:w="0" w:type="dxa"/>
        <w:tblLayout w:type="autofit"/>
        <w:tblCellMar>
          <w:top w:w="0" w:type="dxa"/>
          <w:left w:w="0" w:type="dxa"/>
          <w:bottom w:w="0" w:type="dxa"/>
          <w:right w:w="0" w:type="dxa"/>
        </w:tblCellMar>
      </w:tblPr>
      <w:tblGrid>
        <w:gridCol w:w="800"/>
        <w:gridCol w:w="1235"/>
        <w:gridCol w:w="2977"/>
        <w:gridCol w:w="2517"/>
        <w:gridCol w:w="2229"/>
      </w:tblGrid>
      <w:tr w14:paraId="2C6FD85D">
        <w:tblPrEx>
          <w:tblCellMar>
            <w:top w:w="0" w:type="dxa"/>
            <w:left w:w="0" w:type="dxa"/>
            <w:bottom w:w="0" w:type="dxa"/>
            <w:right w:w="0" w:type="dxa"/>
          </w:tblCellMar>
        </w:tblPrEx>
        <w:trPr>
          <w:trHeight w:val="502" w:hRule="atLeast"/>
        </w:trPr>
        <w:tc>
          <w:tcPr>
            <w:tcW w:w="800"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09AE146">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序号</w:t>
            </w:r>
          </w:p>
        </w:tc>
        <w:tc>
          <w:tcPr>
            <w:tcW w:w="1235"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2313CEB">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项目</w:t>
            </w:r>
          </w:p>
        </w:tc>
        <w:tc>
          <w:tcPr>
            <w:tcW w:w="7723"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F51E575">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质量要求</w:t>
            </w:r>
          </w:p>
        </w:tc>
      </w:tr>
      <w:tr w14:paraId="74980754">
        <w:tblPrEx>
          <w:tblCellMar>
            <w:top w:w="0" w:type="dxa"/>
            <w:left w:w="0" w:type="dxa"/>
            <w:bottom w:w="0" w:type="dxa"/>
            <w:right w:w="0" w:type="dxa"/>
          </w:tblCellMar>
        </w:tblPrEx>
        <w:trPr>
          <w:trHeight w:val="497"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18331F0A">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p>
        </w:tc>
        <w:tc>
          <w:tcPr>
            <w:tcW w:w="1235" w:type="dxa"/>
            <w:vMerge w:val="continue"/>
            <w:tcBorders>
              <w:top w:val="single" w:color="auto" w:sz="8" w:space="0"/>
              <w:left w:val="nil"/>
              <w:bottom w:val="single" w:color="auto" w:sz="8" w:space="0"/>
              <w:right w:val="single" w:color="auto" w:sz="8" w:space="0"/>
            </w:tcBorders>
            <w:noWrap w:val="0"/>
            <w:vAlign w:val="center"/>
          </w:tcPr>
          <w:p w14:paraId="49909622">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CEAE04B">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一级</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AE2B04F">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二级</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6757D16">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三级</w:t>
            </w:r>
          </w:p>
        </w:tc>
      </w:tr>
      <w:tr w14:paraId="26906C93">
        <w:tblPrEx>
          <w:tblCellMar>
            <w:top w:w="0" w:type="dxa"/>
            <w:left w:w="0" w:type="dxa"/>
            <w:bottom w:w="0" w:type="dxa"/>
            <w:right w:w="0" w:type="dxa"/>
          </w:tblCellMar>
        </w:tblPrEx>
        <w:trPr>
          <w:trHeight w:val="4831"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DD0AEA4">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97FAC72">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整体效果</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C4B2E49">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（1）树林、树丛群落结构合理，植株疏密得当，层次分明，林冠线和林缘线清晰饱满；</w:t>
            </w:r>
          </w:p>
          <w:p w14:paraId="53B4F05D">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（2）孤植树树形完美，树冠饱满；</w:t>
            </w:r>
          </w:p>
          <w:p w14:paraId="1F8EAD9F">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（3）行道树树冠完整，规格整齐、一致，分支点高度一致，缺株≤3%，树干挺直；</w:t>
            </w:r>
          </w:p>
          <w:p w14:paraId="06F60DED">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（4）绿篱无缺株，修剪面平整饱满，直线处平直，曲线处弧度圆润。</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EAC266E">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（1）树林、树丛群落结构基本合理，林冠线和林缘线基本完整；</w:t>
            </w:r>
          </w:p>
          <w:p w14:paraId="4A309E00">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（2）孤植树树形基本完美，树冠基本饱满；</w:t>
            </w:r>
          </w:p>
          <w:p w14:paraId="64D1055C">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（3）行道树树冠基本完整，规格基本整齐，无死树，缺株≤5%，树干基本挺直；</w:t>
            </w:r>
          </w:p>
          <w:p w14:paraId="55E41B62">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（4）绿篱基本无缺株，修剪面平整饱满，直线处平直，曲线处弧度圆润。</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63346DE">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（1）树林、树丛具有基本完整的外貌，有一定的群落结构；</w:t>
            </w:r>
          </w:p>
          <w:p w14:paraId="6AE1E9F4">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（2）孤植树树形基本完美，树冠基本饱满；</w:t>
            </w:r>
          </w:p>
          <w:p w14:paraId="2D381D94">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（3）行道树无死树，缺株≤8%，树冠基本统一，树干基本挺直；</w:t>
            </w:r>
          </w:p>
          <w:p w14:paraId="2BA46317">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（4）绿篱基本无缺株，修剪面平整饱满，直线处平直，曲线处弧度圆润。</w:t>
            </w:r>
          </w:p>
        </w:tc>
      </w:tr>
      <w:tr w14:paraId="4C5F759C">
        <w:tblPrEx>
          <w:tblCellMar>
            <w:top w:w="0" w:type="dxa"/>
            <w:left w:w="0" w:type="dxa"/>
            <w:bottom w:w="0" w:type="dxa"/>
            <w:right w:w="0" w:type="dxa"/>
          </w:tblCellMar>
        </w:tblPrEx>
        <w:trPr>
          <w:trHeight w:val="1454"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090F0D9">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F8192A4">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生长势</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5E47D7D">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枝叶生长茂盛，观花、观果树种正常开花结果，彩色树种季相特征明显，无枯枝。</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53688A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枝叶生长正常，观花、观果树种正常开花结果，无明显枯枝。</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B30618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植株生长量和色泽基本正常，观花、观果树种基本正常开花结果，无大型枯枝。</w:t>
            </w:r>
          </w:p>
        </w:tc>
      </w:tr>
      <w:tr w14:paraId="497C42F2">
        <w:tblPrEx>
          <w:tblCellMar>
            <w:top w:w="0" w:type="dxa"/>
            <w:left w:w="0" w:type="dxa"/>
            <w:bottom w:w="0" w:type="dxa"/>
            <w:right w:w="0" w:type="dxa"/>
          </w:tblCellMar>
        </w:tblPrEx>
        <w:trPr>
          <w:trHeight w:val="1731"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F20D611">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6B3FE4A">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排灌</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15CDF9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（1）暴雨后0.5d内无积水；</w:t>
            </w:r>
          </w:p>
          <w:p w14:paraId="641E151C">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（2）植株未出现失水萎蔫和沥涝现象。</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1E0D2C3">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（1）暴雨后0.5d内无积水；</w:t>
            </w:r>
          </w:p>
          <w:p w14:paraId="0121CDD4">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（2）植株基本无失水萎蔫和沥涝现象。</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CEF10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（1）暴雨后1d内无积水；</w:t>
            </w:r>
          </w:p>
          <w:p w14:paraId="30A8DA6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（2）植株失水或积水现象1d~2d内消除。</w:t>
            </w:r>
          </w:p>
        </w:tc>
      </w:tr>
      <w:tr w14:paraId="4886D6E9">
        <w:tblPrEx>
          <w:tblCellMar>
            <w:top w:w="0" w:type="dxa"/>
            <w:left w:w="0" w:type="dxa"/>
            <w:bottom w:w="0" w:type="dxa"/>
            <w:right w:w="0" w:type="dxa"/>
          </w:tblCellMar>
        </w:tblPrEx>
        <w:trPr>
          <w:trHeight w:val="1731"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8E5D2C9">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D9052E5">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病虫害情况</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D6036E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（1）基本无有害生物危害状；</w:t>
            </w:r>
          </w:p>
          <w:p w14:paraId="7C10DB6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（2）整体枝叶受害率≤8%，树干受害率≤5%。</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B32ABB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（1）无明显的有害生物危害状；</w:t>
            </w:r>
          </w:p>
          <w:p w14:paraId="77B0C5C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（2）整体枝叶受害率≤10%，树干受害率≤8%。</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C6347C8">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（1）无严重有害生物危害状；</w:t>
            </w:r>
          </w:p>
          <w:p w14:paraId="2D8151F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（2）整体枝叶受害率≤15%，树干受害率≤10%。</w:t>
            </w:r>
          </w:p>
        </w:tc>
      </w:tr>
      <w:tr w14:paraId="4FCDC56F">
        <w:tblPrEx>
          <w:tblCellMar>
            <w:top w:w="0" w:type="dxa"/>
            <w:left w:w="0" w:type="dxa"/>
            <w:bottom w:w="0" w:type="dxa"/>
            <w:right w:w="0" w:type="dxa"/>
          </w:tblCellMar>
        </w:tblPrEx>
        <w:trPr>
          <w:trHeight w:val="993"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5AD836E">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E6A59AC">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补植完成时间</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427007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≤3d</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FEC76F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≤7d</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64A613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≤20d</w:t>
            </w:r>
          </w:p>
        </w:tc>
      </w:tr>
    </w:tbl>
    <w:p w14:paraId="3CAB8D25">
      <w:pPr>
        <w:shd w:val="clear" w:color="auto"/>
        <w:rPr>
          <w:rFonts w:ascii="仿宋_GB2312" w:hAnsi="仿宋_GB2312"/>
          <w:b/>
          <w:color w:val="auto"/>
          <w:kern w:val="0"/>
          <w:sz w:val="22"/>
          <w:szCs w:val="20"/>
          <w:highlight w:val="none"/>
        </w:rPr>
      </w:pPr>
    </w:p>
    <w:p w14:paraId="2959924E">
      <w:pPr>
        <w:widowControl/>
        <w:shd w:val="clear" w:color="auto"/>
        <w:snapToGrid w:val="0"/>
        <w:spacing w:before="100" w:beforeAutospacing="1" w:after="100" w:afterAutospacing="1"/>
        <w:jc w:val="left"/>
        <w:rPr>
          <w:rFonts w:ascii="宋体" w:hAnsi="宋体" w:eastAsia="宋体" w:cs="宋体"/>
          <w:color w:val="auto"/>
          <w:kern w:val="0"/>
          <w:sz w:val="20"/>
          <w:szCs w:val="20"/>
          <w:highlight w:val="none"/>
        </w:rPr>
        <w:sectPr>
          <w:footerReference r:id="rId6" w:type="first"/>
          <w:footerReference r:id="rId5" w:type="default"/>
          <w:pgSz w:w="11906" w:h="16838"/>
          <w:pgMar w:top="1440" w:right="1361" w:bottom="1440" w:left="1361" w:header="720" w:footer="720" w:gutter="0"/>
          <w:pgBorders w:offsetFrom="page">
            <w:top w:val="none" w:sz="0" w:space="0"/>
            <w:left w:val="none" w:sz="0" w:space="0"/>
            <w:bottom w:val="none" w:sz="0" w:space="0"/>
            <w:right w:val="none" w:sz="0" w:space="0"/>
          </w:pgBorders>
          <w:pgNumType w:fmt="decimal"/>
          <w:cols w:space="720" w:num="1"/>
          <w:titlePg/>
          <w:docGrid w:linePitch="286" w:charSpace="-3831"/>
        </w:sectPr>
      </w:pPr>
      <w:bookmarkStart w:id="7" w:name="_Toc423077560"/>
    </w:p>
    <w:bookmarkEnd w:id="7"/>
    <w:p w14:paraId="6F01C72C">
      <w:pPr>
        <w:widowControl/>
        <w:shd w:val="clear" w:color="auto"/>
        <w:snapToGrid w:val="0"/>
        <w:spacing w:before="100" w:beforeAutospacing="1" w:after="100" w:afterAutospacing="1"/>
        <w:jc w:val="left"/>
        <w:rPr>
          <w:rFonts w:ascii="宋体" w:hAnsi="宋体" w:eastAsia="宋体" w:cs="宋体"/>
          <w:b w:val="0"/>
          <w:bCs w:val="0"/>
          <w:color w:val="auto"/>
          <w:kern w:val="0"/>
          <w:sz w:val="24"/>
          <w:szCs w:val="24"/>
          <w:highlight w:val="none"/>
        </w:rPr>
      </w:pPr>
      <w:r>
        <w:rPr>
          <w:rFonts w:ascii="宋体" w:hAnsi="宋体" w:eastAsia="宋体" w:cs="宋体"/>
          <w:b w:val="0"/>
          <w:bCs w:val="0"/>
          <w:color w:val="auto"/>
          <w:kern w:val="0"/>
          <w:sz w:val="24"/>
          <w:szCs w:val="24"/>
          <w:highlight w:val="none"/>
        </w:rPr>
        <w:t>表B 花卉养护质量等级</w:t>
      </w:r>
    </w:p>
    <w:tbl>
      <w:tblPr>
        <w:tblStyle w:val="13"/>
        <w:tblW w:w="9453" w:type="dxa"/>
        <w:tblInd w:w="-167" w:type="dxa"/>
        <w:tblLayout w:type="autofit"/>
        <w:tblCellMar>
          <w:top w:w="0" w:type="dxa"/>
          <w:left w:w="0" w:type="dxa"/>
          <w:bottom w:w="0" w:type="dxa"/>
          <w:right w:w="0" w:type="dxa"/>
        </w:tblCellMar>
      </w:tblPr>
      <w:tblGrid>
        <w:gridCol w:w="694"/>
        <w:gridCol w:w="1575"/>
        <w:gridCol w:w="2244"/>
        <w:gridCol w:w="2520"/>
        <w:gridCol w:w="2420"/>
      </w:tblGrid>
      <w:tr w14:paraId="0A9E3B59">
        <w:tblPrEx>
          <w:tblCellMar>
            <w:top w:w="0" w:type="dxa"/>
            <w:left w:w="0" w:type="dxa"/>
            <w:bottom w:w="0" w:type="dxa"/>
            <w:right w:w="0" w:type="dxa"/>
          </w:tblCellMar>
        </w:tblPrEx>
        <w:trPr>
          <w:trHeight w:val="465" w:hRule="atLeast"/>
        </w:trPr>
        <w:tc>
          <w:tcPr>
            <w:tcW w:w="694" w:type="dxa"/>
            <w:vMerge w:val="restar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B190BD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序号</w:t>
            </w:r>
          </w:p>
        </w:tc>
        <w:tc>
          <w:tcPr>
            <w:tcW w:w="1575" w:type="dxa"/>
            <w:vMerge w:val="restar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6A85164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项目</w:t>
            </w:r>
          </w:p>
        </w:tc>
        <w:tc>
          <w:tcPr>
            <w:tcW w:w="7184" w:type="dxa"/>
            <w:gridSpan w:val="3"/>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6CA4101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质量要求</w:t>
            </w:r>
          </w:p>
        </w:tc>
      </w:tr>
      <w:tr w14:paraId="5DE9A22E">
        <w:tblPrEx>
          <w:tblCellMar>
            <w:top w:w="0" w:type="dxa"/>
            <w:left w:w="0" w:type="dxa"/>
            <w:bottom w:w="0" w:type="dxa"/>
            <w:right w:w="0" w:type="dxa"/>
          </w:tblCellMar>
        </w:tblPrEx>
        <w:trPr>
          <w:trHeight w:val="441" w:hRule="atLeast"/>
        </w:trPr>
        <w:tc>
          <w:tcPr>
            <w:tcW w:w="694" w:type="dxa"/>
            <w:vMerge w:val="continue"/>
            <w:tcBorders>
              <w:top w:val="single" w:color="000000" w:sz="8" w:space="0"/>
              <w:left w:val="single" w:color="000000" w:sz="8" w:space="0"/>
              <w:bottom w:val="single" w:color="000000" w:sz="8" w:space="0"/>
              <w:right w:val="single" w:color="000000" w:sz="8" w:space="0"/>
            </w:tcBorders>
            <w:noWrap w:val="0"/>
            <w:vAlign w:val="center"/>
          </w:tcPr>
          <w:p w14:paraId="70723E9C">
            <w:pPr>
              <w:widowControl/>
              <w:shd w:val="clear" w:color="auto"/>
              <w:jc w:val="left"/>
              <w:rPr>
                <w:rFonts w:ascii="宋体" w:hAnsi="宋体" w:eastAsia="宋体" w:cs="宋体"/>
                <w:b w:val="0"/>
                <w:bCs w:val="0"/>
                <w:color w:val="auto"/>
                <w:kern w:val="0"/>
                <w:sz w:val="22"/>
                <w:szCs w:val="22"/>
                <w:highlight w:val="none"/>
              </w:rPr>
            </w:pPr>
          </w:p>
        </w:tc>
        <w:tc>
          <w:tcPr>
            <w:tcW w:w="1575" w:type="dxa"/>
            <w:vMerge w:val="continue"/>
            <w:tcBorders>
              <w:top w:val="single" w:color="000000" w:sz="8" w:space="0"/>
              <w:left w:val="nil"/>
              <w:bottom w:val="single" w:color="000000" w:sz="8" w:space="0"/>
              <w:right w:val="single" w:color="000000" w:sz="8" w:space="0"/>
            </w:tcBorders>
            <w:noWrap w:val="0"/>
            <w:vAlign w:val="center"/>
          </w:tcPr>
          <w:p w14:paraId="6EFEFE66">
            <w:pPr>
              <w:widowControl/>
              <w:shd w:val="clear" w:color="auto"/>
              <w:jc w:val="left"/>
              <w:rPr>
                <w:rFonts w:ascii="宋体" w:hAnsi="宋体" w:eastAsia="宋体" w:cs="宋体"/>
                <w:b w:val="0"/>
                <w:bCs w:val="0"/>
                <w:color w:val="auto"/>
                <w:kern w:val="0"/>
                <w:sz w:val="22"/>
                <w:szCs w:val="22"/>
                <w:highlight w:val="none"/>
              </w:rPr>
            </w:pP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B9C466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一级</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3A7760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二级</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AF4460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三级</w:t>
            </w:r>
          </w:p>
        </w:tc>
      </w:tr>
      <w:tr w14:paraId="5EA4C690">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447BB65">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ADAA21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整体效果</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67F134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（1）缺株倒伏的花苗≤3%；</w:t>
            </w:r>
          </w:p>
          <w:p w14:paraId="09B180F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（2）基本无枯叶、残花。</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D627C3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（1）缺株倒伏的花苗≤7%；</w:t>
            </w:r>
          </w:p>
          <w:p w14:paraId="5D4DEE6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（2）枯叶、残花量≤5%。</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0A917B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（1）缺株倒伏的花苗≤10%；</w:t>
            </w:r>
          </w:p>
          <w:p w14:paraId="402ACA1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（2）枯叶、残花量≤8%。</w:t>
            </w:r>
          </w:p>
        </w:tc>
      </w:tr>
      <w:tr w14:paraId="3562B0DE">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47AB05E">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D608F1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生长势</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9C78CD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（1）植株生长健壮；</w:t>
            </w:r>
          </w:p>
          <w:p w14:paraId="64C7F0F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（2）茎干粗壮，基部分枝强健，蓬径饱满；</w:t>
            </w:r>
          </w:p>
          <w:p w14:paraId="75F869E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（3）花型美观，花色鲜艳，株高一致。</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5F819A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（1）植株生长基本健壮；</w:t>
            </w:r>
          </w:p>
          <w:p w14:paraId="78BD48C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（2）茎干粗壮，基部分枝强健，蓬径基本饱满；</w:t>
            </w:r>
          </w:p>
          <w:p w14:paraId="76A50ED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（3）株高一致。</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EAC516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（1）植株生长基本健壮；</w:t>
            </w:r>
          </w:p>
          <w:p w14:paraId="7063267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（2）茎干粗壮，基部分枝强健，蓬径基本饱满；</w:t>
            </w:r>
          </w:p>
          <w:p w14:paraId="092D2E3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（3）株高基本一致。</w:t>
            </w:r>
          </w:p>
        </w:tc>
      </w:tr>
      <w:tr w14:paraId="6637E502">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34039AD">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556799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排灌</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B9C885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（1）暴雨后0.5d内无积水；</w:t>
            </w:r>
          </w:p>
          <w:p w14:paraId="3CB324A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（2）植株未出现失水萎蔫现象。</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28F56A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（1）暴雨后0.5d内无积水；</w:t>
            </w:r>
          </w:p>
          <w:p w14:paraId="1B8D36B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（2）植株基本无失水萎蔫现象。</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7764E6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（1）暴雨后0.5d内无积水；</w:t>
            </w:r>
          </w:p>
          <w:p w14:paraId="7C7640E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（2）植株无明显失水萎蔫现象。</w:t>
            </w:r>
          </w:p>
        </w:tc>
      </w:tr>
      <w:tr w14:paraId="18194434">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A5AEE55">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4</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D22780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病虫害情况</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248F23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（1）基本无有害生物危害状；</w:t>
            </w:r>
          </w:p>
          <w:p w14:paraId="417F710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（2）植株受害率≤5%。</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937759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（1）无明显有害生物危害状；</w:t>
            </w:r>
          </w:p>
          <w:p w14:paraId="73B3C09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（2）植株受害率≤8%。</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ADBA12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（1）无严重有害生物危害状；</w:t>
            </w:r>
          </w:p>
          <w:p w14:paraId="230B7CB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（2）植株受害率≤10%。</w:t>
            </w:r>
          </w:p>
        </w:tc>
      </w:tr>
      <w:tr w14:paraId="383952BB">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C707865">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5</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FB3289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杂草覆盖率</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37D625B">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D6D4AF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≤5%</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796406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≤10%</w:t>
            </w:r>
          </w:p>
        </w:tc>
      </w:tr>
      <w:tr w14:paraId="2459A722">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16A9B3A">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6</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4F6CC7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补植完成时间</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27D254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≤3d </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FFDB6B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≤7d</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7A36EA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≤10d </w:t>
            </w:r>
          </w:p>
        </w:tc>
      </w:tr>
    </w:tbl>
    <w:p w14:paraId="49AECBD1">
      <w:pPr>
        <w:shd w:val="clear" w:color="auto"/>
        <w:rPr>
          <w:rFonts w:hint="eastAsia" w:ascii="仿宋_GB2312" w:hAnsi="仿宋_GB2312"/>
          <w:b/>
          <w:color w:val="auto"/>
          <w:kern w:val="0"/>
          <w:sz w:val="22"/>
          <w:szCs w:val="20"/>
          <w:highlight w:val="none"/>
        </w:rPr>
      </w:pPr>
    </w:p>
    <w:p w14:paraId="34BEC72F">
      <w:pPr>
        <w:shd w:val="clear" w:color="auto"/>
        <w:rPr>
          <w:rFonts w:hint="eastAsia"/>
          <w:color w:val="auto"/>
          <w:highlight w:val="none"/>
        </w:rPr>
        <w:sectPr>
          <w:pgSz w:w="11906" w:h="16838"/>
          <w:pgMar w:top="1440" w:right="1361" w:bottom="1440" w:left="1361" w:header="720" w:footer="720" w:gutter="0"/>
          <w:pgBorders w:offsetFrom="page">
            <w:top w:val="none" w:sz="0" w:space="0"/>
            <w:left w:val="none" w:sz="0" w:space="0"/>
            <w:bottom w:val="none" w:sz="0" w:space="0"/>
            <w:right w:val="none" w:sz="0" w:space="0"/>
          </w:pgBorders>
          <w:pgNumType w:fmt="decimal"/>
          <w:cols w:space="720" w:num="1"/>
          <w:titlePg/>
          <w:docGrid w:linePitch="286" w:charSpace="-3831"/>
        </w:sectPr>
      </w:pPr>
    </w:p>
    <w:p w14:paraId="7954B52A">
      <w:pPr>
        <w:widowControl/>
        <w:shd w:val="clear" w:color="auto"/>
        <w:snapToGrid w:val="0"/>
        <w:spacing w:before="100" w:beforeAutospacing="1" w:after="100" w:afterAutospacing="1"/>
        <w:jc w:val="left"/>
        <w:rPr>
          <w:rFonts w:ascii="宋体" w:hAnsi="宋体" w:eastAsia="宋体" w:cs="宋体"/>
          <w:b w:val="0"/>
          <w:bCs w:val="0"/>
          <w:color w:val="auto"/>
          <w:kern w:val="0"/>
          <w:sz w:val="24"/>
          <w:szCs w:val="24"/>
          <w:highlight w:val="none"/>
        </w:rPr>
      </w:pPr>
      <w:r>
        <w:rPr>
          <w:rFonts w:ascii="宋体" w:hAnsi="宋体" w:eastAsia="宋体" w:cs="宋体"/>
          <w:b w:val="0"/>
          <w:bCs w:val="0"/>
          <w:color w:val="auto"/>
          <w:kern w:val="0"/>
          <w:sz w:val="24"/>
          <w:szCs w:val="24"/>
          <w:highlight w:val="none"/>
        </w:rPr>
        <w:t>表C  草坪养护质量等级</w:t>
      </w:r>
    </w:p>
    <w:tbl>
      <w:tblPr>
        <w:tblStyle w:val="13"/>
        <w:tblW w:w="9362" w:type="dxa"/>
        <w:tblInd w:w="-137" w:type="dxa"/>
        <w:tblLayout w:type="autofit"/>
        <w:tblCellMar>
          <w:top w:w="0" w:type="dxa"/>
          <w:left w:w="0" w:type="dxa"/>
          <w:bottom w:w="0" w:type="dxa"/>
          <w:right w:w="0" w:type="dxa"/>
        </w:tblCellMar>
      </w:tblPr>
      <w:tblGrid>
        <w:gridCol w:w="769"/>
        <w:gridCol w:w="1276"/>
        <w:gridCol w:w="2550"/>
        <w:gridCol w:w="2246"/>
        <w:gridCol w:w="2521"/>
      </w:tblGrid>
      <w:tr w14:paraId="0FB3D9C0">
        <w:tblPrEx>
          <w:tblCellMar>
            <w:top w:w="0" w:type="dxa"/>
            <w:left w:w="0" w:type="dxa"/>
            <w:bottom w:w="0" w:type="dxa"/>
            <w:right w:w="0" w:type="dxa"/>
          </w:tblCellMar>
        </w:tblPrEx>
        <w:trPr>
          <w:trHeight w:val="449" w:hRule="atLeast"/>
        </w:trPr>
        <w:tc>
          <w:tcPr>
            <w:tcW w:w="769" w:type="dxa"/>
            <w:vMerge w:val="restar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069AABC">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序号</w:t>
            </w:r>
          </w:p>
        </w:tc>
        <w:tc>
          <w:tcPr>
            <w:tcW w:w="1276" w:type="dxa"/>
            <w:vMerge w:val="restar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47D4B15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项目</w:t>
            </w:r>
          </w:p>
        </w:tc>
        <w:tc>
          <w:tcPr>
            <w:tcW w:w="7317" w:type="dxa"/>
            <w:gridSpan w:val="3"/>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481210A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质量要求</w:t>
            </w:r>
          </w:p>
        </w:tc>
      </w:tr>
      <w:tr w14:paraId="2562AA72">
        <w:tblPrEx>
          <w:tblCellMar>
            <w:top w:w="0" w:type="dxa"/>
            <w:left w:w="0" w:type="dxa"/>
            <w:bottom w:w="0" w:type="dxa"/>
            <w:right w:w="0" w:type="dxa"/>
          </w:tblCellMar>
        </w:tblPrEx>
        <w:trPr>
          <w:trHeight w:val="452" w:hRule="atLeast"/>
        </w:trPr>
        <w:tc>
          <w:tcPr>
            <w:tcW w:w="769" w:type="dxa"/>
            <w:vMerge w:val="continue"/>
            <w:tcBorders>
              <w:top w:val="single" w:color="000000" w:sz="8" w:space="0"/>
              <w:left w:val="single" w:color="000000" w:sz="8" w:space="0"/>
              <w:bottom w:val="single" w:color="000000" w:sz="8" w:space="0"/>
              <w:right w:val="single" w:color="000000" w:sz="8" w:space="0"/>
            </w:tcBorders>
            <w:noWrap w:val="0"/>
            <w:vAlign w:val="center"/>
          </w:tcPr>
          <w:p w14:paraId="1B35074D">
            <w:pPr>
              <w:widowControl/>
              <w:shd w:val="clear" w:color="auto"/>
              <w:jc w:val="center"/>
              <w:rPr>
                <w:rFonts w:ascii="宋体" w:hAnsi="宋体" w:eastAsia="宋体" w:cs="宋体"/>
                <w:b w:val="0"/>
                <w:bCs w:val="0"/>
                <w:color w:val="auto"/>
                <w:kern w:val="0"/>
                <w:sz w:val="22"/>
                <w:szCs w:val="22"/>
                <w:highlight w:val="none"/>
              </w:rPr>
            </w:pPr>
          </w:p>
        </w:tc>
        <w:tc>
          <w:tcPr>
            <w:tcW w:w="1276" w:type="dxa"/>
            <w:vMerge w:val="continue"/>
            <w:tcBorders>
              <w:top w:val="single" w:color="000000" w:sz="8" w:space="0"/>
              <w:left w:val="nil"/>
              <w:bottom w:val="single" w:color="000000" w:sz="8" w:space="0"/>
              <w:right w:val="single" w:color="000000" w:sz="8" w:space="0"/>
            </w:tcBorders>
            <w:noWrap w:val="0"/>
            <w:vAlign w:val="center"/>
          </w:tcPr>
          <w:p w14:paraId="55AAA2EC">
            <w:pPr>
              <w:widowControl/>
              <w:shd w:val="clear" w:color="auto"/>
              <w:jc w:val="left"/>
              <w:rPr>
                <w:rFonts w:ascii="宋体" w:hAnsi="宋体" w:eastAsia="宋体" w:cs="宋体"/>
                <w:b w:val="0"/>
                <w:bCs w:val="0"/>
                <w:color w:val="auto"/>
                <w:kern w:val="0"/>
                <w:sz w:val="22"/>
                <w:szCs w:val="22"/>
                <w:highlight w:val="none"/>
              </w:rPr>
            </w:pP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88F594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一级</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9B11ED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二级</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A1EDFA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三级</w:t>
            </w:r>
          </w:p>
        </w:tc>
      </w:tr>
      <w:tr w14:paraId="540B5730">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A904A72">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398B11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整体效果</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4B86BF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（1）成坪高度应符合 现行国家标准《主要花卉产品等级 第7部分：草坪》GB/T 18247.7中开放型绿地草坪一级的标准要求；</w:t>
            </w:r>
          </w:p>
          <w:p w14:paraId="3830529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（2）修剪后无残留草屑，剪口无焦枯、撕裂现象。</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6D92E7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（1）成坪高度应符合 现行国家标准《主要花卉产品等级 第7部分：草坪》GB/T 18247.7中开放型绿地草坪二级的标准要求；（2）修剪后基本无残留草屑，剪口基本无撕裂现象。</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42830E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（1）成坪高度应符合 现行国家标准《主要花卉产品等级 第7部分：草坪》GB/T 18247.7中开放型绿地草坪三级的标准要求；</w:t>
            </w:r>
          </w:p>
          <w:p w14:paraId="1E46A45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（2）修剪后无明显残留草屑，剪口无明显撕裂现象。</w:t>
            </w:r>
          </w:p>
        </w:tc>
      </w:tr>
      <w:tr w14:paraId="68DDEA5C">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76D4694">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F37400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生长势</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E74B1A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生长茂盛</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11D9B2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生长良好</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D6FCB9B">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生长基本正常</w:t>
            </w:r>
          </w:p>
        </w:tc>
      </w:tr>
      <w:tr w14:paraId="06DECDD2">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1522FA7">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6CAB7B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排灌</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254168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（1）暴雨后0.5d内无积水；</w:t>
            </w:r>
          </w:p>
          <w:p w14:paraId="664CDD5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（2）草坪无失水萎蔫现象。</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E4A7DE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（1）暴雨后0.5d内积水；</w:t>
            </w:r>
          </w:p>
          <w:p w14:paraId="1AB44C4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（2）草坪基本无失水萎蔫现象。</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5F8CD3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（1）暴雨后1d内无积水；</w:t>
            </w:r>
          </w:p>
          <w:p w14:paraId="230B69A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（2）草坪无明显失水萎蔫现象。</w:t>
            </w:r>
          </w:p>
        </w:tc>
      </w:tr>
      <w:tr w14:paraId="1A1833B3">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E4A1CED">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4</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587714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有病虫害情况</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0377D7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（1）草坪草受害度应符合现行国家标准 《主要花卉产品等级 第7部分：草坪》GB/T 18247.7中开放型绿地草坪一级标准的要求；</w:t>
            </w:r>
          </w:p>
          <w:p w14:paraId="7CE758A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（2）杂草率应符合现行国家标准 《主要花卉产品等级 第7部分：草坪》 GB/T 18247.7中开放型绿地草坪一级标准的要求。</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721FE6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（1）草坪草受害度应符合现行国家标准 《主要花卉产品等级 第7部分：草坪》GB/T 18247.7中开放型绿地草坪二级标准的要求；</w:t>
            </w:r>
          </w:p>
          <w:p w14:paraId="24DF5E7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（2）杂草率应符合现行国家标准 《主要花卉产品等级 第7部分：草坪》 GB/T 18247.7中开放型绿地草坪二级标准的要求。</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AE8348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（1）草坪草受害度应符合现行国家标准 《主要花卉产品等级 第7部分：草坪》GB/T 18247.7中开放型绿地草坪三级标准的要求；</w:t>
            </w:r>
          </w:p>
          <w:p w14:paraId="716FC5F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（2）杂草率应符合现行国家标准 《主要花卉产品等级 第7部分：草坪》 GB/T 18247.7中开放型绿地草坪三级标准的要求。</w:t>
            </w:r>
          </w:p>
        </w:tc>
      </w:tr>
      <w:tr w14:paraId="537A3E68">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BD59FA4">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5</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A60F15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覆盖度</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3DCCB7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应符合现行国家标准 《主要花卉产品等级 第7部分：草坪》GB/T 18247.7中开放型绿地草坪一级标准的要求</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EACEBF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应符合现行国家标准 《主要花卉产品等级 第7部分：草坪》GB/T 18247.7中开放型绿地草坪二级标准的要求</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69C8F5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应符合现行国家标准 《主要花卉产品等级 第7部分：草坪》GB/T 18247.7中开放型绿地草坪三级标准的要求</w:t>
            </w:r>
          </w:p>
        </w:tc>
      </w:tr>
      <w:tr w14:paraId="76CA9217">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FDA260D">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6</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33AB34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补植完成时间</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FDE44B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≤3d </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BB9213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≤7d</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9769C4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≤20d </w:t>
            </w:r>
          </w:p>
        </w:tc>
      </w:tr>
    </w:tbl>
    <w:p w14:paraId="35A62602">
      <w:pPr>
        <w:widowControl/>
        <w:shd w:val="clear" w:color="auto"/>
        <w:snapToGrid w:val="0"/>
        <w:spacing w:before="100" w:beforeAutospacing="1" w:after="100" w:afterAutospacing="1"/>
        <w:jc w:val="left"/>
        <w:rPr>
          <w:rFonts w:ascii="宋体" w:hAnsi="宋体" w:eastAsia="宋体" w:cs="宋体"/>
          <w:b w:val="0"/>
          <w:bCs w:val="0"/>
          <w:color w:val="auto"/>
          <w:kern w:val="0"/>
          <w:sz w:val="24"/>
          <w:szCs w:val="24"/>
          <w:highlight w:val="none"/>
        </w:rPr>
        <w:sectPr>
          <w:pgSz w:w="11906" w:h="16838"/>
          <w:pgMar w:top="1440" w:right="1361" w:bottom="1440" w:left="1361" w:header="720" w:footer="720" w:gutter="0"/>
          <w:pgBorders w:offsetFrom="page">
            <w:top w:val="none" w:sz="0" w:space="0"/>
            <w:left w:val="none" w:sz="0" w:space="0"/>
            <w:bottom w:val="none" w:sz="0" w:space="0"/>
            <w:right w:val="none" w:sz="0" w:space="0"/>
          </w:pgBorders>
          <w:pgNumType w:fmt="decimal"/>
          <w:cols w:space="720" w:num="1"/>
          <w:titlePg/>
          <w:docGrid w:linePitch="286" w:charSpace="-3831"/>
        </w:sectPr>
      </w:pPr>
      <w:bookmarkStart w:id="8" w:name="_Toc423077562"/>
    </w:p>
    <w:bookmarkEnd w:id="8"/>
    <w:p w14:paraId="38AEA353">
      <w:pPr>
        <w:widowControl/>
        <w:shd w:val="clear" w:color="auto"/>
        <w:snapToGrid w:val="0"/>
        <w:spacing w:before="100" w:beforeAutospacing="1" w:after="100" w:afterAutospacing="1"/>
        <w:jc w:val="left"/>
        <w:rPr>
          <w:rFonts w:ascii="宋体" w:hAnsi="宋体" w:eastAsia="宋体" w:cs="宋体"/>
          <w:b w:val="0"/>
          <w:bCs w:val="0"/>
          <w:color w:val="auto"/>
          <w:kern w:val="0"/>
          <w:sz w:val="24"/>
          <w:szCs w:val="24"/>
          <w:highlight w:val="none"/>
        </w:rPr>
      </w:pPr>
      <w:r>
        <w:rPr>
          <w:rFonts w:ascii="宋体" w:hAnsi="宋体" w:eastAsia="宋体" w:cs="宋体"/>
          <w:b w:val="0"/>
          <w:bCs w:val="0"/>
          <w:color w:val="auto"/>
          <w:kern w:val="0"/>
          <w:sz w:val="24"/>
          <w:szCs w:val="24"/>
          <w:highlight w:val="none"/>
        </w:rPr>
        <w:t>表D  地被养护质量等级</w:t>
      </w:r>
    </w:p>
    <w:tbl>
      <w:tblPr>
        <w:tblStyle w:val="13"/>
        <w:tblpPr w:leftFromText="180" w:rightFromText="180" w:vertAnchor="text" w:tblpX="-177"/>
        <w:tblW w:w="0" w:type="auto"/>
        <w:tblInd w:w="0" w:type="dxa"/>
        <w:tblLayout w:type="autofit"/>
        <w:tblCellMar>
          <w:top w:w="0" w:type="dxa"/>
          <w:left w:w="0" w:type="dxa"/>
          <w:bottom w:w="0" w:type="dxa"/>
          <w:right w:w="0" w:type="dxa"/>
        </w:tblCellMar>
      </w:tblPr>
      <w:tblGrid>
        <w:gridCol w:w="765"/>
        <w:gridCol w:w="1461"/>
        <w:gridCol w:w="2433"/>
        <w:gridCol w:w="2558"/>
        <w:gridCol w:w="2206"/>
      </w:tblGrid>
      <w:tr w14:paraId="5A6090D6">
        <w:tblPrEx>
          <w:tblCellMar>
            <w:top w:w="0" w:type="dxa"/>
            <w:left w:w="0" w:type="dxa"/>
            <w:bottom w:w="0" w:type="dxa"/>
            <w:right w:w="0" w:type="dxa"/>
          </w:tblCellMar>
        </w:tblPrEx>
        <w:trPr>
          <w:trHeight w:val="454" w:hRule="atLeast"/>
        </w:trPr>
        <w:tc>
          <w:tcPr>
            <w:tcW w:w="765"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BBCD0C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序</w:t>
            </w:r>
          </w:p>
          <w:p w14:paraId="5AC28FE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号</w:t>
            </w:r>
          </w:p>
        </w:tc>
        <w:tc>
          <w:tcPr>
            <w:tcW w:w="1461"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D83671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项目</w:t>
            </w:r>
          </w:p>
        </w:tc>
        <w:tc>
          <w:tcPr>
            <w:tcW w:w="7197"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A60548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质量要求</w:t>
            </w:r>
          </w:p>
        </w:tc>
      </w:tr>
      <w:tr w14:paraId="5B09ECA0">
        <w:tblPrEx>
          <w:tblCellMar>
            <w:top w:w="0" w:type="dxa"/>
            <w:left w:w="0" w:type="dxa"/>
            <w:bottom w:w="0" w:type="dxa"/>
            <w:right w:w="0" w:type="dxa"/>
          </w:tblCellMar>
        </w:tblPrEx>
        <w:trPr>
          <w:trHeight w:val="460" w:hRule="atLeast"/>
        </w:trPr>
        <w:tc>
          <w:tcPr>
            <w:tcW w:w="765" w:type="dxa"/>
            <w:vMerge w:val="continue"/>
            <w:tcBorders>
              <w:top w:val="single" w:color="auto" w:sz="8" w:space="0"/>
              <w:left w:val="single" w:color="auto" w:sz="8" w:space="0"/>
              <w:bottom w:val="single" w:color="auto" w:sz="8" w:space="0"/>
              <w:right w:val="single" w:color="auto" w:sz="8" w:space="0"/>
            </w:tcBorders>
            <w:noWrap w:val="0"/>
            <w:vAlign w:val="center"/>
          </w:tcPr>
          <w:p w14:paraId="28C007C7">
            <w:pPr>
              <w:widowControl/>
              <w:shd w:val="clear" w:color="auto"/>
              <w:jc w:val="left"/>
              <w:rPr>
                <w:rFonts w:ascii="宋体" w:hAnsi="宋体" w:eastAsia="宋体" w:cs="宋体"/>
                <w:b w:val="0"/>
                <w:bCs w:val="0"/>
                <w:color w:val="auto"/>
                <w:kern w:val="0"/>
                <w:sz w:val="22"/>
                <w:szCs w:val="22"/>
                <w:highlight w:val="none"/>
              </w:rPr>
            </w:pPr>
          </w:p>
        </w:tc>
        <w:tc>
          <w:tcPr>
            <w:tcW w:w="1461" w:type="dxa"/>
            <w:vMerge w:val="continue"/>
            <w:tcBorders>
              <w:top w:val="single" w:color="auto" w:sz="8" w:space="0"/>
              <w:left w:val="nil"/>
              <w:bottom w:val="single" w:color="auto" w:sz="8" w:space="0"/>
              <w:right w:val="single" w:color="auto" w:sz="8" w:space="0"/>
            </w:tcBorders>
            <w:noWrap w:val="0"/>
            <w:vAlign w:val="center"/>
          </w:tcPr>
          <w:p w14:paraId="5DC4D8A0">
            <w:pPr>
              <w:widowControl/>
              <w:shd w:val="clear" w:color="auto"/>
              <w:jc w:val="left"/>
              <w:rPr>
                <w:rFonts w:ascii="宋体" w:hAnsi="宋体" w:eastAsia="宋体" w:cs="宋体"/>
                <w:b w:val="0"/>
                <w:bCs w:val="0"/>
                <w:color w:val="auto"/>
                <w:kern w:val="0"/>
                <w:sz w:val="22"/>
                <w:szCs w:val="22"/>
                <w:highlight w:val="none"/>
              </w:rPr>
            </w:pP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24B4A4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一级</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F2EAA6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二级</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2737C0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三级</w:t>
            </w:r>
          </w:p>
        </w:tc>
      </w:tr>
      <w:tr w14:paraId="13563613">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AF8E76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EBA4F2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整体效果</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73D048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（1）植株规格一致；</w:t>
            </w:r>
          </w:p>
          <w:p w14:paraId="496382F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（2）无死株，群体景观效果好。</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73FA63F">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（1）植株规格基本一致；</w:t>
            </w:r>
          </w:p>
          <w:p w14:paraId="1B1E800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（2）基本无死株，群体景观效果较好。</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2B06D6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群体景观效果较好</w:t>
            </w:r>
          </w:p>
        </w:tc>
      </w:tr>
      <w:tr w14:paraId="28C9D7BA">
        <w:tblPrEx>
          <w:tblCellMar>
            <w:top w:w="0" w:type="dxa"/>
            <w:left w:w="0" w:type="dxa"/>
            <w:bottom w:w="0" w:type="dxa"/>
            <w:right w:w="0" w:type="dxa"/>
          </w:tblCellMar>
        </w:tblPrEx>
        <w:trPr>
          <w:trHeight w:val="465" w:hRule="atLeast"/>
        </w:trPr>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23AE8B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BE4273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生长势</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C47BFA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生长茂盛</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D6BDC0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生长良好</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A8EAE6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生长基本良好</w:t>
            </w:r>
          </w:p>
        </w:tc>
      </w:tr>
      <w:tr w14:paraId="3AB4ECEC">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CC1BD90">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B8E6E6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排灌</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006AD21">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（1）木本地被暴雨后0.5d内无积水；草本地被雨后1h无积水；</w:t>
            </w:r>
          </w:p>
          <w:p w14:paraId="1EDBBB10">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（2）植株无失水萎蔫现象。</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66AF801">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（1）木本地被暴雨后0.5d 内无积水；草本地被雨后4h无积水；</w:t>
            </w:r>
          </w:p>
          <w:p w14:paraId="115B3801">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（2）植株基本无失水萎蔫现象。</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FFB7D4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（1）木本地被暴雨后1d 内无积水；草本地被雨后6h无积水；</w:t>
            </w:r>
          </w:p>
          <w:p w14:paraId="60DE895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（2）植株无明显失水萎蔫现象。</w:t>
            </w:r>
          </w:p>
        </w:tc>
      </w:tr>
      <w:tr w14:paraId="555C0CCA">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934E9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4</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C6FFB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病虫害情况</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25728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（1）基本无有害生物危害状；</w:t>
            </w:r>
          </w:p>
          <w:p w14:paraId="4306770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（2）受害率≤10%；</w:t>
            </w:r>
          </w:p>
          <w:p w14:paraId="085AE18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（3）无影响景观杂草。</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F7E3CA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（1）无明显有害生物危害状；</w:t>
            </w:r>
          </w:p>
          <w:p w14:paraId="0AE26FA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（2）受害率≤15%；</w:t>
            </w:r>
          </w:p>
          <w:p w14:paraId="3C3BF8A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（3）基本无影响景观杂草。</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CFF771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（1）无严重有害生物危害状；</w:t>
            </w:r>
          </w:p>
          <w:p w14:paraId="3207B69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（2）受害率≤20%；</w:t>
            </w:r>
          </w:p>
          <w:p w14:paraId="0E25C0A0">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（3）无明显影响景观杂草。</w:t>
            </w:r>
          </w:p>
        </w:tc>
      </w:tr>
      <w:tr w14:paraId="05E96439">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5110FD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5</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905842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覆盖率</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29A21E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≥95%</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6DBBBA0">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≥90%</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50E41AF">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≥85%</w:t>
            </w:r>
          </w:p>
        </w:tc>
      </w:tr>
      <w:tr w14:paraId="749F2EB7">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DEC894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6</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984770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补植完成时间</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3408BF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≤3d</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849964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≤7d</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66E85A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≤20d </w:t>
            </w:r>
          </w:p>
        </w:tc>
      </w:tr>
    </w:tbl>
    <w:p w14:paraId="6CD8CB5B">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656F2CCE">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05B4105A">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733642B8">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2F23BBF2">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5B2EF7E7">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15EB6E17">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31B8D274">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406F3B6F">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6E1B2D82">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352501F6">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74304406">
      <w:pPr>
        <w:widowControl/>
        <w:shd w:val="clear" w:color="auto"/>
        <w:snapToGrid w:val="0"/>
        <w:spacing w:before="100" w:beforeAutospacing="1" w:after="100" w:afterAutospacing="1"/>
        <w:jc w:val="left"/>
        <w:rPr>
          <w:rFonts w:hint="eastAsia" w:ascii="仿宋_GB2312" w:hAnsi="仿宋_GB2312"/>
          <w:b/>
          <w:color w:val="auto"/>
          <w:kern w:val="0"/>
          <w:sz w:val="22"/>
          <w:szCs w:val="20"/>
          <w:highlight w:val="none"/>
        </w:rPr>
      </w:pPr>
      <w:r>
        <w:rPr>
          <w:rFonts w:hint="eastAsia" w:ascii="宋体" w:hAnsi="宋体" w:eastAsia="宋体" w:cs="宋体"/>
          <w:b w:val="0"/>
          <w:bCs w:val="0"/>
          <w:color w:val="auto"/>
          <w:kern w:val="0"/>
          <w:sz w:val="24"/>
          <w:szCs w:val="24"/>
          <w:highlight w:val="none"/>
        </w:rPr>
        <w:t>表E  水生植物养护质量等级</w:t>
      </w:r>
    </w:p>
    <w:tbl>
      <w:tblPr>
        <w:tblStyle w:val="13"/>
        <w:tblW w:w="9538" w:type="dxa"/>
        <w:tblInd w:w="0" w:type="dxa"/>
        <w:tblLayout w:type="autofit"/>
        <w:tblCellMar>
          <w:top w:w="0" w:type="dxa"/>
          <w:left w:w="0" w:type="dxa"/>
          <w:bottom w:w="0" w:type="dxa"/>
          <w:right w:w="0" w:type="dxa"/>
        </w:tblCellMar>
      </w:tblPr>
      <w:tblGrid>
        <w:gridCol w:w="1107"/>
        <w:gridCol w:w="1391"/>
        <w:gridCol w:w="2283"/>
        <w:gridCol w:w="2387"/>
        <w:gridCol w:w="2370"/>
      </w:tblGrid>
      <w:tr w14:paraId="78CD753A">
        <w:tblPrEx>
          <w:tblCellMar>
            <w:top w:w="0" w:type="dxa"/>
            <w:left w:w="0" w:type="dxa"/>
            <w:bottom w:w="0" w:type="dxa"/>
            <w:right w:w="0" w:type="dxa"/>
          </w:tblCellMar>
        </w:tblPrEx>
        <w:trPr>
          <w:trHeight w:val="476" w:hRule="atLeast"/>
        </w:trPr>
        <w:tc>
          <w:tcPr>
            <w:tcW w:w="1107"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EA78EA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序号</w:t>
            </w:r>
          </w:p>
        </w:tc>
        <w:tc>
          <w:tcPr>
            <w:tcW w:w="1391"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EF8C58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项目</w:t>
            </w:r>
          </w:p>
        </w:tc>
        <w:tc>
          <w:tcPr>
            <w:tcW w:w="7040"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EB995F0">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质量要求</w:t>
            </w:r>
          </w:p>
        </w:tc>
      </w:tr>
      <w:tr w14:paraId="6FB52069">
        <w:tblPrEx>
          <w:tblCellMar>
            <w:top w:w="0" w:type="dxa"/>
            <w:left w:w="0" w:type="dxa"/>
            <w:bottom w:w="0" w:type="dxa"/>
            <w:right w:w="0" w:type="dxa"/>
          </w:tblCellMar>
        </w:tblPrEx>
        <w:trPr>
          <w:trHeight w:val="482" w:hRule="atLeast"/>
        </w:trPr>
        <w:tc>
          <w:tcPr>
            <w:tcW w:w="1107" w:type="dxa"/>
            <w:vMerge w:val="continue"/>
            <w:tcBorders>
              <w:top w:val="single" w:color="auto" w:sz="8" w:space="0"/>
              <w:left w:val="single" w:color="auto" w:sz="8" w:space="0"/>
              <w:bottom w:val="single" w:color="auto" w:sz="8" w:space="0"/>
              <w:right w:val="single" w:color="auto" w:sz="8" w:space="0"/>
            </w:tcBorders>
            <w:noWrap w:val="0"/>
            <w:vAlign w:val="center"/>
          </w:tcPr>
          <w:p w14:paraId="3E40B220">
            <w:pPr>
              <w:keepNext w:val="0"/>
              <w:keepLines w:val="0"/>
              <w:pageBreakBefore w:val="0"/>
              <w:widowControl/>
              <w:shd w:val="clear" w:color="auto"/>
              <w:kinsoku/>
              <w:wordWrap/>
              <w:overflowPunct/>
              <w:topLinePunct w:val="0"/>
              <w:autoSpaceDE/>
              <w:autoSpaceDN/>
              <w:bidi w:val="0"/>
              <w:adjustRightInd/>
              <w:snapToGrid/>
              <w:spacing w:line="280" w:lineRule="exact"/>
              <w:jc w:val="center"/>
              <w:textAlignment w:val="auto"/>
              <w:rPr>
                <w:rFonts w:ascii="宋体" w:hAnsi="宋体" w:eastAsia="宋体" w:cs="宋体"/>
                <w:b w:val="0"/>
                <w:bCs/>
                <w:color w:val="auto"/>
                <w:kern w:val="0"/>
                <w:sz w:val="22"/>
                <w:szCs w:val="22"/>
                <w:highlight w:val="none"/>
              </w:rPr>
            </w:pPr>
          </w:p>
        </w:tc>
        <w:tc>
          <w:tcPr>
            <w:tcW w:w="1391" w:type="dxa"/>
            <w:vMerge w:val="continue"/>
            <w:tcBorders>
              <w:top w:val="single" w:color="auto" w:sz="8" w:space="0"/>
              <w:left w:val="nil"/>
              <w:bottom w:val="single" w:color="auto" w:sz="8" w:space="0"/>
              <w:right w:val="single" w:color="auto" w:sz="8" w:space="0"/>
            </w:tcBorders>
            <w:noWrap w:val="0"/>
            <w:vAlign w:val="center"/>
          </w:tcPr>
          <w:p w14:paraId="3E72BB2A">
            <w:pPr>
              <w:keepNext w:val="0"/>
              <w:keepLines w:val="0"/>
              <w:pageBreakBefore w:val="0"/>
              <w:widowControl/>
              <w:shd w:val="clear" w:color="auto"/>
              <w:kinsoku/>
              <w:wordWrap/>
              <w:overflowPunct/>
              <w:topLinePunct w:val="0"/>
              <w:autoSpaceDE/>
              <w:autoSpaceDN/>
              <w:bidi w:val="0"/>
              <w:adjustRightInd/>
              <w:snapToGrid/>
              <w:spacing w:line="280" w:lineRule="exact"/>
              <w:jc w:val="left"/>
              <w:textAlignment w:val="auto"/>
              <w:rPr>
                <w:rFonts w:ascii="宋体" w:hAnsi="宋体" w:eastAsia="宋体" w:cs="宋体"/>
                <w:b w:val="0"/>
                <w:bCs/>
                <w:color w:val="auto"/>
                <w:kern w:val="0"/>
                <w:sz w:val="22"/>
                <w:szCs w:val="22"/>
                <w:highlight w:val="none"/>
              </w:rPr>
            </w:pP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347E52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一级</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C2BA0A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二级</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4EECC3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三级</w:t>
            </w:r>
          </w:p>
        </w:tc>
      </w:tr>
      <w:tr w14:paraId="218D807F">
        <w:tblPrEx>
          <w:tblCellMar>
            <w:top w:w="0" w:type="dxa"/>
            <w:left w:w="0" w:type="dxa"/>
            <w:bottom w:w="0" w:type="dxa"/>
            <w:right w:w="0" w:type="dxa"/>
          </w:tblCellMar>
        </w:tblPrEx>
        <w:trPr>
          <w:trHeight w:val="578"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23B174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08E220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整体效果</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A2D7E5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景观效果美观。无残花败叶漂浮。</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6C3B8F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景观效果明显。基本无残花败叶漂浮。</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30B2B7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景观效果明显。</w:t>
            </w:r>
          </w:p>
        </w:tc>
      </w:tr>
      <w:tr w14:paraId="3F99D2ED">
        <w:tblPrEx>
          <w:tblCellMar>
            <w:top w:w="0" w:type="dxa"/>
            <w:left w:w="0" w:type="dxa"/>
            <w:bottom w:w="0" w:type="dxa"/>
            <w:right w:w="0" w:type="dxa"/>
          </w:tblCellMar>
        </w:tblPrEx>
        <w:trPr>
          <w:trHeight w:val="2249"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E8EFC0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17F50F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生长势</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568346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（1）植株生长健壮。</w:t>
            </w:r>
          </w:p>
          <w:p w14:paraId="35C764F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 xml:space="preserve">（2）叶色正常；观花、观果植株正常开花结果； </w:t>
            </w:r>
          </w:p>
          <w:p w14:paraId="763A109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（3）枯死植株≤5%。</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E4AEB9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（1）植株生长良好。</w:t>
            </w:r>
          </w:p>
          <w:p w14:paraId="6D25243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 xml:space="preserve">（2）叶色正常；观花、观果植株正常开花结果； </w:t>
            </w:r>
          </w:p>
          <w:p w14:paraId="007A712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（3）枯死植株小于≤10%。</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E8DEE51">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（1）植株生长基本正常。</w:t>
            </w:r>
          </w:p>
          <w:p w14:paraId="352861CF">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（2）观花、观果植株正常开花结果；</w:t>
            </w:r>
          </w:p>
          <w:p w14:paraId="63313F3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（3）枯死植株小于≤15%。</w:t>
            </w:r>
          </w:p>
        </w:tc>
      </w:tr>
      <w:tr w14:paraId="72F0127A">
        <w:tblPrEx>
          <w:tblCellMar>
            <w:top w:w="0" w:type="dxa"/>
            <w:left w:w="0" w:type="dxa"/>
            <w:bottom w:w="0" w:type="dxa"/>
            <w:right w:w="0" w:type="dxa"/>
          </w:tblCellMar>
        </w:tblPrEx>
        <w:trPr>
          <w:trHeight w:val="578"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EB63EB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E28BCD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排灌</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BC04ED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暴雨后4h 恢复常水位。</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CC8FF3F">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暴雨后20h恢复常水位。</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2B311A3">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暴雨后48h恢复常水位。</w:t>
            </w:r>
          </w:p>
        </w:tc>
      </w:tr>
      <w:tr w14:paraId="06AFA6A0">
        <w:tblPrEx>
          <w:tblCellMar>
            <w:top w:w="0" w:type="dxa"/>
            <w:left w:w="0" w:type="dxa"/>
            <w:bottom w:w="0" w:type="dxa"/>
            <w:right w:w="0" w:type="dxa"/>
          </w:tblCellMar>
        </w:tblPrEx>
        <w:trPr>
          <w:trHeight w:val="578"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5BC4C7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4</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321CF0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病虫害情况</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01CF3A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基本无有害生物危害状，无杂草。</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D1DA8B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无明显有害生物危害状，无杂草。</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6203433">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无严重有害生物危害状。</w:t>
            </w:r>
          </w:p>
        </w:tc>
      </w:tr>
      <w:tr w14:paraId="47DAFB9A">
        <w:tblPrEx>
          <w:tblCellMar>
            <w:top w:w="0" w:type="dxa"/>
            <w:left w:w="0" w:type="dxa"/>
            <w:bottom w:w="0" w:type="dxa"/>
            <w:right w:w="0" w:type="dxa"/>
          </w:tblCellMar>
        </w:tblPrEx>
        <w:trPr>
          <w:trHeight w:val="299"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EDA3E03">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5</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E556E1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覆盖率</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DB3508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≥95%</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09E8803">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≥90%</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7D9AAC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≥85%</w:t>
            </w:r>
          </w:p>
        </w:tc>
      </w:tr>
      <w:tr w14:paraId="6702949A">
        <w:tblPrEx>
          <w:tblCellMar>
            <w:top w:w="0" w:type="dxa"/>
            <w:left w:w="0" w:type="dxa"/>
            <w:bottom w:w="0" w:type="dxa"/>
            <w:right w:w="0" w:type="dxa"/>
          </w:tblCellMar>
        </w:tblPrEx>
        <w:trPr>
          <w:trHeight w:val="597"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FDBC16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6</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F4096C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补植完成时间</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085C63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 xml:space="preserve">≤3d </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020DA0">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≤7d</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77AB65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≤10d</w:t>
            </w:r>
          </w:p>
        </w:tc>
      </w:tr>
    </w:tbl>
    <w:p w14:paraId="46F99D9E">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6C196124">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1B43B265">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22A6C1CF">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3584656F">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23E53F6D">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629C1D91">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50D18087">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19459DE3">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6FC7501F">
      <w:pPr>
        <w:widowControl w:val="0"/>
        <w:shd w:val="clear" w:color="auto"/>
        <w:autoSpaceDE/>
        <w:autoSpaceDN/>
        <w:adjustRightInd/>
        <w:spacing w:after="120" w:afterAutospacing="0"/>
        <w:ind w:firstLine="420"/>
        <w:jc w:val="both"/>
        <w:rPr>
          <w:rFonts w:hint="eastAsia" w:ascii="宋体" w:hAnsi="宋体" w:eastAsia="宋体" w:cs="宋体"/>
          <w:b w:val="0"/>
          <w:bCs w:val="0"/>
          <w:color w:val="auto"/>
          <w:kern w:val="0"/>
          <w:sz w:val="24"/>
          <w:szCs w:val="24"/>
          <w:highlight w:val="none"/>
          <w:lang w:val="en-US" w:eastAsia="zh-CN" w:bidi="ar-SA"/>
        </w:rPr>
      </w:pPr>
    </w:p>
    <w:p w14:paraId="651CDF2D">
      <w:pPr>
        <w:widowControl w:val="0"/>
        <w:shd w:val="clear" w:color="auto"/>
        <w:ind w:left="2100" w:leftChars="1000"/>
        <w:jc w:val="both"/>
        <w:rPr>
          <w:rFonts w:hint="eastAsia" w:ascii="宋体" w:hAnsi="宋体" w:eastAsia="宋体" w:cs="宋体"/>
          <w:b w:val="0"/>
          <w:bCs w:val="0"/>
          <w:color w:val="auto"/>
          <w:kern w:val="0"/>
          <w:sz w:val="24"/>
          <w:szCs w:val="24"/>
          <w:highlight w:val="none"/>
          <w:lang w:val="en-US" w:eastAsia="zh-CN" w:bidi="ar-SA"/>
        </w:rPr>
      </w:pPr>
    </w:p>
    <w:p w14:paraId="07AD872D">
      <w:pPr>
        <w:shd w:val="clear" w:color="auto"/>
        <w:rPr>
          <w:rFonts w:hint="eastAsia" w:ascii="宋体" w:hAnsi="宋体" w:eastAsia="宋体" w:cs="宋体"/>
          <w:b w:val="0"/>
          <w:bCs w:val="0"/>
          <w:color w:val="auto"/>
          <w:kern w:val="0"/>
          <w:sz w:val="24"/>
          <w:szCs w:val="24"/>
          <w:highlight w:val="none"/>
        </w:rPr>
      </w:pPr>
    </w:p>
    <w:p w14:paraId="5DF8BAA2">
      <w:pPr>
        <w:widowControl w:val="0"/>
        <w:shd w:val="clear" w:color="auto"/>
        <w:autoSpaceDE/>
        <w:autoSpaceDN/>
        <w:adjustRightInd/>
        <w:spacing w:after="120" w:afterAutospacing="0"/>
        <w:ind w:firstLine="420"/>
        <w:jc w:val="both"/>
        <w:rPr>
          <w:rFonts w:hint="eastAsia" w:ascii="Times New Roman" w:hAnsi="Times New Roman" w:eastAsia="宋体" w:cs="Times New Roman"/>
          <w:b w:val="0"/>
          <w:color w:val="auto"/>
          <w:kern w:val="2"/>
          <w:sz w:val="21"/>
          <w:szCs w:val="24"/>
          <w:highlight w:val="none"/>
          <w:lang w:val="en-US" w:eastAsia="zh-CN" w:bidi="ar-SA"/>
        </w:rPr>
      </w:pPr>
    </w:p>
    <w:p w14:paraId="4234AA4A">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表F  竹类养护质量等级</w:t>
      </w:r>
    </w:p>
    <w:tbl>
      <w:tblPr>
        <w:tblStyle w:val="13"/>
        <w:tblpPr w:leftFromText="180" w:rightFromText="180" w:vertAnchor="text" w:tblpX="-185"/>
        <w:tblW w:w="9484" w:type="dxa"/>
        <w:tblInd w:w="0" w:type="dxa"/>
        <w:tblLayout w:type="autofit"/>
        <w:tblCellMar>
          <w:top w:w="0" w:type="dxa"/>
          <w:left w:w="0" w:type="dxa"/>
          <w:bottom w:w="0" w:type="dxa"/>
          <w:right w:w="0" w:type="dxa"/>
        </w:tblCellMar>
      </w:tblPr>
      <w:tblGrid>
        <w:gridCol w:w="772"/>
        <w:gridCol w:w="1353"/>
        <w:gridCol w:w="2453"/>
        <w:gridCol w:w="2453"/>
        <w:gridCol w:w="2453"/>
      </w:tblGrid>
      <w:tr w14:paraId="7BE4AB83">
        <w:tblPrEx>
          <w:tblCellMar>
            <w:top w:w="0" w:type="dxa"/>
            <w:left w:w="0" w:type="dxa"/>
            <w:bottom w:w="0" w:type="dxa"/>
            <w:right w:w="0" w:type="dxa"/>
          </w:tblCellMar>
        </w:tblPrEx>
        <w:trPr>
          <w:trHeight w:val="458" w:hRule="atLeast"/>
        </w:trPr>
        <w:tc>
          <w:tcPr>
            <w:tcW w:w="772"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6531655">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序号</w:t>
            </w:r>
          </w:p>
        </w:tc>
        <w:tc>
          <w:tcPr>
            <w:tcW w:w="1353"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B66134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项目</w:t>
            </w:r>
          </w:p>
        </w:tc>
        <w:tc>
          <w:tcPr>
            <w:tcW w:w="7359"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D5C7A5B">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质量要求</w:t>
            </w:r>
          </w:p>
        </w:tc>
      </w:tr>
      <w:tr w14:paraId="0FBFC66D">
        <w:tblPrEx>
          <w:tblCellMar>
            <w:top w:w="0" w:type="dxa"/>
            <w:left w:w="0" w:type="dxa"/>
            <w:bottom w:w="0" w:type="dxa"/>
            <w:right w:w="0" w:type="dxa"/>
          </w:tblCellMar>
        </w:tblPrEx>
        <w:trPr>
          <w:trHeight w:val="464" w:hRule="atLeast"/>
        </w:trPr>
        <w:tc>
          <w:tcPr>
            <w:tcW w:w="772" w:type="dxa"/>
            <w:vMerge w:val="continue"/>
            <w:tcBorders>
              <w:top w:val="single" w:color="auto" w:sz="8" w:space="0"/>
              <w:left w:val="single" w:color="auto" w:sz="8" w:space="0"/>
              <w:bottom w:val="single" w:color="auto" w:sz="8" w:space="0"/>
              <w:right w:val="single" w:color="auto" w:sz="8" w:space="0"/>
            </w:tcBorders>
            <w:noWrap w:val="0"/>
            <w:vAlign w:val="center"/>
          </w:tcPr>
          <w:p w14:paraId="54B2FA04">
            <w:pPr>
              <w:widowControl/>
              <w:shd w:val="clear" w:color="auto"/>
              <w:jc w:val="left"/>
              <w:rPr>
                <w:rFonts w:ascii="宋体" w:hAnsi="宋体" w:eastAsia="宋体" w:cs="宋体"/>
                <w:b w:val="0"/>
                <w:bCs/>
                <w:color w:val="auto"/>
                <w:kern w:val="0"/>
                <w:sz w:val="22"/>
                <w:szCs w:val="22"/>
                <w:highlight w:val="none"/>
              </w:rPr>
            </w:pPr>
          </w:p>
        </w:tc>
        <w:tc>
          <w:tcPr>
            <w:tcW w:w="1353" w:type="dxa"/>
            <w:vMerge w:val="continue"/>
            <w:tcBorders>
              <w:top w:val="single" w:color="auto" w:sz="8" w:space="0"/>
              <w:left w:val="nil"/>
              <w:bottom w:val="single" w:color="auto" w:sz="8" w:space="0"/>
              <w:right w:val="single" w:color="auto" w:sz="8" w:space="0"/>
            </w:tcBorders>
            <w:noWrap w:val="0"/>
            <w:vAlign w:val="center"/>
          </w:tcPr>
          <w:p w14:paraId="044E6A7A">
            <w:pPr>
              <w:widowControl/>
              <w:shd w:val="clear" w:color="auto"/>
              <w:jc w:val="left"/>
              <w:rPr>
                <w:rFonts w:ascii="宋体" w:hAnsi="宋体" w:eastAsia="宋体" w:cs="宋体"/>
                <w:b w:val="0"/>
                <w:bCs/>
                <w:color w:val="auto"/>
                <w:kern w:val="0"/>
                <w:sz w:val="22"/>
                <w:szCs w:val="22"/>
                <w:highlight w:val="none"/>
              </w:rPr>
            </w:pP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A9DB4E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一级</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5DE58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二级</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51FE24C">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三级</w:t>
            </w:r>
          </w:p>
        </w:tc>
      </w:tr>
      <w:tr w14:paraId="634FAA61">
        <w:tblPrEx>
          <w:tblCellMar>
            <w:top w:w="0" w:type="dxa"/>
            <w:left w:w="0" w:type="dxa"/>
            <w:bottom w:w="0" w:type="dxa"/>
            <w:right w:w="0" w:type="dxa"/>
          </w:tblCellMar>
        </w:tblPrEx>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FFBDA4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4AC847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整体效果</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C25D46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（1）死竹、枯竹、破损竹≤3%；</w:t>
            </w:r>
          </w:p>
          <w:p w14:paraId="4602F574">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（2）有完整的林相。</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E7BBE3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（1）死竹、枯竹、破损竹≤7%；</w:t>
            </w:r>
          </w:p>
          <w:p w14:paraId="20E29E3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（2）有完整的林相。</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4E8CA5C">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（1）死竹、枯竹、破损竹≤10%；</w:t>
            </w:r>
          </w:p>
          <w:p w14:paraId="74DD67E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（2）林相基本完整。</w:t>
            </w:r>
          </w:p>
        </w:tc>
      </w:tr>
      <w:tr w14:paraId="558A9914">
        <w:tblPrEx>
          <w:tblCellMar>
            <w:top w:w="0" w:type="dxa"/>
            <w:left w:w="0" w:type="dxa"/>
            <w:bottom w:w="0" w:type="dxa"/>
            <w:right w:w="0" w:type="dxa"/>
          </w:tblCellMar>
        </w:tblPrEx>
        <w:trPr>
          <w:trHeight w:val="465" w:hRule="atLeast"/>
        </w:trPr>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06AC08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D45455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生长势</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102F3A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（1）竹丛通风透光，植株生长健壮；</w:t>
            </w:r>
          </w:p>
          <w:p w14:paraId="38BC783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（2）新、老竹生长比例适当；</w:t>
            </w:r>
          </w:p>
          <w:p w14:paraId="626D777D">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（3）竹鞭无裸露。</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873C34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（1）竹丛通风透光，植株生长良好；</w:t>
            </w:r>
          </w:p>
          <w:p w14:paraId="45F7A50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（2）新、老竹生长比例基本适当；</w:t>
            </w:r>
          </w:p>
          <w:p w14:paraId="57348A9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（3）竹鞭基本无裸露。</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1D0461C">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（1）植株生长良好；</w:t>
            </w:r>
          </w:p>
          <w:p w14:paraId="0440C33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（2）竹鞭无明显裸露。</w:t>
            </w:r>
          </w:p>
        </w:tc>
      </w:tr>
      <w:tr w14:paraId="3773C9C4">
        <w:tblPrEx>
          <w:tblCellMar>
            <w:top w:w="0" w:type="dxa"/>
            <w:left w:w="0" w:type="dxa"/>
            <w:bottom w:w="0" w:type="dxa"/>
            <w:right w:w="0" w:type="dxa"/>
          </w:tblCellMar>
        </w:tblPrEx>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AB0A1F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FB550A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排灌</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3AD768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（1）暴雨后0.5d内无积水；</w:t>
            </w:r>
          </w:p>
          <w:p w14:paraId="010DD2C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（2）植株无失水萎蔫现象。</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94ED8A5">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（1）暴雨后0.5d 内无积水；</w:t>
            </w:r>
          </w:p>
          <w:p w14:paraId="546D331C">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（2）植株基本无失水萎蔫现象。</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497D62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（1）暴雨后2d 内无积水；</w:t>
            </w:r>
          </w:p>
          <w:p w14:paraId="295F2F8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（2）植株失水萎蔫现象1d~2d内消除。</w:t>
            </w:r>
          </w:p>
        </w:tc>
      </w:tr>
      <w:tr w14:paraId="513003CC">
        <w:tblPrEx>
          <w:tblCellMar>
            <w:top w:w="0" w:type="dxa"/>
            <w:left w:w="0" w:type="dxa"/>
            <w:bottom w:w="0" w:type="dxa"/>
            <w:right w:w="0" w:type="dxa"/>
          </w:tblCellMar>
        </w:tblPrEx>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988D54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4</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FD2258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病虫害情况</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D22FF04">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（1）基本无有害生物危害状；</w:t>
            </w:r>
          </w:p>
          <w:p w14:paraId="7ABF6B5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（2）竹叶受害率≤8%以下；</w:t>
            </w:r>
          </w:p>
          <w:p w14:paraId="4357A2B3">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（3）竹梢、竹秆受害率≤5%。</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FCE949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（1）无明显有害生物危害状；</w:t>
            </w:r>
          </w:p>
          <w:p w14:paraId="655C7003">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（2）竹叶受害率≤10%；</w:t>
            </w:r>
          </w:p>
          <w:p w14:paraId="6C00DA1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（3）竹梢、竹秆受害率≤8%。</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DD77AF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（1）无严重有害生物危害状；</w:t>
            </w:r>
          </w:p>
          <w:p w14:paraId="5304F2C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（2）竹叶受害率≤15%；</w:t>
            </w:r>
          </w:p>
          <w:p w14:paraId="40F2F22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（3）竹梢、竹秆受害率≤10%。</w:t>
            </w:r>
          </w:p>
        </w:tc>
      </w:tr>
      <w:tr w14:paraId="781F534D">
        <w:tblPrEx>
          <w:tblCellMar>
            <w:top w:w="0" w:type="dxa"/>
            <w:left w:w="0" w:type="dxa"/>
            <w:bottom w:w="0" w:type="dxa"/>
            <w:right w:w="0" w:type="dxa"/>
          </w:tblCellMar>
        </w:tblPrEx>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D43F42B">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5</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F075D3D">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补植完成时间</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B09C76D">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≤3d</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8237AD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≤7d</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41D5ECD">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≤10d</w:t>
            </w:r>
          </w:p>
        </w:tc>
      </w:tr>
    </w:tbl>
    <w:p w14:paraId="76511B59">
      <w:pPr>
        <w:shd w:val="clear" w:color="auto"/>
        <w:rPr>
          <w:rFonts w:hint="eastAsia" w:ascii="仿宋_GB2312" w:hAnsi="仿宋_GB2312"/>
          <w:b/>
          <w:color w:val="auto"/>
          <w:kern w:val="0"/>
          <w:sz w:val="22"/>
          <w:szCs w:val="20"/>
          <w:highlight w:val="none"/>
          <w:lang w:val="en-US" w:eastAsia="zh-CN"/>
        </w:rPr>
      </w:pPr>
    </w:p>
    <w:p w14:paraId="63097DD0">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623D4B53">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1BAA46BC">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16AE8F22">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74C60B65">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03FC3A93">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0C9EC28A">
      <w:pPr>
        <w:shd w:val="clear" w:color="auto"/>
        <w:rPr>
          <w:rFonts w:hint="eastAsia" w:ascii="宋体" w:hAnsi="宋体" w:eastAsia="宋体" w:cs="宋体"/>
          <w:b w:val="0"/>
          <w:color w:val="auto"/>
          <w:kern w:val="0"/>
          <w:sz w:val="22"/>
          <w:szCs w:val="20"/>
          <w:highlight w:val="none"/>
          <w:lang w:val="zh-CN"/>
        </w:rPr>
      </w:pPr>
    </w:p>
    <w:p w14:paraId="3B2B5C00">
      <w:pPr>
        <w:widowControl/>
        <w:shd w:val="clear" w:color="auto"/>
        <w:spacing w:line="600" w:lineRule="exact"/>
        <w:jc w:val="center"/>
        <w:rPr>
          <w:rFonts w:hint="eastAsia" w:ascii="宋体" w:hAnsi="宋体" w:eastAsia="宋体" w:cs="宋体"/>
          <w:b/>
          <w:bCs/>
          <w:color w:val="auto"/>
          <w:kern w:val="0"/>
          <w:sz w:val="36"/>
          <w:szCs w:val="36"/>
          <w:highlight w:val="none"/>
          <w:lang w:eastAsia="zh-CN"/>
        </w:rPr>
      </w:pPr>
      <w:r>
        <w:rPr>
          <w:rFonts w:hint="eastAsia" w:ascii="宋体" w:hAnsi="宋体" w:eastAsia="宋体" w:cs="宋体"/>
          <w:b/>
          <w:bCs/>
          <w:color w:val="auto"/>
          <w:kern w:val="0"/>
          <w:sz w:val="36"/>
          <w:szCs w:val="36"/>
          <w:highlight w:val="none"/>
        </w:rPr>
        <w:t>鳌江镇绿化养护实施细则</w:t>
      </w:r>
      <w:r>
        <w:rPr>
          <w:rFonts w:hint="eastAsia" w:ascii="宋体" w:hAnsi="宋体" w:eastAsia="宋体" w:cs="宋体"/>
          <w:b/>
          <w:bCs/>
          <w:color w:val="auto"/>
          <w:kern w:val="0"/>
          <w:sz w:val="36"/>
          <w:szCs w:val="36"/>
          <w:highlight w:val="none"/>
          <w:lang w:eastAsia="zh-CN"/>
        </w:rPr>
        <w:t>（</w:t>
      </w:r>
      <w:r>
        <w:rPr>
          <w:rFonts w:hint="eastAsia" w:ascii="宋体" w:hAnsi="宋体" w:eastAsia="宋体" w:cs="宋体"/>
          <w:b/>
          <w:bCs/>
          <w:color w:val="auto"/>
          <w:kern w:val="0"/>
          <w:sz w:val="36"/>
          <w:szCs w:val="36"/>
          <w:highlight w:val="none"/>
          <w:lang w:val="en-US" w:eastAsia="zh-CN"/>
        </w:rPr>
        <w:t>标项一、标项二</w:t>
      </w:r>
      <w:r>
        <w:rPr>
          <w:rFonts w:hint="eastAsia" w:ascii="宋体" w:hAnsi="宋体" w:eastAsia="宋体" w:cs="宋体"/>
          <w:b/>
          <w:bCs/>
          <w:color w:val="auto"/>
          <w:kern w:val="0"/>
          <w:sz w:val="36"/>
          <w:szCs w:val="36"/>
          <w:highlight w:val="none"/>
          <w:lang w:eastAsia="zh-CN"/>
        </w:rPr>
        <w:t>）</w:t>
      </w:r>
    </w:p>
    <w:p w14:paraId="4D940F6E">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一、鳌江镇道路绿化作业考核办法 </w:t>
      </w:r>
    </w:p>
    <w:p w14:paraId="54F5698C">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第一章  总则 </w:t>
      </w:r>
    </w:p>
    <w:p w14:paraId="38A95179">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第一条  为规范鳌江镇园林绿化管护工作，正确评价及绿化管护作业单位工作推进绿化管护市场化，实施长效精细化管护，结合我镇园林绿化实际情况制定本办法。 </w:t>
      </w:r>
    </w:p>
    <w:p w14:paraId="41192C0C">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第二条  鳌江镇建设局是本办法实施的监督、检查、解释、考核的主管部门。 </w:t>
      </w:r>
    </w:p>
    <w:p w14:paraId="572A40CB">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第三条  本办法适用于在鳌江镇范围内投标进行园林绿化养护作业的园林绿化单位。 </w:t>
      </w:r>
    </w:p>
    <w:p w14:paraId="24A06C42">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第二章  考核范围 </w:t>
      </w:r>
    </w:p>
    <w:p w14:paraId="7F5D8C93">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鳌江范围内的所有街道、花坛、行道树、隔离带、交通环岛、绿地等一切公共绿地。 </w:t>
      </w:r>
    </w:p>
    <w:p w14:paraId="18856A6F">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第三章  鳌江镇园林绿化养护质量标准 </w:t>
      </w:r>
    </w:p>
    <w:p w14:paraId="418F1AF6">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一、总则 </w:t>
      </w:r>
    </w:p>
    <w:p w14:paraId="046B8769">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1、为了适应鳌江镇园林绿化发展的需要，保护园林绿化成果，提高园林绿化养护管理质量和水平，园林植物养护管理技术从节约型园林绿化的理念出发，特制定本技术标准。 </w:t>
      </w:r>
    </w:p>
    <w:p w14:paraId="75BE1DAE">
      <w:pPr>
        <w:widowControl/>
        <w:shd w:val="clear" w:color="auto"/>
        <w:spacing w:line="460" w:lineRule="exact"/>
        <w:ind w:left="-38" w:leftChars="-18" w:firstLine="466" w:firstLineChars="212"/>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2、本标准适用于鳌江镇范围内除生产绿地以外的各类园林绿化。</w:t>
      </w:r>
    </w:p>
    <w:p w14:paraId="4737E09E">
      <w:pPr>
        <w:widowControl/>
        <w:shd w:val="clear" w:color="auto"/>
        <w:spacing w:line="460" w:lineRule="exact"/>
        <w:ind w:left="-38" w:leftChars="-18" w:firstLine="466" w:firstLineChars="212"/>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3、生长势植物的生长强弱，泛指植物生长速度、整齐度、茎叶色泽、植株茁壮程度、分蘖或分枝的繁茂程度等。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4、树冠：树木主干以上集生枝叶的部分。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5、分枝点：乔木主干上开始出现分枝的部位。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6、整形修剪</w:t>
      </w:r>
    </w:p>
    <w:p w14:paraId="637FC709">
      <w:pPr>
        <w:widowControl/>
        <w:shd w:val="clear" w:color="auto"/>
        <w:spacing w:line="460" w:lineRule="exact"/>
        <w:ind w:left="-38" w:leftChars="-18"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用剪、锯、捆、绑、扎、牵引等手段摘除植株部分枝叶及使用绳、铁丝使枝条弯曲以保证树木长成特定形状的技术措施。 </w:t>
      </w:r>
    </w:p>
    <w:p w14:paraId="3A2B599B">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7、短截</w:t>
      </w:r>
    </w:p>
    <w:p w14:paraId="697919DA">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根据需要在枝条上选留几个合适的芽后将枝条剪短达到减少枝条、刺激侧芽萌发新梢的目的。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8、黄土不露</w:t>
      </w:r>
    </w:p>
    <w:p w14:paraId="5EACB4C4">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利用草坪、地被植物或树皮等其他材料对绿地内和树冠下的裸露土地进行覆盖以期达到绿化、美化、抑尘和保墒的目的。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9、测土施肥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通过测定土壤养分状况，有针对性地对园林植物进行施肥。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10、公园、游园绿地 </w:t>
      </w:r>
    </w:p>
    <w:p w14:paraId="5B5FD767">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向公众开放以游憩为主要功能，兼具生态、美化、防灾等作用的城市绿地。 </w:t>
      </w:r>
    </w:p>
    <w:p w14:paraId="7EEF8E31">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11、街旁绿地 </w:t>
      </w:r>
    </w:p>
    <w:p w14:paraId="7032D310">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位于城市道路用地之外，相对独立成片的绿地，包括街道广场绿地、小型沿街绿化用地等。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12、道路绿地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城市道路广场用地内的绿地。包括行道树绿带、分车绿带、交通岛绿地、交通广场和停车场绿地等。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13、居住绿地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城市居住用地内除社区公园之外的绿地。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14、滨河绿地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指沿江、河、湖等水体周围的自然式绿地。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15、分级养护管理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根据园林绿地所处位置的重要程度和养护管理水平的高低而将园林绿地的养护管理分成不同等级。 </w:t>
      </w:r>
      <w:r>
        <w:rPr>
          <w:rFonts w:hint="eastAsia" w:ascii="宋体" w:hAnsi="宋体" w:eastAsia="宋体" w:cs="宋体"/>
          <w:b w:val="0"/>
          <w:bCs/>
          <w:color w:val="auto"/>
          <w:kern w:val="0"/>
          <w:sz w:val="22"/>
          <w:szCs w:val="22"/>
          <w:highlight w:val="none"/>
        </w:rPr>
        <w:cr/>
      </w:r>
      <w:r>
        <w:rPr>
          <w:rFonts w:hint="eastAsia" w:ascii="宋体" w:hAnsi="宋体" w:eastAsia="宋体" w:cs="宋体"/>
          <w:b/>
          <w:bCs w:val="0"/>
          <w:color w:val="auto"/>
          <w:kern w:val="0"/>
          <w:sz w:val="22"/>
          <w:szCs w:val="22"/>
          <w:highlight w:val="none"/>
        </w:rPr>
        <w:t xml:space="preserve">二、城市园林绿化养护质量标准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1、城市园林绿化养护管理质量总体标准。</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1.1绿化养护技术措施完善，适时科学地实施养护植物及植物景观，基本达到设计要求，黄土不露天。资料档案管理科学有序。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 园林植物 </w:t>
      </w:r>
    </w:p>
    <w:p w14:paraId="7F09392A">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2.1 乔木 </w:t>
      </w:r>
    </w:p>
    <w:p w14:paraId="05FF3303">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2.1.1 树冠完整美观，分支点合适，基本无枯枝败叶。主侧枝分布匀称形成最佳的叶镶嵌效果，内膛枝不乱。叶片大小、颜色正常，常绿乔木基本无黄叶，落叶乔木应及时清理落叶。开花乔木花朵繁茂色泽艳丽，不同品种乔木的生物习性得到展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2.1.2 应依据园林绿化功能的需要和设计的要求充分考虑乔木与生长环境的关系、调整树形、均衡树势。每年必须根据树龄及生长势强弱进行修剪，调整乔木的通风、透光、促使乔木的生长。乔木的修剪应以自然树形为主。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2.1.3 孤植乔木应形态突出，树形完美、树冠饱满，符合观赏要求树穴覆盖完整。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2.1.4古树、大树、名树和珍稀树应有档案和养护技术措施并按计划实施养护。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 行道树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2.2.1 冠形完整无缺株，应保持线路上乔木的整体形态和植物层次含器皿栽种绿地内无枯死株。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2.2.2 修枝及时排危修枝不得超出24小时，补栽及清理现场不得超出48小时，与架空线间距基本合理，长势旺盛树圈内无积水，树圈完好率90%以上。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 行道树中乔木的修剪除应按一般乔木要求操作外还应注意以下规定：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2.2.3.1 行道树的树型、冠幅、分枝点高度及冠下缘线应基本一致，高度应符合行道树的有关标准。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2.2.3.2 树木与架空线有矛盾时，应修剪树枝，使其与架空线保持安全距离。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2.2.3.3 交通路口和指示牌的树冠应符合交通管理部门的有关规定。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2.2.3.4 路灯和变压设备附近的树枝应与其保留出足够的安全距离。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2.3 灌木 </w:t>
      </w:r>
    </w:p>
    <w:p w14:paraId="4E09B172">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2.3.1树冠完整不缺向枝叶茂密生长健壮叶色正常。花灌木：株形丰满、正常开花、着花率高、开花繁茂、花色艳丽。色块灌木：丰满无残缺株、色块分明、层次突出、线条清晰流畅。自然式灌木无论片植、孤植、丛植和线性栽植均应在疏密、品种、高低错落及群体、线性、株及丛的整体与个体形态体现设计意图。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2.3.2 灌木的修剪应以自然树形为主。 </w:t>
      </w:r>
    </w:p>
    <w:p w14:paraId="6DB10C88">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2.4 木本花卉修剪 </w:t>
      </w:r>
    </w:p>
    <w:p w14:paraId="1AAFF236">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2.4.1当年生枝条开花的在休眠期修剪。为控制树形及高度对生长健壮的枝条因树制宜的短截促发新枝。 </w:t>
      </w:r>
    </w:p>
    <w:p w14:paraId="2BF77993">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2.4.2 一年多次开花的，花落后应及时剪去残花，促使再次开花。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2.4.3 隔年生枝条开花的休眠期因树适当整形修剪。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2.4.4 多年生枝条开花应注意培育和保护老枝。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2.5 一、二年生草本花卉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花朵分布均匀花朵大小和数量正常生长健壮符合该品种的特点。维护株形并及时剪除残花、枯叶、残株。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2.6 多年生宿根、球根花卉生长健壮叶色、冠幅正常花朵大小、色泽正常花后休眠期按品种科学处理。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2.7草坪、草地 草种纯。草坪生长茂盛、叶色正常、平坦整洁修剪后无残留草屑剪口无明显撕裂现象。基本无秃斑、枯草层、杂草覆盖度达95%以上。及时更换补植被破坏或其他原因引起死亡的草坪草。草地无大型、恶性、缠绕性杂草、无明显影响景观面貌的杂草。 </w:t>
      </w:r>
    </w:p>
    <w:p w14:paraId="22C1106D">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2.8地被植物 </w:t>
      </w:r>
    </w:p>
    <w:p w14:paraId="4551BD5E">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2.8.1单植地被</w:t>
      </w:r>
    </w:p>
    <w:p w14:paraId="700510BA">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无死株、群体景观效果好、季相变化明显。生长茂盛覆盖率为90%以上无空秃。无大型、恶性、缠绕性杂草，无明显影响景观面貌的杂草。有害生物受害率控制在10%以下。 </w:t>
      </w:r>
    </w:p>
    <w:p w14:paraId="5E8EF18B">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2.8.2 混植地被 </w:t>
      </w:r>
    </w:p>
    <w:p w14:paraId="70B45610">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无死株和残存枯花。生长茂盛，符合生态要求，覆盖率为90%以上无空秃。无大型、恶性、缠绕性杂草、无明显影响景观面貌的杂草、有害生物受害率控制在10%以下。 </w:t>
      </w:r>
    </w:p>
    <w:p w14:paraId="3A955630">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2.9 藤蔓植物 </w:t>
      </w:r>
    </w:p>
    <w:p w14:paraId="77D36C2D">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2.9.1 根据其形态特征及生长习性合理立架建栅满足功能合乎要求。 </w:t>
      </w:r>
    </w:p>
    <w:p w14:paraId="618DF672">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2.9.2藤蔓植物修剪 </w:t>
      </w:r>
    </w:p>
    <w:p w14:paraId="0A756D97">
      <w:pPr>
        <w:widowControl/>
        <w:shd w:val="clear" w:color="auto"/>
        <w:spacing w:line="460" w:lineRule="exact"/>
        <w:ind w:firstLine="389" w:firstLineChars="177"/>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2.9.2.1吸附类藤木应在生长期或休眠期剪去未能吸附墙体而下垂的枝条。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2.9.2.2缠绕、依附类藤木根据生长势进行修剪，可适当疏剪过密枝条、清除枯死枝。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2.9.2.3生长于棚架的藤木在休眠期应疏剪影响通风透光的过密枝条、清除枯死枝。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 整形植物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2.10.1模纹图案植物轮廓清晰、色彩、层次明快、整齐美观全株枝叶丰满、满足业主要求，无残缺植株。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2.10.2自然式整形植物根据其形态特征及植物生理特性进行养护，其景观效果满足业主要求。枝叶茂密、生长健壮、形体美观基本无亮角、缺株。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2.10.3绿篱植物轮廓清楚、线条整齐、顶面平整、高度一致、整齐美观。开花植物开花期一致，修剪保持自然丰满。不露空缺、不露枝干、不露捆扎物。无缺株、无枯枝残花。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2.10.4 造型植物枝叶茂密、生长健壮、形体美观、轮廓清楚。表面平整、圆滑。不露空缺、不露枝干、不露捆扎物。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2.11花坛、花带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植物生长健壮、蓬径饱满、株高基本相等、色彩艳丽、层次分明、图案清晰、不露土、植株无缺株倒伏、基本无枯枝残花。开花期一致确保重大节日有花。与草坪交界处应边缘清晰线条流畅美观。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2.12花境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植株生长正常、枝叶茂盛、不露土。高低错落有序、季相变化明显基本无枯枝残花。花色彩鲜艳、观赏期长、观花花卉适时开花、观叶植物叶色正常。无明显有害生物危害，植物受害率控制在10%以下，无大型、恶性、缠绕性杂草无影响景观面貌的杂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2.13盆栽植物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容器完整清洁、容器外形、规格、色彩与植株协调。植株生长正常、健壮、枝叶繁茂、适时开花无枯枝残花、叶片清洁。基本无有害生物危害症状、无杂草。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 园林护坡植物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2.14.1草本类园林护坡植物养护管理参照草坪和多年生宿根花卉的养护管理要求。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2.14.2木本类园林护坡植物还应注意以下规定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2.14.2.1灌木类园林护坡植物的修剪应根据其生长特点，适当重剪使其树冠增加。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2.14.2.2藤蔓类园林护坡植物的修剪，悬垂类园林护坡植物应注意剪除影响美观的多余枝条，吸附类园林植物应及时剪除未能吸附墙体的枝条。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2.15 立交桥、高架桥等构筑物下园林植物。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2.15.1草本类园林植物养护管理参照草坪和多年生宿根花卉的养护管理要求。 </w:t>
      </w:r>
    </w:p>
    <w:p w14:paraId="7F38637F">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2.15.2 木本类园林植物养护管理参照灌木的养护管理要求。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2.15.3 根据需要适时定期浇水。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 古树名木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2.16.1保持古树及周围环境的清洁。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2.16.2加强古树的病虫害防治工作。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2.16.3 因地制宜地设置围栏保护古树。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2.16.4 在古树根系分布范围内，严禁厨房或厕所等有污染气体、液体的设施和排放污水的渗沟。   2.16.5 严禁在树下设置临时设施、堆放污染古树根系、土壤的物品。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2.16.6 严禁在树体上钉钉子、绕铁丝、挂杂物或作为施工的支撑点。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2.16.7 严禁攀折、刮蹭和刻划树皮等伤害古树的行为。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2.16.8 有纪念意义和特殊观赏价值的古树，应保留其原貌对枯枝采取防腐处理。需修剪的应制定修剪方案，报主管部门批准。古树树体上的伤疤或空洞应及时填充修补防止进水。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2.16.9 古树树体及大枝有倾倒、劈裂或折断的可能时，应及时采取加固或支撑等保护措施。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2.16.10 如业主要求对高大树体安装避雷装置，以防雷击，则施工方必须服从，费用由业主方负责。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2.16.11古树复壮事先应制定严格的方案，报请主管部门审查经批准后方可实施。 </w:t>
      </w:r>
    </w:p>
    <w:p w14:paraId="7E031BF1">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2.16.12 古树移植工程必须事先制定施工技术方案，报请主管部门审查，经批准后由具有二级或二级以上的园林绿化施工资质的企业承担，并在园林监查部门监督下实施。移后要落实养护管理责任制及时制定养护方案，并进行跟踪管理，确保质量。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3、有害生物的防治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3.1 防治园林植物有害生物应贯彻“预防为主、综合防治”的方针。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3.2 无明显虫屎、虫网、园林树木有蛀干害虫为害的株树。</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不超过1%，园林树木的主干、主枝无明显的虫卵，每株虫食叶片不超过5%。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3.3  及时清理带病虫的落叶、杂草等，消灭病源、虫源，防止病、虫、草等扩散、蔓延。 </w:t>
      </w:r>
    </w:p>
    <w:p w14:paraId="7617DB7C">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4.  园林设施完整、安全，维护及时。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5.  绿地内环境整洁，无堆物、堆料、无明显杂草、植物残渣、落叶清理及时，无垃圾。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三、养护标准：</w:t>
      </w:r>
    </w:p>
    <w:p w14:paraId="6B77E397">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（1）公园、绿地绿化养管质量标准：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植物生长健壮、无缺株、枯死株，必须严格保护树木，花坛、地被植物生长茂盛。乔灌木、绿篱、木本地被植物修剪符合观花、观果、观叶、塑形要求。浇水、施肥、改土等措施效果良好，做到无杂草，及时采取措施防御各种自然灾害的影响，花坛、花带齐全，环境达到“整洁清新、花木繁茂、景色优美、意境深邃”的效果。</w:t>
      </w:r>
    </w:p>
    <w:p w14:paraId="0AD10C45">
      <w:pPr>
        <w:widowControl/>
        <w:shd w:val="clear" w:color="auto"/>
        <w:spacing w:line="460" w:lineRule="exact"/>
        <w:ind w:firstLine="550" w:firstLineChars="2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病虫控制：以防为主、综合防治，已经发生的病虫害必须及时治理。 </w:t>
      </w:r>
    </w:p>
    <w:p w14:paraId="5F8DBD66">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（2）道路绿地绿化养管质量标准： </w:t>
      </w:r>
    </w:p>
    <w:p w14:paraId="3939BCC4">
      <w:pPr>
        <w:widowControl/>
        <w:shd w:val="clear" w:color="auto"/>
        <w:tabs>
          <w:tab w:val="left" w:pos="540"/>
        </w:tabs>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树木长势良好、适时修剪、疏密得当，有较好的观赏效果。以乔木为主的树坛，其下应有灌木或地被植物，黄土不露天。树木种间株间生长空间与层次处理得当，整体观赏效果好。及时补栽死株、枯株。针叶树应保持明显的顶端优势，花灌木按时开花结果，整形树必须按观赏要求养护成一定形态。无大型野草、无缠绕性、攀援性杂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病虫控制：预防为主、综合防治。无明显病虫害。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(3)行道树养管质量标准：</w:t>
      </w:r>
    </w:p>
    <w:p w14:paraId="0CF0E080">
      <w:pPr>
        <w:widowControl/>
        <w:shd w:val="clear" w:color="auto"/>
        <w:tabs>
          <w:tab w:val="left" w:pos="540"/>
        </w:tabs>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树木生长正常无死树无缺株，枝下高、树高、冠幅应一致，整形修剪应符合要求，采取较完善的管护措施，树体无绑缚和钉物经常保持无树挂树穴内无杂草、无杂物，新补植树木根据需要设支护或护栏。</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病虫控制:预防为主、综合防治。无明显病虫害。 </w:t>
      </w:r>
    </w:p>
    <w:p w14:paraId="5955180B">
      <w:pPr>
        <w:widowControl/>
        <w:shd w:val="clear" w:color="auto"/>
        <w:tabs>
          <w:tab w:val="left" w:pos="540"/>
        </w:tabs>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(4)居住绿地绿化养管质量标准：</w:t>
      </w:r>
    </w:p>
    <w:p w14:paraId="24239CBC">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植物生长良好、无枯死株。草坪养管精细、基本无杂草。乔灌木、绿篱修剪合理。管护措施及时有效。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病虫控制：预防为主、综合防治。无明显病虫害。 </w:t>
      </w:r>
    </w:p>
    <w:p w14:paraId="3D55FB4C">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(5)滨河绿化养管质量标准： </w:t>
      </w:r>
    </w:p>
    <w:p w14:paraId="5FAED077">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植物生长健壮、无缺株、枯死株。浇水、施肥、改土等措施效果良好及时采取措施防御各种自然灾害的影响。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病虫控制：以防为主、综合防治。已经发生的病虫害必须及时治理。 </w:t>
      </w:r>
    </w:p>
    <w:p w14:paraId="12EC28C0">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第一章 作业时间：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一、花坛保洁时间：全天候保洁。 </w:t>
      </w:r>
    </w:p>
    <w:p w14:paraId="1B9304B7">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二、尘污冲洗时间每周三次及以上冲洗植物叶面尘污。</w:t>
      </w:r>
    </w:p>
    <w:p w14:paraId="28BD1ADE">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三、病虫害防治打药和植物施肥时间根据病虫害发生规律和肥料类别确定避开行人车辆出行高峰，选在晴天进行。</w:t>
      </w:r>
    </w:p>
    <w:p w14:paraId="57A3A20F">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四、加强巡逻，市民自行砍伐树木、花坛种植蔬菜等毁绿行为，乙方要马上制止，处理后形成书面材料报建设局。</w:t>
      </w:r>
    </w:p>
    <w:p w14:paraId="4956CE94">
      <w:pPr>
        <w:widowControl/>
        <w:shd w:val="clear" w:color="auto"/>
        <w:spacing w:line="460" w:lineRule="exact"/>
        <w:ind w:left="110" w:hanging="110" w:hangingChars="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第二章 自然灾害和紧急任务的应急措施：</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一、随时做好管护范围的巡查工作，及时发现安全隐患。掌握天气变化情况，如遇特殊自然天气状况，大风5级以上、暴雨山洪、强降温降雨及霜冻，应提前作好防备工作。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二、人员保持24小时通讯畅通，接到险情通报后半小时内必须赶到现场开展抢险工作。 </w:t>
      </w:r>
    </w:p>
    <w:p w14:paraId="30BB5FB4">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三、接到业主紧急任务、紧急事故的通知后，管护作业单位必须在规定时间组织人员赶赴现场开展并完成工作，不得以任何借口推脱或迟到，并无条件服从业主的工作安排。 </w:t>
      </w:r>
    </w:p>
    <w:p w14:paraId="70651B79">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四、因树木倒伏、枝条断裂，影响到车辆行人安全通行的情况主干道1小时内，次干道2小时内必须完成抢险处置。清理出的弃渣堆放规顺，不得妨碍车辆行人的安全通行。主干道当日内清离现场，次干道最迟第二日内清离现场。 </w:t>
      </w:r>
    </w:p>
    <w:p w14:paraId="7BC462E8">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五、树木修剪：包含高空修剪，高枝剪等设备由施工方负责。</w:t>
      </w:r>
    </w:p>
    <w:p w14:paraId="3479B285">
      <w:pPr>
        <w:widowControl/>
        <w:shd w:val="clear" w:color="auto"/>
        <w:tabs>
          <w:tab w:val="left" w:pos="540"/>
        </w:tabs>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第三章 安全作业及文明生产：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一、管护单位必须为作业工人统一配备醒目安全工作服，所有作业人员必须着工作服上班，并负责作业工人安全。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二、作业人员作业时应将作业工具摆放在安全的位置不能妨碍车辆行驶和行人安全。 </w:t>
      </w:r>
    </w:p>
    <w:p w14:paraId="07D72FA6">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三、公路沿线作业必须在来车方向摆放警示标志，作业人员应注意来往车辆，确保人身安全。</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四、园林机具必须按照要求正确使用，避免因操作不当引起意外事故的发生。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五、对植物进行浇灌、喷施药物、肥料，应避免伤害行人。 </w:t>
      </w:r>
    </w:p>
    <w:p w14:paraId="15DE67D3">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六、作业时间内应讲礼貌、文明用语、不能同行人发生语言上的争吵。严禁酒后、穿拖鞋、赤膊上班。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七、因管护作业及抢险产生的弃渣堆放要符合不影响车辆、行人安全通行和不影响市容的原则。</w:t>
      </w:r>
    </w:p>
    <w:p w14:paraId="1E31BD87">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八、加强管护责任片区内所有设施，如堡坎、护坡等、植物特别是高大乔木的巡视、巡查工作。及时发现、汇报、处置、跟踪安全隐患，杜绝安全事故发生。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九、工作及时、高效、社会反映良好，不得因管理工作不到位引发上级问责、媒体曝光事件。</w:t>
      </w:r>
    </w:p>
    <w:p w14:paraId="606B3FED">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十、施工方负责安全事故全部责任，与业主无涉。</w:t>
      </w:r>
    </w:p>
    <w:p w14:paraId="4D8D47A6">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第四章 基础资料完整、详实： </w:t>
      </w:r>
    </w:p>
    <w:p w14:paraId="03F1D4CE">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管护作业单位应做好管护工作记录、巡查记录及资料保管工作</w:t>
      </w:r>
      <w:r>
        <w:rPr>
          <w:rFonts w:hint="eastAsia" w:ascii="宋体" w:hAnsi="宋体" w:eastAsia="宋体" w:cs="宋体"/>
          <w:b w:val="0"/>
          <w:bCs/>
          <w:color w:val="auto"/>
          <w:kern w:val="0"/>
          <w:sz w:val="22"/>
          <w:szCs w:val="22"/>
          <w:highlight w:val="none"/>
          <w:lang w:eastAsia="zh-CN"/>
        </w:rPr>
        <w:t>，</w:t>
      </w:r>
      <w:r>
        <w:rPr>
          <w:rFonts w:hint="eastAsia" w:ascii="宋体" w:hAnsi="宋体" w:eastAsia="宋体" w:cs="宋体"/>
          <w:b w:val="0"/>
          <w:bCs/>
          <w:color w:val="auto"/>
          <w:kern w:val="0"/>
          <w:sz w:val="22"/>
          <w:szCs w:val="22"/>
          <w:highlight w:val="none"/>
        </w:rPr>
        <w:t xml:space="preserve">保证每项工作有据可查，保证管护工作有条不紊、落实到位。 </w:t>
      </w:r>
    </w:p>
    <w:p w14:paraId="36A946CF">
      <w:pPr>
        <w:widowControl/>
        <w:shd w:val="clear" w:color="auto"/>
        <w:spacing w:line="460" w:lineRule="exact"/>
        <w:ind w:firstLine="442" w:firstLineChars="200"/>
        <w:jc w:val="left"/>
        <w:rPr>
          <w:rFonts w:hint="eastAsia" w:ascii="宋体" w:hAnsi="宋体" w:eastAsia="宋体" w:cs="宋体"/>
          <w:b w:val="0"/>
          <w:color w:val="auto"/>
          <w:kern w:val="0"/>
          <w:sz w:val="24"/>
          <w:szCs w:val="24"/>
          <w:highlight w:val="none"/>
          <w:lang w:eastAsia="zh-CN"/>
        </w:rPr>
      </w:pPr>
      <w:r>
        <w:rPr>
          <w:rFonts w:hint="eastAsia" w:ascii="宋体" w:hAnsi="宋体" w:eastAsia="宋体" w:cs="宋体"/>
          <w:b/>
          <w:bCs w:val="0"/>
          <w:color w:val="auto"/>
          <w:kern w:val="0"/>
          <w:sz w:val="22"/>
          <w:szCs w:val="22"/>
          <w:highlight w:val="none"/>
          <w:lang w:val="en-US" w:eastAsia="zh-CN"/>
        </w:rPr>
        <w:t>四</w:t>
      </w:r>
      <w:r>
        <w:rPr>
          <w:rFonts w:hint="eastAsia" w:ascii="宋体" w:hAnsi="宋体" w:eastAsia="宋体" w:cs="宋体"/>
          <w:b/>
          <w:bCs w:val="0"/>
          <w:color w:val="auto"/>
          <w:kern w:val="0"/>
          <w:sz w:val="22"/>
          <w:szCs w:val="22"/>
          <w:highlight w:val="none"/>
        </w:rPr>
        <w:t>、本合同未尽事宜按照国家法律法规、</w:t>
      </w:r>
      <w:r>
        <w:rPr>
          <w:rFonts w:hint="eastAsia" w:ascii="宋体" w:hAnsi="宋体" w:eastAsia="宋体" w:cs="宋体"/>
          <w:b/>
          <w:bCs w:val="0"/>
          <w:color w:val="auto"/>
          <w:kern w:val="0"/>
          <w:sz w:val="22"/>
          <w:szCs w:val="22"/>
          <w:highlight w:val="none"/>
          <w:lang w:eastAsia="zh-CN"/>
        </w:rPr>
        <w:t>国家</w:t>
      </w:r>
      <w:r>
        <w:rPr>
          <w:rFonts w:hint="eastAsia" w:ascii="宋体" w:hAnsi="宋体" w:eastAsia="宋体" w:cs="宋体"/>
          <w:b/>
          <w:bCs w:val="0"/>
          <w:color w:val="auto"/>
          <w:kern w:val="0"/>
          <w:sz w:val="22"/>
          <w:szCs w:val="22"/>
          <w:highlight w:val="none"/>
        </w:rPr>
        <w:t>标准及招标文件、投标书执行</w:t>
      </w:r>
      <w:r>
        <w:rPr>
          <w:rFonts w:hint="eastAsia" w:ascii="宋体" w:hAnsi="宋体" w:eastAsia="宋体" w:cs="宋体"/>
          <w:b/>
          <w:bCs w:val="0"/>
          <w:color w:val="auto"/>
          <w:kern w:val="0"/>
          <w:sz w:val="22"/>
          <w:szCs w:val="22"/>
          <w:highlight w:val="none"/>
          <w:lang w:eastAsia="zh-CN"/>
        </w:rPr>
        <w:t>，或双方协商解决</w:t>
      </w:r>
      <w:r>
        <w:rPr>
          <w:rFonts w:hint="eastAsia" w:ascii="宋体" w:hAnsi="宋体" w:eastAsia="宋体" w:cs="宋体"/>
          <w:b w:val="0"/>
          <w:color w:val="auto"/>
          <w:kern w:val="0"/>
          <w:sz w:val="24"/>
          <w:szCs w:val="24"/>
          <w:highlight w:val="none"/>
          <w:lang w:eastAsia="zh-CN"/>
        </w:rPr>
        <w:t>。</w:t>
      </w:r>
    </w:p>
    <w:p w14:paraId="068B50C4">
      <w:pPr>
        <w:widowControl/>
        <w:shd w:val="clear" w:color="auto"/>
        <w:tabs>
          <w:tab w:val="left" w:pos="5520"/>
        </w:tabs>
        <w:spacing w:line="460" w:lineRule="exact"/>
        <w:ind w:right="56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本细则自        年        起实施。</w:t>
      </w:r>
    </w:p>
    <w:p w14:paraId="6CEA2EA2">
      <w:pPr>
        <w:widowControl/>
        <w:shd w:val="clear" w:color="auto"/>
        <w:tabs>
          <w:tab w:val="left" w:pos="5520"/>
        </w:tabs>
        <w:spacing w:line="460" w:lineRule="exact"/>
        <w:ind w:right="56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操作过程中依据实际情况进行的修改招标人以书面形式通知中标人。 </w:t>
      </w:r>
    </w:p>
    <w:p w14:paraId="34899917">
      <w:pPr>
        <w:shd w:val="clear"/>
        <w:jc w:val="center"/>
        <w:rPr>
          <w:rFonts w:hint="eastAsia" w:ascii="宋体" w:hAnsi="宋体"/>
          <w:b/>
          <w:bCs/>
          <w:color w:val="auto"/>
          <w:sz w:val="32"/>
          <w:szCs w:val="40"/>
          <w:highlight w:val="none"/>
          <w:lang w:val="zh-CN"/>
        </w:rPr>
      </w:pPr>
    </w:p>
    <w:p w14:paraId="52928573">
      <w:pPr>
        <w:shd w:val="clear"/>
        <w:jc w:val="center"/>
        <w:rPr>
          <w:rFonts w:hint="eastAsia" w:ascii="宋体" w:hAnsi="宋体"/>
          <w:b/>
          <w:bCs/>
          <w:color w:val="auto"/>
          <w:sz w:val="32"/>
          <w:szCs w:val="40"/>
          <w:highlight w:val="none"/>
          <w:lang w:val="zh-CN"/>
        </w:rPr>
      </w:pPr>
    </w:p>
    <w:p w14:paraId="242A3ACF">
      <w:pPr>
        <w:shd w:val="clear"/>
        <w:jc w:val="center"/>
        <w:rPr>
          <w:rFonts w:hint="eastAsia" w:ascii="宋体" w:hAnsi="宋体"/>
          <w:b/>
          <w:bCs/>
          <w:color w:val="auto"/>
          <w:sz w:val="32"/>
          <w:szCs w:val="40"/>
          <w:highlight w:val="none"/>
          <w:lang w:val="zh-CN"/>
        </w:rPr>
      </w:pPr>
    </w:p>
    <w:p w14:paraId="3DC19B82">
      <w:pPr>
        <w:shd w:val="clear"/>
        <w:jc w:val="center"/>
        <w:rPr>
          <w:rFonts w:hint="eastAsia" w:ascii="宋体" w:hAnsi="宋体"/>
          <w:b/>
          <w:bCs/>
          <w:color w:val="auto"/>
          <w:sz w:val="32"/>
          <w:szCs w:val="40"/>
          <w:highlight w:val="none"/>
          <w:lang w:val="zh-CN"/>
        </w:rPr>
      </w:pPr>
    </w:p>
    <w:p w14:paraId="67E67346">
      <w:pPr>
        <w:shd w:val="clear"/>
        <w:jc w:val="center"/>
        <w:rPr>
          <w:rFonts w:hint="eastAsia" w:ascii="宋体" w:hAnsi="宋体"/>
          <w:b/>
          <w:bCs/>
          <w:color w:val="auto"/>
          <w:sz w:val="32"/>
          <w:szCs w:val="40"/>
          <w:highlight w:val="none"/>
          <w:lang w:val="zh-CN"/>
        </w:rPr>
      </w:pPr>
    </w:p>
    <w:p w14:paraId="42ECC534">
      <w:pPr>
        <w:shd w:val="clear"/>
        <w:jc w:val="center"/>
        <w:rPr>
          <w:rFonts w:hint="eastAsia" w:ascii="宋体" w:hAnsi="宋体"/>
          <w:b/>
          <w:bCs/>
          <w:color w:val="auto"/>
          <w:sz w:val="32"/>
          <w:szCs w:val="40"/>
          <w:highlight w:val="none"/>
          <w:lang w:val="zh-CN"/>
        </w:rPr>
      </w:pPr>
    </w:p>
    <w:p w14:paraId="2C326F5F">
      <w:pPr>
        <w:pStyle w:val="8"/>
        <w:shd w:val="clear"/>
        <w:rPr>
          <w:rFonts w:hint="eastAsia" w:ascii="宋体" w:hAnsi="宋体"/>
          <w:b/>
          <w:bCs/>
          <w:color w:val="auto"/>
          <w:sz w:val="32"/>
          <w:szCs w:val="40"/>
          <w:highlight w:val="none"/>
          <w:lang w:val="zh-CN"/>
        </w:rPr>
      </w:pPr>
    </w:p>
    <w:p w14:paraId="291D5B14">
      <w:pPr>
        <w:pStyle w:val="8"/>
        <w:shd w:val="clear"/>
        <w:rPr>
          <w:rFonts w:hint="eastAsia" w:ascii="宋体" w:hAnsi="宋体"/>
          <w:b/>
          <w:bCs/>
          <w:color w:val="auto"/>
          <w:sz w:val="32"/>
          <w:szCs w:val="40"/>
          <w:highlight w:val="none"/>
          <w:lang w:val="zh-CN"/>
        </w:rPr>
      </w:pPr>
    </w:p>
    <w:p w14:paraId="3FEAA717">
      <w:pPr>
        <w:pStyle w:val="8"/>
        <w:shd w:val="clear"/>
        <w:rPr>
          <w:rFonts w:hint="eastAsia" w:ascii="宋体" w:hAnsi="宋体"/>
          <w:b/>
          <w:bCs/>
          <w:color w:val="auto"/>
          <w:sz w:val="32"/>
          <w:szCs w:val="40"/>
          <w:highlight w:val="none"/>
          <w:lang w:val="zh-CN"/>
        </w:rPr>
      </w:pPr>
    </w:p>
    <w:p w14:paraId="19ADAE8D">
      <w:pPr>
        <w:pStyle w:val="8"/>
        <w:shd w:val="clear"/>
        <w:rPr>
          <w:rFonts w:hint="eastAsia" w:ascii="宋体" w:hAnsi="宋体"/>
          <w:b/>
          <w:bCs/>
          <w:color w:val="auto"/>
          <w:sz w:val="32"/>
          <w:szCs w:val="40"/>
          <w:highlight w:val="none"/>
          <w:lang w:val="zh-CN"/>
        </w:rPr>
      </w:pPr>
    </w:p>
    <w:p w14:paraId="19512018">
      <w:pPr>
        <w:pStyle w:val="8"/>
        <w:shd w:val="clear"/>
        <w:rPr>
          <w:rFonts w:hint="eastAsia" w:ascii="宋体" w:hAnsi="宋体"/>
          <w:b/>
          <w:bCs/>
          <w:color w:val="auto"/>
          <w:sz w:val="32"/>
          <w:szCs w:val="40"/>
          <w:highlight w:val="none"/>
          <w:lang w:val="zh-CN"/>
        </w:rPr>
      </w:pPr>
    </w:p>
    <w:p w14:paraId="67FB406F">
      <w:pPr>
        <w:pStyle w:val="8"/>
        <w:shd w:val="clear"/>
        <w:rPr>
          <w:rFonts w:hint="eastAsia" w:ascii="宋体" w:hAnsi="宋体"/>
          <w:b/>
          <w:bCs/>
          <w:color w:val="auto"/>
          <w:sz w:val="32"/>
          <w:szCs w:val="40"/>
          <w:highlight w:val="none"/>
          <w:lang w:val="zh-CN"/>
        </w:rPr>
      </w:pPr>
    </w:p>
    <w:p w14:paraId="6D0B7CBC">
      <w:pPr>
        <w:pStyle w:val="8"/>
        <w:shd w:val="clear"/>
        <w:rPr>
          <w:rFonts w:hint="eastAsia" w:ascii="宋体" w:hAnsi="宋体"/>
          <w:b/>
          <w:bCs/>
          <w:color w:val="auto"/>
          <w:sz w:val="32"/>
          <w:szCs w:val="40"/>
          <w:highlight w:val="none"/>
          <w:lang w:val="zh-CN"/>
        </w:rPr>
      </w:pPr>
    </w:p>
    <w:p w14:paraId="5A72370B">
      <w:pPr>
        <w:pStyle w:val="8"/>
        <w:shd w:val="clear"/>
        <w:rPr>
          <w:rFonts w:hint="eastAsia" w:ascii="宋体" w:hAnsi="宋体"/>
          <w:b/>
          <w:bCs/>
          <w:color w:val="auto"/>
          <w:sz w:val="32"/>
          <w:szCs w:val="40"/>
          <w:highlight w:val="none"/>
          <w:lang w:val="zh-CN"/>
        </w:rPr>
      </w:pPr>
    </w:p>
    <w:p w14:paraId="269CACF3">
      <w:pPr>
        <w:pStyle w:val="8"/>
        <w:shd w:val="clear"/>
        <w:rPr>
          <w:rFonts w:hint="eastAsia" w:ascii="宋体" w:hAnsi="宋体"/>
          <w:b/>
          <w:bCs/>
          <w:color w:val="auto"/>
          <w:sz w:val="32"/>
          <w:szCs w:val="40"/>
          <w:highlight w:val="none"/>
          <w:lang w:val="zh-CN"/>
        </w:rPr>
      </w:pPr>
    </w:p>
    <w:p w14:paraId="2E62C514">
      <w:pPr>
        <w:pStyle w:val="8"/>
        <w:shd w:val="clear"/>
        <w:rPr>
          <w:rFonts w:hint="eastAsia" w:ascii="宋体" w:hAnsi="宋体"/>
          <w:b/>
          <w:bCs/>
          <w:color w:val="auto"/>
          <w:sz w:val="32"/>
          <w:szCs w:val="40"/>
          <w:highlight w:val="none"/>
          <w:lang w:val="zh-CN"/>
        </w:rPr>
      </w:pPr>
    </w:p>
    <w:p w14:paraId="6850EB05">
      <w:pPr>
        <w:pStyle w:val="8"/>
        <w:shd w:val="clear"/>
        <w:rPr>
          <w:rFonts w:hint="eastAsia" w:ascii="宋体" w:hAnsi="宋体"/>
          <w:b/>
          <w:bCs/>
          <w:color w:val="auto"/>
          <w:sz w:val="32"/>
          <w:szCs w:val="40"/>
          <w:highlight w:val="none"/>
          <w:lang w:val="zh-CN"/>
        </w:rPr>
      </w:pPr>
    </w:p>
    <w:p w14:paraId="16F60CB8">
      <w:pPr>
        <w:pStyle w:val="8"/>
        <w:shd w:val="clear"/>
        <w:rPr>
          <w:rFonts w:hint="eastAsia" w:ascii="宋体" w:hAnsi="宋体"/>
          <w:b/>
          <w:bCs/>
          <w:color w:val="auto"/>
          <w:sz w:val="32"/>
          <w:szCs w:val="40"/>
          <w:highlight w:val="none"/>
          <w:lang w:val="zh-CN"/>
        </w:rPr>
      </w:pPr>
    </w:p>
    <w:p w14:paraId="1F988A1F">
      <w:pPr>
        <w:pStyle w:val="8"/>
        <w:shd w:val="clear"/>
        <w:rPr>
          <w:rFonts w:hint="eastAsia" w:ascii="宋体" w:hAnsi="宋体"/>
          <w:b/>
          <w:bCs/>
          <w:color w:val="auto"/>
          <w:sz w:val="32"/>
          <w:szCs w:val="40"/>
          <w:highlight w:val="none"/>
          <w:lang w:val="zh-CN"/>
        </w:rPr>
      </w:pPr>
    </w:p>
    <w:p w14:paraId="215948BA">
      <w:pPr>
        <w:pStyle w:val="8"/>
        <w:shd w:val="clear"/>
        <w:rPr>
          <w:rFonts w:hint="eastAsia" w:ascii="宋体" w:hAnsi="宋体"/>
          <w:b/>
          <w:bCs/>
          <w:color w:val="auto"/>
          <w:sz w:val="32"/>
          <w:szCs w:val="40"/>
          <w:highlight w:val="none"/>
          <w:lang w:val="zh-CN"/>
        </w:rPr>
      </w:pPr>
    </w:p>
    <w:p w14:paraId="38B1048B">
      <w:pPr>
        <w:pStyle w:val="8"/>
        <w:shd w:val="clear"/>
        <w:rPr>
          <w:rFonts w:hint="eastAsia" w:ascii="宋体" w:hAnsi="宋体"/>
          <w:b/>
          <w:bCs/>
          <w:color w:val="auto"/>
          <w:sz w:val="32"/>
          <w:szCs w:val="40"/>
          <w:highlight w:val="none"/>
          <w:lang w:val="zh-CN"/>
        </w:rPr>
      </w:pPr>
    </w:p>
    <w:p w14:paraId="1F76FBA7">
      <w:pPr>
        <w:pStyle w:val="8"/>
        <w:shd w:val="clear"/>
        <w:rPr>
          <w:rFonts w:hint="eastAsia" w:ascii="宋体" w:hAnsi="宋体"/>
          <w:b/>
          <w:bCs/>
          <w:color w:val="auto"/>
          <w:sz w:val="32"/>
          <w:szCs w:val="40"/>
          <w:highlight w:val="none"/>
          <w:lang w:val="zh-CN"/>
        </w:rPr>
      </w:pPr>
    </w:p>
    <w:p w14:paraId="0940BC9D">
      <w:pPr>
        <w:pStyle w:val="8"/>
        <w:shd w:val="clear"/>
        <w:rPr>
          <w:rFonts w:hint="eastAsia" w:ascii="宋体" w:hAnsi="宋体"/>
          <w:b/>
          <w:bCs/>
          <w:color w:val="auto"/>
          <w:sz w:val="32"/>
          <w:szCs w:val="40"/>
          <w:highlight w:val="none"/>
          <w:lang w:val="zh-CN"/>
        </w:rPr>
      </w:pPr>
    </w:p>
    <w:p w14:paraId="172DA465">
      <w:pPr>
        <w:shd w:val="clear"/>
        <w:jc w:val="center"/>
        <w:rPr>
          <w:rFonts w:hint="eastAsia" w:ascii="宋体" w:hAnsi="宋体"/>
          <w:b/>
          <w:bCs/>
          <w:color w:val="auto"/>
          <w:sz w:val="32"/>
          <w:szCs w:val="40"/>
          <w:highlight w:val="none"/>
          <w:lang w:val="zh-CN"/>
        </w:rPr>
      </w:pPr>
      <w:r>
        <w:rPr>
          <w:rFonts w:hint="eastAsia" w:ascii="宋体" w:hAnsi="宋体"/>
          <w:b/>
          <w:bCs/>
          <w:color w:val="auto"/>
          <w:sz w:val="32"/>
          <w:szCs w:val="40"/>
          <w:highlight w:val="none"/>
          <w:lang w:val="zh-CN"/>
        </w:rPr>
        <w:t>第三部分</w:t>
      </w:r>
      <w:r>
        <w:rPr>
          <w:rFonts w:hint="eastAsia" w:ascii="宋体" w:hAnsi="宋体"/>
          <w:b/>
          <w:bCs/>
          <w:color w:val="auto"/>
          <w:sz w:val="32"/>
          <w:szCs w:val="40"/>
          <w:highlight w:val="none"/>
        </w:rPr>
        <w:t xml:space="preserve"> </w:t>
      </w:r>
      <w:r>
        <w:rPr>
          <w:rFonts w:hint="eastAsia" w:ascii="宋体" w:hAnsi="宋体"/>
          <w:b/>
          <w:bCs/>
          <w:color w:val="auto"/>
          <w:sz w:val="32"/>
          <w:szCs w:val="40"/>
          <w:highlight w:val="none"/>
          <w:lang w:val="zh-CN"/>
        </w:rPr>
        <w:t>供应商须知</w:t>
      </w:r>
    </w:p>
    <w:p w14:paraId="6955BEA9">
      <w:pPr>
        <w:shd w:val="clear"/>
        <w:autoSpaceDE w:val="0"/>
        <w:autoSpaceDN w:val="0"/>
        <w:snapToGrid w:val="0"/>
        <w:spacing w:line="460" w:lineRule="exact"/>
        <w:rPr>
          <w:rFonts w:hint="eastAsia" w:ascii="宋体" w:hAnsi="宋体"/>
          <w:color w:val="auto"/>
          <w:sz w:val="22"/>
          <w:szCs w:val="22"/>
          <w:highlight w:val="none"/>
        </w:rPr>
      </w:pPr>
      <w:r>
        <w:rPr>
          <w:rFonts w:hint="eastAsia" w:ascii="宋体" w:hAnsi="宋体"/>
          <w:color w:val="auto"/>
          <w:sz w:val="22"/>
          <w:szCs w:val="22"/>
          <w:highlight w:val="none"/>
        </w:rPr>
        <w:t>一、说明</w:t>
      </w:r>
    </w:p>
    <w:p w14:paraId="3F96EFA2">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1、本次采购工作是按照《中华人民共和国政府采购法》及相关法律规章组织和实施。</w:t>
      </w:r>
    </w:p>
    <w:p w14:paraId="55B0C871">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2、供应商可以选择</w:t>
      </w:r>
      <w:r>
        <w:rPr>
          <w:rFonts w:hint="eastAsia" w:ascii="宋体" w:hAnsi="宋体" w:eastAsia="宋体" w:cs="宋体"/>
          <w:b/>
          <w:bCs/>
          <w:color w:val="auto"/>
          <w:sz w:val="22"/>
          <w:szCs w:val="22"/>
          <w:highlight w:val="none"/>
          <w:lang w:eastAsia="zh-CN"/>
        </w:rPr>
        <w:t>标项</w:t>
      </w:r>
      <w:r>
        <w:rPr>
          <w:rFonts w:hint="eastAsia" w:ascii="宋体" w:hAnsi="宋体" w:eastAsia="宋体" w:cs="宋体"/>
          <w:b/>
          <w:bCs/>
          <w:color w:val="auto"/>
          <w:sz w:val="22"/>
          <w:szCs w:val="22"/>
          <w:highlight w:val="none"/>
        </w:rPr>
        <w:t>进行投标，但须对所投</w:t>
      </w:r>
      <w:r>
        <w:rPr>
          <w:rFonts w:hint="eastAsia" w:ascii="宋体" w:hAnsi="宋体" w:eastAsia="宋体" w:cs="宋体"/>
          <w:b/>
          <w:bCs/>
          <w:color w:val="auto"/>
          <w:sz w:val="22"/>
          <w:szCs w:val="22"/>
          <w:highlight w:val="none"/>
          <w:lang w:eastAsia="zh-CN"/>
        </w:rPr>
        <w:t>标项</w:t>
      </w:r>
      <w:r>
        <w:rPr>
          <w:rFonts w:hint="eastAsia" w:ascii="宋体" w:hAnsi="宋体" w:eastAsia="宋体" w:cs="宋体"/>
          <w:b/>
          <w:bCs/>
          <w:color w:val="auto"/>
          <w:sz w:val="22"/>
          <w:szCs w:val="22"/>
          <w:highlight w:val="none"/>
        </w:rPr>
        <w:t>所有内容进行报价。</w:t>
      </w:r>
    </w:p>
    <w:p w14:paraId="001C57FA">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3、无论投标过程中的</w:t>
      </w:r>
      <w:r>
        <w:rPr>
          <w:rFonts w:hint="eastAsia" w:ascii="宋体" w:hAnsi="宋体" w:cs="宋体"/>
          <w:b/>
          <w:bCs/>
          <w:color w:val="auto"/>
          <w:sz w:val="22"/>
          <w:szCs w:val="22"/>
          <w:highlight w:val="none"/>
          <w:lang w:val="en-US" w:eastAsia="zh-CN"/>
        </w:rPr>
        <w:t>做法</w:t>
      </w:r>
      <w:r>
        <w:rPr>
          <w:rFonts w:hint="eastAsia" w:ascii="宋体" w:hAnsi="宋体" w:eastAsia="宋体" w:cs="宋体"/>
          <w:b/>
          <w:bCs/>
          <w:color w:val="auto"/>
          <w:sz w:val="22"/>
          <w:szCs w:val="22"/>
          <w:highlight w:val="none"/>
        </w:rPr>
        <w:t>和结果如何，供应商自行承担投标活动中所发生的全部费用。</w:t>
      </w:r>
    </w:p>
    <w:p w14:paraId="0B750712">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产品报价，否则做无效投标处理。</w:t>
      </w:r>
    </w:p>
    <w:p w14:paraId="7584C0E8">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5、供应商须自行现场勘察，以求得准确的报价依据。供应商须自行考虑投标报价的风险。</w:t>
      </w:r>
    </w:p>
    <w:p w14:paraId="58CC6B25">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zh-CN"/>
        </w:rPr>
        <w:t>6、</w:t>
      </w:r>
      <w:r>
        <w:rPr>
          <w:rFonts w:hint="eastAsia" w:ascii="宋体" w:hAnsi="宋体" w:eastAsia="宋体" w:cs="宋体"/>
          <w:b/>
          <w:bCs/>
          <w:color w:val="auto"/>
          <w:sz w:val="22"/>
          <w:szCs w:val="22"/>
          <w:highlight w:val="none"/>
        </w:rPr>
        <w:t>供应商企业不是独立法人的，按浙财采监[2013]24号文件执行。</w:t>
      </w:r>
    </w:p>
    <w:p w14:paraId="4257D79A">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▲7、单位负责人为同一人或者存在直接控股、管理关系的不同供应商，不得参加同一合同项下的</w:t>
      </w:r>
      <w:r>
        <w:rPr>
          <w:rFonts w:hint="eastAsia" w:ascii="宋体" w:hAnsi="宋体" w:cs="宋体"/>
          <w:b/>
          <w:bCs/>
          <w:color w:val="auto"/>
          <w:sz w:val="22"/>
          <w:szCs w:val="22"/>
          <w:highlight w:val="none"/>
          <w:lang w:val="en-US" w:eastAsia="zh-CN"/>
        </w:rPr>
        <w:t>国企</w:t>
      </w:r>
      <w:r>
        <w:rPr>
          <w:rFonts w:hint="eastAsia" w:ascii="宋体" w:hAnsi="宋体" w:eastAsia="宋体" w:cs="宋体"/>
          <w:b/>
          <w:bCs/>
          <w:color w:val="auto"/>
          <w:sz w:val="22"/>
          <w:szCs w:val="22"/>
          <w:highlight w:val="none"/>
        </w:rPr>
        <w:t>采购活动。如在评标过程中发现供应商间存在上述关系，评标委员会可以对存在上述关系的供应商做无效投标处理。</w:t>
      </w:r>
    </w:p>
    <w:p w14:paraId="6F6D9B9B">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8、本次招标文件中，带有“▲”标注的有关技术和商务条款要求供应商做实质性响应，供应商要特别加以注意，必须对此回答并完全满足这些要求▲。否则若有一项“▲”的指标未响应或不满足，将按投标无效处理。</w:t>
      </w:r>
    </w:p>
    <w:p w14:paraId="7F008397">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9、▲本项目</w:t>
      </w:r>
      <w:r>
        <w:rPr>
          <w:rFonts w:hint="eastAsia" w:ascii="宋体" w:hAnsi="宋体" w:eastAsia="宋体" w:cs="宋体"/>
          <w:b/>
          <w:bCs/>
          <w:color w:val="auto"/>
          <w:sz w:val="22"/>
          <w:szCs w:val="22"/>
          <w:highlight w:val="none"/>
          <w:lang w:eastAsia="zh-CN"/>
        </w:rPr>
        <w:t>标项</w:t>
      </w:r>
      <w:r>
        <w:rPr>
          <w:rFonts w:hint="eastAsia" w:ascii="宋体" w:hAnsi="宋体" w:eastAsia="宋体" w:cs="宋体"/>
          <w:b/>
          <w:bCs/>
          <w:color w:val="auto"/>
          <w:sz w:val="22"/>
          <w:szCs w:val="22"/>
          <w:highlight w:val="none"/>
        </w:rPr>
        <w:t>一采购</w:t>
      </w:r>
      <w:r>
        <w:rPr>
          <w:rFonts w:hint="eastAsia" w:ascii="宋体" w:hAnsi="宋体" w:cs="宋体"/>
          <w:b/>
          <w:bCs/>
          <w:color w:val="auto"/>
          <w:sz w:val="22"/>
          <w:szCs w:val="22"/>
          <w:highlight w:val="none"/>
          <w:lang w:val="en-US" w:eastAsia="zh-CN"/>
        </w:rPr>
        <w:t>预算</w:t>
      </w:r>
      <w:r>
        <w:rPr>
          <w:rFonts w:hint="eastAsia" w:ascii="宋体" w:hAnsi="宋体" w:eastAsia="宋体" w:cs="宋体"/>
          <w:b/>
          <w:bCs/>
          <w:color w:val="auto"/>
          <w:sz w:val="22"/>
          <w:szCs w:val="22"/>
          <w:highlight w:val="none"/>
        </w:rPr>
        <w:t>为</w:t>
      </w:r>
      <w:r>
        <w:rPr>
          <w:rFonts w:hint="eastAsia" w:ascii="宋体" w:hAnsi="宋体" w:cs="宋体"/>
          <w:b/>
          <w:bCs/>
          <w:color w:val="auto"/>
          <w:sz w:val="22"/>
          <w:szCs w:val="22"/>
          <w:highlight w:val="none"/>
          <w:lang w:val="en-US" w:eastAsia="zh-CN"/>
        </w:rPr>
        <w:t>2861500</w:t>
      </w:r>
      <w:r>
        <w:rPr>
          <w:rFonts w:hint="eastAsia" w:ascii="宋体" w:hAnsi="宋体" w:eastAsia="宋体" w:cs="宋体"/>
          <w:b/>
          <w:bCs/>
          <w:color w:val="auto"/>
          <w:sz w:val="22"/>
          <w:szCs w:val="22"/>
          <w:highlight w:val="none"/>
        </w:rPr>
        <w:t>元人民币；本项目</w:t>
      </w:r>
      <w:r>
        <w:rPr>
          <w:rFonts w:hint="eastAsia" w:ascii="宋体" w:hAnsi="宋体" w:eastAsia="宋体" w:cs="宋体"/>
          <w:b/>
          <w:bCs/>
          <w:color w:val="auto"/>
          <w:sz w:val="22"/>
          <w:szCs w:val="22"/>
          <w:highlight w:val="none"/>
          <w:lang w:eastAsia="zh-CN"/>
        </w:rPr>
        <w:t>标项</w:t>
      </w:r>
      <w:r>
        <w:rPr>
          <w:rFonts w:hint="eastAsia" w:ascii="宋体" w:hAnsi="宋体" w:eastAsia="宋体" w:cs="宋体"/>
          <w:b/>
          <w:bCs/>
          <w:color w:val="auto"/>
          <w:sz w:val="22"/>
          <w:szCs w:val="22"/>
          <w:highlight w:val="none"/>
        </w:rPr>
        <w:t>二采购</w:t>
      </w:r>
      <w:r>
        <w:rPr>
          <w:rFonts w:hint="eastAsia" w:ascii="宋体" w:hAnsi="宋体" w:cs="宋体"/>
          <w:b/>
          <w:bCs/>
          <w:color w:val="auto"/>
          <w:sz w:val="22"/>
          <w:szCs w:val="22"/>
          <w:highlight w:val="none"/>
          <w:lang w:val="en-US" w:eastAsia="zh-CN"/>
        </w:rPr>
        <w:t>预算</w:t>
      </w:r>
      <w:r>
        <w:rPr>
          <w:rFonts w:hint="eastAsia" w:ascii="宋体" w:hAnsi="宋体" w:eastAsia="宋体" w:cs="宋体"/>
          <w:b/>
          <w:bCs/>
          <w:color w:val="auto"/>
          <w:sz w:val="22"/>
          <w:szCs w:val="22"/>
          <w:highlight w:val="none"/>
        </w:rPr>
        <w:t>为</w:t>
      </w:r>
      <w:r>
        <w:rPr>
          <w:rFonts w:hint="eastAsia" w:ascii="宋体" w:hAnsi="宋体" w:cs="宋体"/>
          <w:b/>
          <w:bCs/>
          <w:color w:val="auto"/>
          <w:sz w:val="22"/>
          <w:szCs w:val="22"/>
          <w:highlight w:val="none"/>
          <w:lang w:eastAsia="zh-CN"/>
        </w:rPr>
        <w:t>1938500</w:t>
      </w:r>
      <w:r>
        <w:rPr>
          <w:rFonts w:hint="eastAsia" w:ascii="宋体" w:hAnsi="宋体" w:eastAsia="宋体" w:cs="宋体"/>
          <w:b/>
          <w:bCs/>
          <w:color w:val="auto"/>
          <w:sz w:val="22"/>
          <w:szCs w:val="22"/>
          <w:highlight w:val="none"/>
        </w:rPr>
        <w:t>元人民币</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某供应商某</w:t>
      </w:r>
      <w:r>
        <w:rPr>
          <w:rFonts w:hint="eastAsia" w:ascii="宋体" w:hAnsi="宋体" w:eastAsia="宋体" w:cs="宋体"/>
          <w:b/>
          <w:bCs/>
          <w:color w:val="auto"/>
          <w:sz w:val="22"/>
          <w:szCs w:val="22"/>
          <w:highlight w:val="none"/>
          <w:lang w:eastAsia="zh-CN"/>
        </w:rPr>
        <w:t>标项</w:t>
      </w:r>
      <w:r>
        <w:rPr>
          <w:rFonts w:hint="eastAsia" w:ascii="宋体" w:hAnsi="宋体" w:eastAsia="宋体" w:cs="宋体"/>
          <w:b/>
          <w:bCs/>
          <w:color w:val="auto"/>
          <w:sz w:val="22"/>
          <w:szCs w:val="22"/>
          <w:highlight w:val="none"/>
        </w:rPr>
        <w:t>投标报价超出</w:t>
      </w:r>
      <w:r>
        <w:rPr>
          <w:rFonts w:hint="eastAsia" w:ascii="宋体" w:hAnsi="宋体" w:eastAsia="宋体" w:cs="宋体"/>
          <w:b/>
          <w:bCs/>
          <w:color w:val="auto"/>
          <w:sz w:val="22"/>
          <w:szCs w:val="22"/>
          <w:highlight w:val="none"/>
          <w:lang w:val="en-US" w:eastAsia="zh-CN"/>
        </w:rPr>
        <w:t>0%-100%</w:t>
      </w:r>
      <w:r>
        <w:rPr>
          <w:rFonts w:hint="eastAsia" w:ascii="宋体" w:hAnsi="宋体" w:eastAsia="宋体" w:cs="宋体"/>
          <w:b/>
          <w:bCs/>
          <w:color w:val="auto"/>
          <w:sz w:val="22"/>
          <w:szCs w:val="22"/>
          <w:highlight w:val="none"/>
        </w:rPr>
        <w:t>的，该供应商该</w:t>
      </w:r>
      <w:r>
        <w:rPr>
          <w:rFonts w:hint="eastAsia" w:ascii="宋体" w:hAnsi="宋体" w:eastAsia="宋体" w:cs="宋体"/>
          <w:b/>
          <w:bCs/>
          <w:color w:val="auto"/>
          <w:sz w:val="22"/>
          <w:szCs w:val="22"/>
          <w:highlight w:val="none"/>
          <w:lang w:eastAsia="zh-CN"/>
        </w:rPr>
        <w:t>标项</w:t>
      </w:r>
      <w:r>
        <w:rPr>
          <w:rFonts w:hint="eastAsia" w:ascii="宋体" w:hAnsi="宋体" w:eastAsia="宋体" w:cs="宋体"/>
          <w:b/>
          <w:bCs/>
          <w:color w:val="auto"/>
          <w:sz w:val="22"/>
          <w:szCs w:val="22"/>
          <w:highlight w:val="none"/>
        </w:rPr>
        <w:t>按无效投标处理。</w:t>
      </w:r>
    </w:p>
    <w:p w14:paraId="02DBE5D0">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en-US" w:eastAsia="zh-CN"/>
        </w:rPr>
        <w:t>10</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zh-CN"/>
        </w:rPr>
        <w:t>本项目投报折扣率</w:t>
      </w:r>
      <w:r>
        <w:rPr>
          <w:rFonts w:hint="eastAsia" w:ascii="宋体" w:hAnsi="宋体" w:eastAsia="宋体" w:cs="宋体"/>
          <w:b/>
          <w:bCs/>
          <w:color w:val="auto"/>
          <w:sz w:val="22"/>
          <w:szCs w:val="22"/>
          <w:highlight w:val="none"/>
          <w:lang w:val="en-US" w:eastAsia="zh-CN"/>
        </w:rPr>
        <w:t>，按实结算</w:t>
      </w:r>
      <w:r>
        <w:rPr>
          <w:rFonts w:hint="eastAsia" w:ascii="宋体" w:hAnsi="宋体" w:eastAsia="宋体" w:cs="宋体"/>
          <w:b/>
          <w:bCs/>
          <w:color w:val="auto"/>
          <w:sz w:val="22"/>
          <w:szCs w:val="22"/>
          <w:highlight w:val="none"/>
          <w:lang w:val="zh-CN"/>
        </w:rPr>
        <w:t>。</w:t>
      </w:r>
      <w:r>
        <w:rPr>
          <w:rFonts w:hint="eastAsia" w:ascii="宋体" w:hAnsi="宋体" w:eastAsia="宋体" w:cs="宋体"/>
          <w:b/>
          <w:bCs/>
          <w:color w:val="auto"/>
          <w:sz w:val="22"/>
          <w:szCs w:val="22"/>
          <w:highlight w:val="none"/>
          <w:lang w:val="en-US" w:eastAsia="zh-CN"/>
        </w:rPr>
        <w:t>承包价须包括在</w:t>
      </w:r>
      <w:r>
        <w:rPr>
          <w:rFonts w:hint="eastAsia" w:ascii="宋体" w:hAnsi="宋体" w:eastAsia="宋体" w:cs="宋体"/>
          <w:b/>
          <w:bCs/>
          <w:color w:val="auto"/>
          <w:sz w:val="22"/>
          <w:szCs w:val="22"/>
          <w:highlight w:val="none"/>
          <w:lang w:val="zh-CN"/>
        </w:rPr>
        <w:t>承包区域内提供绿化养护、补种、保洁及所有设施维护的相关服务所需的一切劳务、材料、设备、配件、备件、损耗（包括水、电等）、仓储、运输（包括垃圾外运）、维护、税费、保险、利润、验收、完成合同所需的一切本身和不可或缺的所有工作开支、政策性文件规定及合同包含的所有风险、责任等各项全部费用并承担一切风险责任。</w:t>
      </w:r>
    </w:p>
    <w:p w14:paraId="3DF0DFAA">
      <w:pPr>
        <w:widowControl/>
        <w:shd w:val="clear" w:color="auto"/>
        <w:adjustRightInd w:val="0"/>
        <w:spacing w:line="440" w:lineRule="exact"/>
        <w:ind w:firstLine="433" w:firstLineChars="196"/>
        <w:jc w:val="left"/>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val="en-US" w:eastAsia="zh-CN"/>
        </w:rPr>
        <w:t>11、</w:t>
      </w:r>
      <w:r>
        <w:rPr>
          <w:rFonts w:hint="eastAsia" w:ascii="宋体" w:hAnsi="宋体" w:eastAsia="宋体" w:cs="宋体"/>
          <w:b/>
          <w:bCs/>
          <w:color w:val="auto"/>
          <w:sz w:val="22"/>
          <w:szCs w:val="22"/>
          <w:highlight w:val="none"/>
        </w:rPr>
        <w:t>根据《工业和信息化部、国家统计局、国家发展和改革委员会、财政部关于印发中小企业划型标准规定的通知》（工信部联企业[2011]300号），本项目所属行业为</w:t>
      </w:r>
      <w:r>
        <w:rPr>
          <w:rFonts w:hint="eastAsia" w:ascii="宋体" w:hAnsi="宋体" w:eastAsia="宋体" w:cs="宋体"/>
          <w:b/>
          <w:bCs/>
          <w:color w:val="auto"/>
          <w:sz w:val="22"/>
          <w:szCs w:val="22"/>
          <w:highlight w:val="none"/>
          <w:u w:val="single"/>
        </w:rPr>
        <w:t>其他未列明行业</w:t>
      </w:r>
      <w:r>
        <w:rPr>
          <w:rFonts w:hint="eastAsia" w:ascii="宋体" w:hAnsi="宋体" w:eastAsia="宋体" w:cs="宋体"/>
          <w:b/>
          <w:bCs/>
          <w:color w:val="auto"/>
          <w:sz w:val="22"/>
          <w:szCs w:val="22"/>
          <w:highlight w:val="none"/>
        </w:rPr>
        <w:t>（包括科学研究和技术服务业，水利、环境和公共设施管理业，居民服务、修理和其他服务业，社会工作，文化、体育和娱乐业等）</w:t>
      </w:r>
      <w:r>
        <w:rPr>
          <w:rFonts w:hint="eastAsia" w:ascii="宋体" w:hAnsi="宋体" w:eastAsia="宋体" w:cs="宋体"/>
          <w:b/>
          <w:bCs/>
          <w:color w:val="auto"/>
          <w:sz w:val="22"/>
          <w:szCs w:val="22"/>
          <w:highlight w:val="none"/>
          <w:lang w:eastAsia="zh-CN"/>
        </w:rPr>
        <w:t>。</w:t>
      </w:r>
    </w:p>
    <w:p w14:paraId="761E4D4D">
      <w:pPr>
        <w:shd w:val="clear" w:color="auto"/>
        <w:autoSpaceDE w:val="0"/>
        <w:autoSpaceDN w:val="0"/>
        <w:adjustRightInd w:val="0"/>
        <w:snapToGrid w:val="0"/>
        <w:spacing w:line="460" w:lineRule="exact"/>
        <w:ind w:firstLine="420"/>
        <w:textAlignment w:val="bottom"/>
        <w:rPr>
          <w:rFonts w:hint="eastAsia" w:ascii="宋体" w:hAnsi="宋体" w:eastAsia="宋体" w:cs="宋体"/>
          <w:b/>
          <w:color w:val="auto"/>
          <w:kern w:val="2"/>
          <w:sz w:val="22"/>
          <w:szCs w:val="22"/>
          <w:highlight w:val="none"/>
        </w:rPr>
      </w:pPr>
      <w:r>
        <w:rPr>
          <w:rFonts w:hint="eastAsia" w:ascii="宋体" w:hAnsi="宋体" w:eastAsia="宋体" w:cs="宋体"/>
          <w:b/>
          <w:color w:val="auto"/>
          <w:kern w:val="2"/>
          <w:sz w:val="22"/>
          <w:szCs w:val="24"/>
          <w:highlight w:val="none"/>
          <w:u w:val="single"/>
          <w:lang w:val="en-US" w:eastAsia="zh-CN"/>
        </w:rPr>
        <w:t>12、</w:t>
      </w:r>
      <w:r>
        <w:rPr>
          <w:rFonts w:hint="eastAsia" w:ascii="宋体" w:hAnsi="宋体" w:eastAsia="宋体" w:cs="宋体"/>
          <w:b/>
          <w:color w:val="auto"/>
          <w:kern w:val="2"/>
          <w:sz w:val="22"/>
          <w:szCs w:val="24"/>
          <w:highlight w:val="none"/>
          <w:u w:val="single"/>
        </w:rPr>
        <w:t>供应商进行电子投标应安装客户端软件，并按照采购文件和电子交易平台的要求编制并加密投标文件。供应商未按规定加密的投标文件，电子交易平台拒收并提示。</w:t>
      </w:r>
      <w:r>
        <w:rPr>
          <w:rFonts w:hint="eastAsia" w:ascii="宋体" w:hAnsi="宋体" w:eastAsia="宋体" w:cs="宋体"/>
          <w:b/>
          <w:color w:val="auto"/>
          <w:kern w:val="2"/>
          <w:sz w:val="22"/>
          <w:szCs w:val="22"/>
          <w:highlight w:val="none"/>
        </w:rPr>
        <w:t>▲</w:t>
      </w:r>
    </w:p>
    <w:p w14:paraId="68A42288">
      <w:pPr>
        <w:widowControl/>
        <w:shd w:val="clear" w:color="auto"/>
        <w:snapToGrid w:val="0"/>
        <w:spacing w:line="400" w:lineRule="exact"/>
        <w:ind w:firstLine="418" w:firstLineChars="190"/>
        <w:jc w:val="left"/>
        <w:rPr>
          <w:rFonts w:hint="eastAsia" w:ascii="宋体" w:hAnsi="宋体" w:eastAsia="宋体" w:cs="宋体"/>
          <w:b/>
          <w:color w:val="auto"/>
          <w:kern w:val="2"/>
          <w:sz w:val="22"/>
          <w:szCs w:val="24"/>
          <w:highlight w:val="none"/>
          <w:lang w:val="zh-CN"/>
        </w:rPr>
      </w:pPr>
      <w:r>
        <w:rPr>
          <w:rFonts w:hint="eastAsia" w:ascii="宋体" w:hAnsi="宋体" w:eastAsia="宋体" w:cs="宋体"/>
          <w:b w:val="0"/>
          <w:color w:val="auto"/>
          <w:kern w:val="2"/>
          <w:sz w:val="22"/>
          <w:szCs w:val="22"/>
          <w:highlight w:val="none"/>
        </w:rPr>
        <w:t>▲</w:t>
      </w:r>
      <w:r>
        <w:rPr>
          <w:rFonts w:hint="eastAsia" w:ascii="宋体" w:hAnsi="宋体" w:eastAsia="宋体" w:cs="宋体"/>
          <w:b/>
          <w:color w:val="auto"/>
          <w:kern w:val="2"/>
          <w:sz w:val="22"/>
          <w:szCs w:val="24"/>
          <w:highlight w:val="none"/>
        </w:rPr>
        <w:t>1</w:t>
      </w:r>
      <w:r>
        <w:rPr>
          <w:rFonts w:hint="eastAsia" w:ascii="宋体" w:hAnsi="宋体" w:eastAsia="宋体" w:cs="宋体"/>
          <w:b/>
          <w:color w:val="auto"/>
          <w:kern w:val="2"/>
          <w:sz w:val="22"/>
          <w:szCs w:val="24"/>
          <w:highlight w:val="none"/>
          <w:lang w:val="en-US" w:eastAsia="zh-CN"/>
        </w:rPr>
        <w:t>3</w:t>
      </w:r>
      <w:r>
        <w:rPr>
          <w:rFonts w:hint="eastAsia" w:ascii="宋体" w:hAnsi="宋体" w:eastAsia="宋体" w:cs="宋体"/>
          <w:b/>
          <w:color w:val="auto"/>
          <w:kern w:val="2"/>
          <w:sz w:val="22"/>
          <w:szCs w:val="24"/>
          <w:highlight w:val="none"/>
          <w:lang w:val="zh-CN"/>
        </w:rPr>
        <w:t>、投标人信用信息查询渠道及截止时点、信用信息查询记录和证据留存的具体方式、信用信息的使用规则等：</w:t>
      </w:r>
    </w:p>
    <w:p w14:paraId="0F9F0E4C">
      <w:pPr>
        <w:widowControl/>
        <w:shd w:val="clear" w:color="auto"/>
        <w:snapToGrid w:val="0"/>
        <w:spacing w:line="400" w:lineRule="exact"/>
        <w:ind w:firstLine="418" w:firstLineChars="190"/>
        <w:jc w:val="left"/>
        <w:rPr>
          <w:rFonts w:hint="eastAsia" w:ascii="宋体" w:hAnsi="宋体" w:eastAsia="宋体" w:cs="宋体"/>
          <w:b w:val="0"/>
          <w:color w:val="auto"/>
          <w:kern w:val="2"/>
          <w:sz w:val="22"/>
          <w:szCs w:val="24"/>
          <w:highlight w:val="none"/>
          <w:lang w:val="zh-CN"/>
        </w:rPr>
      </w:pPr>
      <w:r>
        <w:rPr>
          <w:rFonts w:hint="eastAsia" w:ascii="宋体" w:hAnsi="宋体" w:eastAsia="宋体" w:cs="宋体"/>
          <w:b w:val="0"/>
          <w:color w:val="auto"/>
          <w:kern w:val="2"/>
          <w:sz w:val="22"/>
          <w:szCs w:val="24"/>
          <w:highlight w:val="none"/>
          <w:lang w:val="zh-CN"/>
        </w:rPr>
        <w:t>1）投标供应商信用信息查询的查询渠道：“信用中国”(</w:t>
      </w:r>
      <w:r>
        <w:rPr>
          <w:rFonts w:hint="eastAsia" w:ascii="宋体" w:hAnsi="宋体" w:eastAsia="宋体" w:cs="宋体"/>
          <w:b w:val="0"/>
          <w:color w:val="auto"/>
          <w:kern w:val="2"/>
          <w:sz w:val="22"/>
          <w:szCs w:val="24"/>
          <w:highlight w:val="none"/>
          <w:lang w:val="zh-CN"/>
        </w:rPr>
        <w:fldChar w:fldCharType="begin"/>
      </w:r>
      <w:r>
        <w:rPr>
          <w:rFonts w:hint="eastAsia" w:ascii="宋体" w:hAnsi="宋体" w:eastAsia="宋体" w:cs="宋体"/>
          <w:b w:val="0"/>
          <w:color w:val="auto"/>
          <w:kern w:val="2"/>
          <w:sz w:val="22"/>
          <w:szCs w:val="24"/>
          <w:highlight w:val="none"/>
          <w:lang w:val="zh-CN"/>
        </w:rPr>
        <w:instrText xml:space="preserve"> HYPERLINK "http://www.creditchina.gov.cn" </w:instrText>
      </w:r>
      <w:r>
        <w:rPr>
          <w:rFonts w:hint="eastAsia" w:ascii="宋体" w:hAnsi="宋体" w:eastAsia="宋体" w:cs="宋体"/>
          <w:b w:val="0"/>
          <w:color w:val="auto"/>
          <w:kern w:val="2"/>
          <w:sz w:val="22"/>
          <w:szCs w:val="24"/>
          <w:highlight w:val="none"/>
          <w:lang w:val="zh-CN"/>
        </w:rPr>
        <w:fldChar w:fldCharType="separate"/>
      </w:r>
      <w:r>
        <w:rPr>
          <w:rFonts w:hint="eastAsia" w:ascii="宋体" w:hAnsi="宋体" w:eastAsia="宋体" w:cs="宋体"/>
          <w:b w:val="0"/>
          <w:color w:val="auto"/>
          <w:kern w:val="2"/>
          <w:sz w:val="22"/>
          <w:szCs w:val="24"/>
          <w:highlight w:val="none"/>
          <w:lang w:val="zh-CN"/>
        </w:rPr>
        <w:t>www.creditchina.gov.cn</w:t>
      </w:r>
      <w:r>
        <w:rPr>
          <w:rFonts w:hint="eastAsia" w:ascii="宋体" w:hAnsi="宋体" w:eastAsia="宋体" w:cs="宋体"/>
          <w:b w:val="0"/>
          <w:color w:val="auto"/>
          <w:kern w:val="2"/>
          <w:sz w:val="22"/>
          <w:szCs w:val="24"/>
          <w:highlight w:val="none"/>
          <w:lang w:val="zh-CN"/>
        </w:rPr>
        <w:fldChar w:fldCharType="end"/>
      </w:r>
      <w:r>
        <w:rPr>
          <w:rFonts w:hint="eastAsia" w:ascii="宋体" w:hAnsi="宋体" w:eastAsia="宋体" w:cs="宋体"/>
          <w:b w:val="0"/>
          <w:color w:val="auto"/>
          <w:kern w:val="2"/>
          <w:sz w:val="22"/>
          <w:szCs w:val="24"/>
          <w:highlight w:val="none"/>
          <w:lang w:val="zh-CN"/>
        </w:rPr>
        <w:t xml:space="preserve">)；“中国政府采购网”（http://www.ccgp.gov.cn/）； </w:t>
      </w:r>
    </w:p>
    <w:p w14:paraId="27B0FE3A">
      <w:pPr>
        <w:widowControl/>
        <w:shd w:val="clear" w:color="auto"/>
        <w:snapToGrid w:val="0"/>
        <w:spacing w:line="400" w:lineRule="exact"/>
        <w:ind w:firstLine="418" w:firstLineChars="190"/>
        <w:jc w:val="left"/>
        <w:rPr>
          <w:rFonts w:hint="eastAsia" w:ascii="宋体" w:hAnsi="宋体" w:eastAsia="宋体" w:cs="宋体"/>
          <w:b w:val="0"/>
          <w:color w:val="auto"/>
          <w:kern w:val="2"/>
          <w:sz w:val="22"/>
          <w:szCs w:val="24"/>
          <w:highlight w:val="none"/>
          <w:lang w:val="zh-CN"/>
        </w:rPr>
      </w:pPr>
      <w:r>
        <w:rPr>
          <w:rFonts w:hint="eastAsia" w:ascii="宋体" w:hAnsi="宋体" w:eastAsia="宋体" w:cs="宋体"/>
          <w:b w:val="0"/>
          <w:color w:val="auto"/>
          <w:kern w:val="2"/>
          <w:sz w:val="22"/>
          <w:szCs w:val="24"/>
          <w:highlight w:val="none"/>
          <w:lang w:val="zh-CN"/>
        </w:rPr>
        <w:t xml:space="preserve">2）投标供应商信用信息查询截止时点：本项目投标截止时间； </w:t>
      </w:r>
    </w:p>
    <w:p w14:paraId="419BF768">
      <w:pPr>
        <w:widowControl/>
        <w:shd w:val="clear" w:color="auto"/>
        <w:snapToGrid w:val="0"/>
        <w:spacing w:line="400" w:lineRule="exact"/>
        <w:ind w:firstLine="418" w:firstLineChars="190"/>
        <w:jc w:val="left"/>
        <w:rPr>
          <w:rFonts w:hint="eastAsia" w:ascii="宋体" w:hAnsi="宋体" w:eastAsia="宋体" w:cs="宋体"/>
          <w:b w:val="0"/>
          <w:color w:val="auto"/>
          <w:kern w:val="2"/>
          <w:sz w:val="22"/>
          <w:szCs w:val="24"/>
          <w:highlight w:val="none"/>
          <w:lang w:val="zh-CN"/>
        </w:rPr>
      </w:pPr>
      <w:r>
        <w:rPr>
          <w:rFonts w:hint="eastAsia" w:ascii="宋体" w:hAnsi="宋体" w:eastAsia="宋体" w:cs="宋体"/>
          <w:b w:val="0"/>
          <w:color w:val="auto"/>
          <w:kern w:val="2"/>
          <w:sz w:val="22"/>
          <w:szCs w:val="24"/>
          <w:highlight w:val="none"/>
          <w:lang w:val="zh-CN"/>
        </w:rPr>
        <w:t>3）投标供应商信用信息查询记录和证据留存的具体方式：网页截图打印；</w:t>
      </w:r>
    </w:p>
    <w:p w14:paraId="294FAF73">
      <w:pPr>
        <w:shd w:val="clear" w:color="auto"/>
        <w:autoSpaceDE w:val="0"/>
        <w:autoSpaceDN w:val="0"/>
        <w:adjustRightInd w:val="0"/>
        <w:snapToGrid w:val="0"/>
        <w:spacing w:line="460" w:lineRule="exact"/>
        <w:ind w:firstLine="431" w:firstLineChars="196"/>
        <w:textAlignment w:val="bottom"/>
        <w:rPr>
          <w:rFonts w:hint="eastAsia" w:ascii="宋体" w:hAnsi="宋体" w:eastAsia="宋体" w:cs="宋体"/>
          <w:b/>
          <w:color w:val="auto"/>
          <w:kern w:val="2"/>
          <w:sz w:val="22"/>
          <w:szCs w:val="22"/>
          <w:highlight w:val="none"/>
        </w:rPr>
      </w:pPr>
      <w:r>
        <w:rPr>
          <w:rFonts w:hint="eastAsia" w:ascii="宋体" w:hAnsi="宋体" w:eastAsia="宋体" w:cs="宋体"/>
          <w:b w:val="0"/>
          <w:color w:val="auto"/>
          <w:kern w:val="2"/>
          <w:sz w:val="22"/>
          <w:szCs w:val="24"/>
          <w:highlight w:val="none"/>
          <w:lang w:val="zh-CN"/>
        </w:rPr>
        <w:t>4）信用信息的使用规则：</w:t>
      </w:r>
      <w:r>
        <w:rPr>
          <w:rFonts w:hint="eastAsia" w:ascii="宋体" w:hAnsi="宋体" w:eastAsia="宋体" w:cs="宋体"/>
          <w:b w:val="0"/>
          <w:color w:val="auto"/>
          <w:kern w:val="2"/>
          <w:sz w:val="22"/>
          <w:szCs w:val="24"/>
          <w:highlight w:val="none"/>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14:paraId="1F144A4B">
      <w:pPr>
        <w:shd w:val="clear" w:color="auto"/>
        <w:autoSpaceDE w:val="0"/>
        <w:autoSpaceDN w:val="0"/>
        <w:adjustRightInd w:val="0"/>
        <w:snapToGrid w:val="0"/>
        <w:spacing w:line="460" w:lineRule="exact"/>
        <w:ind w:firstLine="420"/>
        <w:textAlignment w:val="bottom"/>
        <w:rPr>
          <w:rFonts w:hint="eastAsia" w:ascii="宋体" w:hAnsi="宋体" w:eastAsia="宋体" w:cs="宋体"/>
          <w:b/>
          <w:color w:val="auto"/>
          <w:kern w:val="2"/>
          <w:sz w:val="22"/>
          <w:szCs w:val="22"/>
          <w:highlight w:val="none"/>
          <w:u w:val="single"/>
        </w:rPr>
      </w:pPr>
      <w:r>
        <w:rPr>
          <w:rFonts w:hint="eastAsia" w:ascii="宋体" w:hAnsi="宋体" w:eastAsia="宋体" w:cs="宋体"/>
          <w:b/>
          <w:color w:val="auto"/>
          <w:kern w:val="2"/>
          <w:sz w:val="22"/>
          <w:szCs w:val="22"/>
          <w:highlight w:val="none"/>
          <w:u w:val="single"/>
        </w:rPr>
        <w:t>1</w:t>
      </w:r>
      <w:r>
        <w:rPr>
          <w:rFonts w:hint="eastAsia" w:ascii="宋体" w:hAnsi="宋体" w:eastAsia="宋体" w:cs="宋体"/>
          <w:b/>
          <w:color w:val="auto"/>
          <w:kern w:val="2"/>
          <w:sz w:val="22"/>
          <w:szCs w:val="22"/>
          <w:highlight w:val="none"/>
          <w:u w:val="single"/>
          <w:lang w:val="en-US" w:eastAsia="zh-CN"/>
        </w:rPr>
        <w:t>4</w:t>
      </w:r>
      <w:r>
        <w:rPr>
          <w:rFonts w:hint="eastAsia" w:ascii="宋体" w:hAnsi="宋体" w:eastAsia="宋体" w:cs="宋体"/>
          <w:b/>
          <w:color w:val="auto"/>
          <w:kern w:val="2"/>
          <w:sz w:val="22"/>
          <w:szCs w:val="22"/>
          <w:highlight w:val="none"/>
          <w:u w:val="single"/>
        </w:rPr>
        <w:t>、为保证供应商顺利投标，供应商须在投标截止前自行登录乐采云平台（www.lecaiyun.com），查看是否有补充更正公告文件。如供应商未按补充更正公告文件进行投标的，责任自负。▲</w:t>
      </w:r>
    </w:p>
    <w:p w14:paraId="7D0D2C42">
      <w:pPr>
        <w:shd w:val="clear" w:color="auto"/>
        <w:autoSpaceDE w:val="0"/>
        <w:autoSpaceDN w:val="0"/>
        <w:adjustRightInd w:val="0"/>
        <w:snapToGrid w:val="0"/>
        <w:spacing w:line="460" w:lineRule="exact"/>
        <w:ind w:firstLine="433" w:firstLineChars="196"/>
        <w:textAlignment w:val="bottom"/>
        <w:rPr>
          <w:rFonts w:hint="eastAsia" w:ascii="宋体" w:hAnsi="宋体" w:eastAsia="宋体" w:cs="宋体"/>
          <w:b/>
          <w:color w:val="auto"/>
          <w:kern w:val="2"/>
          <w:sz w:val="22"/>
          <w:szCs w:val="22"/>
          <w:highlight w:val="none"/>
          <w:u w:val="single"/>
        </w:rPr>
      </w:pPr>
      <w:bookmarkStart w:id="9" w:name="OLE_LINK8"/>
      <w:r>
        <w:rPr>
          <w:rFonts w:hint="eastAsia" w:ascii="宋体" w:hAnsi="宋体" w:eastAsia="宋体" w:cs="宋体"/>
          <w:b/>
          <w:color w:val="auto"/>
          <w:kern w:val="2"/>
          <w:sz w:val="22"/>
          <w:szCs w:val="22"/>
          <w:highlight w:val="none"/>
          <w:u w:val="single"/>
        </w:rPr>
        <w:t>1</w:t>
      </w:r>
      <w:r>
        <w:rPr>
          <w:rFonts w:hint="eastAsia" w:ascii="宋体" w:hAnsi="宋体" w:eastAsia="宋体" w:cs="宋体"/>
          <w:b/>
          <w:color w:val="auto"/>
          <w:kern w:val="2"/>
          <w:sz w:val="22"/>
          <w:szCs w:val="22"/>
          <w:highlight w:val="none"/>
          <w:u w:val="single"/>
          <w:lang w:val="en-US" w:eastAsia="zh-CN"/>
        </w:rPr>
        <w:t>5</w:t>
      </w:r>
      <w:r>
        <w:rPr>
          <w:rFonts w:hint="eastAsia" w:ascii="宋体" w:hAnsi="宋体" w:eastAsia="宋体" w:cs="宋体"/>
          <w:b/>
          <w:color w:val="auto"/>
          <w:kern w:val="2"/>
          <w:sz w:val="22"/>
          <w:szCs w:val="22"/>
          <w:highlight w:val="none"/>
          <w:u w:val="single"/>
        </w:rPr>
        <w:t>、</w:t>
      </w:r>
      <w:r>
        <w:rPr>
          <w:rFonts w:hint="eastAsia" w:ascii="宋体" w:hAnsi="宋体" w:eastAsia="宋体" w:cs="宋体"/>
          <w:b/>
          <w:color w:val="auto"/>
          <w:kern w:val="2"/>
          <w:sz w:val="22"/>
          <w:szCs w:val="22"/>
          <w:highlight w:val="none"/>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9"/>
    </w:p>
    <w:p w14:paraId="2371898B">
      <w:pPr>
        <w:shd w:val="clear"/>
        <w:autoSpaceDE w:val="0"/>
        <w:autoSpaceDN w:val="0"/>
        <w:snapToGrid w:val="0"/>
        <w:spacing w:line="46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257DC141">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按招标公告要求</w:t>
      </w:r>
    </w:p>
    <w:p w14:paraId="5F4782D6">
      <w:pPr>
        <w:shd w:val="clea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三、招标文件</w:t>
      </w:r>
    </w:p>
    <w:p w14:paraId="0FB32AA7">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1、招标文件</w:t>
      </w:r>
    </w:p>
    <w:p w14:paraId="50699AE4">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1.1招标文件的获取</w:t>
      </w:r>
    </w:p>
    <w:p w14:paraId="348F118E">
      <w:pPr>
        <w:shd w:val="clea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供应商在</w:t>
      </w:r>
      <w:r>
        <w:rPr>
          <w:rFonts w:hint="eastAsia" w:ascii="宋体" w:hAnsi="宋体" w:eastAsia="宋体" w:cs="宋体"/>
          <w:i w:val="0"/>
          <w:iCs w:val="0"/>
          <w:caps w:val="0"/>
          <w:color w:val="auto"/>
          <w:spacing w:val="0"/>
          <w:sz w:val="22"/>
          <w:szCs w:val="22"/>
          <w:highlight w:val="none"/>
          <w:shd w:val="clear" w:fill="FFFFFF"/>
        </w:rPr>
        <w:t>乐采云平台（www.lecaiyun.com）</w:t>
      </w:r>
      <w:r>
        <w:rPr>
          <w:rFonts w:hint="eastAsia"/>
          <w:color w:val="auto"/>
          <w:sz w:val="22"/>
          <w:szCs w:val="22"/>
          <w:highlight w:val="none"/>
        </w:rPr>
        <w:t>直接下载本项目招标文件。</w:t>
      </w:r>
    </w:p>
    <w:p w14:paraId="3496FFBB">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1.2招标文件约束力</w:t>
      </w:r>
    </w:p>
    <w:p w14:paraId="23BC66AE">
      <w:pPr>
        <w:shd w:val="clea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14:paraId="3E12790A">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1.3招标文件的组成</w:t>
      </w:r>
    </w:p>
    <w:p w14:paraId="1AFA0B6F">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招标文件由招标文件总目录所列内容及补充资料等组成。</w:t>
      </w:r>
    </w:p>
    <w:p w14:paraId="1B7B5CFF">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2、招标文件的澄清</w:t>
      </w:r>
    </w:p>
    <w:p w14:paraId="21D6BD70">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供应商对招标文件如有疑点要求澄清，可用书面形式（包括信函、传真，下同）通知</w:t>
      </w:r>
      <w:r>
        <w:rPr>
          <w:rFonts w:hint="eastAsia" w:ascii="宋体" w:hAnsi="宋体"/>
          <w:color w:val="auto"/>
          <w:sz w:val="22"/>
          <w:szCs w:val="22"/>
          <w:highlight w:val="none"/>
          <w:u w:val="single"/>
        </w:rPr>
        <w:t>招标代理机构</w:t>
      </w:r>
      <w:r>
        <w:rPr>
          <w:rFonts w:hint="eastAsia" w:ascii="宋体" w:hAnsi="宋体"/>
          <w:color w:val="auto"/>
          <w:sz w:val="22"/>
          <w:szCs w:val="22"/>
          <w:highlight w:val="none"/>
        </w:rPr>
        <w:t>，但通知不得迟于规定的质疑时间前使招标代理机构收到，招标代理机构将采用用网上答疑形式予以答复。</w:t>
      </w:r>
    </w:p>
    <w:p w14:paraId="6277B026">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3、招标文件的修改</w:t>
      </w:r>
    </w:p>
    <w:p w14:paraId="532739F9">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3.1 在投标截止时间前，采购人有权修改招标文件，并在网上发布更正公告。补充文件作为招标文件的补充和组成部分，对所有供应商均有约束力。</w:t>
      </w:r>
    </w:p>
    <w:p w14:paraId="60C2BD93">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3.2 为使供应商有足够的时间按招标文件要求修正投标文件，采购人可</w:t>
      </w:r>
      <w:r>
        <w:rPr>
          <w:rFonts w:hint="eastAsia" w:ascii="宋体" w:hAnsi="宋体"/>
          <w:color w:val="auto"/>
          <w:sz w:val="22"/>
          <w:szCs w:val="22"/>
          <w:highlight w:val="none"/>
          <w:lang w:eastAsia="zh-CN"/>
        </w:rPr>
        <w:t>进行</w:t>
      </w:r>
      <w:r>
        <w:rPr>
          <w:rFonts w:hint="eastAsia" w:ascii="宋体" w:hAnsi="宋体"/>
          <w:color w:val="auto"/>
          <w:sz w:val="22"/>
          <w:szCs w:val="22"/>
          <w:highlight w:val="none"/>
        </w:rPr>
        <w:t>推迟投标截止时间和开标时间，并将此变更网上告知。</w:t>
      </w:r>
    </w:p>
    <w:p w14:paraId="40FC24CE">
      <w:pPr>
        <w:shd w:val="clea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四、投标文件</w:t>
      </w:r>
    </w:p>
    <w:p w14:paraId="18404651">
      <w:pPr>
        <w:shd w:val="clea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1、投标文件</w:t>
      </w:r>
    </w:p>
    <w:p w14:paraId="05A90709">
      <w:pPr>
        <w:shd w:val="clea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1.1</w:t>
      </w:r>
      <w:r>
        <w:rPr>
          <w:rFonts w:hint="eastAsia" w:ascii="宋体" w:hAnsi="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14:paraId="3677EFA4">
      <w:pPr>
        <w:shd w:val="clea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1.2</w:t>
      </w:r>
      <w:r>
        <w:rPr>
          <w:rFonts w:hint="eastAsia" w:ascii="宋体" w:hAnsi="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2C04C520">
      <w:pPr>
        <w:shd w:val="clear"/>
        <w:autoSpaceDE w:val="0"/>
        <w:autoSpaceDN w:val="0"/>
        <w:snapToGrid w:val="0"/>
        <w:spacing w:line="420" w:lineRule="exact"/>
        <w:ind w:firstLine="431" w:firstLineChars="196"/>
        <w:rPr>
          <w:rFonts w:hint="eastAsia" w:ascii="宋体" w:hAnsi="宋体"/>
          <w:color w:val="auto"/>
          <w:sz w:val="22"/>
          <w:szCs w:val="22"/>
          <w:highlight w:val="none"/>
          <w:lang w:val="zh-CN"/>
        </w:rPr>
      </w:pPr>
      <w:r>
        <w:rPr>
          <w:rFonts w:hint="eastAsia" w:ascii="宋体" w:hAnsi="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14:paraId="34A2AB3E">
      <w:pPr>
        <w:shd w:val="clear"/>
        <w:autoSpaceDE w:val="0"/>
        <w:autoSpaceDN w:val="0"/>
        <w:snapToGrid w:val="0"/>
        <w:spacing w:line="360" w:lineRule="auto"/>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 xml:space="preserve">2、投标文件的组成 </w:t>
      </w:r>
    </w:p>
    <w:p w14:paraId="319362BD">
      <w:pPr>
        <w:shd w:val="clea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 xml:space="preserve">2、投标文件的组成  </w:t>
      </w:r>
    </w:p>
    <w:p w14:paraId="1D70074F">
      <w:pPr>
        <w:shd w:val="clear"/>
        <w:autoSpaceDE w:val="0"/>
        <w:autoSpaceDN w:val="0"/>
        <w:snapToGrid w:val="0"/>
        <w:spacing w:line="460" w:lineRule="exact"/>
        <w:ind w:firstLine="442" w:firstLineChars="200"/>
        <w:rPr>
          <w:rFonts w:hint="eastAsia"/>
          <w:b/>
          <w:color w:val="auto"/>
          <w:sz w:val="22"/>
          <w:szCs w:val="22"/>
          <w:highlight w:val="none"/>
          <w:u w:val="single"/>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14:paraId="3F970D3F">
      <w:pPr>
        <w:shd w:val="clear"/>
        <w:autoSpaceDE w:val="0"/>
        <w:autoSpaceDN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2.1</w:t>
      </w:r>
      <w:r>
        <w:rPr>
          <w:rFonts w:hint="eastAsia"/>
          <w:b/>
          <w:color w:val="auto"/>
          <w:sz w:val="22"/>
          <w:szCs w:val="22"/>
          <w:highlight w:val="none"/>
          <w:u w:val="single"/>
        </w:rPr>
        <w:t>资格文件组成</w:t>
      </w:r>
    </w:p>
    <w:p w14:paraId="5AE485B2">
      <w:pPr>
        <w:shd w:val="clea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1）“资格文件”封面</w:t>
      </w:r>
    </w:p>
    <w:p w14:paraId="4D9EC1AD">
      <w:pPr>
        <w:shd w:val="clea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2）供应商资格审查声明函</w:t>
      </w:r>
    </w:p>
    <w:p w14:paraId="2D912353">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营业执照(或事业法人登记证书或其它工商等登记证明材料；自然人参与采购，提供身份证)复印件； </w:t>
      </w:r>
    </w:p>
    <w:p w14:paraId="6634FF5E">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w:t>
      </w:r>
      <w:r>
        <w:rPr>
          <w:rFonts w:hint="eastAsia" w:ascii="Times New Roman" w:hAnsi="Times New Roman" w:eastAsia="宋体"/>
          <w:color w:val="auto"/>
          <w:sz w:val="22"/>
          <w:szCs w:val="22"/>
          <w:highlight w:val="none"/>
        </w:rPr>
        <w:t>财产证明材料（在投标文件中提供相关材料），证明其具备实际承担责任的能力和法定的缔结合同能力，可以独立参加采购活动，由单位负责人签署相关文件材料；</w:t>
      </w:r>
    </w:p>
    <w:p w14:paraId="5795E29C">
      <w:pPr>
        <w:shd w:val="clea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上述资格条件审查材料</w:t>
      </w:r>
      <w:r>
        <w:rPr>
          <w:rFonts w:hint="eastAsia"/>
          <w:b/>
          <w:color w:val="auto"/>
          <w:sz w:val="22"/>
          <w:szCs w:val="22"/>
          <w:highlight w:val="none"/>
          <w:lang w:val="en-US" w:eastAsia="zh-CN"/>
        </w:rPr>
        <w:t>2</w:t>
      </w:r>
      <w:r>
        <w:rPr>
          <w:rFonts w:hint="eastAsia"/>
          <w:b/>
          <w:color w:val="auto"/>
          <w:sz w:val="22"/>
          <w:szCs w:val="22"/>
          <w:highlight w:val="none"/>
        </w:rPr>
        <w:t>-</w:t>
      </w:r>
      <w:r>
        <w:rPr>
          <w:rFonts w:hint="eastAsia"/>
          <w:b/>
          <w:color w:val="auto"/>
          <w:sz w:val="22"/>
          <w:szCs w:val="22"/>
          <w:highlight w:val="none"/>
          <w:lang w:val="en-US" w:eastAsia="zh-CN"/>
        </w:rPr>
        <w:t>3</w:t>
      </w:r>
      <w:r>
        <w:rPr>
          <w:rFonts w:hint="eastAsia"/>
          <w:b/>
          <w:color w:val="auto"/>
          <w:sz w:val="22"/>
          <w:szCs w:val="22"/>
          <w:highlight w:val="none"/>
        </w:rPr>
        <w:t>项有一项不提供的，视为资格审查不通过。</w:t>
      </w:r>
    </w:p>
    <w:p w14:paraId="27CF68C7">
      <w:pPr>
        <w:shd w:val="clear"/>
        <w:autoSpaceDE w:val="0"/>
        <w:autoSpaceDN w:val="0"/>
        <w:snapToGrid w:val="0"/>
        <w:spacing w:line="460" w:lineRule="exact"/>
        <w:ind w:firstLine="442" w:firstLineChars="200"/>
        <w:rPr>
          <w:rFonts w:hint="eastAsia"/>
          <w:b/>
          <w:bCs/>
          <w:color w:val="auto"/>
          <w:sz w:val="22"/>
          <w:szCs w:val="22"/>
          <w:highlight w:val="none"/>
          <w:lang w:val="zh-CN"/>
        </w:rPr>
      </w:pPr>
      <w:r>
        <w:rPr>
          <w:rFonts w:hint="eastAsia"/>
          <w:b/>
          <w:bCs/>
          <w:color w:val="auto"/>
          <w:sz w:val="22"/>
          <w:szCs w:val="22"/>
          <w:highlight w:val="none"/>
          <w:lang w:val="zh-CN"/>
        </w:rPr>
        <w:t>2.</w:t>
      </w:r>
      <w:r>
        <w:rPr>
          <w:rFonts w:hint="eastAsia"/>
          <w:b/>
          <w:bCs/>
          <w:color w:val="auto"/>
          <w:sz w:val="22"/>
          <w:szCs w:val="22"/>
          <w:highlight w:val="none"/>
        </w:rPr>
        <w:t>2</w:t>
      </w:r>
      <w:r>
        <w:rPr>
          <w:rFonts w:hint="eastAsia"/>
          <w:b/>
          <w:bCs/>
          <w:color w:val="auto"/>
          <w:sz w:val="22"/>
          <w:szCs w:val="22"/>
          <w:highlight w:val="none"/>
          <w:lang w:val="zh-CN"/>
        </w:rPr>
        <w:t>、</w:t>
      </w:r>
      <w:r>
        <w:rPr>
          <w:rFonts w:hint="eastAsia"/>
          <w:b/>
          <w:bCs/>
          <w:color w:val="auto"/>
          <w:sz w:val="22"/>
          <w:szCs w:val="22"/>
          <w:highlight w:val="none"/>
        </w:rPr>
        <w:t>报价文件</w:t>
      </w:r>
      <w:r>
        <w:rPr>
          <w:rFonts w:hint="eastAsia"/>
          <w:b/>
          <w:bCs/>
          <w:color w:val="auto"/>
          <w:sz w:val="22"/>
          <w:szCs w:val="22"/>
          <w:highlight w:val="none"/>
          <w:lang w:val="zh-CN"/>
        </w:rPr>
        <w:t>组成</w:t>
      </w:r>
    </w:p>
    <w:p w14:paraId="21AD2994">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1）“报价文件”封面</w:t>
      </w:r>
    </w:p>
    <w:p w14:paraId="1E9F6086">
      <w:pPr>
        <w:shd w:val="clea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ascii="Times New Roman" w:hAnsi="Times New Roman" w:eastAsia="宋体"/>
          <w:color w:val="auto"/>
          <w:sz w:val="22"/>
          <w:szCs w:val="22"/>
          <w:highlight w:val="none"/>
        </w:rPr>
        <w:t>2)  开标一览表</w:t>
      </w:r>
    </w:p>
    <w:p w14:paraId="510DD999">
      <w:pPr>
        <w:shd w:val="clear"/>
        <w:autoSpaceDE w:val="0"/>
        <w:autoSpaceDN w:val="0"/>
        <w:snapToGrid w:val="0"/>
        <w:spacing w:line="460" w:lineRule="exact"/>
        <w:ind w:firstLine="440" w:firstLineChars="200"/>
        <w:rPr>
          <w:rFonts w:hint="eastAsia" w:ascii="Times New Roman" w:hAnsi="Times New Roman" w:eastAsia="宋体"/>
          <w:color w:val="auto"/>
          <w:sz w:val="22"/>
          <w:szCs w:val="22"/>
          <w:highlight w:val="none"/>
          <w:lang w:val="en-US" w:eastAsia="zh-CN"/>
        </w:rPr>
      </w:pPr>
      <w:r>
        <w:rPr>
          <w:rFonts w:hint="eastAsia" w:ascii="Times New Roman" w:hAnsi="Times New Roman" w:eastAsia="宋体"/>
          <w:color w:val="auto"/>
          <w:sz w:val="22"/>
          <w:szCs w:val="22"/>
          <w:highlight w:val="none"/>
          <w:lang w:val="en-US" w:eastAsia="zh-CN"/>
        </w:rPr>
        <w:t>3）</w:t>
      </w:r>
      <w:r>
        <w:rPr>
          <w:rFonts w:hint="eastAsia" w:ascii="Times New Roman" w:hAnsi="Times New Roman" w:eastAsia="宋体"/>
          <w:color w:val="auto"/>
          <w:sz w:val="22"/>
          <w:szCs w:val="22"/>
          <w:highlight w:val="none"/>
        </w:rPr>
        <w:t>中小企业声明函、监狱企业、残疾人福利性单位及其他相关的充分的证明材料</w:t>
      </w:r>
    </w:p>
    <w:p w14:paraId="364F0B22">
      <w:pPr>
        <w:shd w:val="clear"/>
        <w:autoSpaceDE w:val="0"/>
        <w:autoSpaceDN w:val="0"/>
        <w:snapToGrid w:val="0"/>
        <w:spacing w:line="460" w:lineRule="exact"/>
        <w:ind w:firstLine="442" w:firstLineChars="200"/>
        <w:rPr>
          <w:rFonts w:hint="eastAsia"/>
          <w:b/>
          <w:bCs/>
          <w:color w:val="auto"/>
          <w:sz w:val="22"/>
          <w:szCs w:val="22"/>
          <w:highlight w:val="none"/>
        </w:rPr>
      </w:pPr>
      <w:r>
        <w:rPr>
          <w:rFonts w:hint="eastAsia"/>
          <w:b/>
          <w:bCs/>
          <w:color w:val="auto"/>
          <w:sz w:val="22"/>
          <w:szCs w:val="22"/>
          <w:highlight w:val="none"/>
        </w:rPr>
        <w:t>2.3、商务技术文件组成</w:t>
      </w:r>
    </w:p>
    <w:p w14:paraId="308A45F9">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1）商务技术文件封面</w:t>
      </w:r>
    </w:p>
    <w:p w14:paraId="2C4EFD8A">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2）供应商自评分指引表</w:t>
      </w:r>
    </w:p>
    <w:p w14:paraId="083F1FFF">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w:t>
      </w:r>
      <w:r>
        <w:rPr>
          <w:color w:val="auto"/>
          <w:sz w:val="22"/>
          <w:szCs w:val="22"/>
          <w:highlight w:val="none"/>
        </w:rPr>
        <w:t>供应商参与采购活动投标资格声明函</w:t>
      </w:r>
    </w:p>
    <w:p w14:paraId="010A1453">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4)</w:t>
      </w:r>
      <w:r>
        <w:rPr>
          <w:color w:val="auto"/>
          <w:sz w:val="22"/>
          <w:szCs w:val="22"/>
          <w:highlight w:val="none"/>
        </w:rPr>
        <w:t xml:space="preserve"> </w:t>
      </w:r>
      <w:r>
        <w:rPr>
          <w:rFonts w:hint="eastAsia"/>
          <w:color w:val="auto"/>
          <w:sz w:val="22"/>
          <w:szCs w:val="22"/>
          <w:highlight w:val="none"/>
        </w:rPr>
        <w:t>投标函；</w:t>
      </w:r>
    </w:p>
    <w:p w14:paraId="6C89BEAA">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5）法定代表人授权书；</w:t>
      </w:r>
    </w:p>
    <w:p w14:paraId="136B7E1E">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6）</w:t>
      </w:r>
      <w:r>
        <w:rPr>
          <w:rFonts w:hint="eastAsia"/>
          <w:color w:val="auto"/>
          <w:sz w:val="22"/>
          <w:szCs w:val="22"/>
          <w:highlight w:val="none"/>
          <w:lang w:eastAsia="zh-CN"/>
        </w:rPr>
        <w:t>投标供应商</w:t>
      </w:r>
      <w:r>
        <w:rPr>
          <w:rFonts w:hint="eastAsia"/>
          <w:color w:val="auto"/>
          <w:sz w:val="22"/>
          <w:szCs w:val="22"/>
          <w:highlight w:val="none"/>
        </w:rPr>
        <w:t>情况声明</w:t>
      </w:r>
    </w:p>
    <w:p w14:paraId="2E10E651">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7）商务响应表、技术响应表（</w:t>
      </w:r>
      <w:r>
        <w:rPr>
          <w:rFonts w:hint="eastAsia"/>
          <w:color w:val="auto"/>
          <w:sz w:val="22"/>
          <w:szCs w:val="22"/>
          <w:highlight w:val="none"/>
          <w:u w:val="single"/>
        </w:rPr>
        <w:t>如有偏离须明确列出</w:t>
      </w:r>
      <w:r>
        <w:rPr>
          <w:rFonts w:hint="eastAsia"/>
          <w:color w:val="auto"/>
          <w:sz w:val="22"/>
          <w:szCs w:val="22"/>
          <w:highlight w:val="none"/>
        </w:rPr>
        <w:t>）；</w:t>
      </w:r>
    </w:p>
    <w:p w14:paraId="4E4AEBF9">
      <w:pPr>
        <w:shd w:val="clear"/>
        <w:autoSpaceDE w:val="0"/>
        <w:autoSpaceDN w:val="0"/>
        <w:snapToGrid w:val="0"/>
        <w:spacing w:line="460" w:lineRule="exact"/>
        <w:ind w:firstLine="440" w:firstLineChars="200"/>
        <w:rPr>
          <w:rFonts w:hint="eastAsia" w:ascii="Times New Roman" w:hAnsi="Times New Roman" w:eastAsia="宋体"/>
          <w:b w:val="0"/>
          <w:bCs/>
          <w:color w:val="auto"/>
          <w:sz w:val="22"/>
          <w:szCs w:val="22"/>
          <w:highlight w:val="none"/>
          <w:lang w:val="en-US" w:eastAsia="zh-CN"/>
        </w:rPr>
      </w:pPr>
      <w:r>
        <w:rPr>
          <w:rFonts w:hint="eastAsia" w:ascii="Times New Roman" w:hAnsi="Times New Roman" w:eastAsia="宋体"/>
          <w:b w:val="0"/>
          <w:bCs/>
          <w:color w:val="auto"/>
          <w:sz w:val="22"/>
          <w:szCs w:val="22"/>
          <w:highlight w:val="none"/>
          <w:lang w:val="en-US" w:eastAsia="zh-CN"/>
        </w:rPr>
        <w:t>8</w:t>
      </w:r>
      <w:r>
        <w:rPr>
          <w:rFonts w:hint="eastAsia" w:ascii="Times New Roman" w:hAnsi="Times New Roman" w:eastAsia="宋体"/>
          <w:b w:val="0"/>
          <w:bCs/>
          <w:color w:val="auto"/>
          <w:sz w:val="22"/>
          <w:szCs w:val="22"/>
          <w:highlight w:val="none"/>
        </w:rPr>
        <w:t>）供应商</w:t>
      </w:r>
      <w:r>
        <w:rPr>
          <w:rFonts w:hint="eastAsia" w:ascii="Times New Roman" w:hAnsi="Times New Roman" w:eastAsia="宋体"/>
          <w:b w:val="0"/>
          <w:bCs/>
          <w:color w:val="auto"/>
          <w:sz w:val="22"/>
          <w:szCs w:val="22"/>
          <w:highlight w:val="none"/>
          <w:lang w:eastAsia="zh-CN"/>
        </w:rPr>
        <w:t>、</w:t>
      </w:r>
      <w:r>
        <w:rPr>
          <w:rFonts w:hint="eastAsia" w:ascii="Times New Roman" w:hAnsi="Times New Roman" w:eastAsia="宋体"/>
          <w:b w:val="0"/>
          <w:bCs/>
          <w:color w:val="auto"/>
          <w:sz w:val="22"/>
          <w:szCs w:val="22"/>
          <w:highlight w:val="none"/>
          <w:lang w:val="en-US" w:eastAsia="zh-CN"/>
        </w:rPr>
        <w:t>人员</w:t>
      </w:r>
      <w:r>
        <w:rPr>
          <w:rFonts w:hint="eastAsia" w:ascii="Times New Roman" w:hAnsi="Times New Roman" w:eastAsia="宋体"/>
          <w:b w:val="0"/>
          <w:bCs/>
          <w:color w:val="auto"/>
          <w:sz w:val="22"/>
          <w:szCs w:val="22"/>
          <w:highlight w:val="none"/>
        </w:rPr>
        <w:t>类似业绩证明（按评标细则要求提供）；</w:t>
      </w:r>
    </w:p>
    <w:p w14:paraId="6AFD0616">
      <w:pPr>
        <w:shd w:val="clear"/>
        <w:autoSpaceDE w:val="0"/>
        <w:autoSpaceDN w:val="0"/>
        <w:snapToGrid w:val="0"/>
        <w:spacing w:line="460" w:lineRule="exact"/>
        <w:ind w:firstLine="440" w:firstLineChars="200"/>
        <w:rPr>
          <w:rFonts w:hint="eastAsia" w:ascii="Times New Roman" w:hAnsi="Times New Roman" w:eastAsia="宋体"/>
          <w:b w:val="0"/>
          <w:bCs/>
          <w:color w:val="auto"/>
          <w:sz w:val="22"/>
          <w:szCs w:val="22"/>
          <w:highlight w:val="none"/>
          <w:lang w:val="en-US" w:eastAsia="zh-CN"/>
        </w:rPr>
      </w:pPr>
      <w:r>
        <w:rPr>
          <w:rFonts w:hint="eastAsia" w:ascii="Times New Roman" w:hAnsi="Times New Roman" w:eastAsia="宋体"/>
          <w:b w:val="0"/>
          <w:bCs/>
          <w:color w:val="auto"/>
          <w:sz w:val="22"/>
          <w:szCs w:val="22"/>
          <w:highlight w:val="none"/>
          <w:lang w:val="en-US" w:eastAsia="zh-CN"/>
        </w:rPr>
        <w:t>9</w:t>
      </w:r>
      <w:r>
        <w:rPr>
          <w:rFonts w:hint="eastAsia" w:ascii="Times New Roman" w:hAnsi="Times New Roman" w:eastAsia="宋体"/>
          <w:b w:val="0"/>
          <w:bCs/>
          <w:color w:val="auto"/>
          <w:sz w:val="22"/>
          <w:szCs w:val="22"/>
          <w:highlight w:val="none"/>
        </w:rPr>
        <w:t>）产品参数、施工方案等；</w:t>
      </w:r>
    </w:p>
    <w:p w14:paraId="3E29F3E1">
      <w:pPr>
        <w:shd w:val="clear"/>
        <w:autoSpaceDE w:val="0"/>
        <w:autoSpaceDN w:val="0"/>
        <w:snapToGrid w:val="0"/>
        <w:spacing w:line="460" w:lineRule="exact"/>
        <w:ind w:firstLine="440" w:firstLineChars="200"/>
        <w:rPr>
          <w:rFonts w:hint="eastAsia"/>
          <w:b w:val="0"/>
          <w:bCs w:val="0"/>
          <w:color w:val="auto"/>
          <w:sz w:val="22"/>
          <w:szCs w:val="22"/>
          <w:highlight w:val="none"/>
          <w:lang w:val="en-US" w:eastAsia="zh-CN"/>
        </w:rPr>
      </w:pPr>
      <w:r>
        <w:rPr>
          <w:rFonts w:hint="eastAsia"/>
          <w:b w:val="0"/>
          <w:bCs w:val="0"/>
          <w:color w:val="auto"/>
          <w:sz w:val="22"/>
          <w:szCs w:val="22"/>
          <w:highlight w:val="none"/>
          <w:lang w:val="en-US" w:eastAsia="zh-CN"/>
        </w:rPr>
        <w:t>10</w:t>
      </w:r>
      <w:r>
        <w:rPr>
          <w:rFonts w:hint="eastAsia"/>
          <w:b w:val="0"/>
          <w:bCs w:val="0"/>
          <w:color w:val="auto"/>
          <w:sz w:val="22"/>
          <w:szCs w:val="22"/>
          <w:highlight w:val="none"/>
        </w:rPr>
        <w:t>）针对本项目拟派人员名单</w:t>
      </w:r>
    </w:p>
    <w:p w14:paraId="6D4B962F">
      <w:pPr>
        <w:shd w:val="clear"/>
        <w:autoSpaceDE w:val="0"/>
        <w:autoSpaceDN w:val="0"/>
        <w:snapToGrid w:val="0"/>
        <w:spacing w:line="460" w:lineRule="exact"/>
        <w:ind w:firstLine="440" w:firstLineChars="200"/>
        <w:rPr>
          <w:rFonts w:hint="eastAsia"/>
          <w:b w:val="0"/>
          <w:bCs w:val="0"/>
          <w:color w:val="auto"/>
          <w:sz w:val="22"/>
          <w:szCs w:val="22"/>
          <w:highlight w:val="none"/>
        </w:rPr>
      </w:pPr>
      <w:r>
        <w:rPr>
          <w:rFonts w:hint="eastAsia"/>
          <w:b w:val="0"/>
          <w:bCs w:val="0"/>
          <w:color w:val="auto"/>
          <w:sz w:val="22"/>
          <w:szCs w:val="22"/>
          <w:highlight w:val="none"/>
        </w:rPr>
        <w:t>1</w:t>
      </w:r>
      <w:r>
        <w:rPr>
          <w:rFonts w:hint="eastAsia"/>
          <w:b w:val="0"/>
          <w:bCs w:val="0"/>
          <w:color w:val="auto"/>
          <w:sz w:val="22"/>
          <w:szCs w:val="22"/>
          <w:highlight w:val="none"/>
          <w:lang w:val="en-US" w:eastAsia="zh-CN"/>
        </w:rPr>
        <w:t>1</w:t>
      </w:r>
      <w:r>
        <w:rPr>
          <w:rFonts w:hint="eastAsia"/>
          <w:b w:val="0"/>
          <w:bCs w:val="0"/>
          <w:color w:val="auto"/>
          <w:sz w:val="22"/>
          <w:szCs w:val="22"/>
          <w:highlight w:val="none"/>
        </w:rPr>
        <w:t>）供应商认为有必要提供的其他材料或说明（如有）</w:t>
      </w:r>
    </w:p>
    <w:p w14:paraId="7216035C">
      <w:pPr>
        <w:shd w:val="clear"/>
        <w:autoSpaceDE w:val="0"/>
        <w:autoSpaceDN w:val="0"/>
        <w:snapToGrid w:val="0"/>
        <w:spacing w:line="460" w:lineRule="exact"/>
        <w:ind w:firstLine="440" w:firstLineChars="200"/>
        <w:rPr>
          <w:rFonts w:hint="eastAsia"/>
          <w:b w:val="0"/>
          <w:bCs w:val="0"/>
          <w:color w:val="auto"/>
          <w:sz w:val="22"/>
          <w:szCs w:val="22"/>
          <w:highlight w:val="none"/>
        </w:rPr>
      </w:pPr>
      <w:r>
        <w:rPr>
          <w:rFonts w:hint="eastAsia"/>
          <w:b w:val="0"/>
          <w:bCs w:val="0"/>
          <w:color w:val="auto"/>
          <w:sz w:val="22"/>
          <w:szCs w:val="22"/>
          <w:highlight w:val="none"/>
        </w:rPr>
        <w:t>1</w:t>
      </w:r>
      <w:r>
        <w:rPr>
          <w:rFonts w:hint="eastAsia"/>
          <w:b w:val="0"/>
          <w:bCs w:val="0"/>
          <w:color w:val="auto"/>
          <w:sz w:val="22"/>
          <w:szCs w:val="22"/>
          <w:highlight w:val="none"/>
          <w:lang w:val="en-US" w:eastAsia="zh-CN"/>
        </w:rPr>
        <w:t>2</w:t>
      </w:r>
      <w:r>
        <w:rPr>
          <w:rFonts w:hint="eastAsia"/>
          <w:b w:val="0"/>
          <w:bCs w:val="0"/>
          <w:color w:val="auto"/>
          <w:sz w:val="22"/>
          <w:szCs w:val="22"/>
          <w:highlight w:val="none"/>
        </w:rPr>
        <w:t>）质量服务承诺书、诚信投标承诺书；</w:t>
      </w:r>
    </w:p>
    <w:p w14:paraId="70A2EB92">
      <w:pPr>
        <w:shd w:val="clear"/>
        <w:autoSpaceDE w:val="0"/>
        <w:autoSpaceDN w:val="0"/>
        <w:snapToGrid w:val="0"/>
        <w:spacing w:line="460" w:lineRule="exact"/>
        <w:ind w:firstLine="440" w:firstLineChars="200"/>
        <w:rPr>
          <w:rFonts w:hint="eastAsia"/>
          <w:b w:val="0"/>
          <w:bCs w:val="0"/>
          <w:color w:val="auto"/>
          <w:sz w:val="22"/>
          <w:szCs w:val="22"/>
          <w:highlight w:val="none"/>
          <w:lang w:val="en-US" w:eastAsia="zh-CN"/>
        </w:rPr>
      </w:pPr>
      <w:r>
        <w:rPr>
          <w:rFonts w:hint="eastAsia"/>
          <w:b w:val="0"/>
          <w:bCs w:val="0"/>
          <w:color w:val="auto"/>
          <w:sz w:val="22"/>
          <w:szCs w:val="22"/>
          <w:highlight w:val="none"/>
          <w:lang w:val="en-US" w:eastAsia="zh-CN"/>
        </w:rPr>
        <w:t>13</w:t>
      </w:r>
      <w:r>
        <w:rPr>
          <w:rFonts w:hint="eastAsia"/>
          <w:b w:val="0"/>
          <w:bCs w:val="0"/>
          <w:color w:val="auto"/>
          <w:sz w:val="22"/>
          <w:szCs w:val="22"/>
          <w:highlight w:val="none"/>
        </w:rPr>
        <w:t>）</w:t>
      </w:r>
      <w:r>
        <w:rPr>
          <w:rFonts w:hint="eastAsia" w:ascii="宋体"/>
          <w:b w:val="0"/>
          <w:bCs w:val="0"/>
          <w:color w:val="auto"/>
          <w:sz w:val="22"/>
          <w:szCs w:val="22"/>
          <w:highlight w:val="none"/>
        </w:rPr>
        <w:t>技术服务和售后服务的内容、措施、承诺，包括质保期、距采购人最近的服务网点的详细介绍，资质资格、技术力量，服务机构总负责人，电话，地址，技术力量配置等</w:t>
      </w:r>
    </w:p>
    <w:p w14:paraId="014A57DB">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 投标文件编制</w:t>
      </w:r>
    </w:p>
    <w:p w14:paraId="071A0676">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3.1本项目通过“</w:t>
      </w:r>
      <w:r>
        <w:rPr>
          <w:rFonts w:hint="eastAsia"/>
          <w:color w:val="auto"/>
          <w:sz w:val="22"/>
          <w:szCs w:val="22"/>
          <w:highlight w:val="none"/>
          <w:lang w:eastAsia="zh-CN"/>
        </w:rPr>
        <w:t>乐采云平台（www.lecaiyun.com）</w:t>
      </w:r>
      <w:r>
        <w:rPr>
          <w:rFonts w:hint="eastAsia"/>
          <w:color w:val="auto"/>
          <w:sz w:val="22"/>
          <w:szCs w:val="22"/>
          <w:highlight w:val="none"/>
        </w:rPr>
        <w:t>”实行在线投标响应（电子投标）。供应商应通过“政采云电子交易客户端”，并按照本招标文件和“乐采云平台”的要求编制并加密投标文件。</w:t>
      </w:r>
    </w:p>
    <w:p w14:paraId="420475E3">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w:t>
      </w:r>
      <w:r>
        <w:rPr>
          <w:rFonts w:hint="eastAsia"/>
          <w:color w:val="auto"/>
          <w:sz w:val="22"/>
          <w:szCs w:val="22"/>
          <w:highlight w:val="none"/>
          <w:lang w:eastAsia="zh-CN"/>
        </w:rPr>
        <w:t>投标供应商</w:t>
      </w:r>
      <w:r>
        <w:rPr>
          <w:rFonts w:hint="eastAsia"/>
          <w:color w:val="auto"/>
          <w:sz w:val="22"/>
          <w:szCs w:val="22"/>
          <w:highlight w:val="none"/>
        </w:rPr>
        <w:t>原因提前泄露投标报价，是</w:t>
      </w:r>
      <w:r>
        <w:rPr>
          <w:rFonts w:hint="eastAsia"/>
          <w:color w:val="auto"/>
          <w:sz w:val="22"/>
          <w:szCs w:val="22"/>
          <w:highlight w:val="none"/>
          <w:lang w:eastAsia="zh-CN"/>
        </w:rPr>
        <w:t>投标供应商</w:t>
      </w:r>
      <w:r>
        <w:rPr>
          <w:rFonts w:hint="eastAsia"/>
          <w:color w:val="auto"/>
          <w:sz w:val="22"/>
          <w:szCs w:val="22"/>
          <w:highlight w:val="none"/>
        </w:rPr>
        <w:t>的责任。</w:t>
      </w:r>
    </w:p>
    <w:p w14:paraId="40A069CE">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3.3《投标文件》内容不完整、编排混乱导致《投标文件》被误读、漏读或者查找不到相关内容的，是</w:t>
      </w:r>
      <w:r>
        <w:rPr>
          <w:rFonts w:hint="eastAsia"/>
          <w:color w:val="auto"/>
          <w:sz w:val="22"/>
          <w:szCs w:val="22"/>
          <w:highlight w:val="none"/>
          <w:lang w:eastAsia="zh-CN"/>
        </w:rPr>
        <w:t>投标供应商</w:t>
      </w:r>
      <w:r>
        <w:rPr>
          <w:rFonts w:hint="eastAsia"/>
          <w:color w:val="auto"/>
          <w:sz w:val="22"/>
          <w:szCs w:val="22"/>
          <w:highlight w:val="none"/>
        </w:rPr>
        <w:t>的责任。</w:t>
      </w:r>
    </w:p>
    <w:p w14:paraId="061CDE53">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3.4《投标文件》因字迹潦草或表达不清所引起的后果由</w:t>
      </w:r>
      <w:r>
        <w:rPr>
          <w:rFonts w:hint="eastAsia"/>
          <w:color w:val="auto"/>
          <w:sz w:val="22"/>
          <w:szCs w:val="22"/>
          <w:highlight w:val="none"/>
          <w:lang w:eastAsia="zh-CN"/>
        </w:rPr>
        <w:t>投标供应商</w:t>
      </w:r>
      <w:r>
        <w:rPr>
          <w:rFonts w:hint="eastAsia"/>
          <w:color w:val="auto"/>
          <w:sz w:val="22"/>
          <w:szCs w:val="22"/>
          <w:highlight w:val="none"/>
        </w:rPr>
        <w:t>负责。</w:t>
      </w:r>
    </w:p>
    <w:p w14:paraId="4216FF2F">
      <w:pPr>
        <w:shd w:val="clea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3.5</w:t>
      </w:r>
      <w:r>
        <w:rPr>
          <w:rFonts w:hint="eastAsia"/>
          <w:color w:val="auto"/>
          <w:sz w:val="22"/>
          <w:szCs w:val="22"/>
          <w:highlight w:val="none"/>
          <w:lang w:eastAsia="zh-CN"/>
        </w:rPr>
        <w:t>投标供应商</w:t>
      </w:r>
      <w:r>
        <w:rPr>
          <w:rFonts w:hint="eastAsia"/>
          <w:color w:val="auto"/>
          <w:sz w:val="22"/>
          <w:szCs w:val="22"/>
          <w:highlight w:val="none"/>
        </w:rPr>
        <w:t>没有按照本章节 “投标文件组成”要求提供全部资料，或者没有仔细阅读招标文件，或者没有对招标文件在各方面的要求作出实质性响应是</w:t>
      </w:r>
      <w:r>
        <w:rPr>
          <w:rFonts w:hint="eastAsia"/>
          <w:color w:val="auto"/>
          <w:sz w:val="22"/>
          <w:szCs w:val="22"/>
          <w:highlight w:val="none"/>
          <w:lang w:eastAsia="zh-CN"/>
        </w:rPr>
        <w:t>投标供应商</w:t>
      </w:r>
      <w:r>
        <w:rPr>
          <w:rFonts w:hint="eastAsia"/>
          <w:color w:val="auto"/>
          <w:sz w:val="22"/>
          <w:szCs w:val="22"/>
          <w:highlight w:val="none"/>
        </w:rPr>
        <w:t>的风险，由此造成的一切后果由</w:t>
      </w:r>
      <w:r>
        <w:rPr>
          <w:rFonts w:hint="eastAsia"/>
          <w:color w:val="auto"/>
          <w:sz w:val="22"/>
          <w:szCs w:val="22"/>
          <w:highlight w:val="none"/>
          <w:lang w:eastAsia="zh-CN"/>
        </w:rPr>
        <w:t>投标供应商</w:t>
      </w:r>
      <w:r>
        <w:rPr>
          <w:rFonts w:hint="eastAsia"/>
          <w:color w:val="auto"/>
          <w:sz w:val="22"/>
          <w:szCs w:val="22"/>
          <w:highlight w:val="none"/>
        </w:rPr>
        <w:t>自行承担。</w:t>
      </w:r>
    </w:p>
    <w:p w14:paraId="1AEC9DAB">
      <w:pPr>
        <w:shd w:val="clear"/>
        <w:autoSpaceDE w:val="0"/>
        <w:autoSpaceDN w:val="0"/>
        <w:snapToGrid w:val="0"/>
        <w:spacing w:line="420" w:lineRule="exact"/>
        <w:rPr>
          <w:rFonts w:hint="eastAsia"/>
          <w:color w:val="auto"/>
          <w:sz w:val="22"/>
          <w:szCs w:val="22"/>
          <w:highlight w:val="none"/>
        </w:rPr>
      </w:pPr>
      <w:bookmarkStart w:id="10" w:name="_Toc132122412"/>
      <w:bookmarkEnd w:id="10"/>
      <w:bookmarkStart w:id="11" w:name="_Toc132122115"/>
      <w:bookmarkEnd w:id="11"/>
      <w:r>
        <w:rPr>
          <w:rFonts w:hint="eastAsia"/>
          <w:color w:val="auto"/>
          <w:sz w:val="22"/>
          <w:szCs w:val="22"/>
          <w:highlight w:val="none"/>
        </w:rPr>
        <w:t>4.投标报价</w:t>
      </w:r>
    </w:p>
    <w:p w14:paraId="0EC57219">
      <w:pPr>
        <w:shd w:val="clear"/>
        <w:autoSpaceDE w:val="0"/>
        <w:autoSpaceDN w:val="0"/>
        <w:snapToGrid w:val="0"/>
        <w:spacing w:line="420" w:lineRule="exact"/>
        <w:ind w:firstLine="435" w:firstLineChars="198"/>
        <w:rPr>
          <w:rFonts w:hint="eastAsia"/>
          <w:color w:val="auto"/>
          <w:sz w:val="22"/>
          <w:szCs w:val="22"/>
          <w:highlight w:val="none"/>
        </w:rPr>
      </w:pPr>
      <w:r>
        <w:rPr>
          <w:rFonts w:hint="eastAsia"/>
          <w:color w:val="auto"/>
          <w:sz w:val="22"/>
          <w:szCs w:val="22"/>
          <w:highlight w:val="none"/>
        </w:rPr>
        <w:t>4.1、供应商应按招标文件中《开标一览表》填写报价。</w:t>
      </w:r>
      <w:r>
        <w:rPr>
          <w:rFonts w:hint="eastAsia"/>
          <w:b/>
          <w:color w:val="auto"/>
          <w:sz w:val="22"/>
          <w:szCs w:val="22"/>
          <w:highlight w:val="none"/>
          <w:lang w:eastAsia="zh-CN"/>
        </w:rPr>
        <w:t>投标供应商</w:t>
      </w:r>
      <w:r>
        <w:rPr>
          <w:b/>
          <w:color w:val="auto"/>
          <w:sz w:val="22"/>
          <w:szCs w:val="22"/>
          <w:highlight w:val="none"/>
        </w:rPr>
        <w:t>在线制作投标文件时《开标一览表》中填写的金额与解密后“电子加密投标文件”中《开标一览表》填写的金额不一致的，以解密后“电子加密投标文件”中《开标一览表》填写的金额为准，</w:t>
      </w:r>
      <w:r>
        <w:rPr>
          <w:rFonts w:hint="eastAsia"/>
          <w:b/>
          <w:color w:val="auto"/>
          <w:sz w:val="22"/>
          <w:szCs w:val="22"/>
          <w:highlight w:val="none"/>
          <w:lang w:eastAsia="zh-CN"/>
        </w:rPr>
        <w:t>投标供应商</w:t>
      </w:r>
      <w:r>
        <w:rPr>
          <w:b/>
          <w:color w:val="auto"/>
          <w:sz w:val="22"/>
          <w:szCs w:val="22"/>
          <w:highlight w:val="none"/>
        </w:rPr>
        <w:t>拒绝接受此调整的，按无效投标处理</w:t>
      </w:r>
      <w:r>
        <w:rPr>
          <w:rFonts w:hint="eastAsia"/>
          <w:color w:val="auto"/>
          <w:sz w:val="22"/>
          <w:szCs w:val="22"/>
          <w:highlight w:val="none"/>
        </w:rPr>
        <w:t>。</w:t>
      </w:r>
    </w:p>
    <w:p w14:paraId="5428BD26">
      <w:pPr>
        <w:shd w:val="clear"/>
        <w:autoSpaceDE w:val="0"/>
        <w:autoSpaceDN w:val="0"/>
        <w:snapToGrid w:val="0"/>
        <w:spacing w:line="420" w:lineRule="exact"/>
        <w:ind w:firstLine="440" w:firstLineChars="200"/>
        <w:rPr>
          <w:rFonts w:hint="eastAsia"/>
          <w:bCs/>
          <w:color w:val="auto"/>
          <w:sz w:val="22"/>
          <w:szCs w:val="22"/>
          <w:highlight w:val="none"/>
        </w:rPr>
      </w:pPr>
      <w:r>
        <w:rPr>
          <w:rFonts w:hint="eastAsia"/>
          <w:bCs/>
          <w:color w:val="auto"/>
          <w:sz w:val="22"/>
          <w:szCs w:val="22"/>
          <w:highlight w:val="none"/>
        </w:rPr>
        <w:t>4.2、本次招标只允许有一个报价，有选择的报价将不予接受。</w:t>
      </w:r>
    </w:p>
    <w:p w14:paraId="76BC6570">
      <w:pPr>
        <w:shd w:val="clear"/>
        <w:autoSpaceDE w:val="0"/>
        <w:autoSpaceDN w:val="0"/>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4.3、</w:t>
      </w:r>
      <w:r>
        <w:rPr>
          <w:rFonts w:hint="eastAsia"/>
          <w:color w:val="auto"/>
          <w:sz w:val="22"/>
          <w:szCs w:val="22"/>
          <w:highlight w:val="none"/>
          <w:u w:val="single"/>
        </w:rPr>
        <w:t>供应商对在合同执行中，除招标文件规定的由中标供应商负责的工作范围以外需要甲方协调或提供便利的工作应当在投标文件中说明。</w:t>
      </w:r>
    </w:p>
    <w:p w14:paraId="7272B653">
      <w:pPr>
        <w:shd w:val="clear"/>
        <w:autoSpaceDE w:val="0"/>
        <w:autoSpaceDN w:val="0"/>
        <w:snapToGrid w:val="0"/>
        <w:spacing w:line="420" w:lineRule="exact"/>
        <w:ind w:firstLine="431" w:firstLineChars="196"/>
        <w:rPr>
          <w:rFonts w:hint="eastAsia"/>
          <w:color w:val="auto"/>
          <w:sz w:val="22"/>
          <w:szCs w:val="22"/>
          <w:highlight w:val="none"/>
        </w:rPr>
      </w:pPr>
      <w:bookmarkStart w:id="12" w:name="_Toc132122117"/>
      <w:bookmarkEnd w:id="12"/>
      <w:bookmarkStart w:id="13" w:name="_Toc132122414"/>
      <w:bookmarkEnd w:id="13"/>
      <w:bookmarkStart w:id="14" w:name="_Toc132122415"/>
      <w:bookmarkStart w:id="15" w:name="_Toc132122118"/>
      <w:r>
        <w:rPr>
          <w:rFonts w:hint="eastAsia"/>
          <w:color w:val="auto"/>
          <w:sz w:val="22"/>
          <w:szCs w:val="22"/>
          <w:highlight w:val="none"/>
        </w:rPr>
        <w:t>5、投标文件的有效期</w:t>
      </w:r>
    </w:p>
    <w:p w14:paraId="18DA1101">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5.1自开标日起90天内，投标文件应保持有效。有效期短于这个规定期限的投标将被拒绝。</w:t>
      </w:r>
    </w:p>
    <w:p w14:paraId="609FE5C8">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5.2在特殊情况下，采购人可与供应商协商延长投标文件的有效期，这种要求和答复均应以书面形式进行。</w:t>
      </w:r>
    </w:p>
    <w:p w14:paraId="2D46829B">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5.3供应商可拒绝接受延期要求而不会导致处罚。同意延长有效期的供应商不能修改投标文件。</w:t>
      </w:r>
    </w:p>
    <w:bookmarkEnd w:id="14"/>
    <w:bookmarkEnd w:id="15"/>
    <w:p w14:paraId="23E4D6AE">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6、投标文件的签章</w:t>
      </w:r>
    </w:p>
    <w:p w14:paraId="22D039B2">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.1《</w:t>
      </w:r>
      <w:r>
        <w:rPr>
          <w:rFonts w:hAnsi="宋体"/>
          <w:color w:val="auto"/>
          <w:sz w:val="22"/>
          <w:szCs w:val="22"/>
          <w:highlight w:val="none"/>
        </w:rPr>
        <w:t>投标文件</w:t>
      </w:r>
      <w:r>
        <w:rPr>
          <w:rFonts w:hint="eastAsia" w:hAnsi="宋体"/>
          <w:color w:val="auto"/>
          <w:sz w:val="22"/>
          <w:szCs w:val="22"/>
          <w:highlight w:val="none"/>
        </w:rPr>
        <w:t>》的签章：</w:t>
      </w:r>
      <w:r>
        <w:rPr>
          <w:rFonts w:hint="eastAsia" w:hAnsi="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14:paraId="19863218">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.2《</w:t>
      </w:r>
      <w:r>
        <w:rPr>
          <w:rFonts w:hAnsi="宋体"/>
          <w:color w:val="auto"/>
          <w:sz w:val="22"/>
          <w:szCs w:val="22"/>
          <w:highlight w:val="none"/>
        </w:rPr>
        <w:t>投标文件</w:t>
      </w:r>
      <w:r>
        <w:rPr>
          <w:rFonts w:hint="eastAsia" w:hAnsi="宋体"/>
          <w:color w:val="auto"/>
          <w:sz w:val="22"/>
          <w:szCs w:val="22"/>
          <w:highlight w:val="none"/>
        </w:rPr>
        <w:t>》应由</w:t>
      </w:r>
      <w:r>
        <w:rPr>
          <w:rFonts w:hint="eastAsia" w:hAnsi="宋体"/>
          <w:color w:val="auto"/>
          <w:sz w:val="22"/>
          <w:szCs w:val="22"/>
          <w:highlight w:val="none"/>
          <w:lang w:eastAsia="zh-CN"/>
        </w:rPr>
        <w:t>投标供应商</w:t>
      </w:r>
      <w:r>
        <w:rPr>
          <w:rFonts w:hint="eastAsia" w:hAnsi="宋体"/>
          <w:color w:val="auto"/>
          <w:sz w:val="22"/>
          <w:szCs w:val="22"/>
          <w:highlight w:val="none"/>
        </w:rPr>
        <w:t>法定代表人或其授权代表签字（或盖章），并时加盖</w:t>
      </w:r>
      <w:r>
        <w:rPr>
          <w:rFonts w:hint="eastAsia" w:hAnsi="宋体"/>
          <w:color w:val="auto"/>
          <w:sz w:val="22"/>
          <w:szCs w:val="22"/>
          <w:highlight w:val="none"/>
          <w:lang w:eastAsia="zh-CN"/>
        </w:rPr>
        <w:t>投标供应商</w:t>
      </w:r>
      <w:r>
        <w:rPr>
          <w:rFonts w:hint="eastAsia" w:hAnsi="宋体"/>
          <w:color w:val="auto"/>
          <w:sz w:val="22"/>
          <w:szCs w:val="22"/>
          <w:highlight w:val="none"/>
        </w:rPr>
        <w:t>公章。</w:t>
      </w:r>
    </w:p>
    <w:p w14:paraId="28E3C9A5">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w:t>
      </w:r>
      <w:r>
        <w:rPr>
          <w:rFonts w:hAnsi="宋体"/>
          <w:color w:val="auto"/>
          <w:sz w:val="22"/>
          <w:szCs w:val="22"/>
          <w:highlight w:val="none"/>
        </w:rPr>
        <w:t>3</w:t>
      </w:r>
      <w:r>
        <w:rPr>
          <w:rFonts w:hint="eastAsia" w:hAnsi="宋体"/>
          <w:color w:val="auto"/>
          <w:sz w:val="22"/>
          <w:szCs w:val="22"/>
          <w:highlight w:val="none"/>
        </w:rPr>
        <w:t>电子签章操作指南详见采购公告附件《供应商项目采购-电子招投标操作指南》。</w:t>
      </w:r>
    </w:p>
    <w:p w14:paraId="64FE2C71">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7、投标文件的形式</w:t>
      </w:r>
    </w:p>
    <w:p w14:paraId="02225884">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.1投标文件的形式：见投标通知(邀 请)书；</w:t>
      </w:r>
    </w:p>
    <w:p w14:paraId="0CE46D78">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.2“电子加密投标文件”：“电子加密投标文件”是指通过“政采云电子交易客户端”完成投标文件编制后生成并加密的数据电文形式的投标文件。</w:t>
      </w:r>
    </w:p>
    <w:p w14:paraId="6AC0ED8E">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14:paraId="4D1C39DE">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8、投标文件的份数</w:t>
      </w:r>
    </w:p>
    <w:p w14:paraId="7857A378">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8</w:t>
      </w:r>
      <w:r>
        <w:rPr>
          <w:rFonts w:hint="eastAsia" w:hAnsi="宋体"/>
          <w:color w:val="auto"/>
          <w:sz w:val="22"/>
          <w:szCs w:val="22"/>
          <w:highlight w:val="none"/>
        </w:rPr>
        <w:t>.1投标文件的份数：见投标通知(邀 请)书。</w:t>
      </w:r>
    </w:p>
    <w:p w14:paraId="450A85AD">
      <w:pPr>
        <w:shd w:val="clear"/>
        <w:snapToGrid w:val="0"/>
        <w:spacing w:line="420" w:lineRule="exact"/>
        <w:outlineLvl w:val="0"/>
        <w:rPr>
          <w:rFonts w:hint="eastAsia"/>
          <w:b w:val="0"/>
          <w:bCs/>
          <w:color w:val="auto"/>
          <w:sz w:val="22"/>
          <w:szCs w:val="22"/>
          <w:highlight w:val="none"/>
        </w:rPr>
      </w:pPr>
      <w:r>
        <w:rPr>
          <w:rFonts w:hint="eastAsia"/>
          <w:b w:val="0"/>
          <w:bCs/>
          <w:color w:val="auto"/>
          <w:sz w:val="22"/>
          <w:szCs w:val="22"/>
          <w:highlight w:val="none"/>
        </w:rPr>
        <w:t>五、投标</w:t>
      </w:r>
    </w:p>
    <w:p w14:paraId="68099AF2">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1、投标文件的上传和递交</w:t>
      </w:r>
    </w:p>
    <w:p w14:paraId="71DF1F87">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1</w:t>
      </w:r>
      <w:r>
        <w:rPr>
          <w:rFonts w:hint="eastAsia" w:hAnsi="宋体"/>
          <w:color w:val="auto"/>
          <w:sz w:val="22"/>
          <w:szCs w:val="22"/>
          <w:highlight w:val="none"/>
        </w:rPr>
        <w:t>.1“投标文件”的上传、递交：见投标通知(邀 请)书。</w:t>
      </w:r>
    </w:p>
    <w:p w14:paraId="1695D238">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2、“电子加密投标文件”解密和异常情况处理</w:t>
      </w:r>
    </w:p>
    <w:p w14:paraId="4380F51E">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.1“电子加密投标文件”解密：见投标通知(邀 请)书。</w:t>
      </w:r>
    </w:p>
    <w:p w14:paraId="0A7FDB2A">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3、投标文件的补充、修改或撤回</w:t>
      </w:r>
    </w:p>
    <w:p w14:paraId="2D3CFCA3">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3</w:t>
      </w:r>
      <w:r>
        <w:rPr>
          <w:rFonts w:hint="eastAsia" w:hAnsi="宋体"/>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w:t>
      </w:r>
      <w:r>
        <w:rPr>
          <w:rFonts w:hint="eastAsia" w:hAnsi="宋体"/>
          <w:color w:val="auto"/>
          <w:sz w:val="22"/>
          <w:szCs w:val="22"/>
          <w:highlight w:val="none"/>
          <w:lang w:eastAsia="zh-CN"/>
        </w:rPr>
        <w:t>乐采云平台</w:t>
      </w:r>
      <w:r>
        <w:rPr>
          <w:rFonts w:hint="eastAsia" w:hAnsi="宋体"/>
          <w:color w:val="auto"/>
          <w:sz w:val="22"/>
          <w:szCs w:val="22"/>
          <w:highlight w:val="none"/>
        </w:rPr>
        <w:t>”将予以拒收。</w:t>
      </w:r>
    </w:p>
    <w:p w14:paraId="29DAA65D">
      <w:pPr>
        <w:pStyle w:val="31"/>
        <w:shd w:val="clear"/>
        <w:snapToGrid w:val="0"/>
        <w:spacing w:line="420" w:lineRule="exact"/>
        <w:ind w:firstLine="442" w:firstLineChars="200"/>
        <w:rPr>
          <w:rFonts w:hAnsi="宋体"/>
          <w:b/>
          <w:color w:val="auto"/>
          <w:sz w:val="22"/>
          <w:szCs w:val="22"/>
          <w:highlight w:val="none"/>
        </w:rPr>
      </w:pPr>
      <w:r>
        <w:rPr>
          <w:rFonts w:hAnsi="宋体"/>
          <w:b/>
          <w:color w:val="auto"/>
          <w:sz w:val="22"/>
          <w:szCs w:val="22"/>
          <w:highlight w:val="none"/>
        </w:rPr>
        <w:t>3</w:t>
      </w:r>
      <w:r>
        <w:rPr>
          <w:rFonts w:hint="eastAsia" w:hAnsi="宋体"/>
          <w:b/>
          <w:color w:val="auto"/>
          <w:sz w:val="22"/>
          <w:szCs w:val="22"/>
          <w:highlight w:val="none"/>
        </w:rPr>
        <w:t>.2</w:t>
      </w:r>
      <w:r>
        <w:rPr>
          <w:rFonts w:hAnsi="宋体"/>
          <w:b/>
          <w:color w:val="auto"/>
          <w:sz w:val="22"/>
          <w:szCs w:val="22"/>
          <w:highlight w:val="none"/>
        </w:rPr>
        <w:t>投标截止时间后，</w:t>
      </w:r>
      <w:r>
        <w:rPr>
          <w:rFonts w:hint="eastAsia" w:hAnsi="宋体"/>
          <w:b/>
          <w:color w:val="auto"/>
          <w:sz w:val="22"/>
          <w:szCs w:val="22"/>
          <w:highlight w:val="none"/>
          <w:lang w:eastAsia="zh-CN"/>
        </w:rPr>
        <w:t>投标供应商</w:t>
      </w:r>
      <w:r>
        <w:rPr>
          <w:rFonts w:hAnsi="宋体"/>
          <w:b/>
          <w:color w:val="auto"/>
          <w:sz w:val="22"/>
          <w:szCs w:val="22"/>
          <w:highlight w:val="none"/>
        </w:rPr>
        <w:t>不得撤回、修改《投标文件》</w:t>
      </w:r>
      <w:r>
        <w:rPr>
          <w:rFonts w:hint="eastAsia" w:hAnsi="宋体"/>
          <w:b/>
          <w:color w:val="auto"/>
          <w:sz w:val="22"/>
          <w:szCs w:val="22"/>
          <w:highlight w:val="none"/>
        </w:rPr>
        <w:t>。</w:t>
      </w:r>
    </w:p>
    <w:p w14:paraId="6A00E5B0">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4、投标文件的备选方案</w:t>
      </w:r>
    </w:p>
    <w:p w14:paraId="58730EB4">
      <w:pPr>
        <w:pStyle w:val="31"/>
        <w:shd w:val="clear"/>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4.1</w:t>
      </w:r>
      <w:r>
        <w:rPr>
          <w:rFonts w:hint="eastAsia" w:hAnsi="宋体"/>
          <w:color w:val="auto"/>
          <w:sz w:val="22"/>
          <w:szCs w:val="22"/>
          <w:highlight w:val="none"/>
          <w:lang w:eastAsia="zh-CN"/>
        </w:rPr>
        <w:t>投标供应商</w:t>
      </w:r>
      <w:r>
        <w:rPr>
          <w:rFonts w:hint="eastAsia" w:hAnsi="宋体"/>
          <w:color w:val="auto"/>
          <w:sz w:val="22"/>
          <w:szCs w:val="22"/>
          <w:highlight w:val="none"/>
        </w:rPr>
        <w:t>不得递交任何的</w:t>
      </w:r>
      <w:r>
        <w:rPr>
          <w:rFonts w:hAnsi="宋体"/>
          <w:color w:val="auto"/>
          <w:sz w:val="22"/>
          <w:szCs w:val="22"/>
          <w:highlight w:val="none"/>
        </w:rPr>
        <w:t>投标备选（替代）方案</w:t>
      </w:r>
      <w:r>
        <w:rPr>
          <w:rFonts w:hint="eastAsia" w:hAnsi="宋体"/>
          <w:color w:val="auto"/>
          <w:sz w:val="22"/>
          <w:szCs w:val="22"/>
          <w:highlight w:val="none"/>
        </w:rPr>
        <w:t>，否则其投标文件将作无效标处理。与“电子加密投标文件”同时生成的“备份投标文件”不是投标备选（替代）方案。</w:t>
      </w:r>
    </w:p>
    <w:p w14:paraId="7957BC09">
      <w:pPr>
        <w:shd w:val="clear"/>
        <w:snapToGrid w:val="0"/>
        <w:spacing w:line="420" w:lineRule="exact"/>
        <w:outlineLvl w:val="0"/>
        <w:rPr>
          <w:rFonts w:hint="eastAsia"/>
          <w:color w:val="auto"/>
          <w:sz w:val="22"/>
          <w:szCs w:val="22"/>
          <w:highlight w:val="none"/>
        </w:rPr>
      </w:pPr>
      <w:r>
        <w:rPr>
          <w:rFonts w:hint="eastAsia"/>
          <w:color w:val="auto"/>
          <w:sz w:val="22"/>
          <w:szCs w:val="22"/>
          <w:highlight w:val="none"/>
        </w:rPr>
        <w:t>六、开标和评标</w:t>
      </w:r>
    </w:p>
    <w:p w14:paraId="747EDEA1">
      <w:pPr>
        <w:shd w:val="clear"/>
        <w:snapToGrid w:val="0"/>
        <w:spacing w:line="420" w:lineRule="exact"/>
        <w:ind w:firstLine="527"/>
        <w:rPr>
          <w:rFonts w:hint="eastAsia"/>
          <w:b/>
          <w:color w:val="auto"/>
          <w:sz w:val="22"/>
          <w:szCs w:val="22"/>
          <w:highlight w:val="none"/>
        </w:rPr>
      </w:pPr>
      <w:r>
        <w:rPr>
          <w:rFonts w:hint="eastAsia"/>
          <w:b/>
          <w:color w:val="auto"/>
          <w:sz w:val="22"/>
          <w:szCs w:val="22"/>
          <w:highlight w:val="none"/>
        </w:rPr>
        <w:t>一）开标</w:t>
      </w:r>
    </w:p>
    <w:p w14:paraId="032D6207">
      <w:pPr>
        <w:shd w:val="clear"/>
        <w:snapToGrid w:val="0"/>
        <w:spacing w:line="420" w:lineRule="exact"/>
        <w:ind w:firstLine="527"/>
        <w:rPr>
          <w:rFonts w:hint="eastAsia"/>
          <w:b/>
          <w:color w:val="auto"/>
          <w:sz w:val="22"/>
          <w:szCs w:val="22"/>
          <w:highlight w:val="none"/>
        </w:rPr>
      </w:pPr>
      <w:r>
        <w:rPr>
          <w:rFonts w:hint="eastAsia"/>
          <w:b/>
          <w:color w:val="auto"/>
          <w:sz w:val="22"/>
          <w:szCs w:val="22"/>
          <w:highlight w:val="none"/>
        </w:rPr>
        <w:t>1、开标形式</w:t>
      </w:r>
    </w:p>
    <w:p w14:paraId="5B966FCB">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1.1 采购组织机构将按照招标文件规定的时间通过“</w:t>
      </w:r>
      <w:r>
        <w:rPr>
          <w:rFonts w:hint="eastAsia"/>
          <w:color w:val="auto"/>
          <w:sz w:val="22"/>
          <w:szCs w:val="22"/>
          <w:highlight w:val="none"/>
          <w:lang w:eastAsia="zh-CN"/>
        </w:rPr>
        <w:t>乐采云平台</w:t>
      </w:r>
      <w:r>
        <w:rPr>
          <w:rFonts w:hint="eastAsia"/>
          <w:color w:val="auto"/>
          <w:sz w:val="22"/>
          <w:szCs w:val="22"/>
          <w:highlight w:val="none"/>
        </w:rPr>
        <w:t>”组织开标、开启投标文件，所有供应商均应当准时在线参加。</w:t>
      </w:r>
    </w:p>
    <w:p w14:paraId="661A3EA6">
      <w:pPr>
        <w:shd w:val="clear"/>
        <w:snapToGrid w:val="0"/>
        <w:spacing w:line="420" w:lineRule="exact"/>
        <w:ind w:firstLine="527"/>
        <w:rPr>
          <w:rFonts w:hint="eastAsia"/>
          <w:b/>
          <w:color w:val="auto"/>
          <w:sz w:val="22"/>
          <w:szCs w:val="22"/>
          <w:highlight w:val="none"/>
        </w:rPr>
      </w:pPr>
      <w:r>
        <w:rPr>
          <w:rFonts w:hint="eastAsia"/>
          <w:b/>
          <w:color w:val="auto"/>
          <w:sz w:val="22"/>
          <w:szCs w:val="22"/>
          <w:highlight w:val="none"/>
        </w:rPr>
        <w:t>2、</w:t>
      </w:r>
      <w:r>
        <w:rPr>
          <w:b/>
          <w:color w:val="auto"/>
          <w:sz w:val="22"/>
          <w:szCs w:val="22"/>
          <w:highlight w:val="none"/>
        </w:rPr>
        <w:t>开标准备</w:t>
      </w:r>
    </w:p>
    <w:p w14:paraId="012C375F">
      <w:pPr>
        <w:shd w:val="clea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.1开标的准备工作由采购组织机构负责落实；</w:t>
      </w:r>
    </w:p>
    <w:p w14:paraId="2A146287">
      <w:pPr>
        <w:shd w:val="clea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.2采购组织机构将按照招标文件规定的时间通过“</w:t>
      </w:r>
      <w:r>
        <w:rPr>
          <w:rFonts w:hint="eastAsia"/>
          <w:color w:val="auto"/>
          <w:sz w:val="22"/>
          <w:szCs w:val="22"/>
          <w:highlight w:val="none"/>
          <w:lang w:eastAsia="zh-CN"/>
        </w:rPr>
        <w:t>乐采云平台</w:t>
      </w:r>
      <w:r>
        <w:rPr>
          <w:rFonts w:hint="eastAsia"/>
          <w:color w:val="auto"/>
          <w:sz w:val="22"/>
          <w:szCs w:val="22"/>
          <w:highlight w:val="none"/>
        </w:rPr>
        <w:t>”组织开标、开启投标文件，所有供应商均应当准时在线参加。</w:t>
      </w:r>
      <w:r>
        <w:rPr>
          <w:rFonts w:hint="eastAsia"/>
          <w:color w:val="auto"/>
          <w:sz w:val="22"/>
          <w:szCs w:val="22"/>
          <w:highlight w:val="none"/>
          <w:lang w:eastAsia="zh-CN"/>
        </w:rPr>
        <w:t>投标供应商</w:t>
      </w:r>
      <w:r>
        <w:rPr>
          <w:color w:val="auto"/>
          <w:sz w:val="22"/>
          <w:szCs w:val="22"/>
          <w:highlight w:val="none"/>
        </w:rPr>
        <w:t>如不</w:t>
      </w:r>
      <w:r>
        <w:rPr>
          <w:rFonts w:hint="eastAsia"/>
          <w:color w:val="auto"/>
          <w:sz w:val="22"/>
          <w:szCs w:val="22"/>
          <w:highlight w:val="none"/>
        </w:rPr>
        <w:t>参加</w:t>
      </w:r>
      <w:r>
        <w:rPr>
          <w:color w:val="auto"/>
          <w:sz w:val="22"/>
          <w:szCs w:val="22"/>
          <w:highlight w:val="none"/>
        </w:rPr>
        <w:t>开标大会的，</w:t>
      </w:r>
      <w:r>
        <w:rPr>
          <w:rFonts w:hint="eastAsia"/>
          <w:color w:val="auto"/>
          <w:sz w:val="22"/>
          <w:szCs w:val="22"/>
          <w:highlight w:val="none"/>
        </w:rPr>
        <w:t>视同认可开标结果，</w:t>
      </w:r>
      <w:r>
        <w:rPr>
          <w:color w:val="auto"/>
          <w:sz w:val="22"/>
          <w:szCs w:val="22"/>
          <w:highlight w:val="none"/>
        </w:rPr>
        <w:t>事后不得对采购相关人员、开标过程和开标结果提出异议</w:t>
      </w:r>
      <w:r>
        <w:rPr>
          <w:rFonts w:hint="eastAsia"/>
          <w:color w:val="auto"/>
          <w:sz w:val="22"/>
          <w:szCs w:val="22"/>
          <w:highlight w:val="none"/>
        </w:rPr>
        <w:t>，同时</w:t>
      </w:r>
      <w:r>
        <w:rPr>
          <w:rFonts w:hint="eastAsia"/>
          <w:color w:val="auto"/>
          <w:sz w:val="22"/>
          <w:szCs w:val="22"/>
          <w:highlight w:val="none"/>
          <w:lang w:eastAsia="zh-CN"/>
        </w:rPr>
        <w:t>投标供应商</w:t>
      </w:r>
      <w:r>
        <w:rPr>
          <w:rFonts w:hint="eastAsia"/>
          <w:color w:val="auto"/>
          <w:sz w:val="22"/>
          <w:szCs w:val="22"/>
          <w:highlight w:val="none"/>
        </w:rPr>
        <w:t>因未在线参加开标而导致投标文件无法按时解密等一切后果由供应商自己承担。</w:t>
      </w:r>
    </w:p>
    <w:p w14:paraId="0C1AC745">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3、</w:t>
      </w:r>
      <w:r>
        <w:rPr>
          <w:color w:val="auto"/>
          <w:sz w:val="22"/>
          <w:szCs w:val="22"/>
          <w:highlight w:val="none"/>
        </w:rPr>
        <w:t>开标</w:t>
      </w:r>
      <w:r>
        <w:rPr>
          <w:rFonts w:hint="eastAsia"/>
          <w:color w:val="auto"/>
          <w:sz w:val="22"/>
          <w:szCs w:val="22"/>
          <w:highlight w:val="none"/>
        </w:rPr>
        <w:t>流程（两阶段）</w:t>
      </w:r>
    </w:p>
    <w:p w14:paraId="33F45DA1">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3.1开标第一阶段</w:t>
      </w:r>
    </w:p>
    <w:p w14:paraId="1669DC78">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）向各</w:t>
      </w:r>
      <w:r>
        <w:rPr>
          <w:rFonts w:hint="eastAsia"/>
          <w:color w:val="auto"/>
          <w:sz w:val="22"/>
          <w:szCs w:val="22"/>
          <w:highlight w:val="none"/>
          <w:lang w:eastAsia="zh-CN"/>
        </w:rPr>
        <w:t>投标供应商</w:t>
      </w:r>
      <w:r>
        <w:rPr>
          <w:rFonts w:hint="eastAsia"/>
          <w:color w:val="auto"/>
          <w:sz w:val="22"/>
          <w:szCs w:val="22"/>
          <w:highlight w:val="none"/>
        </w:rPr>
        <w:t>发出电子加密投标文件【开始解密】通知，由供应商按招标文件规定的时间内自行进行投标文件解密。</w:t>
      </w:r>
      <w:r>
        <w:rPr>
          <w:rFonts w:hint="eastAsia"/>
          <w:color w:val="auto"/>
          <w:sz w:val="22"/>
          <w:szCs w:val="22"/>
          <w:highlight w:val="none"/>
          <w:lang w:eastAsia="zh-CN"/>
        </w:rPr>
        <w:t>投标供应商</w:t>
      </w:r>
      <w:r>
        <w:rPr>
          <w:rFonts w:hint="eastAsia"/>
          <w:color w:val="auto"/>
          <w:sz w:val="22"/>
          <w:szCs w:val="22"/>
          <w:highlight w:val="none"/>
        </w:rPr>
        <w:t>在规定的时间内无法完成已递交的“电子加密投标文件”解密的，如已按规定递交了备份投标文件的，将由采购组织机构按“</w:t>
      </w:r>
      <w:r>
        <w:rPr>
          <w:rFonts w:hint="eastAsia"/>
          <w:color w:val="auto"/>
          <w:sz w:val="22"/>
          <w:szCs w:val="22"/>
          <w:highlight w:val="none"/>
          <w:lang w:eastAsia="zh-CN"/>
        </w:rPr>
        <w:t>乐采云平台</w:t>
      </w:r>
      <w:r>
        <w:rPr>
          <w:rFonts w:hint="eastAsia"/>
          <w:color w:val="auto"/>
          <w:sz w:val="22"/>
          <w:szCs w:val="22"/>
          <w:highlight w:val="none"/>
        </w:rPr>
        <w:t>”操作规范将备份投标文件上传至“</w:t>
      </w:r>
      <w:r>
        <w:rPr>
          <w:rFonts w:hint="eastAsia"/>
          <w:color w:val="auto"/>
          <w:sz w:val="22"/>
          <w:szCs w:val="22"/>
          <w:highlight w:val="none"/>
          <w:lang w:eastAsia="zh-CN"/>
        </w:rPr>
        <w:t>乐采云平台</w:t>
      </w:r>
      <w:r>
        <w:rPr>
          <w:rFonts w:hint="eastAsia"/>
          <w:color w:val="auto"/>
          <w:sz w:val="22"/>
          <w:szCs w:val="22"/>
          <w:highlight w:val="none"/>
        </w:rPr>
        <w:t>”，上传成功后，“电子加密投标文件”自动失效；</w:t>
      </w:r>
    </w:p>
    <w:p w14:paraId="1C46CBD0">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）投标文件解密结束，发送各</w:t>
      </w:r>
      <w:r>
        <w:rPr>
          <w:rFonts w:hint="eastAsia"/>
          <w:color w:val="auto"/>
          <w:sz w:val="22"/>
          <w:szCs w:val="22"/>
          <w:highlight w:val="none"/>
          <w:lang w:eastAsia="zh-CN"/>
        </w:rPr>
        <w:t>投标供应商</w:t>
      </w:r>
      <w:r>
        <w:rPr>
          <w:rFonts w:hint="eastAsia"/>
          <w:color w:val="auto"/>
          <w:sz w:val="22"/>
          <w:szCs w:val="22"/>
          <w:highlight w:val="none"/>
        </w:rPr>
        <w:t>组织签署《</w:t>
      </w:r>
      <w:r>
        <w:rPr>
          <w:rFonts w:hint="eastAsia"/>
          <w:color w:val="auto"/>
          <w:sz w:val="22"/>
          <w:szCs w:val="22"/>
          <w:highlight w:val="none"/>
          <w:lang w:eastAsia="zh-CN"/>
        </w:rPr>
        <w:t>国企采购</w:t>
      </w:r>
      <w:r>
        <w:rPr>
          <w:rFonts w:hint="eastAsia"/>
          <w:color w:val="auto"/>
          <w:sz w:val="22"/>
          <w:szCs w:val="22"/>
          <w:highlight w:val="none"/>
        </w:rPr>
        <w:t>活动现场确认声明书》；</w:t>
      </w:r>
    </w:p>
    <w:p w14:paraId="311B0C74">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3</w:t>
      </w:r>
      <w:r>
        <w:rPr>
          <w:rFonts w:hint="eastAsia"/>
          <w:color w:val="auto"/>
          <w:sz w:val="22"/>
          <w:szCs w:val="22"/>
          <w:highlight w:val="none"/>
        </w:rPr>
        <w:t>）开启投标文件，进入资格审查；</w:t>
      </w:r>
    </w:p>
    <w:p w14:paraId="2FE185FB">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4</w:t>
      </w:r>
      <w:r>
        <w:rPr>
          <w:rFonts w:hint="eastAsia"/>
          <w:color w:val="auto"/>
          <w:sz w:val="22"/>
          <w:szCs w:val="22"/>
          <w:highlight w:val="none"/>
        </w:rPr>
        <w:t>）开启资格审查通过的</w:t>
      </w:r>
      <w:r>
        <w:rPr>
          <w:rFonts w:hint="eastAsia"/>
          <w:color w:val="auto"/>
          <w:sz w:val="22"/>
          <w:szCs w:val="22"/>
          <w:highlight w:val="none"/>
          <w:lang w:eastAsia="zh-CN"/>
        </w:rPr>
        <w:t>投标供应商</w:t>
      </w:r>
      <w:r>
        <w:rPr>
          <w:rFonts w:hint="eastAsia"/>
          <w:color w:val="auto"/>
          <w:sz w:val="22"/>
          <w:szCs w:val="22"/>
          <w:highlight w:val="none"/>
        </w:rPr>
        <w:t>的商务技术文件进入符合性审查、商务技术评审；</w:t>
      </w:r>
    </w:p>
    <w:p w14:paraId="4ADF5C1F">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5</w:t>
      </w:r>
      <w:r>
        <w:rPr>
          <w:rFonts w:hint="eastAsia"/>
          <w:color w:val="auto"/>
          <w:sz w:val="22"/>
          <w:szCs w:val="22"/>
          <w:highlight w:val="none"/>
        </w:rPr>
        <w:t>）第一阶段开标结束。</w:t>
      </w:r>
    </w:p>
    <w:p w14:paraId="3F5E2FAD">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备注：开标大会的第一阶段结束后，采购人或采购代理机构将对依法对</w:t>
      </w:r>
      <w:r>
        <w:rPr>
          <w:rFonts w:hint="eastAsia"/>
          <w:color w:val="auto"/>
          <w:sz w:val="22"/>
          <w:szCs w:val="22"/>
          <w:highlight w:val="none"/>
          <w:lang w:eastAsia="zh-CN"/>
        </w:rPr>
        <w:t>投标供应商</w:t>
      </w:r>
      <w:r>
        <w:rPr>
          <w:rFonts w:hint="eastAsia"/>
          <w:color w:val="auto"/>
          <w:sz w:val="22"/>
          <w:szCs w:val="22"/>
          <w:highlight w:val="none"/>
        </w:rPr>
        <w:t>的资格进行审查，资格审查结束后进入符合性审查和商务技术的评审工作，具体见本章节“</w:t>
      </w:r>
      <w:r>
        <w:rPr>
          <w:rFonts w:hint="eastAsia"/>
          <w:color w:val="auto"/>
          <w:sz w:val="22"/>
          <w:szCs w:val="22"/>
          <w:highlight w:val="none"/>
          <w:lang w:eastAsia="zh-CN"/>
        </w:rPr>
        <w:t>投标供应商</w:t>
      </w:r>
      <w:r>
        <w:rPr>
          <w:rFonts w:hint="eastAsia"/>
          <w:color w:val="auto"/>
          <w:sz w:val="22"/>
          <w:szCs w:val="22"/>
          <w:highlight w:val="none"/>
        </w:rPr>
        <w:t>资格审查”相关规定。</w:t>
      </w:r>
    </w:p>
    <w:p w14:paraId="47198F86">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3.2开标大会第二阶段</w:t>
      </w:r>
    </w:p>
    <w:p w14:paraId="44EDA9FD">
      <w:pPr>
        <w:numPr>
          <w:ilvl w:val="0"/>
          <w:numId w:val="10"/>
        </w:num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符合性审查、商务技术评审结束后，举行开标大会第二阶段会议。首先公布符合性审查、商务技术评审无效供应商名称及理由</w:t>
      </w:r>
      <w:r>
        <w:rPr>
          <w:color w:val="auto"/>
          <w:sz w:val="22"/>
          <w:szCs w:val="22"/>
          <w:highlight w:val="none"/>
        </w:rPr>
        <w:t>；公布经商务技术评审</w:t>
      </w:r>
      <w:r>
        <w:rPr>
          <w:rFonts w:hint="eastAsia"/>
          <w:color w:val="auto"/>
          <w:sz w:val="22"/>
          <w:szCs w:val="22"/>
          <w:highlight w:val="none"/>
        </w:rPr>
        <w:t>后有效</w:t>
      </w:r>
      <w:r>
        <w:rPr>
          <w:rFonts w:hint="eastAsia"/>
          <w:color w:val="auto"/>
          <w:sz w:val="22"/>
          <w:szCs w:val="22"/>
          <w:highlight w:val="none"/>
          <w:lang w:eastAsia="zh-CN"/>
        </w:rPr>
        <w:t>投标供应商</w:t>
      </w:r>
      <w:r>
        <w:rPr>
          <w:rFonts w:hint="eastAsia"/>
          <w:color w:val="auto"/>
          <w:sz w:val="22"/>
          <w:szCs w:val="22"/>
          <w:highlight w:val="none"/>
        </w:rPr>
        <w:t>的</w:t>
      </w:r>
      <w:r>
        <w:rPr>
          <w:color w:val="auto"/>
          <w:sz w:val="22"/>
          <w:szCs w:val="22"/>
          <w:highlight w:val="none"/>
        </w:rPr>
        <w:t>名单，同时公布</w:t>
      </w:r>
      <w:r>
        <w:rPr>
          <w:rFonts w:hint="eastAsia"/>
          <w:color w:val="auto"/>
          <w:sz w:val="22"/>
          <w:szCs w:val="22"/>
          <w:highlight w:val="none"/>
        </w:rPr>
        <w:t>其</w:t>
      </w:r>
      <w:r>
        <w:rPr>
          <w:color w:val="auto"/>
          <w:sz w:val="22"/>
          <w:szCs w:val="22"/>
          <w:highlight w:val="none"/>
        </w:rPr>
        <w:t>商务技术</w:t>
      </w:r>
      <w:r>
        <w:rPr>
          <w:rFonts w:hint="eastAsia"/>
          <w:color w:val="auto"/>
          <w:sz w:val="22"/>
          <w:szCs w:val="22"/>
          <w:highlight w:val="none"/>
        </w:rPr>
        <w:t>部分</w:t>
      </w:r>
      <w:r>
        <w:rPr>
          <w:color w:val="auto"/>
          <w:sz w:val="22"/>
          <w:szCs w:val="22"/>
          <w:highlight w:val="none"/>
        </w:rPr>
        <w:t>得分情况</w:t>
      </w:r>
      <w:r>
        <w:rPr>
          <w:rFonts w:hint="eastAsia"/>
          <w:color w:val="auto"/>
          <w:sz w:val="22"/>
          <w:szCs w:val="22"/>
          <w:highlight w:val="none"/>
        </w:rPr>
        <w:t>。</w:t>
      </w:r>
    </w:p>
    <w:p w14:paraId="5F788C98">
      <w:pPr>
        <w:numPr>
          <w:ilvl w:val="0"/>
          <w:numId w:val="10"/>
        </w:num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开启符合性审查、商务技术评审有效</w:t>
      </w:r>
      <w:r>
        <w:rPr>
          <w:rFonts w:hint="eastAsia"/>
          <w:color w:val="auto"/>
          <w:sz w:val="22"/>
          <w:szCs w:val="22"/>
          <w:highlight w:val="none"/>
          <w:lang w:eastAsia="zh-CN"/>
        </w:rPr>
        <w:t>投标供应商</w:t>
      </w:r>
      <w:r>
        <w:rPr>
          <w:rFonts w:hint="eastAsia"/>
          <w:color w:val="auto"/>
          <w:sz w:val="22"/>
          <w:szCs w:val="22"/>
          <w:highlight w:val="none"/>
        </w:rPr>
        <w:t>的《报价文件》</w:t>
      </w:r>
      <w:r>
        <w:rPr>
          <w:color w:val="auto"/>
          <w:sz w:val="22"/>
          <w:szCs w:val="22"/>
          <w:highlight w:val="none"/>
        </w:rPr>
        <w:t>。</w:t>
      </w:r>
      <w:r>
        <w:rPr>
          <w:rFonts w:hint="eastAsia"/>
          <w:color w:val="auto"/>
          <w:sz w:val="22"/>
          <w:szCs w:val="22"/>
          <w:highlight w:val="none"/>
        </w:rPr>
        <w:t>供应商</w:t>
      </w:r>
      <w:r>
        <w:rPr>
          <w:color w:val="auto"/>
          <w:sz w:val="22"/>
          <w:szCs w:val="22"/>
          <w:highlight w:val="none"/>
        </w:rPr>
        <w:t>签字确认（</w:t>
      </w:r>
      <w:r>
        <w:rPr>
          <w:rFonts w:hint="eastAsia"/>
          <w:color w:val="auto"/>
          <w:sz w:val="22"/>
          <w:szCs w:val="22"/>
          <w:highlight w:val="none"/>
        </w:rPr>
        <w:t>10分钟内未</w:t>
      </w:r>
      <w:r>
        <w:rPr>
          <w:color w:val="auto"/>
          <w:sz w:val="22"/>
          <w:szCs w:val="22"/>
          <w:highlight w:val="none"/>
        </w:rPr>
        <w:t>确认的视为无异议），由评标委员会对报价的合理性、准确性等进行审查核实</w:t>
      </w:r>
      <w:r>
        <w:rPr>
          <w:rFonts w:hint="eastAsia"/>
          <w:color w:val="auto"/>
          <w:sz w:val="22"/>
          <w:szCs w:val="22"/>
          <w:highlight w:val="none"/>
          <w:lang w:eastAsia="zh-CN"/>
        </w:rPr>
        <w:t>。</w:t>
      </w:r>
    </w:p>
    <w:p w14:paraId="54759CEF">
      <w:pPr>
        <w:numPr>
          <w:ilvl w:val="0"/>
          <w:numId w:val="10"/>
        </w:num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评审结束后，公布中标（成交）候选供应商名单，及采购人最终确定中标或成交供应商名单的时间和公告方式等。</w:t>
      </w:r>
    </w:p>
    <w:p w14:paraId="2183397C">
      <w:pPr>
        <w:shd w:val="clear"/>
        <w:snapToGrid w:val="0"/>
        <w:spacing w:line="420" w:lineRule="exact"/>
        <w:ind w:firstLine="527"/>
        <w:rPr>
          <w:rFonts w:hint="eastAsia"/>
          <w:b/>
          <w:color w:val="auto"/>
          <w:sz w:val="22"/>
          <w:szCs w:val="22"/>
          <w:highlight w:val="none"/>
        </w:rPr>
      </w:pPr>
      <w:r>
        <w:rPr>
          <w:rFonts w:hint="eastAsia"/>
          <w:b/>
          <w:color w:val="auto"/>
          <w:sz w:val="22"/>
          <w:szCs w:val="22"/>
          <w:highlight w:val="none"/>
        </w:rPr>
        <w:t>特别说明：如遇“</w:t>
      </w:r>
      <w:r>
        <w:rPr>
          <w:rFonts w:hint="eastAsia"/>
          <w:b/>
          <w:color w:val="auto"/>
          <w:sz w:val="22"/>
          <w:szCs w:val="22"/>
          <w:highlight w:val="none"/>
          <w:lang w:eastAsia="zh-CN"/>
        </w:rPr>
        <w:t>乐采云平台</w:t>
      </w:r>
      <w:r>
        <w:rPr>
          <w:rFonts w:hint="eastAsia"/>
          <w:b/>
          <w:color w:val="auto"/>
          <w:sz w:val="22"/>
          <w:szCs w:val="22"/>
          <w:highlight w:val="none"/>
        </w:rPr>
        <w:t>”电子化开标或评审程序调整的，按调整后程序执行。</w:t>
      </w:r>
    </w:p>
    <w:p w14:paraId="02BEFAF3">
      <w:pPr>
        <w:shd w:val="clear"/>
        <w:snapToGrid w:val="0"/>
        <w:spacing w:line="420" w:lineRule="exact"/>
        <w:ind w:firstLine="527"/>
        <w:rPr>
          <w:rFonts w:hint="eastAsia"/>
          <w:b/>
          <w:color w:val="auto"/>
          <w:sz w:val="22"/>
          <w:szCs w:val="22"/>
          <w:highlight w:val="none"/>
        </w:rPr>
      </w:pPr>
      <w:bookmarkStart w:id="16" w:name="_Toc33194393"/>
      <w:bookmarkEnd w:id="16"/>
      <w:bookmarkStart w:id="17" w:name="_Toc24550037"/>
      <w:bookmarkEnd w:id="17"/>
      <w:r>
        <w:rPr>
          <w:rFonts w:hint="eastAsia"/>
          <w:b/>
          <w:color w:val="auto"/>
          <w:sz w:val="22"/>
          <w:szCs w:val="22"/>
          <w:highlight w:val="none"/>
        </w:rPr>
        <w:t>4、</w:t>
      </w:r>
      <w:r>
        <w:rPr>
          <w:rFonts w:hint="eastAsia"/>
          <w:b/>
          <w:color w:val="auto"/>
          <w:sz w:val="22"/>
          <w:szCs w:val="22"/>
          <w:highlight w:val="none"/>
          <w:lang w:eastAsia="zh-CN"/>
        </w:rPr>
        <w:t>投标供应商</w:t>
      </w:r>
      <w:r>
        <w:rPr>
          <w:rFonts w:hint="eastAsia"/>
          <w:b/>
          <w:color w:val="auto"/>
          <w:sz w:val="22"/>
          <w:szCs w:val="22"/>
          <w:highlight w:val="none"/>
        </w:rPr>
        <w:t>资格审查</w:t>
      </w:r>
    </w:p>
    <w:p w14:paraId="7583D93F">
      <w:pPr>
        <w:shd w:val="clea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.1开标大会第一阶段结束后，采购人或采购代理机构首先依法对各</w:t>
      </w:r>
      <w:r>
        <w:rPr>
          <w:rFonts w:hint="eastAsia"/>
          <w:color w:val="auto"/>
          <w:sz w:val="22"/>
          <w:szCs w:val="22"/>
          <w:highlight w:val="none"/>
          <w:lang w:eastAsia="zh-CN"/>
        </w:rPr>
        <w:t>投标供应商</w:t>
      </w:r>
      <w:r>
        <w:rPr>
          <w:rFonts w:hint="eastAsia"/>
          <w:color w:val="auto"/>
          <w:sz w:val="22"/>
          <w:szCs w:val="22"/>
          <w:highlight w:val="none"/>
        </w:rPr>
        <w:t>的资格进行审查，审查各</w:t>
      </w:r>
      <w:r>
        <w:rPr>
          <w:rFonts w:hint="eastAsia"/>
          <w:color w:val="auto"/>
          <w:sz w:val="22"/>
          <w:szCs w:val="22"/>
          <w:highlight w:val="none"/>
          <w:lang w:eastAsia="zh-CN"/>
        </w:rPr>
        <w:t>投标供应商</w:t>
      </w:r>
      <w:r>
        <w:rPr>
          <w:rFonts w:hint="eastAsia"/>
          <w:color w:val="auto"/>
          <w:sz w:val="22"/>
          <w:szCs w:val="22"/>
          <w:highlight w:val="none"/>
        </w:rPr>
        <w:t>的资格是否满足招标文件的要求。</w:t>
      </w:r>
      <w:r>
        <w:rPr>
          <w:color w:val="auto"/>
          <w:sz w:val="22"/>
          <w:szCs w:val="22"/>
          <w:highlight w:val="none"/>
        </w:rPr>
        <w:t>采购人或采购代理机构对</w:t>
      </w:r>
      <w:r>
        <w:rPr>
          <w:rFonts w:hint="eastAsia"/>
          <w:color w:val="auto"/>
          <w:sz w:val="22"/>
          <w:szCs w:val="22"/>
          <w:highlight w:val="none"/>
          <w:lang w:eastAsia="zh-CN"/>
        </w:rPr>
        <w:t>投标供应商</w:t>
      </w:r>
      <w:r>
        <w:rPr>
          <w:color w:val="auto"/>
          <w:sz w:val="22"/>
          <w:szCs w:val="22"/>
          <w:highlight w:val="none"/>
        </w:rPr>
        <w:t>所</w:t>
      </w:r>
      <w:r>
        <w:rPr>
          <w:rFonts w:hint="eastAsia"/>
          <w:color w:val="auto"/>
          <w:sz w:val="22"/>
          <w:szCs w:val="22"/>
          <w:highlight w:val="none"/>
        </w:rPr>
        <w:t>提交</w:t>
      </w:r>
      <w:r>
        <w:rPr>
          <w:color w:val="auto"/>
          <w:sz w:val="22"/>
          <w:szCs w:val="22"/>
          <w:highlight w:val="none"/>
        </w:rPr>
        <w:t>的资格证明材料仅负审核的责任。如发现</w:t>
      </w:r>
      <w:r>
        <w:rPr>
          <w:rFonts w:hint="eastAsia"/>
          <w:color w:val="auto"/>
          <w:sz w:val="22"/>
          <w:szCs w:val="22"/>
          <w:highlight w:val="none"/>
          <w:lang w:eastAsia="zh-CN"/>
        </w:rPr>
        <w:t>投标供应商</w:t>
      </w:r>
      <w:r>
        <w:rPr>
          <w:color w:val="auto"/>
          <w:sz w:val="22"/>
          <w:szCs w:val="22"/>
          <w:highlight w:val="none"/>
        </w:rPr>
        <w:t>所提</w:t>
      </w:r>
      <w:r>
        <w:rPr>
          <w:rFonts w:hint="eastAsia"/>
          <w:color w:val="auto"/>
          <w:sz w:val="22"/>
          <w:szCs w:val="22"/>
          <w:highlight w:val="none"/>
        </w:rPr>
        <w:t>交</w:t>
      </w:r>
      <w:r>
        <w:rPr>
          <w:color w:val="auto"/>
          <w:sz w:val="22"/>
          <w:szCs w:val="22"/>
          <w:highlight w:val="none"/>
        </w:rPr>
        <w:t>的资格证明材料不合法或</w:t>
      </w:r>
      <w:r>
        <w:rPr>
          <w:rFonts w:hint="eastAsia"/>
          <w:color w:val="auto"/>
          <w:sz w:val="22"/>
          <w:szCs w:val="22"/>
          <w:highlight w:val="none"/>
        </w:rPr>
        <w:t>与事实不符</w:t>
      </w:r>
      <w:r>
        <w:rPr>
          <w:color w:val="auto"/>
          <w:sz w:val="22"/>
          <w:szCs w:val="22"/>
          <w:highlight w:val="none"/>
        </w:rPr>
        <w:t>，采购人可取消</w:t>
      </w:r>
      <w:r>
        <w:rPr>
          <w:rFonts w:hint="eastAsia"/>
          <w:color w:val="auto"/>
          <w:sz w:val="22"/>
          <w:szCs w:val="22"/>
          <w:highlight w:val="none"/>
        </w:rPr>
        <w:t>其</w:t>
      </w:r>
      <w:r>
        <w:rPr>
          <w:color w:val="auto"/>
          <w:sz w:val="22"/>
          <w:szCs w:val="22"/>
          <w:highlight w:val="none"/>
        </w:rPr>
        <w:t>中标资格并追究</w:t>
      </w:r>
      <w:r>
        <w:rPr>
          <w:rFonts w:hint="eastAsia"/>
          <w:color w:val="auto"/>
          <w:sz w:val="22"/>
          <w:szCs w:val="22"/>
          <w:highlight w:val="none"/>
          <w:lang w:eastAsia="zh-CN"/>
        </w:rPr>
        <w:t>投标供应商</w:t>
      </w:r>
      <w:r>
        <w:rPr>
          <w:color w:val="auto"/>
          <w:sz w:val="22"/>
          <w:szCs w:val="22"/>
          <w:highlight w:val="none"/>
        </w:rPr>
        <w:t>的法律责任。</w:t>
      </w:r>
    </w:p>
    <w:p w14:paraId="660C7DB8">
      <w:pPr>
        <w:shd w:val="clea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.2</w:t>
      </w:r>
      <w:r>
        <w:rPr>
          <w:rFonts w:hint="eastAsia"/>
          <w:color w:val="auto"/>
          <w:sz w:val="22"/>
          <w:szCs w:val="22"/>
          <w:highlight w:val="none"/>
          <w:lang w:eastAsia="zh-CN"/>
        </w:rPr>
        <w:t>投标供应商</w:t>
      </w:r>
      <w:r>
        <w:rPr>
          <w:rFonts w:hint="eastAsia"/>
          <w:color w:val="auto"/>
          <w:sz w:val="22"/>
          <w:szCs w:val="22"/>
          <w:highlight w:val="none"/>
        </w:rPr>
        <w:t>提交的资格证明材料无法证明其符合招标文件规定的“</w:t>
      </w:r>
      <w:r>
        <w:rPr>
          <w:rFonts w:hint="eastAsia"/>
          <w:color w:val="auto"/>
          <w:sz w:val="22"/>
          <w:szCs w:val="22"/>
          <w:highlight w:val="none"/>
          <w:lang w:eastAsia="zh-CN"/>
        </w:rPr>
        <w:t>投标供应商</w:t>
      </w:r>
      <w:r>
        <w:rPr>
          <w:rFonts w:hint="eastAsia"/>
          <w:color w:val="auto"/>
          <w:sz w:val="22"/>
          <w:szCs w:val="22"/>
          <w:highlight w:val="none"/>
        </w:rPr>
        <w:t>资格要求”的，采购人或采购代理机构将对其作资格审查不通过处理（无效投标），并不再将其投标提交评标委员会进行后续评审。</w:t>
      </w:r>
    </w:p>
    <w:p w14:paraId="23F963E5">
      <w:pPr>
        <w:shd w:val="clea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.3单位负责人为同一人或者存在直接控股、管理关系的不同供应商参加同一合同项下的采购活动的，相关</w:t>
      </w:r>
      <w:r>
        <w:rPr>
          <w:rFonts w:hint="eastAsia"/>
          <w:color w:val="auto"/>
          <w:sz w:val="22"/>
          <w:szCs w:val="22"/>
          <w:highlight w:val="none"/>
          <w:lang w:eastAsia="zh-CN"/>
        </w:rPr>
        <w:t>投标供应商</w:t>
      </w:r>
      <w:r>
        <w:rPr>
          <w:rFonts w:hint="eastAsia"/>
          <w:color w:val="auto"/>
          <w:sz w:val="22"/>
          <w:szCs w:val="22"/>
          <w:highlight w:val="none"/>
        </w:rPr>
        <w:t>均作资格无效处理。</w:t>
      </w:r>
    </w:p>
    <w:p w14:paraId="22BE3AA7">
      <w:pPr>
        <w:shd w:val="clear"/>
        <w:snapToGrid w:val="0"/>
        <w:spacing w:line="420" w:lineRule="exact"/>
        <w:ind w:firstLine="527"/>
        <w:rPr>
          <w:rFonts w:hint="eastAsia"/>
          <w:b/>
          <w:color w:val="auto"/>
          <w:sz w:val="22"/>
          <w:szCs w:val="22"/>
          <w:highlight w:val="none"/>
        </w:rPr>
      </w:pPr>
      <w:r>
        <w:rPr>
          <w:rFonts w:hint="eastAsia"/>
          <w:b/>
          <w:color w:val="auto"/>
          <w:sz w:val="22"/>
          <w:szCs w:val="22"/>
          <w:highlight w:val="none"/>
        </w:rPr>
        <w:t>二）评标</w:t>
      </w:r>
    </w:p>
    <w:p w14:paraId="5D2210C6">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2.1评标由采购人依法组建的评标委员会负责，并独立履行下列职责：</w:t>
      </w:r>
    </w:p>
    <w:p w14:paraId="566E19BC">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1）审查投标文件是否符合招标文件要求，并作出评价；</w:t>
      </w:r>
    </w:p>
    <w:p w14:paraId="4B8A6B44">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2）要求</w:t>
      </w:r>
      <w:r>
        <w:rPr>
          <w:rFonts w:hint="eastAsia"/>
          <w:color w:val="auto"/>
          <w:sz w:val="22"/>
          <w:szCs w:val="22"/>
          <w:highlight w:val="none"/>
          <w:lang w:eastAsia="zh-CN"/>
        </w:rPr>
        <w:t>投标供应商</w:t>
      </w:r>
      <w:r>
        <w:rPr>
          <w:rFonts w:hint="eastAsia"/>
          <w:color w:val="auto"/>
          <w:sz w:val="22"/>
          <w:szCs w:val="22"/>
          <w:highlight w:val="none"/>
        </w:rPr>
        <w:t>对投标文件有关事项作出解释或者澄清；</w:t>
      </w:r>
    </w:p>
    <w:p w14:paraId="7730C433">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14:paraId="6F3D75FD">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4）向采购代理机构或者有关部门报告非法干预评标工作的行为。</w:t>
      </w:r>
    </w:p>
    <w:p w14:paraId="64F60292">
      <w:pPr>
        <w:shd w:val="clea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2.2、评标应当遵循下列工作程序：</w:t>
      </w:r>
    </w:p>
    <w:p w14:paraId="2C46DEB9">
      <w:pPr>
        <w:shd w:val="clear"/>
        <w:snapToGrid w:val="0"/>
        <w:spacing w:line="420" w:lineRule="exact"/>
        <w:rPr>
          <w:rFonts w:hint="eastAsia"/>
          <w:color w:val="auto"/>
          <w:sz w:val="22"/>
          <w:szCs w:val="22"/>
          <w:highlight w:val="none"/>
        </w:rPr>
      </w:pPr>
      <w:r>
        <w:rPr>
          <w:rFonts w:hint="eastAsia"/>
          <w:color w:val="auto"/>
          <w:sz w:val="22"/>
          <w:szCs w:val="22"/>
          <w:highlight w:val="none"/>
        </w:rPr>
        <w:t xml:space="preserve">    1）投标文件初审。初审分为资格性检查和符合性检查。</w:t>
      </w:r>
    </w:p>
    <w:p w14:paraId="02474D8B">
      <w:pPr>
        <w:shd w:val="clea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rFonts w:hint="eastAsia"/>
          <w:color w:val="auto"/>
          <w:sz w:val="22"/>
          <w:szCs w:val="22"/>
          <w:highlight w:val="none"/>
          <w:lang w:eastAsia="zh-CN"/>
        </w:rPr>
        <w:t>投标供应商</w:t>
      </w:r>
      <w:r>
        <w:rPr>
          <w:color w:val="auto"/>
          <w:sz w:val="22"/>
          <w:szCs w:val="22"/>
          <w:highlight w:val="none"/>
        </w:rPr>
        <w:t>资格文件</w:t>
      </w:r>
      <w:r>
        <w:rPr>
          <w:rFonts w:hint="eastAsia"/>
          <w:color w:val="auto"/>
          <w:sz w:val="22"/>
          <w:szCs w:val="22"/>
          <w:highlight w:val="none"/>
        </w:rPr>
        <w:t>等进行审查，以确定</w:t>
      </w:r>
      <w:r>
        <w:rPr>
          <w:rFonts w:hint="eastAsia"/>
          <w:color w:val="auto"/>
          <w:sz w:val="22"/>
          <w:szCs w:val="22"/>
          <w:highlight w:val="none"/>
          <w:lang w:eastAsia="zh-CN"/>
        </w:rPr>
        <w:t>投标供应商</w:t>
      </w:r>
      <w:r>
        <w:rPr>
          <w:rFonts w:hint="eastAsia"/>
          <w:color w:val="auto"/>
          <w:sz w:val="22"/>
          <w:szCs w:val="22"/>
          <w:highlight w:val="none"/>
        </w:rPr>
        <w:t>是否具备投标资格。</w:t>
      </w:r>
    </w:p>
    <w:p w14:paraId="7420EA07">
      <w:pPr>
        <w:shd w:val="clear"/>
        <w:snapToGrid w:val="0"/>
        <w:spacing w:line="420" w:lineRule="exact"/>
        <w:rPr>
          <w:rFonts w:hint="eastAsia"/>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14:paraId="6CFEB118">
      <w:pPr>
        <w:shd w:val="clear"/>
        <w:snapToGrid w:val="0"/>
        <w:spacing w:line="420" w:lineRule="exact"/>
        <w:rPr>
          <w:rFonts w:hint="eastAsia"/>
          <w:color w:val="auto"/>
          <w:sz w:val="22"/>
          <w:szCs w:val="22"/>
          <w:highlight w:val="none"/>
        </w:rPr>
      </w:pPr>
      <w:r>
        <w:rPr>
          <w:rFonts w:hint="eastAsia"/>
          <w:color w:val="auto"/>
          <w:sz w:val="22"/>
          <w:szCs w:val="22"/>
          <w:highlight w:val="none"/>
        </w:rPr>
        <w:t xml:space="preserve">    </w:t>
      </w:r>
      <w:r>
        <w:rPr>
          <w:rFonts w:hint="eastAsia"/>
          <w:color w:val="auto"/>
          <w:sz w:val="22"/>
          <w:szCs w:val="22"/>
          <w:highlight w:val="none"/>
          <w:lang w:val="en-US" w:eastAsia="zh-CN"/>
        </w:rPr>
        <w:t xml:space="preserve"> </w:t>
      </w:r>
      <w:r>
        <w:rPr>
          <w:rFonts w:hint="eastAsia"/>
          <w:color w:val="auto"/>
          <w:sz w:val="22"/>
          <w:szCs w:val="22"/>
          <w:highlight w:val="none"/>
        </w:rPr>
        <w:t>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14:paraId="098342C3">
      <w:pPr>
        <w:shd w:val="clear"/>
        <w:snapToGrid w:val="0"/>
        <w:spacing w:line="420" w:lineRule="exact"/>
        <w:ind w:firstLine="450"/>
        <w:rPr>
          <w:rFonts w:hint="eastAsia"/>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14:paraId="502A1558">
      <w:pPr>
        <w:pStyle w:val="31"/>
        <w:shd w:val="clear"/>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2.4、</w:t>
      </w:r>
      <w:r>
        <w:rPr>
          <w:rFonts w:hint="eastAsia" w:hAnsi="宋体"/>
          <w:b/>
          <w:color w:val="auto"/>
          <w:sz w:val="22"/>
          <w:szCs w:val="22"/>
          <w:highlight w:val="none"/>
          <w:u w:val="single"/>
        </w:rPr>
        <w:t>评标委员会发现投标文件有下列情形之一的属于重大偏差(评标委员会按少数服从多数原则认定),按照无效投标处理：</w:t>
      </w:r>
    </w:p>
    <w:p w14:paraId="2DF8F92B">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1）未按招标文件要求编制或字迹模糊、辨认不清的投标文件；</w:t>
      </w:r>
    </w:p>
    <w:p w14:paraId="2888F011">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2）投标文件存在一个或一个以上备选（替代）投标方案的；仅提交“备份投标文件”的；</w:t>
      </w:r>
    </w:p>
    <w:p w14:paraId="61652A9F">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3）没有按招标文件格式要求加盖有效公章、无法定代表人（或授权代表）签字或印章（具体格式见招标文件附件—投标文件格式）；</w:t>
      </w:r>
    </w:p>
    <w:p w14:paraId="57155E95">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4）投标文件未有效授权，法定代表人授权委托书等填写不完整或有涂改的；</w:t>
      </w:r>
    </w:p>
    <w:p w14:paraId="69905DD8">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5）供应商商务技术投标文件中出现投标产品的本项目报价；</w:t>
      </w:r>
    </w:p>
    <w:p w14:paraId="571DEB1D">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6）文件组成内容不齐全，本招标文件规定必须提供而未提供的（属于资格审查范围的除外）；明显不符合要求的投标文件；</w:t>
      </w:r>
    </w:p>
    <w:p w14:paraId="107DD263">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7）付款方式、服务期出现负偏差的；</w:t>
      </w:r>
    </w:p>
    <w:p w14:paraId="1CBE4678">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8）投标文件附有采购人不能接受的条款；</w:t>
      </w:r>
    </w:p>
    <w:p w14:paraId="05FA171F">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9）不符合招标文件中规定的实质性要求的投标文件，是否为偏离实质性要求由评标委员会认定。</w:t>
      </w:r>
    </w:p>
    <w:p w14:paraId="5D57CC73">
      <w:pPr>
        <w:pStyle w:val="31"/>
        <w:shd w:val="clea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10）</w:t>
      </w:r>
      <w:r>
        <w:rPr>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36CAF0C4">
      <w:pPr>
        <w:pStyle w:val="31"/>
        <w:shd w:val="clea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11）</w:t>
      </w:r>
      <w:r>
        <w:rPr>
          <w:color w:val="auto"/>
          <w:sz w:val="22"/>
          <w:szCs w:val="22"/>
          <w:highlight w:val="none"/>
        </w:rPr>
        <w:t>有下列情形之一的，视为</w:t>
      </w:r>
      <w:r>
        <w:rPr>
          <w:rFonts w:hint="eastAsia"/>
          <w:color w:val="auto"/>
          <w:sz w:val="22"/>
          <w:szCs w:val="22"/>
          <w:highlight w:val="none"/>
          <w:lang w:eastAsia="zh-CN"/>
        </w:rPr>
        <w:t>投标供应商</w:t>
      </w:r>
      <w:r>
        <w:rPr>
          <w:color w:val="auto"/>
          <w:sz w:val="22"/>
          <w:szCs w:val="22"/>
          <w:highlight w:val="none"/>
        </w:rPr>
        <w:t>串通投标，其投标无效：</w:t>
      </w:r>
    </w:p>
    <w:p w14:paraId="48A027C2">
      <w:pPr>
        <w:pStyle w:val="31"/>
        <w:shd w:val="clear"/>
        <w:snapToGrid w:val="0"/>
        <w:spacing w:line="420" w:lineRule="exact"/>
        <w:ind w:firstLine="431" w:firstLineChars="196"/>
        <w:rPr>
          <w:color w:val="auto"/>
          <w:sz w:val="22"/>
          <w:szCs w:val="22"/>
          <w:highlight w:val="none"/>
        </w:rPr>
      </w:pPr>
      <w:r>
        <w:rPr>
          <w:color w:val="auto"/>
          <w:sz w:val="22"/>
          <w:szCs w:val="22"/>
          <w:highlight w:val="none"/>
        </w:rPr>
        <w:t>　　（一）不同</w:t>
      </w:r>
      <w:r>
        <w:rPr>
          <w:rFonts w:hint="eastAsia"/>
          <w:color w:val="auto"/>
          <w:sz w:val="22"/>
          <w:szCs w:val="22"/>
          <w:highlight w:val="none"/>
          <w:lang w:eastAsia="zh-CN"/>
        </w:rPr>
        <w:t>投标供应商</w:t>
      </w:r>
      <w:r>
        <w:rPr>
          <w:color w:val="auto"/>
          <w:sz w:val="22"/>
          <w:szCs w:val="22"/>
          <w:highlight w:val="none"/>
        </w:rPr>
        <w:t>的投标文件由同一单位或者个人编制；</w:t>
      </w:r>
    </w:p>
    <w:p w14:paraId="4C07CDB1">
      <w:pPr>
        <w:pStyle w:val="31"/>
        <w:shd w:val="clear"/>
        <w:snapToGrid w:val="0"/>
        <w:spacing w:line="420" w:lineRule="exact"/>
        <w:ind w:firstLine="431" w:firstLineChars="196"/>
        <w:rPr>
          <w:color w:val="auto"/>
          <w:sz w:val="22"/>
          <w:szCs w:val="22"/>
          <w:highlight w:val="none"/>
        </w:rPr>
      </w:pPr>
      <w:r>
        <w:rPr>
          <w:color w:val="auto"/>
          <w:sz w:val="22"/>
          <w:szCs w:val="22"/>
          <w:highlight w:val="none"/>
        </w:rPr>
        <w:t>　　（二）不同</w:t>
      </w:r>
      <w:r>
        <w:rPr>
          <w:rFonts w:hint="eastAsia"/>
          <w:color w:val="auto"/>
          <w:sz w:val="22"/>
          <w:szCs w:val="22"/>
          <w:highlight w:val="none"/>
          <w:lang w:eastAsia="zh-CN"/>
        </w:rPr>
        <w:t>投标供应商</w:t>
      </w:r>
      <w:r>
        <w:rPr>
          <w:color w:val="auto"/>
          <w:sz w:val="22"/>
          <w:szCs w:val="22"/>
          <w:highlight w:val="none"/>
        </w:rPr>
        <w:t>委托同一单位或者个人办理投标事宜；</w:t>
      </w:r>
    </w:p>
    <w:p w14:paraId="3252378B">
      <w:pPr>
        <w:pStyle w:val="31"/>
        <w:shd w:val="clear"/>
        <w:snapToGrid w:val="0"/>
        <w:spacing w:line="420" w:lineRule="exact"/>
        <w:ind w:firstLine="431" w:firstLineChars="196"/>
        <w:rPr>
          <w:color w:val="auto"/>
          <w:sz w:val="22"/>
          <w:szCs w:val="22"/>
          <w:highlight w:val="none"/>
        </w:rPr>
      </w:pPr>
      <w:r>
        <w:rPr>
          <w:color w:val="auto"/>
          <w:sz w:val="22"/>
          <w:szCs w:val="22"/>
          <w:highlight w:val="none"/>
        </w:rPr>
        <w:t>　　（三）不同</w:t>
      </w:r>
      <w:r>
        <w:rPr>
          <w:rFonts w:hint="eastAsia"/>
          <w:color w:val="auto"/>
          <w:sz w:val="22"/>
          <w:szCs w:val="22"/>
          <w:highlight w:val="none"/>
          <w:lang w:eastAsia="zh-CN"/>
        </w:rPr>
        <w:t>投标供应商</w:t>
      </w:r>
      <w:r>
        <w:rPr>
          <w:color w:val="auto"/>
          <w:sz w:val="22"/>
          <w:szCs w:val="22"/>
          <w:highlight w:val="none"/>
        </w:rPr>
        <w:t>的投标文件载明的项目管理成员或者联系人员为同一人；</w:t>
      </w:r>
    </w:p>
    <w:p w14:paraId="5689DA50">
      <w:pPr>
        <w:pStyle w:val="31"/>
        <w:shd w:val="clear"/>
        <w:snapToGrid w:val="0"/>
        <w:spacing w:line="420" w:lineRule="exact"/>
        <w:ind w:firstLine="431" w:firstLineChars="196"/>
        <w:rPr>
          <w:color w:val="auto"/>
          <w:sz w:val="22"/>
          <w:szCs w:val="22"/>
          <w:highlight w:val="none"/>
        </w:rPr>
      </w:pPr>
      <w:r>
        <w:rPr>
          <w:color w:val="auto"/>
          <w:sz w:val="22"/>
          <w:szCs w:val="22"/>
          <w:highlight w:val="none"/>
        </w:rPr>
        <w:t>　　（四）不同</w:t>
      </w:r>
      <w:r>
        <w:rPr>
          <w:rFonts w:hint="eastAsia"/>
          <w:color w:val="auto"/>
          <w:sz w:val="22"/>
          <w:szCs w:val="22"/>
          <w:highlight w:val="none"/>
          <w:lang w:eastAsia="zh-CN"/>
        </w:rPr>
        <w:t>投标供应商</w:t>
      </w:r>
      <w:r>
        <w:rPr>
          <w:color w:val="auto"/>
          <w:sz w:val="22"/>
          <w:szCs w:val="22"/>
          <w:highlight w:val="none"/>
        </w:rPr>
        <w:t>的投标文件异常一致或者投标报价呈规律性差异；</w:t>
      </w:r>
    </w:p>
    <w:p w14:paraId="16BF029D">
      <w:pPr>
        <w:pStyle w:val="31"/>
        <w:shd w:val="clear"/>
        <w:snapToGrid w:val="0"/>
        <w:spacing w:line="420" w:lineRule="exact"/>
        <w:ind w:firstLine="431" w:firstLineChars="196"/>
        <w:rPr>
          <w:color w:val="auto"/>
          <w:sz w:val="22"/>
          <w:szCs w:val="22"/>
          <w:highlight w:val="none"/>
        </w:rPr>
      </w:pPr>
      <w:r>
        <w:rPr>
          <w:color w:val="auto"/>
          <w:sz w:val="22"/>
          <w:szCs w:val="22"/>
          <w:highlight w:val="none"/>
        </w:rPr>
        <w:t>　　（五）不同</w:t>
      </w:r>
      <w:r>
        <w:rPr>
          <w:rFonts w:hint="eastAsia"/>
          <w:color w:val="auto"/>
          <w:sz w:val="22"/>
          <w:szCs w:val="22"/>
          <w:highlight w:val="none"/>
          <w:lang w:eastAsia="zh-CN"/>
        </w:rPr>
        <w:t>投标供应商</w:t>
      </w:r>
      <w:r>
        <w:rPr>
          <w:color w:val="auto"/>
          <w:sz w:val="22"/>
          <w:szCs w:val="22"/>
          <w:highlight w:val="none"/>
        </w:rPr>
        <w:t>的投标文件相互混装；　　</w:t>
      </w:r>
    </w:p>
    <w:p w14:paraId="241FC8EC">
      <w:pPr>
        <w:pStyle w:val="31"/>
        <w:shd w:val="clear"/>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12）其他经评标委员会认定的未能在实质上响应的或违反国家有关规定的投标文件。</w:t>
      </w:r>
    </w:p>
    <w:p w14:paraId="52BE3F6C">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2.5、实质上没有响应招标文件要求的投标将被拒绝。供应商不得通过修正或撤消不合要求的偏离从而使其投标成为实质上响应的投标。</w:t>
      </w:r>
    </w:p>
    <w:p w14:paraId="16A58476">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2.6、评标委员会对投标文件的判定，只依据投标内容本身，不依靠开标后的任何外来证明。</w:t>
      </w:r>
    </w:p>
    <w:p w14:paraId="60E13295">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2.7、评标委员会在评标中，不得改变招标文件中规定的评标标准、方法和中标条件。</w:t>
      </w:r>
    </w:p>
    <w:p w14:paraId="173776C6">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3.投标文件的澄清</w:t>
      </w:r>
    </w:p>
    <w:p w14:paraId="51F7A9F8">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3.1对于投标文件中含义不明确、同类问题表述不一致或者有明显文字和计算错误的内容，评标委员会将以书面形式（或通过“</w:t>
      </w:r>
      <w:r>
        <w:rPr>
          <w:rFonts w:hint="eastAsia"/>
          <w:color w:val="auto"/>
          <w:sz w:val="22"/>
          <w:szCs w:val="22"/>
          <w:highlight w:val="none"/>
          <w:lang w:eastAsia="zh-CN"/>
        </w:rPr>
        <w:t>乐采云平台</w:t>
      </w:r>
      <w:r>
        <w:rPr>
          <w:rFonts w:hint="eastAsia"/>
          <w:color w:val="auto"/>
          <w:sz w:val="22"/>
          <w:szCs w:val="22"/>
          <w:highlight w:val="none"/>
        </w:rPr>
        <w:t>”在线询标）的形式要求</w:t>
      </w:r>
      <w:r>
        <w:rPr>
          <w:rFonts w:hint="eastAsia"/>
          <w:color w:val="auto"/>
          <w:sz w:val="22"/>
          <w:szCs w:val="22"/>
          <w:highlight w:val="none"/>
          <w:lang w:eastAsia="zh-CN"/>
        </w:rPr>
        <w:t>投标供应商</w:t>
      </w:r>
      <w:r>
        <w:rPr>
          <w:rFonts w:hint="eastAsia"/>
          <w:color w:val="auto"/>
          <w:sz w:val="22"/>
          <w:szCs w:val="22"/>
          <w:highlight w:val="none"/>
        </w:rPr>
        <w:t>在规定的时间内作出必要的澄清、说明或者补正，</w:t>
      </w:r>
      <w:r>
        <w:rPr>
          <w:rFonts w:hint="eastAsia"/>
          <w:color w:val="auto"/>
          <w:sz w:val="22"/>
          <w:szCs w:val="22"/>
          <w:highlight w:val="none"/>
          <w:lang w:eastAsia="zh-CN"/>
        </w:rPr>
        <w:t>投标供应商</w:t>
      </w:r>
      <w:r>
        <w:rPr>
          <w:rFonts w:hint="eastAsia"/>
          <w:color w:val="auto"/>
          <w:sz w:val="22"/>
          <w:szCs w:val="22"/>
          <w:highlight w:val="none"/>
        </w:rPr>
        <w:t>澄清、说明或补正时间为30分钟。</w:t>
      </w:r>
    </w:p>
    <w:p w14:paraId="47B09842">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的澄清、说明或者补正应当采用书面（或通过“</w:t>
      </w:r>
      <w:r>
        <w:rPr>
          <w:rFonts w:hint="eastAsia"/>
          <w:color w:val="auto"/>
          <w:sz w:val="22"/>
          <w:szCs w:val="22"/>
          <w:highlight w:val="none"/>
          <w:lang w:eastAsia="zh-CN"/>
        </w:rPr>
        <w:t>乐采云平台</w:t>
      </w:r>
      <w:r>
        <w:rPr>
          <w:rFonts w:hint="eastAsia"/>
          <w:color w:val="auto"/>
          <w:sz w:val="22"/>
          <w:szCs w:val="22"/>
          <w:highlight w:val="none"/>
        </w:rPr>
        <w:t>”在线答复）形式提交，并加盖公章，或者由法定代表人或其授权的代表签字。</w:t>
      </w:r>
      <w:r>
        <w:rPr>
          <w:rFonts w:hint="eastAsia"/>
          <w:color w:val="auto"/>
          <w:sz w:val="22"/>
          <w:szCs w:val="22"/>
          <w:highlight w:val="none"/>
          <w:lang w:eastAsia="zh-CN"/>
        </w:rPr>
        <w:t>投标供应商</w:t>
      </w:r>
      <w:r>
        <w:rPr>
          <w:rFonts w:hint="eastAsia"/>
          <w:color w:val="auto"/>
          <w:sz w:val="22"/>
          <w:szCs w:val="22"/>
          <w:highlight w:val="none"/>
        </w:rPr>
        <w:t>的澄清、说明或者补正不得超出投标文件的范围或者改变投标文件的实质性内容。</w:t>
      </w:r>
    </w:p>
    <w:p w14:paraId="27491EF8">
      <w:pPr>
        <w:shd w:val="clea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4、在采购中，出现下列情形之一的，应予废标：</w:t>
      </w:r>
    </w:p>
    <w:p w14:paraId="790C317F">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 xml:space="preserve">(1)截止时间及评审期间，出现有效供应商不足三家的，作流（废）标处理，并重新组织招标。 </w:t>
      </w:r>
    </w:p>
    <w:p w14:paraId="12BF0659">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(2)出现影响采购公正的违法、违规行为的；</w:t>
      </w:r>
    </w:p>
    <w:p w14:paraId="32244A9A">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(3)报价均超过</w:t>
      </w:r>
      <w:r>
        <w:rPr>
          <w:rFonts w:hint="eastAsia"/>
          <w:color w:val="auto"/>
          <w:sz w:val="22"/>
          <w:szCs w:val="22"/>
          <w:highlight w:val="none"/>
          <w:lang w:val="en-US" w:eastAsia="zh-CN"/>
        </w:rPr>
        <w:t>最高限价</w:t>
      </w:r>
      <w:r>
        <w:rPr>
          <w:rFonts w:hint="eastAsia"/>
          <w:color w:val="auto"/>
          <w:sz w:val="22"/>
          <w:szCs w:val="22"/>
          <w:highlight w:val="none"/>
        </w:rPr>
        <w:t>，不能支付的；</w:t>
      </w:r>
    </w:p>
    <w:p w14:paraId="6045DFF1">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(4)因重大变故，采购任务取消的。</w:t>
      </w:r>
    </w:p>
    <w:p w14:paraId="15DDB117">
      <w:pPr>
        <w:shd w:val="clea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5、可中止电子交易活动的情形</w:t>
      </w:r>
    </w:p>
    <w:p w14:paraId="799559D5">
      <w:pPr>
        <w:shd w:val="clea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采购过程中出现以下情形，导致电子交易平台无法正常运行，或者无法保证电子交易的公平、公正和安全时，采购组织机构可中止电子交易活动：</w:t>
      </w:r>
    </w:p>
    <w:p w14:paraId="4ADF9EDD">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1）电子交易平台发生故障而无法登录访问的；</w:t>
      </w:r>
    </w:p>
    <w:p w14:paraId="36EBF9B7">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2）电子交易平台应用或数据库出现错误，不能进行正常操作的；</w:t>
      </w:r>
    </w:p>
    <w:p w14:paraId="58DE0197">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3）电子交易平台发现严重安全漏洞，有潜在泄密危险的；</w:t>
      </w:r>
    </w:p>
    <w:p w14:paraId="433A8DA3">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4）病毒发作导致不能进行正常操作的；</w:t>
      </w:r>
    </w:p>
    <w:p w14:paraId="31E0074D">
      <w:pPr>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5）其他无法保证电子交易的公平、公正和安全的情况。</w:t>
      </w:r>
    </w:p>
    <w:p w14:paraId="7A4E22C4">
      <w:pPr>
        <w:shd w:val="clea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14:paraId="5F7A9052">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6、评标原则</w:t>
      </w:r>
    </w:p>
    <w:p w14:paraId="4DE27ACC">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评标委员会按照招标文件的要求和条件对投标文件进行资格、商务和技术评估，综合比较与评价。</w:t>
      </w:r>
    </w:p>
    <w:p w14:paraId="037F8B27">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评标办法具体见本招标文件第</w:t>
      </w:r>
      <w:r>
        <w:rPr>
          <w:rFonts w:hint="eastAsia"/>
          <w:color w:val="auto"/>
          <w:sz w:val="22"/>
          <w:szCs w:val="22"/>
          <w:highlight w:val="none"/>
          <w:lang w:val="en-US" w:eastAsia="zh-CN"/>
        </w:rPr>
        <w:t>七</w:t>
      </w:r>
      <w:r>
        <w:rPr>
          <w:rFonts w:hint="eastAsia"/>
          <w:color w:val="auto"/>
          <w:sz w:val="22"/>
          <w:szCs w:val="22"/>
          <w:highlight w:val="none"/>
        </w:rPr>
        <w:t>部分。</w:t>
      </w:r>
    </w:p>
    <w:p w14:paraId="1EFDD1F1">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7、评标过程中遇到特殊情况，由评标委员会遵循公开、公正原则，采取投票方式按照少数服从多数原则决定。</w:t>
      </w:r>
    </w:p>
    <w:p w14:paraId="37B5A5A9">
      <w:pPr>
        <w:shd w:val="clea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七、授予合同</w:t>
      </w:r>
    </w:p>
    <w:p w14:paraId="02C858BC">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1、决标</w:t>
      </w:r>
    </w:p>
    <w:p w14:paraId="10AD3C88">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14:paraId="49B184BF">
      <w:pPr>
        <w:shd w:val="clear"/>
        <w:snapToGrid w:val="0"/>
        <w:spacing w:line="420" w:lineRule="exact"/>
        <w:ind w:firstLine="545" w:firstLineChars="248"/>
        <w:rPr>
          <w:rFonts w:hint="eastAsia"/>
          <w:color w:val="auto"/>
          <w:sz w:val="22"/>
          <w:szCs w:val="22"/>
          <w:highlight w:val="none"/>
        </w:rPr>
      </w:pPr>
      <w:r>
        <w:rPr>
          <w:rFonts w:hint="eastAsia"/>
          <w:color w:val="auto"/>
          <w:sz w:val="22"/>
          <w:szCs w:val="22"/>
          <w:highlight w:val="none"/>
        </w:rPr>
        <w:t>2、中标通知书</w:t>
      </w:r>
    </w:p>
    <w:p w14:paraId="6446F829">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2.1、招标机构</w:t>
      </w:r>
      <w:r>
        <w:rPr>
          <w:rFonts w:hint="eastAsia"/>
          <w:color w:val="auto"/>
          <w:spacing w:val="10"/>
          <w:sz w:val="22"/>
          <w:szCs w:val="22"/>
          <w:highlight w:val="none"/>
        </w:rPr>
        <w:t>在浙江省政府采购网上公告中标结果。</w:t>
      </w:r>
    </w:p>
    <w:p w14:paraId="690B7B3D">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474A1909">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3、评标委员会对未中标的供应商不作落标原因解释。</w:t>
      </w:r>
    </w:p>
    <w:p w14:paraId="26E23007">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4、签订合同</w:t>
      </w:r>
    </w:p>
    <w:p w14:paraId="42C82BBA">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14:paraId="1FCB06DB">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14:paraId="3FDAF5E5">
      <w:pPr>
        <w:shd w:val="clear"/>
        <w:snapToGrid w:val="0"/>
        <w:spacing w:line="420" w:lineRule="exact"/>
        <w:ind w:firstLine="527"/>
        <w:rPr>
          <w:rFonts w:hint="eastAsia"/>
          <w:color w:val="auto"/>
          <w:sz w:val="22"/>
          <w:szCs w:val="22"/>
          <w:highlight w:val="none"/>
        </w:rPr>
      </w:pPr>
      <w:r>
        <w:rPr>
          <w:rFonts w:hint="eastAsia"/>
          <w:color w:val="auto"/>
          <w:sz w:val="22"/>
          <w:szCs w:val="22"/>
          <w:highlight w:val="none"/>
        </w:rPr>
        <w:t>4.3 拒签合同的责任</w:t>
      </w:r>
    </w:p>
    <w:p w14:paraId="07BB55E7">
      <w:pPr>
        <w:pStyle w:val="31"/>
        <w:shd w:val="clea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14:paraId="6EA09A21">
      <w:pPr>
        <w:pStyle w:val="31"/>
        <w:shd w:val="clear"/>
        <w:snapToGrid w:val="0"/>
        <w:spacing w:line="420" w:lineRule="exact"/>
        <w:rPr>
          <w:rFonts w:hint="eastAsia" w:ascii="宋体" w:eastAsia="宋体"/>
          <w:color w:val="auto"/>
          <w:sz w:val="22"/>
          <w:szCs w:val="22"/>
          <w:highlight w:val="none"/>
        </w:rPr>
      </w:pPr>
      <w:r>
        <w:rPr>
          <w:rFonts w:hint="eastAsia" w:ascii="宋体" w:eastAsia="宋体"/>
          <w:color w:val="auto"/>
          <w:sz w:val="22"/>
          <w:szCs w:val="22"/>
          <w:highlight w:val="none"/>
        </w:rPr>
        <w:t xml:space="preserve">   5</w:t>
      </w:r>
      <w:r>
        <w:rPr>
          <w:rFonts w:hint="eastAsia" w:ascii="宋体" w:eastAsia="宋体"/>
          <w:color w:val="auto"/>
          <w:sz w:val="22"/>
          <w:szCs w:val="22"/>
          <w:highlight w:val="none"/>
          <w:lang w:val="zh-CN"/>
        </w:rPr>
        <w:t>、</w:t>
      </w:r>
      <w:r>
        <w:rPr>
          <w:rFonts w:hint="eastAsia" w:ascii="宋体" w:eastAsia="宋体"/>
          <w:color w:val="auto"/>
          <w:sz w:val="22"/>
          <w:szCs w:val="22"/>
          <w:highlight w:val="none"/>
        </w:rPr>
        <w:t>招标代理服务费</w:t>
      </w:r>
    </w:p>
    <w:p w14:paraId="68B3E4EA">
      <w:pPr>
        <w:pStyle w:val="31"/>
        <w:shd w:val="clear"/>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5.1中标供应商在领取中标通知书前根据国家计委印发的《招标代理服务收费管理暂行办法》(计价格【2002】1980号文)</w:t>
      </w:r>
      <w:r>
        <w:rPr>
          <w:rFonts w:hint="eastAsia" w:ascii="宋体" w:eastAsia="宋体"/>
          <w:color w:val="auto"/>
          <w:sz w:val="22"/>
          <w:szCs w:val="22"/>
          <w:highlight w:val="none"/>
          <w:lang w:val="en-US" w:eastAsia="zh-CN"/>
        </w:rPr>
        <w:t>服务</w:t>
      </w:r>
      <w:r>
        <w:rPr>
          <w:rFonts w:hint="eastAsia" w:ascii="宋体" w:eastAsia="宋体"/>
          <w:color w:val="auto"/>
          <w:sz w:val="22"/>
          <w:szCs w:val="22"/>
          <w:highlight w:val="none"/>
        </w:rPr>
        <w:t>类收费向招标代理机构支付招标代理服务费</w:t>
      </w:r>
      <w:r>
        <w:rPr>
          <w:rFonts w:hint="eastAsia" w:ascii="宋体" w:eastAsia="宋体"/>
          <w:color w:val="auto"/>
          <w:sz w:val="22"/>
          <w:szCs w:val="22"/>
          <w:highlight w:val="none"/>
          <w:lang w:eastAsia="zh-CN"/>
        </w:rPr>
        <w:t>，</w:t>
      </w:r>
      <w:r>
        <w:rPr>
          <w:rFonts w:hint="eastAsia"/>
          <w:b/>
          <w:color w:val="auto"/>
          <w:sz w:val="22"/>
          <w:szCs w:val="22"/>
          <w:highlight w:val="none"/>
          <w:lang w:val="en-US" w:eastAsia="zh-CN"/>
        </w:rPr>
        <w:t>标项一29950元整，标项二22440元整</w:t>
      </w:r>
      <w:r>
        <w:rPr>
          <w:rFonts w:hint="eastAsia"/>
          <w:b/>
          <w:color w:val="auto"/>
          <w:sz w:val="22"/>
          <w:szCs w:val="22"/>
          <w:highlight w:val="none"/>
        </w:rPr>
        <w:t>，招标代理服务费包含在投标总价中</w:t>
      </w:r>
      <w:r>
        <w:rPr>
          <w:rFonts w:hint="eastAsia" w:ascii="宋体" w:eastAsia="宋体"/>
          <w:color w:val="auto"/>
          <w:sz w:val="22"/>
          <w:szCs w:val="22"/>
          <w:highlight w:val="none"/>
        </w:rPr>
        <w:t>。招标代理服务费汇入以下账号：</w:t>
      </w:r>
    </w:p>
    <w:p w14:paraId="32FCE975">
      <w:pPr>
        <w:widowControl/>
        <w:shd w:val="clear" w:color="auto"/>
        <w:snapToGrid w:val="0"/>
        <w:spacing w:line="420" w:lineRule="exact"/>
        <w:ind w:firstLine="480"/>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开户银行：温州银行股份有限公司平阳支行</w:t>
      </w:r>
    </w:p>
    <w:p w14:paraId="0A3B04CC">
      <w:pPr>
        <w:widowControl/>
        <w:shd w:val="clear" w:color="auto"/>
        <w:snapToGrid w:val="0"/>
        <w:spacing w:line="420" w:lineRule="exact"/>
        <w:ind w:firstLine="480"/>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开户名称：浙江名进建设项目管理有限公司平阳分公司</w:t>
      </w:r>
    </w:p>
    <w:p w14:paraId="66983C24">
      <w:pPr>
        <w:widowControl/>
        <w:shd w:val="clear" w:color="auto"/>
        <w:snapToGrid w:val="0"/>
        <w:spacing w:line="420" w:lineRule="exact"/>
        <w:ind w:firstLine="480"/>
        <w:jc w:val="left"/>
        <w:rPr>
          <w:rFonts w:hint="eastAsia" w:ascii="宋体" w:hAnsi="宋体" w:eastAsia="宋体" w:cs="宋体"/>
          <w:b w:val="0"/>
          <w:bCs/>
          <w:color w:val="auto"/>
          <w:sz w:val="22"/>
          <w:szCs w:val="22"/>
          <w:highlight w:val="none"/>
          <w:lang w:val="zh-CN"/>
        </w:rPr>
      </w:pPr>
      <w:r>
        <w:rPr>
          <w:rFonts w:hint="eastAsia" w:ascii="宋体" w:hAnsi="宋体" w:eastAsia="宋体" w:cs="宋体"/>
          <w:b w:val="0"/>
          <w:bCs/>
          <w:color w:val="auto"/>
          <w:sz w:val="22"/>
          <w:szCs w:val="22"/>
          <w:highlight w:val="none"/>
        </w:rPr>
        <w:t>开户账号：801000120190034329</w:t>
      </w:r>
    </w:p>
    <w:p w14:paraId="62D3CC3D">
      <w:pPr>
        <w:shd w:val="clear"/>
        <w:snapToGrid w:val="0"/>
        <w:spacing w:line="460" w:lineRule="exact"/>
        <w:jc w:val="center"/>
        <w:rPr>
          <w:rFonts w:hint="eastAsia" w:ascii="宋体" w:hAnsi="宋体"/>
          <w:b/>
          <w:color w:val="auto"/>
          <w:sz w:val="32"/>
          <w:szCs w:val="32"/>
          <w:highlight w:val="none"/>
        </w:rPr>
      </w:pPr>
    </w:p>
    <w:p w14:paraId="116D75DF">
      <w:pPr>
        <w:widowControl/>
        <w:shd w:val="clear"/>
        <w:autoSpaceDE w:val="0"/>
        <w:autoSpaceDN w:val="0"/>
        <w:snapToGrid w:val="0"/>
        <w:spacing w:line="420" w:lineRule="exact"/>
        <w:ind w:firstLine="450"/>
        <w:jc w:val="center"/>
        <w:rPr>
          <w:color w:val="auto"/>
          <w:sz w:val="32"/>
          <w:highlight w:val="none"/>
        </w:rPr>
      </w:pPr>
    </w:p>
    <w:p w14:paraId="2F2B2293">
      <w:pPr>
        <w:widowControl/>
        <w:shd w:val="clear"/>
        <w:autoSpaceDE w:val="0"/>
        <w:autoSpaceDN w:val="0"/>
        <w:snapToGrid w:val="0"/>
        <w:spacing w:line="420" w:lineRule="exact"/>
        <w:ind w:firstLine="450"/>
        <w:jc w:val="center"/>
        <w:rPr>
          <w:color w:val="auto"/>
          <w:sz w:val="32"/>
          <w:highlight w:val="none"/>
        </w:rPr>
      </w:pPr>
    </w:p>
    <w:p w14:paraId="6E4E66E4">
      <w:pPr>
        <w:widowControl/>
        <w:shd w:val="clear"/>
        <w:autoSpaceDE w:val="0"/>
        <w:autoSpaceDN w:val="0"/>
        <w:snapToGrid w:val="0"/>
        <w:spacing w:line="420" w:lineRule="exact"/>
        <w:ind w:firstLine="450"/>
        <w:jc w:val="center"/>
        <w:rPr>
          <w:color w:val="auto"/>
          <w:sz w:val="32"/>
          <w:highlight w:val="none"/>
        </w:rPr>
      </w:pPr>
    </w:p>
    <w:p w14:paraId="66E82E32">
      <w:pPr>
        <w:widowControl/>
        <w:shd w:val="clear"/>
        <w:autoSpaceDE w:val="0"/>
        <w:autoSpaceDN w:val="0"/>
        <w:snapToGrid w:val="0"/>
        <w:spacing w:line="420" w:lineRule="exact"/>
        <w:ind w:firstLine="450"/>
        <w:jc w:val="center"/>
        <w:rPr>
          <w:color w:val="auto"/>
          <w:sz w:val="32"/>
          <w:highlight w:val="none"/>
        </w:rPr>
      </w:pPr>
    </w:p>
    <w:p w14:paraId="1E9F7D65">
      <w:pPr>
        <w:pStyle w:val="8"/>
        <w:shd w:val="clear"/>
        <w:rPr>
          <w:color w:val="auto"/>
          <w:sz w:val="32"/>
          <w:highlight w:val="none"/>
        </w:rPr>
      </w:pPr>
    </w:p>
    <w:p w14:paraId="3572D0D0">
      <w:pPr>
        <w:pStyle w:val="8"/>
        <w:shd w:val="clear"/>
        <w:rPr>
          <w:color w:val="auto"/>
          <w:sz w:val="32"/>
          <w:highlight w:val="none"/>
        </w:rPr>
      </w:pPr>
    </w:p>
    <w:p w14:paraId="259C2B79">
      <w:pPr>
        <w:pStyle w:val="8"/>
        <w:shd w:val="clear"/>
        <w:rPr>
          <w:color w:val="auto"/>
          <w:sz w:val="32"/>
          <w:highlight w:val="none"/>
        </w:rPr>
      </w:pPr>
    </w:p>
    <w:p w14:paraId="79AB18C9">
      <w:pPr>
        <w:pStyle w:val="8"/>
        <w:shd w:val="clear"/>
        <w:rPr>
          <w:color w:val="auto"/>
          <w:sz w:val="32"/>
          <w:highlight w:val="none"/>
        </w:rPr>
      </w:pPr>
    </w:p>
    <w:p w14:paraId="00B4134D">
      <w:pPr>
        <w:pStyle w:val="8"/>
        <w:shd w:val="clear"/>
        <w:rPr>
          <w:color w:val="auto"/>
          <w:sz w:val="32"/>
          <w:highlight w:val="none"/>
        </w:rPr>
      </w:pPr>
    </w:p>
    <w:p w14:paraId="61E4E3FE">
      <w:pPr>
        <w:pStyle w:val="8"/>
        <w:shd w:val="clear"/>
        <w:rPr>
          <w:color w:val="auto"/>
          <w:sz w:val="32"/>
          <w:highlight w:val="none"/>
        </w:rPr>
      </w:pPr>
    </w:p>
    <w:p w14:paraId="2BC5D371">
      <w:pPr>
        <w:pStyle w:val="8"/>
        <w:shd w:val="clear"/>
        <w:rPr>
          <w:color w:val="auto"/>
          <w:sz w:val="32"/>
          <w:highlight w:val="none"/>
        </w:rPr>
      </w:pPr>
    </w:p>
    <w:p w14:paraId="7BEE26F8">
      <w:pPr>
        <w:pStyle w:val="8"/>
        <w:shd w:val="clear"/>
        <w:rPr>
          <w:color w:val="auto"/>
          <w:sz w:val="32"/>
          <w:highlight w:val="none"/>
        </w:rPr>
      </w:pPr>
    </w:p>
    <w:p w14:paraId="0151CFB4">
      <w:pPr>
        <w:pStyle w:val="8"/>
        <w:shd w:val="clear"/>
        <w:rPr>
          <w:color w:val="auto"/>
          <w:sz w:val="32"/>
          <w:highlight w:val="none"/>
        </w:rPr>
      </w:pPr>
    </w:p>
    <w:p w14:paraId="22ECFC5F">
      <w:pPr>
        <w:widowControl/>
        <w:shd w:val="clear"/>
        <w:autoSpaceDE w:val="0"/>
        <w:autoSpaceDN w:val="0"/>
        <w:snapToGrid w:val="0"/>
        <w:spacing w:line="420" w:lineRule="exact"/>
        <w:jc w:val="both"/>
        <w:rPr>
          <w:color w:val="auto"/>
          <w:sz w:val="32"/>
          <w:highlight w:val="none"/>
        </w:rPr>
      </w:pPr>
    </w:p>
    <w:p w14:paraId="1C2B444C">
      <w:pPr>
        <w:widowControl/>
        <w:shd w:val="clear"/>
        <w:autoSpaceDE w:val="0"/>
        <w:autoSpaceDN w:val="0"/>
        <w:snapToGrid w:val="0"/>
        <w:spacing w:line="420" w:lineRule="exact"/>
        <w:jc w:val="both"/>
        <w:rPr>
          <w:color w:val="auto"/>
          <w:sz w:val="32"/>
          <w:highlight w:val="none"/>
        </w:rPr>
      </w:pPr>
    </w:p>
    <w:p w14:paraId="65E2E013">
      <w:pPr>
        <w:widowControl/>
        <w:shd w:val="clear"/>
        <w:autoSpaceDE w:val="0"/>
        <w:autoSpaceDN w:val="0"/>
        <w:snapToGrid w:val="0"/>
        <w:spacing w:line="420" w:lineRule="exact"/>
        <w:ind w:firstLine="450"/>
        <w:jc w:val="center"/>
        <w:rPr>
          <w:color w:val="auto"/>
          <w:sz w:val="32"/>
          <w:highlight w:val="none"/>
        </w:rPr>
      </w:pPr>
    </w:p>
    <w:p w14:paraId="151FFB7D">
      <w:pPr>
        <w:widowControl/>
        <w:shd w:val="clear"/>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14:paraId="4A88017C">
      <w:pPr>
        <w:widowControl/>
        <w:shd w:val="clear"/>
        <w:snapToGrid w:val="0"/>
        <w:jc w:val="left"/>
        <w:rPr>
          <w:color w:val="auto"/>
          <w:sz w:val="22"/>
          <w:highlight w:val="none"/>
        </w:rPr>
      </w:pPr>
    </w:p>
    <w:p w14:paraId="1D9722F8">
      <w:pPr>
        <w:shd w:val="clea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一、小、微企业（含监狱企业、残疾人福利性单位）扶持政策说明</w:t>
      </w:r>
    </w:p>
    <w:p w14:paraId="6EA0AFA7">
      <w:pPr>
        <w:shd w:val="clear"/>
        <w:spacing w:line="440" w:lineRule="atLeas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1、文件依据</w:t>
      </w:r>
    </w:p>
    <w:p w14:paraId="19F4532C">
      <w:pPr>
        <w:shd w:val="clea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（1）关于印发《政府采购促进中小企业发展管理办法》的通知（财库〔2020〕46号）</w:t>
      </w:r>
    </w:p>
    <w:p w14:paraId="702F2740">
      <w:pPr>
        <w:shd w:val="clea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（2）浙江省财政厅、浙江省经济和信息化委员会《关于简化中小企业类别确认流程有关事项的通知》(浙财采监[2018]2号)</w:t>
      </w:r>
    </w:p>
    <w:p w14:paraId="456793AC">
      <w:pPr>
        <w:shd w:val="clea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（3）浙江省省财政厅《关于开展政府采购供应商网上注册登记和诚信管理工作的通知》（浙财采监〔2010〕8号)</w:t>
      </w:r>
    </w:p>
    <w:p w14:paraId="2FA7E2A4">
      <w:pPr>
        <w:shd w:val="clea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（4）《工业和信息化部、国家统计局、国家发展和改革委员会、财政部关于印发中小企业划型标准规定的通知》（工信部联企业[2011]300号）</w:t>
      </w:r>
    </w:p>
    <w:p w14:paraId="5925AFBE">
      <w:pPr>
        <w:shd w:val="clea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（5）财政部、司法部《关于政府采购支持监狱企业发展有关问题的通知》（财库〔2014〕68号）</w:t>
      </w:r>
    </w:p>
    <w:p w14:paraId="03512D8C">
      <w:pPr>
        <w:shd w:val="clear"/>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（6）《财政部 民政部 中国残疾人联合会关于促进残疾人就业政府采购政策的通知》（财库〔2017〕 141号）</w:t>
      </w:r>
    </w:p>
    <w:p w14:paraId="51765522">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2、享受小微企业价格折扣应具备的条件与价格折扣比例</w:t>
      </w:r>
    </w:p>
    <w:p w14:paraId="61302A7B">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（1）符合中小企业划分标准；</w:t>
      </w:r>
    </w:p>
    <w:p w14:paraId="1FA020DB">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（2）提供本企业制造的货物、承担的工程或者服务，或者提供其他中小企业制造的货物。本项所称货物不包括使用大型企业注册商标的货物。</w:t>
      </w:r>
    </w:p>
    <w:p w14:paraId="246B1BB4">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中小企业划分标准，是指国务院有关部门根据企业从业人员、营业收入、资产总额等指标制定的中小企业划型标准。</w:t>
      </w:r>
    </w:p>
    <w:p w14:paraId="78143C07">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小型、微型企业提供中型企业制造的货物的，视同为中型企业。</w:t>
      </w:r>
    </w:p>
    <w:p w14:paraId="6ABE7D8B">
      <w:pPr>
        <w:shd w:val="clear"/>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w:t>
      </w:r>
      <w:r>
        <w:rPr>
          <w:rFonts w:hint="eastAsia" w:ascii="宋体" w:hAnsi="宋体"/>
          <w:b/>
          <w:bCs/>
          <w:color w:val="auto"/>
          <w:sz w:val="22"/>
          <w:szCs w:val="22"/>
          <w:highlight w:val="none"/>
          <w:u w:val="single"/>
        </w:rPr>
        <w:t>本项目对小型和微型企业产品的价格给予</w:t>
      </w:r>
      <w:r>
        <w:rPr>
          <w:rFonts w:hint="eastAsia" w:ascii="宋体" w:hAnsi="宋体"/>
          <w:b/>
          <w:bCs/>
          <w:color w:val="auto"/>
          <w:sz w:val="22"/>
          <w:szCs w:val="22"/>
          <w:highlight w:val="none"/>
          <w:u w:val="single"/>
          <w:lang w:val="en-US" w:eastAsia="zh-CN"/>
        </w:rPr>
        <w:t>10</w:t>
      </w:r>
      <w:r>
        <w:rPr>
          <w:rFonts w:hint="eastAsia" w:ascii="宋体" w:hAnsi="宋体"/>
          <w:b/>
          <w:bCs/>
          <w:color w:val="auto"/>
          <w:sz w:val="22"/>
          <w:szCs w:val="22"/>
          <w:highlight w:val="none"/>
          <w:u w:val="single"/>
        </w:rPr>
        <w:t>%的扣除，用扣除后的价格参与评审</w:t>
      </w:r>
      <w:r>
        <w:rPr>
          <w:rFonts w:hint="eastAsia" w:ascii="宋体" w:hAnsi="宋体"/>
          <w:color w:val="auto"/>
          <w:sz w:val="22"/>
          <w:szCs w:val="22"/>
          <w:highlight w:val="none"/>
          <w:u w:val="single"/>
        </w:rPr>
        <w:t>。</w:t>
      </w:r>
    </w:p>
    <w:p w14:paraId="65D838F0">
      <w:pPr>
        <w:shd w:val="clear"/>
        <w:spacing w:line="440" w:lineRule="atLeast"/>
        <w:jc w:val="left"/>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3、享受小微企业价格折扣应提供以下证明材料</w:t>
      </w:r>
      <w:r>
        <w:rPr>
          <w:rFonts w:hint="eastAsia" w:ascii="宋体" w:hAnsi="宋体" w:eastAsia="宋体"/>
          <w:color w:val="auto"/>
          <w:sz w:val="22"/>
          <w:szCs w:val="22"/>
          <w:highlight w:val="none"/>
        </w:rPr>
        <w:t>：</w:t>
      </w:r>
    </w:p>
    <w:p w14:paraId="0B390DF7">
      <w:pPr>
        <w:shd w:val="clear"/>
        <w:spacing w:line="440" w:lineRule="atLeast"/>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（1）《中小企业声明函》（加盖供应商公章，格式见附件）</w:t>
      </w:r>
    </w:p>
    <w:p w14:paraId="102771E7">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olor w:val="auto"/>
          <w:sz w:val="22"/>
          <w:szCs w:val="22"/>
          <w:highlight w:val="none"/>
        </w:rPr>
        <w:t>：</w:t>
      </w:r>
    </w:p>
    <w:p w14:paraId="74652D31">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14:paraId="01935F79">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5、</w:t>
      </w:r>
      <w:r>
        <w:rPr>
          <w:rFonts w:hint="eastAsia" w:ascii="宋体" w:hAnsi="宋体" w:eastAsia="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olor w:val="auto"/>
          <w:sz w:val="22"/>
          <w:szCs w:val="22"/>
          <w:highlight w:val="none"/>
        </w:rPr>
        <w:t>：</w:t>
      </w:r>
    </w:p>
    <w:p w14:paraId="62008502">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（1）残疾人福利性单位声明函；</w:t>
      </w:r>
    </w:p>
    <w:p w14:paraId="760B41AC">
      <w:pPr>
        <w:shd w:val="clea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6DD445D3">
      <w:pPr>
        <w:shd w:val="clear"/>
        <w:spacing w:line="440" w:lineRule="atLeast"/>
        <w:jc w:val="left"/>
        <w:rPr>
          <w:rFonts w:hint="eastAsia" w:ascii="宋体" w:hAnsi="宋体" w:eastAsia="宋体"/>
          <w:color w:val="auto"/>
          <w:sz w:val="22"/>
          <w:szCs w:val="22"/>
          <w:highlight w:val="none"/>
        </w:rPr>
      </w:pPr>
    </w:p>
    <w:p w14:paraId="1A4E83EF">
      <w:pPr>
        <w:keepNext w:val="0"/>
        <w:keepLines w:val="0"/>
        <w:widowControl w:val="0"/>
        <w:suppressLineNumbers w:val="0"/>
        <w:shd w:val="clear"/>
        <w:spacing w:before="0" w:beforeAutospacing="0" w:after="0" w:afterAutospacing="0" w:line="360" w:lineRule="auto"/>
        <w:ind w:left="0" w:right="0"/>
        <w:jc w:val="center"/>
        <w:outlineLvl w:val="1"/>
        <w:rPr>
          <w:rFonts w:hint="eastAsia" w:ascii="宋体" w:hAnsi="宋体" w:eastAsia="宋体"/>
          <w:b/>
          <w:bCs/>
          <w:color w:val="auto"/>
          <w:sz w:val="34"/>
          <w:szCs w:val="34"/>
          <w:highlight w:val="none"/>
        </w:rPr>
      </w:pPr>
      <w:r>
        <w:rPr>
          <w:rFonts w:hint="eastAsia" w:ascii="宋体" w:hAnsi="宋体" w:eastAsia="宋体"/>
          <w:b/>
          <w:bCs/>
          <w:color w:val="auto"/>
          <w:sz w:val="34"/>
          <w:szCs w:val="34"/>
          <w:highlight w:val="none"/>
        </w:rPr>
        <w:t>中小企业声明函（工程、服务）</w:t>
      </w:r>
    </w:p>
    <w:p w14:paraId="1E1D3140">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11072177">
      <w:pPr>
        <w:numPr>
          <w:ilvl w:val="0"/>
          <w:numId w:val="11"/>
        </w:numPr>
        <w:shd w:val="clear"/>
        <w:spacing w:line="400" w:lineRule="exact"/>
        <w:ind w:firstLine="440" w:firstLineChars="200"/>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u w:val="single"/>
          <w:lang w:val="en-US" w:eastAsia="zh-CN"/>
        </w:rPr>
        <w:t>其他未列明行业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612A421D">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u w:val="single"/>
          <w:lang w:val="en-US" w:eastAsia="zh-CN"/>
        </w:rPr>
        <w:t>其他未列明行业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4EFE4447">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547C11CA">
      <w:pPr>
        <w:shd w:val="clear"/>
        <w:spacing w:line="400" w:lineRule="exact"/>
        <w:ind w:firstLine="440" w:firstLineChars="200"/>
        <w:rPr>
          <w:rFonts w:hint="eastAsia" w:ascii="宋体" w:hAnsi="宋体" w:eastAsia="宋体"/>
          <w:color w:val="auto"/>
          <w:sz w:val="22"/>
          <w:szCs w:val="22"/>
          <w:highlight w:val="none"/>
        </w:rPr>
      </w:pPr>
    </w:p>
    <w:p w14:paraId="394877AE">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0B137F24">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2B539057">
      <w:pPr>
        <w:pStyle w:val="26"/>
        <w:shd w:val="clear"/>
        <w:rPr>
          <w:rFonts w:hint="eastAsia" w:ascii="宋体" w:hAnsi="宋体" w:eastAsia="宋体"/>
          <w:color w:val="auto"/>
          <w:highlight w:val="none"/>
          <w:lang w:eastAsia="zh-CN"/>
        </w:rPr>
      </w:pPr>
    </w:p>
    <w:p w14:paraId="659256F9">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23F9B76F">
      <w:pPr>
        <w:shd w:val="clear"/>
        <w:snapToGrid w:val="0"/>
        <w:spacing w:line="360" w:lineRule="auto"/>
        <w:rPr>
          <w:rFonts w:hint="eastAsia" w:ascii="宋体" w:hAnsi="宋体" w:eastAsia="宋体"/>
          <w:b/>
          <w:bCs/>
          <w:color w:val="auto"/>
          <w:highlight w:val="none"/>
        </w:rPr>
      </w:pPr>
    </w:p>
    <w:p w14:paraId="499960F7">
      <w:pPr>
        <w:shd w:val="clea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3EAA6CC9">
      <w:pPr>
        <w:shd w:val="clear"/>
        <w:snapToGrid w:val="0"/>
        <w:spacing w:line="360" w:lineRule="auto"/>
        <w:jc w:val="center"/>
        <w:rPr>
          <w:rFonts w:hint="eastAsia" w:ascii="宋体" w:hAnsi="宋体" w:eastAsia="宋体"/>
          <w:b/>
          <w:color w:val="auto"/>
          <w:sz w:val="32"/>
          <w:szCs w:val="40"/>
          <w:highlight w:val="none"/>
        </w:rPr>
      </w:pPr>
    </w:p>
    <w:p w14:paraId="263278E1">
      <w:pPr>
        <w:shd w:val="clear"/>
        <w:snapToGrid w:val="0"/>
        <w:spacing w:line="360" w:lineRule="auto"/>
        <w:jc w:val="center"/>
        <w:rPr>
          <w:rFonts w:hint="eastAsia" w:ascii="宋体" w:hAnsi="宋体" w:eastAsia="宋体"/>
          <w:b/>
          <w:color w:val="auto"/>
          <w:sz w:val="32"/>
          <w:szCs w:val="40"/>
          <w:highlight w:val="none"/>
        </w:rPr>
      </w:pPr>
    </w:p>
    <w:p w14:paraId="1CF27DF7">
      <w:pPr>
        <w:shd w:val="clear"/>
        <w:snapToGrid w:val="0"/>
        <w:spacing w:line="360" w:lineRule="auto"/>
        <w:jc w:val="center"/>
        <w:rPr>
          <w:rFonts w:hint="eastAsia" w:ascii="宋体" w:hAnsi="宋体" w:eastAsia="宋体"/>
          <w:b/>
          <w:color w:val="auto"/>
          <w:sz w:val="32"/>
          <w:szCs w:val="40"/>
          <w:highlight w:val="none"/>
        </w:rPr>
      </w:pPr>
    </w:p>
    <w:p w14:paraId="3236AC20">
      <w:pPr>
        <w:shd w:val="clear"/>
        <w:snapToGrid w:val="0"/>
        <w:spacing w:line="360" w:lineRule="auto"/>
        <w:jc w:val="center"/>
        <w:rPr>
          <w:rFonts w:hint="eastAsia" w:ascii="宋体" w:hAnsi="宋体" w:eastAsia="宋体"/>
          <w:b/>
          <w:color w:val="auto"/>
          <w:sz w:val="32"/>
          <w:szCs w:val="40"/>
          <w:highlight w:val="none"/>
        </w:rPr>
      </w:pPr>
    </w:p>
    <w:p w14:paraId="6147E4B5">
      <w:pPr>
        <w:shd w:val="clear"/>
        <w:snapToGrid w:val="0"/>
        <w:spacing w:line="360" w:lineRule="auto"/>
        <w:jc w:val="center"/>
        <w:rPr>
          <w:rFonts w:hint="eastAsia" w:ascii="宋体" w:hAnsi="宋体" w:eastAsia="宋体"/>
          <w:b/>
          <w:color w:val="auto"/>
          <w:sz w:val="32"/>
          <w:szCs w:val="40"/>
          <w:highlight w:val="none"/>
        </w:rPr>
      </w:pPr>
    </w:p>
    <w:p w14:paraId="547C1B96">
      <w:pPr>
        <w:shd w:val="clear"/>
        <w:snapToGrid w:val="0"/>
        <w:spacing w:line="360" w:lineRule="auto"/>
        <w:jc w:val="center"/>
        <w:rPr>
          <w:rFonts w:hint="eastAsia" w:ascii="宋体" w:hAnsi="宋体" w:eastAsia="宋体"/>
          <w:b/>
          <w:color w:val="auto"/>
          <w:sz w:val="32"/>
          <w:szCs w:val="40"/>
          <w:highlight w:val="none"/>
        </w:rPr>
      </w:pPr>
    </w:p>
    <w:p w14:paraId="2D6371C7">
      <w:pPr>
        <w:shd w:val="clear"/>
        <w:snapToGrid w:val="0"/>
        <w:spacing w:line="360" w:lineRule="auto"/>
        <w:jc w:val="center"/>
        <w:rPr>
          <w:rFonts w:hint="eastAsia" w:ascii="宋体" w:hAnsi="宋体" w:eastAsia="宋体"/>
          <w:b/>
          <w:color w:val="auto"/>
          <w:sz w:val="32"/>
          <w:szCs w:val="40"/>
          <w:highlight w:val="none"/>
        </w:rPr>
      </w:pPr>
      <w:r>
        <w:rPr>
          <w:rFonts w:hint="eastAsia" w:ascii="宋体" w:hAnsi="宋体" w:eastAsia="宋体"/>
          <w:b/>
          <w:color w:val="auto"/>
          <w:sz w:val="32"/>
          <w:szCs w:val="40"/>
          <w:highlight w:val="none"/>
        </w:rPr>
        <w:t>监狱企业声明函</w:t>
      </w:r>
    </w:p>
    <w:p w14:paraId="64E306EB">
      <w:pPr>
        <w:shd w:val="clear"/>
        <w:snapToGrid w:val="0"/>
        <w:spacing w:line="360" w:lineRule="auto"/>
        <w:ind w:firstLine="420" w:firstLineChars="200"/>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【不属于监狱企业的无需填写、递交】</w:t>
      </w:r>
    </w:p>
    <w:p w14:paraId="1547EE1C">
      <w:pPr>
        <w:shd w:val="clear"/>
        <w:snapToGrid w:val="0"/>
        <w:spacing w:line="360" w:lineRule="auto"/>
        <w:ind w:firstLine="420" w:firstLineChars="200"/>
        <w:rPr>
          <w:rFonts w:hint="eastAsia" w:ascii="宋体" w:hAnsi="宋体" w:eastAsia="宋体"/>
          <w:color w:val="auto"/>
          <w:sz w:val="21"/>
          <w:szCs w:val="21"/>
          <w:highlight w:val="none"/>
        </w:rPr>
      </w:pPr>
    </w:p>
    <w:p w14:paraId="38DE5359">
      <w:pPr>
        <w:shd w:val="clea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本公司郑重声明，根据《关于政府采购支持监狱企业发展有关问题的通知》 （财库[2014]68 号）的规定，本公司为</w:t>
      </w:r>
      <w:r>
        <w:rPr>
          <w:rFonts w:hint="eastAsia" w:ascii="宋体" w:hAnsi="宋体" w:eastAsia="宋体"/>
          <w:color w:val="auto"/>
          <w:sz w:val="21"/>
          <w:szCs w:val="21"/>
          <w:highlight w:val="none"/>
          <w:u w:val="single"/>
        </w:rPr>
        <w:t>监狱企业</w:t>
      </w:r>
      <w:r>
        <w:rPr>
          <w:rFonts w:hint="eastAsia" w:ascii="宋体" w:hAnsi="宋体" w:eastAsia="宋体"/>
          <w:color w:val="auto"/>
          <w:sz w:val="21"/>
          <w:szCs w:val="21"/>
          <w:highlight w:val="none"/>
        </w:rPr>
        <w:t>。</w:t>
      </w:r>
    </w:p>
    <w:p w14:paraId="56DE1484">
      <w:pPr>
        <w:shd w:val="clea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根据上述标准，我公司属于监狱企业的理由为：</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4F6CBA52">
      <w:pPr>
        <w:shd w:val="clea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本公司为参加（</w:t>
      </w:r>
      <w:r>
        <w:rPr>
          <w:rFonts w:hint="eastAsia" w:ascii="宋体" w:hAnsi="宋体" w:eastAsia="宋体"/>
          <w:color w:val="auto"/>
          <w:sz w:val="21"/>
          <w:szCs w:val="21"/>
          <w:highlight w:val="none"/>
          <w:u w:val="single"/>
        </w:rPr>
        <w:t xml:space="preserve">    项目名称    </w:t>
      </w:r>
      <w:r>
        <w:rPr>
          <w:rFonts w:hint="eastAsia" w:ascii="宋体" w:hAnsi="宋体" w:eastAsia="宋体"/>
          <w:color w:val="auto"/>
          <w:sz w:val="21"/>
          <w:szCs w:val="21"/>
          <w:highlight w:val="none"/>
        </w:rPr>
        <w:t>） （项目编号：</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）采购活动提供本企业提供服务。</w:t>
      </w:r>
    </w:p>
    <w:p w14:paraId="3915BCC0">
      <w:pPr>
        <w:shd w:val="clea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本公司对上述声明的真实性负责。如有虚假，将依法承担相应责任。</w:t>
      </w:r>
    </w:p>
    <w:p w14:paraId="3FE9F16E">
      <w:pPr>
        <w:shd w:val="clear"/>
        <w:snapToGrid w:val="0"/>
        <w:spacing w:line="360" w:lineRule="auto"/>
        <w:ind w:firstLine="420" w:firstLineChars="200"/>
        <w:rPr>
          <w:rFonts w:hint="eastAsia" w:ascii="宋体" w:hAnsi="宋体" w:eastAsia="宋体"/>
          <w:color w:val="auto"/>
          <w:sz w:val="21"/>
          <w:szCs w:val="21"/>
          <w:highlight w:val="none"/>
        </w:rPr>
      </w:pPr>
    </w:p>
    <w:p w14:paraId="630744F8">
      <w:pPr>
        <w:shd w:val="clea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投标人名称（盖章）：</w:t>
      </w:r>
    </w:p>
    <w:p w14:paraId="0A7E43D5">
      <w:pPr>
        <w:shd w:val="clea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日期：    年  月  日</w:t>
      </w:r>
    </w:p>
    <w:p w14:paraId="18409C6E">
      <w:pPr>
        <w:shd w:val="clear"/>
        <w:snapToGrid w:val="0"/>
        <w:spacing w:line="360" w:lineRule="auto"/>
        <w:ind w:firstLine="420" w:firstLineChars="200"/>
        <w:jc w:val="center"/>
        <w:rPr>
          <w:rFonts w:hint="eastAsia" w:ascii="宋体" w:hAnsi="宋体" w:eastAsia="宋体"/>
          <w:color w:val="auto"/>
          <w:sz w:val="21"/>
          <w:szCs w:val="21"/>
          <w:highlight w:val="none"/>
        </w:rPr>
      </w:pPr>
    </w:p>
    <w:p w14:paraId="39C2DC66">
      <w:pPr>
        <w:shd w:val="clear"/>
        <w:snapToGrid w:val="0"/>
        <w:spacing w:line="360" w:lineRule="auto"/>
        <w:ind w:firstLine="667" w:firstLineChars="200"/>
        <w:jc w:val="center"/>
        <w:rPr>
          <w:rFonts w:hint="eastAsia" w:ascii="宋体" w:hAnsi="宋体" w:eastAsia="宋体"/>
          <w:b/>
          <w:color w:val="auto"/>
          <w:spacing w:val="6"/>
          <w:sz w:val="32"/>
          <w:szCs w:val="40"/>
          <w:highlight w:val="none"/>
        </w:rPr>
      </w:pPr>
      <w:r>
        <w:rPr>
          <w:rFonts w:hint="eastAsia" w:ascii="宋体" w:hAnsi="宋体" w:eastAsia="宋体"/>
          <w:b/>
          <w:color w:val="auto"/>
          <w:spacing w:val="6"/>
          <w:sz w:val="32"/>
          <w:szCs w:val="40"/>
          <w:highlight w:val="none"/>
        </w:rPr>
        <w:t>残疾人福利性单位声明函</w:t>
      </w:r>
    </w:p>
    <w:p w14:paraId="11D9FE30">
      <w:pPr>
        <w:shd w:val="clear"/>
        <w:snapToGrid w:val="0"/>
        <w:spacing w:line="360" w:lineRule="auto"/>
        <w:ind w:firstLine="420" w:firstLineChars="200"/>
        <w:rPr>
          <w:rFonts w:hint="eastAsia" w:ascii="宋体" w:hAnsi="宋体" w:eastAsia="宋体"/>
          <w:color w:val="auto"/>
          <w:sz w:val="21"/>
          <w:szCs w:val="21"/>
          <w:highlight w:val="none"/>
        </w:rPr>
      </w:pPr>
    </w:p>
    <w:p w14:paraId="02C85F3A">
      <w:pPr>
        <w:shd w:val="clea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2851EFD">
      <w:pPr>
        <w:shd w:val="clea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本单位对上述声明的真实性负责。如有虚假，将依法承担相应责任。</w:t>
      </w:r>
    </w:p>
    <w:p w14:paraId="479D7392">
      <w:pPr>
        <w:shd w:val="clear"/>
        <w:snapToGrid w:val="0"/>
        <w:spacing w:line="360" w:lineRule="auto"/>
        <w:ind w:firstLine="420" w:firstLineChars="200"/>
        <w:rPr>
          <w:rFonts w:hint="eastAsia" w:ascii="宋体" w:hAnsi="宋体" w:eastAsia="宋体"/>
          <w:color w:val="auto"/>
          <w:sz w:val="21"/>
          <w:szCs w:val="21"/>
          <w:highlight w:val="none"/>
        </w:rPr>
      </w:pPr>
    </w:p>
    <w:p w14:paraId="36FACFEF">
      <w:pPr>
        <w:shd w:val="clear"/>
        <w:snapToGrid w:val="0"/>
        <w:spacing w:line="360" w:lineRule="auto"/>
        <w:ind w:firstLine="420" w:firstLineChars="200"/>
        <w:rPr>
          <w:rFonts w:hint="eastAsia" w:ascii="宋体" w:hAnsi="宋体" w:eastAsia="宋体"/>
          <w:color w:val="auto"/>
          <w:sz w:val="21"/>
          <w:szCs w:val="21"/>
          <w:highlight w:val="none"/>
        </w:rPr>
      </w:pPr>
    </w:p>
    <w:p w14:paraId="56EBAEE5">
      <w:pPr>
        <w:shd w:val="clea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单位名称（盖章）：</w:t>
      </w:r>
    </w:p>
    <w:p w14:paraId="7108ED13">
      <w:pPr>
        <w:shd w:val="clea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日  期：</w:t>
      </w:r>
    </w:p>
    <w:p w14:paraId="1FB14518">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扶持政策说明：</w:t>
      </w:r>
    </w:p>
    <w:p w14:paraId="638C6FE2">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019C1BCE">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2、监狱企业视同小微企业，参加本项目投标的，享受小微企业同等的价格扣除。【注：提供《监狱企业声明函》及其相关的充分的证明材料】。</w:t>
      </w:r>
    </w:p>
    <w:p w14:paraId="19BAA411">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3、残疾人福利性单位参加投标【提供《残疾人福利性单位声明函》】，视为小型、微型企业，享受小微企业政策扶持。            　　　　　</w:t>
      </w:r>
    </w:p>
    <w:p w14:paraId="3BF183B8">
      <w:pPr>
        <w:pStyle w:val="24"/>
        <w:shd w:val="clear"/>
        <w:spacing w:line="480" w:lineRule="exact"/>
        <w:rPr>
          <w:rFonts w:hint="eastAsia" w:ascii="宋体" w:hAnsi="宋体" w:eastAsia="宋体"/>
          <w:b/>
          <w:color w:val="auto"/>
          <w:sz w:val="26"/>
          <w:szCs w:val="26"/>
          <w:highlight w:val="none"/>
        </w:rPr>
      </w:pPr>
      <w:r>
        <w:rPr>
          <w:rFonts w:hint="eastAsia" w:ascii="宋体" w:hAnsi="宋体" w:eastAsia="宋体"/>
          <w:b/>
          <w:color w:val="auto"/>
          <w:sz w:val="26"/>
          <w:szCs w:val="26"/>
          <w:highlight w:val="none"/>
        </w:rPr>
        <w:t>二、节能、环保产品优先（强制）采购政策说明</w:t>
      </w:r>
    </w:p>
    <w:p w14:paraId="39688355">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1、政策依据</w:t>
      </w:r>
    </w:p>
    <w:p w14:paraId="46306384">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（一）《国务院办公厅关于建立政府强制采购节能产品制度的通知》(国办发[2007]51号)</w:t>
      </w:r>
    </w:p>
    <w:p w14:paraId="5B7550C6">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（二）财政部、发展改革委发布的《节能产品政府采购实施意见》(财库[2004]185号)</w:t>
      </w:r>
    </w:p>
    <w:p w14:paraId="15E47E7B">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（三）财政部、原环保总局印发的《环境标志产品政府采购实施的意见》（财库 [2006]90号）</w:t>
      </w:r>
    </w:p>
    <w:p w14:paraId="642F4471">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（四）《关于调整优化节能产品、环境标志产品政府采购执行机制的通知》（财库〔2019〕9号）</w:t>
      </w:r>
    </w:p>
    <w:p w14:paraId="56FBF0F7">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（五）《关于印发节能产品政府采购品目清单的通知》（财库〔2019〕19号）</w:t>
      </w:r>
    </w:p>
    <w:p w14:paraId="5C39412B">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（六）《关于印发环境标志产品政府采购品目清单的通知》（财库〔2019〕18号）</w:t>
      </w:r>
    </w:p>
    <w:p w14:paraId="0DF5214F">
      <w:pPr>
        <w:shd w:val="clea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（七）《市场监管总局关于发布参与实施政府采购节能产品、环境标志产品认证机构名录的公告》（2019年第16号）</w:t>
      </w:r>
    </w:p>
    <w:p w14:paraId="0929B1D5">
      <w:pPr>
        <w:shd w:val="clear"/>
        <w:snapToGrid w:val="0"/>
        <w:spacing w:line="460" w:lineRule="atLeast"/>
        <w:ind w:firstLine="440" w:firstLineChars="200"/>
        <w:jc w:val="both"/>
        <w:rPr>
          <w:rFonts w:hint="eastAsia" w:ascii="宋体" w:hAnsi="宋体" w:eastAsia="宋体"/>
          <w:color w:val="auto"/>
          <w:sz w:val="22"/>
          <w:highlight w:val="none"/>
        </w:rPr>
        <w:sectPr>
          <w:footerReference r:id="rId7" w:type="default"/>
          <w:pgSz w:w="11906" w:h="16838"/>
          <w:pgMar w:top="1440" w:right="1123" w:bottom="1440" w:left="1157" w:header="397" w:footer="482" w:gutter="0"/>
          <w:pgBorders>
            <w:top w:val="none" w:sz="0" w:space="0"/>
            <w:left w:val="none" w:sz="0" w:space="0"/>
            <w:bottom w:val="none" w:sz="0" w:space="0"/>
            <w:right w:val="none" w:sz="0" w:space="0"/>
          </w:pgBorders>
          <w:pgNumType w:fmt="decimal"/>
          <w:cols w:space="720" w:num="1"/>
          <w:docGrid w:linePitch="323" w:charSpace="0"/>
        </w:sectPr>
      </w:pPr>
      <w:r>
        <w:rPr>
          <w:rFonts w:hint="eastAsia" w:ascii="宋体" w:hAnsi="宋体" w:eastAsia="宋体"/>
          <w:color w:val="auto"/>
          <w:sz w:val="22"/>
          <w:highlight w:val="none"/>
        </w:rPr>
        <w:t>2、供应商投标货物属于节能、环保优先（强制）采购范围的，须提供相关证明材</w:t>
      </w:r>
    </w:p>
    <w:p w14:paraId="231FECE7">
      <w:pPr>
        <w:keepNext w:val="0"/>
        <w:keepLines/>
        <w:pageBreakBefore/>
        <w:widowControl w:val="0"/>
        <w:numPr>
          <w:ilvl w:val="0"/>
          <w:numId w:val="0"/>
        </w:numPr>
        <w:shd w:val="clear" w:color="auto"/>
        <w:spacing w:before="340" w:beforeLines="100" w:beforeAutospacing="0" w:afterLines="100" w:afterAutospacing="0" w:line="400" w:lineRule="exact"/>
        <w:ind w:leftChars="0"/>
        <w:jc w:val="center"/>
        <w:outlineLvl w:val="0"/>
        <w:rPr>
          <w:rFonts w:hint="eastAsia" w:ascii="宋体" w:hAnsi="宋体" w:eastAsia="宋体" w:cs="宋体"/>
          <w:b w:val="0"/>
          <w:color w:val="auto"/>
          <w:spacing w:val="20"/>
          <w:kern w:val="44"/>
          <w:sz w:val="36"/>
          <w:highlight w:val="none"/>
          <w:lang w:val="en-US" w:eastAsia="zh-CN" w:bidi="ar-SA"/>
        </w:rPr>
      </w:pPr>
      <w:r>
        <w:rPr>
          <w:rFonts w:hint="eastAsia" w:ascii="宋体" w:hAnsi="宋体" w:eastAsia="宋体" w:cs="宋体"/>
          <w:b w:val="0"/>
          <w:color w:val="auto"/>
          <w:spacing w:val="20"/>
          <w:kern w:val="44"/>
          <w:sz w:val="36"/>
          <w:szCs w:val="36"/>
          <w:highlight w:val="none"/>
          <w:lang w:val="en-US" w:eastAsia="zh-CN" w:bidi="ar-SA"/>
        </w:rPr>
        <w:t>第五部分  合同格式（供参考）</w:t>
      </w:r>
    </w:p>
    <w:p w14:paraId="0830968C">
      <w:pPr>
        <w:widowControl w:val="0"/>
        <w:shd w:val="clear" w:color="auto"/>
        <w:adjustRightInd w:val="0"/>
        <w:snapToGrid w:val="0"/>
        <w:spacing w:line="440" w:lineRule="atLeast"/>
        <w:jc w:val="center"/>
        <w:rPr>
          <w:rFonts w:ascii="宋体" w:hAnsi="Courier New" w:eastAsia="仿宋_GB2312" w:cs="Times New Roman"/>
          <w:b/>
          <w:color w:val="auto"/>
          <w:spacing w:val="120"/>
          <w:sz w:val="40"/>
          <w:highlight w:val="none"/>
          <w:lang w:val="en-US" w:eastAsia="zh-CN" w:bidi="ar-SA"/>
        </w:rPr>
      </w:pPr>
      <w:r>
        <w:rPr>
          <w:rFonts w:hint="eastAsia" w:ascii="宋体" w:hAnsi="Courier New" w:eastAsia="仿宋_GB2312" w:cs="Times New Roman"/>
          <w:b/>
          <w:color w:val="auto"/>
          <w:spacing w:val="120"/>
          <w:sz w:val="40"/>
          <w:highlight w:val="none"/>
          <w:lang w:val="en-US" w:eastAsia="zh-CN" w:bidi="ar-SA"/>
        </w:rPr>
        <w:t>合同书</w:t>
      </w:r>
    </w:p>
    <w:p w14:paraId="52E013D3">
      <w:pPr>
        <w:shd w:val="clear" w:color="auto"/>
        <w:rPr>
          <w:rFonts w:hint="eastAsia" w:ascii="仿宋_GB2312" w:hAnsi="仿宋_GB2312"/>
          <w:b/>
          <w:color w:val="auto"/>
          <w:kern w:val="0"/>
          <w:sz w:val="30"/>
          <w:szCs w:val="20"/>
          <w:highlight w:val="none"/>
        </w:rPr>
      </w:pPr>
    </w:p>
    <w:p w14:paraId="472B4E4A">
      <w:pPr>
        <w:shd w:val="clear" w:color="auto"/>
        <w:rPr>
          <w:rFonts w:hint="eastAsia" w:ascii="仿宋_GB2312" w:hAnsi="仿宋_GB2312"/>
          <w:b/>
          <w:color w:val="auto"/>
          <w:kern w:val="0"/>
          <w:sz w:val="30"/>
          <w:szCs w:val="20"/>
          <w:highlight w:val="none"/>
        </w:rPr>
      </w:pPr>
    </w:p>
    <w:p w14:paraId="708BE07F">
      <w:pPr>
        <w:shd w:val="clear" w:color="auto"/>
        <w:rPr>
          <w:rFonts w:hint="eastAsia" w:ascii="楷体_GB2312" w:hAnsi="仿宋_GB2312" w:eastAsia="楷体_GB2312"/>
          <w:b/>
          <w:color w:val="auto"/>
          <w:kern w:val="0"/>
          <w:sz w:val="30"/>
          <w:szCs w:val="30"/>
          <w:highlight w:val="none"/>
        </w:rPr>
      </w:pPr>
    </w:p>
    <w:p w14:paraId="09745C91">
      <w:pPr>
        <w:shd w:val="clear" w:color="auto"/>
        <w:snapToGrid w:val="0"/>
        <w:spacing w:line="360" w:lineRule="auto"/>
        <w:ind w:left="1506" w:hanging="1506" w:hangingChars="500"/>
        <w:rPr>
          <w:rFonts w:hint="eastAsia" w:ascii="宋体" w:hAnsi="宋体"/>
          <w:b/>
          <w:color w:val="auto"/>
          <w:spacing w:val="20"/>
          <w:kern w:val="0"/>
          <w:sz w:val="30"/>
          <w:szCs w:val="30"/>
          <w:highlight w:val="none"/>
          <w:u w:val="single"/>
        </w:rPr>
      </w:pPr>
      <w:r>
        <w:rPr>
          <w:rFonts w:hint="eastAsia" w:ascii="宋体" w:hAnsi="宋体"/>
          <w:b/>
          <w:color w:val="auto"/>
          <w:kern w:val="0"/>
          <w:sz w:val="30"/>
          <w:szCs w:val="30"/>
          <w:highlight w:val="none"/>
        </w:rPr>
        <w:t>项目名称：</w:t>
      </w:r>
      <w:r>
        <w:rPr>
          <w:rFonts w:hint="eastAsia" w:ascii="宋体" w:hAnsi="宋体"/>
          <w:b/>
          <w:color w:val="auto"/>
          <w:kern w:val="0"/>
          <w:sz w:val="28"/>
          <w:szCs w:val="20"/>
          <w:highlight w:val="none"/>
          <w:u w:val="single"/>
        </w:rPr>
        <w:t xml:space="preserve"> </w:t>
      </w:r>
      <w:r>
        <w:rPr>
          <w:rFonts w:hint="eastAsia" w:ascii="宋体" w:hAnsi="宋体"/>
          <w:b/>
          <w:color w:val="auto"/>
          <w:kern w:val="0"/>
          <w:sz w:val="28"/>
          <w:szCs w:val="28"/>
          <w:highlight w:val="none"/>
          <w:u w:val="single"/>
        </w:rPr>
        <w:t xml:space="preserve">                                    </w:t>
      </w:r>
      <w:r>
        <w:rPr>
          <w:rFonts w:hint="eastAsia" w:ascii="宋体" w:hAnsi="宋体"/>
          <w:b/>
          <w:color w:val="auto"/>
          <w:kern w:val="0"/>
          <w:sz w:val="30"/>
          <w:szCs w:val="30"/>
          <w:highlight w:val="none"/>
          <w:u w:val="single"/>
        </w:rPr>
        <w:t xml:space="preserve">      </w:t>
      </w:r>
    </w:p>
    <w:p w14:paraId="662D7114">
      <w:pPr>
        <w:shd w:val="clear" w:color="auto"/>
        <w:rPr>
          <w:rFonts w:hint="eastAsia" w:ascii="宋体" w:hAnsi="宋体"/>
          <w:b/>
          <w:color w:val="auto"/>
          <w:spacing w:val="50"/>
          <w:kern w:val="0"/>
          <w:sz w:val="30"/>
          <w:szCs w:val="30"/>
          <w:highlight w:val="none"/>
        </w:rPr>
      </w:pPr>
      <w:r>
        <w:rPr>
          <w:rFonts w:hint="eastAsia" w:ascii="宋体" w:hAnsi="宋体"/>
          <w:b/>
          <w:color w:val="auto"/>
          <w:spacing w:val="20"/>
          <w:kern w:val="0"/>
          <w:sz w:val="30"/>
          <w:szCs w:val="30"/>
          <w:highlight w:val="none"/>
        </w:rPr>
        <w:t xml:space="preserve">          </w:t>
      </w:r>
    </w:p>
    <w:p w14:paraId="3F6155A7">
      <w:pPr>
        <w:shd w:val="clear" w:color="auto"/>
        <w:rPr>
          <w:rFonts w:hint="eastAsia" w:ascii="宋体" w:hAnsi="宋体"/>
          <w:b/>
          <w:color w:val="auto"/>
          <w:spacing w:val="50"/>
          <w:kern w:val="0"/>
          <w:sz w:val="30"/>
          <w:szCs w:val="30"/>
          <w:highlight w:val="none"/>
        </w:rPr>
      </w:pPr>
    </w:p>
    <w:p w14:paraId="134294FC">
      <w:pPr>
        <w:shd w:val="clear" w:color="auto"/>
        <w:rPr>
          <w:rFonts w:hint="eastAsia" w:ascii="宋体" w:hAnsi="宋体"/>
          <w:b/>
          <w:color w:val="auto"/>
          <w:spacing w:val="50"/>
          <w:kern w:val="0"/>
          <w:sz w:val="30"/>
          <w:szCs w:val="30"/>
          <w:highlight w:val="none"/>
        </w:rPr>
      </w:pPr>
    </w:p>
    <w:p w14:paraId="5F55631B">
      <w:pPr>
        <w:shd w:val="clear" w:color="auto"/>
        <w:ind w:left="1605" w:hanging="1605" w:hangingChars="400"/>
        <w:rPr>
          <w:rFonts w:hint="eastAsia" w:ascii="宋体" w:hAnsi="宋体"/>
          <w:b/>
          <w:color w:val="auto"/>
          <w:kern w:val="0"/>
          <w:sz w:val="30"/>
          <w:szCs w:val="30"/>
          <w:highlight w:val="none"/>
          <w:u w:val="single"/>
        </w:rPr>
      </w:pPr>
      <w:r>
        <w:rPr>
          <w:rFonts w:hint="eastAsia" w:ascii="宋体" w:hAnsi="宋体"/>
          <w:b/>
          <w:color w:val="auto"/>
          <w:spacing w:val="50"/>
          <w:kern w:val="0"/>
          <w:sz w:val="30"/>
          <w:szCs w:val="30"/>
          <w:highlight w:val="none"/>
        </w:rPr>
        <w:t>采购人：</w:t>
      </w:r>
      <w:r>
        <w:rPr>
          <w:rFonts w:hint="eastAsia" w:ascii="宋体" w:hAnsi="宋体"/>
          <w:b/>
          <w:color w:val="auto"/>
          <w:kern w:val="0"/>
          <w:sz w:val="30"/>
          <w:szCs w:val="30"/>
          <w:highlight w:val="none"/>
          <w:u w:val="single"/>
        </w:rPr>
        <w:t xml:space="preserve">                                 </w:t>
      </w:r>
      <w:r>
        <w:rPr>
          <w:rFonts w:hint="eastAsia" w:ascii="仿宋_GB2312" w:hAnsi="仿宋_GB2312"/>
          <w:b/>
          <w:color w:val="auto"/>
          <w:kern w:val="0"/>
          <w:sz w:val="30"/>
          <w:szCs w:val="30"/>
          <w:highlight w:val="none"/>
          <w:u w:val="single"/>
          <w:lang w:val="en-US" w:eastAsia="zh-CN"/>
        </w:rPr>
        <w:t xml:space="preserve"> </w:t>
      </w:r>
      <w:r>
        <w:rPr>
          <w:rFonts w:hint="eastAsia" w:ascii="宋体" w:hAnsi="宋体"/>
          <w:b/>
          <w:color w:val="auto"/>
          <w:kern w:val="0"/>
          <w:sz w:val="30"/>
          <w:szCs w:val="30"/>
          <w:highlight w:val="none"/>
          <w:u w:val="single"/>
        </w:rPr>
        <w:t xml:space="preserve">       </w:t>
      </w:r>
    </w:p>
    <w:p w14:paraId="507C58B4">
      <w:pPr>
        <w:shd w:val="clear" w:color="auto"/>
        <w:rPr>
          <w:rFonts w:hint="eastAsia" w:ascii="宋体" w:hAnsi="宋体"/>
          <w:b/>
          <w:color w:val="auto"/>
          <w:kern w:val="0"/>
          <w:sz w:val="30"/>
          <w:szCs w:val="30"/>
          <w:highlight w:val="none"/>
        </w:rPr>
      </w:pPr>
      <w:r>
        <w:rPr>
          <w:rFonts w:hint="eastAsia" w:ascii="宋体" w:hAnsi="宋体"/>
          <w:b/>
          <w:color w:val="auto"/>
          <w:kern w:val="0"/>
          <w:sz w:val="30"/>
          <w:szCs w:val="30"/>
          <w:highlight w:val="none"/>
        </w:rPr>
        <w:t xml:space="preserve">（甲方）    </w:t>
      </w:r>
    </w:p>
    <w:p w14:paraId="2F3A7643">
      <w:pPr>
        <w:shd w:val="clear" w:color="auto"/>
        <w:rPr>
          <w:rFonts w:hint="eastAsia" w:ascii="宋体" w:hAnsi="宋体"/>
          <w:b/>
          <w:color w:val="auto"/>
          <w:spacing w:val="50"/>
          <w:kern w:val="0"/>
          <w:sz w:val="30"/>
          <w:szCs w:val="30"/>
          <w:highlight w:val="none"/>
        </w:rPr>
      </w:pPr>
    </w:p>
    <w:p w14:paraId="5FFC64E0">
      <w:pPr>
        <w:shd w:val="clear" w:color="auto"/>
        <w:rPr>
          <w:rFonts w:hint="eastAsia" w:ascii="宋体" w:hAnsi="宋体"/>
          <w:b/>
          <w:color w:val="auto"/>
          <w:spacing w:val="50"/>
          <w:kern w:val="0"/>
          <w:sz w:val="30"/>
          <w:szCs w:val="30"/>
          <w:highlight w:val="none"/>
        </w:rPr>
      </w:pPr>
    </w:p>
    <w:p w14:paraId="27BFEBCD">
      <w:pPr>
        <w:shd w:val="clear" w:color="auto"/>
        <w:ind w:left="1605" w:hanging="1605" w:hangingChars="400"/>
        <w:rPr>
          <w:rFonts w:hint="eastAsia" w:ascii="宋体" w:hAnsi="宋体"/>
          <w:b/>
          <w:color w:val="auto"/>
          <w:kern w:val="0"/>
          <w:sz w:val="30"/>
          <w:szCs w:val="30"/>
          <w:highlight w:val="none"/>
          <w:u w:val="single"/>
        </w:rPr>
      </w:pPr>
      <w:r>
        <w:rPr>
          <w:rFonts w:hint="eastAsia" w:ascii="宋体" w:hAnsi="宋体"/>
          <w:b/>
          <w:color w:val="auto"/>
          <w:spacing w:val="50"/>
          <w:kern w:val="0"/>
          <w:sz w:val="30"/>
          <w:szCs w:val="30"/>
          <w:highlight w:val="none"/>
        </w:rPr>
        <w:t>供应商：</w:t>
      </w:r>
      <w:r>
        <w:rPr>
          <w:rFonts w:hint="eastAsia" w:ascii="宋体" w:hAnsi="宋体"/>
          <w:b/>
          <w:color w:val="auto"/>
          <w:spacing w:val="50"/>
          <w:kern w:val="0"/>
          <w:sz w:val="30"/>
          <w:szCs w:val="30"/>
          <w:highlight w:val="none"/>
          <w:u w:val="single"/>
        </w:rPr>
        <w:t xml:space="preserve">     </w:t>
      </w:r>
      <w:r>
        <w:rPr>
          <w:rFonts w:hint="eastAsia" w:ascii="宋体" w:hAnsi="宋体"/>
          <w:b/>
          <w:color w:val="auto"/>
          <w:kern w:val="0"/>
          <w:sz w:val="30"/>
          <w:szCs w:val="30"/>
          <w:highlight w:val="none"/>
          <w:u w:val="single"/>
        </w:rPr>
        <w:t xml:space="preserve">                                 </w:t>
      </w:r>
    </w:p>
    <w:p w14:paraId="2FE6E852">
      <w:pPr>
        <w:shd w:val="clear" w:color="auto"/>
        <w:rPr>
          <w:rFonts w:hint="eastAsia" w:ascii="宋体" w:hAnsi="宋体"/>
          <w:b/>
          <w:color w:val="auto"/>
          <w:kern w:val="0"/>
          <w:sz w:val="30"/>
          <w:szCs w:val="30"/>
          <w:highlight w:val="none"/>
        </w:rPr>
      </w:pPr>
      <w:r>
        <w:rPr>
          <w:rFonts w:hint="eastAsia" w:ascii="宋体" w:hAnsi="宋体"/>
          <w:b/>
          <w:color w:val="auto"/>
          <w:kern w:val="0"/>
          <w:sz w:val="30"/>
          <w:szCs w:val="30"/>
          <w:highlight w:val="none"/>
        </w:rPr>
        <w:t>（乙方）</w:t>
      </w:r>
    </w:p>
    <w:p w14:paraId="727A2FC6">
      <w:pPr>
        <w:shd w:val="clear" w:color="auto"/>
        <w:rPr>
          <w:rFonts w:hint="eastAsia" w:ascii="宋体" w:hAnsi="宋体"/>
          <w:b/>
          <w:color w:val="auto"/>
          <w:kern w:val="0"/>
          <w:sz w:val="30"/>
          <w:szCs w:val="30"/>
          <w:highlight w:val="none"/>
        </w:rPr>
      </w:pPr>
    </w:p>
    <w:p w14:paraId="32DC3D3D">
      <w:pPr>
        <w:shd w:val="clear" w:color="auto"/>
        <w:rPr>
          <w:rFonts w:hint="eastAsia" w:ascii="宋体" w:hAnsi="宋体"/>
          <w:b/>
          <w:color w:val="auto"/>
          <w:kern w:val="0"/>
          <w:sz w:val="30"/>
          <w:szCs w:val="30"/>
          <w:highlight w:val="none"/>
        </w:rPr>
      </w:pPr>
    </w:p>
    <w:p w14:paraId="51C2E047">
      <w:pPr>
        <w:shd w:val="clear" w:color="auto"/>
        <w:spacing w:line="560" w:lineRule="exact"/>
        <w:rPr>
          <w:rFonts w:hint="eastAsia" w:ascii="宋体" w:hAnsi="宋体"/>
          <w:b/>
          <w:color w:val="auto"/>
          <w:kern w:val="0"/>
          <w:sz w:val="28"/>
          <w:szCs w:val="28"/>
          <w:highlight w:val="none"/>
        </w:rPr>
      </w:pPr>
      <w:r>
        <w:rPr>
          <w:rFonts w:ascii="宋体" w:hAnsi="宋体"/>
          <w:b/>
          <w:color w:val="auto"/>
          <w:kern w:val="0"/>
          <w:sz w:val="28"/>
          <w:szCs w:val="28"/>
          <w:highlight w:val="none"/>
        </w:rPr>
        <w:t xml:space="preserve"> </w:t>
      </w:r>
    </w:p>
    <w:p w14:paraId="1F81EE85">
      <w:pPr>
        <w:shd w:val="clear" w:color="auto"/>
        <w:spacing w:line="560" w:lineRule="exact"/>
        <w:rPr>
          <w:rFonts w:hint="eastAsia" w:ascii="宋体" w:hAnsi="宋体"/>
          <w:b/>
          <w:color w:val="auto"/>
          <w:kern w:val="0"/>
          <w:sz w:val="28"/>
          <w:szCs w:val="28"/>
          <w:highlight w:val="none"/>
        </w:rPr>
      </w:pPr>
    </w:p>
    <w:p w14:paraId="3380E76D">
      <w:pPr>
        <w:shd w:val="clear" w:color="auto"/>
        <w:spacing w:line="560" w:lineRule="exact"/>
        <w:rPr>
          <w:rFonts w:hint="eastAsia" w:ascii="宋体" w:hAnsi="宋体"/>
          <w:b/>
          <w:color w:val="auto"/>
          <w:kern w:val="0"/>
          <w:sz w:val="28"/>
          <w:szCs w:val="28"/>
          <w:highlight w:val="none"/>
        </w:rPr>
      </w:pPr>
      <w:r>
        <w:rPr>
          <w:rFonts w:ascii="宋体" w:hAnsi="宋体"/>
          <w:b/>
          <w:color w:val="auto"/>
          <w:kern w:val="0"/>
          <w:sz w:val="28"/>
          <w:szCs w:val="28"/>
          <w:highlight w:val="none"/>
        </w:rPr>
        <w:t xml:space="preserve">签定地点：    </w:t>
      </w:r>
      <w:r>
        <w:rPr>
          <w:rFonts w:hint="eastAsia" w:ascii="宋体" w:hAnsi="宋体"/>
          <w:b/>
          <w:color w:val="auto"/>
          <w:kern w:val="0"/>
          <w:sz w:val="28"/>
          <w:szCs w:val="28"/>
          <w:highlight w:val="none"/>
        </w:rPr>
        <w:t xml:space="preserve">             </w:t>
      </w:r>
    </w:p>
    <w:p w14:paraId="567C8BC3">
      <w:pPr>
        <w:shd w:val="clear" w:color="auto"/>
        <w:spacing w:line="560" w:lineRule="exact"/>
        <w:rPr>
          <w:rFonts w:ascii="仿宋_GB2312" w:hAnsi="仿宋_GB2312"/>
          <w:b/>
          <w:color w:val="auto"/>
          <w:kern w:val="0"/>
          <w:sz w:val="28"/>
          <w:szCs w:val="28"/>
          <w:highlight w:val="none"/>
        </w:rPr>
      </w:pPr>
      <w:r>
        <w:rPr>
          <w:rFonts w:ascii="宋体" w:hAnsi="宋体"/>
          <w:b/>
          <w:color w:val="auto"/>
          <w:kern w:val="0"/>
          <w:sz w:val="28"/>
          <w:szCs w:val="28"/>
          <w:highlight w:val="none"/>
        </w:rPr>
        <w:t xml:space="preserve">签定日期：    </w:t>
      </w:r>
      <w:r>
        <w:rPr>
          <w:rFonts w:hint="eastAsia" w:ascii="宋体" w:hAnsi="宋体"/>
          <w:b/>
          <w:color w:val="auto"/>
          <w:kern w:val="0"/>
          <w:sz w:val="28"/>
          <w:szCs w:val="28"/>
          <w:highlight w:val="none"/>
        </w:rPr>
        <w:t xml:space="preserve">     </w:t>
      </w:r>
      <w:r>
        <w:rPr>
          <w:rFonts w:ascii="仿宋_GB2312" w:hAnsi="仿宋_GB2312"/>
          <w:b/>
          <w:color w:val="auto"/>
          <w:spacing w:val="42"/>
          <w:kern w:val="0"/>
          <w:sz w:val="28"/>
          <w:szCs w:val="28"/>
          <w:highlight w:val="none"/>
        </w:rPr>
        <w:t>年</w:t>
      </w:r>
      <w:r>
        <w:rPr>
          <w:rFonts w:hint="eastAsia" w:ascii="仿宋_GB2312" w:hAnsi="仿宋_GB2312"/>
          <w:b/>
          <w:color w:val="auto"/>
          <w:spacing w:val="42"/>
          <w:kern w:val="0"/>
          <w:sz w:val="28"/>
          <w:szCs w:val="28"/>
          <w:highlight w:val="none"/>
        </w:rPr>
        <w:t xml:space="preserve">  </w:t>
      </w:r>
      <w:r>
        <w:rPr>
          <w:rFonts w:ascii="仿宋_GB2312" w:hAnsi="仿宋_GB2312"/>
          <w:b/>
          <w:color w:val="auto"/>
          <w:spacing w:val="42"/>
          <w:kern w:val="0"/>
          <w:sz w:val="28"/>
          <w:szCs w:val="28"/>
          <w:highlight w:val="none"/>
        </w:rPr>
        <w:t>月</w:t>
      </w:r>
      <w:r>
        <w:rPr>
          <w:rFonts w:hint="eastAsia" w:ascii="仿宋_GB2312" w:hAnsi="仿宋_GB2312"/>
          <w:b/>
          <w:color w:val="auto"/>
          <w:spacing w:val="42"/>
          <w:kern w:val="0"/>
          <w:sz w:val="28"/>
          <w:szCs w:val="28"/>
          <w:highlight w:val="none"/>
        </w:rPr>
        <w:t xml:space="preserve">  </w:t>
      </w:r>
      <w:r>
        <w:rPr>
          <w:rFonts w:ascii="仿宋_GB2312" w:hAnsi="仿宋_GB2312"/>
          <w:b/>
          <w:color w:val="auto"/>
          <w:spacing w:val="42"/>
          <w:kern w:val="0"/>
          <w:sz w:val="28"/>
          <w:szCs w:val="28"/>
          <w:highlight w:val="none"/>
        </w:rPr>
        <w:t>日</w:t>
      </w:r>
    </w:p>
    <w:p w14:paraId="78A7FBAF">
      <w:pPr>
        <w:shd w:val="clear" w:color="auto"/>
        <w:spacing w:line="560" w:lineRule="exact"/>
        <w:ind w:left="334" w:hanging="334" w:hangingChars="98"/>
        <w:rPr>
          <w:rFonts w:hint="eastAsia"/>
          <w:b/>
          <w:color w:val="auto"/>
          <w:spacing w:val="30"/>
          <w:sz w:val="28"/>
          <w:szCs w:val="28"/>
          <w:highlight w:val="none"/>
        </w:rPr>
        <w:sectPr>
          <w:footerReference r:id="rId8" w:type="default"/>
          <w:pgSz w:w="11907" w:h="16840"/>
          <w:pgMar w:top="1440" w:right="1080" w:bottom="1440" w:left="1080" w:header="1077" w:footer="1077" w:gutter="0"/>
          <w:pgNumType w:fmt="decimal"/>
          <w:cols w:space="720" w:num="1"/>
          <w:docGrid w:linePitch="367" w:charSpace="0"/>
        </w:sectPr>
      </w:pPr>
    </w:p>
    <w:p w14:paraId="5AAE7C4F">
      <w:pPr>
        <w:keepNext w:val="0"/>
        <w:keepLines w:val="0"/>
        <w:pageBreakBefore w:val="0"/>
        <w:widowControl/>
        <w:shd w:val="clear" w:color="auto"/>
        <w:kinsoku/>
        <w:wordWrap/>
        <w:overflowPunct/>
        <w:topLinePunct w:val="0"/>
        <w:autoSpaceDE/>
        <w:autoSpaceDN/>
        <w:bidi w:val="0"/>
        <w:adjustRightInd/>
        <w:spacing w:line="440" w:lineRule="exact"/>
        <w:jc w:val="center"/>
        <w:textAlignment w:val="auto"/>
        <w:rPr>
          <w:rFonts w:hint="eastAsia" w:ascii="仿宋_GB2312" w:hAnsi="仿宋_GB2312"/>
          <w:b/>
          <w:bCs/>
          <w:color w:val="auto"/>
          <w:kern w:val="0"/>
          <w:sz w:val="32"/>
          <w:szCs w:val="32"/>
          <w:highlight w:val="none"/>
          <w:lang w:bidi="ar"/>
        </w:rPr>
      </w:pPr>
      <w:r>
        <w:rPr>
          <w:rFonts w:hint="eastAsia" w:ascii="仿宋_GB2312" w:hAnsi="仿宋_GB2312"/>
          <w:b/>
          <w:bCs/>
          <w:color w:val="auto"/>
          <w:kern w:val="0"/>
          <w:sz w:val="32"/>
          <w:szCs w:val="32"/>
          <w:highlight w:val="none"/>
          <w:lang w:bidi="ar"/>
        </w:rPr>
        <w:t>2025年度鳌江镇苗木养护、补植、绿地修复</w:t>
      </w:r>
      <w:r>
        <w:rPr>
          <w:rFonts w:hint="eastAsia" w:ascii="仿宋_GB2312" w:hAnsi="仿宋_GB2312"/>
          <w:b/>
          <w:bCs/>
          <w:color w:val="auto"/>
          <w:kern w:val="0"/>
          <w:sz w:val="32"/>
          <w:szCs w:val="32"/>
          <w:highlight w:val="none"/>
          <w:lang w:eastAsia="zh-CN" w:bidi="ar"/>
        </w:rPr>
        <w:t>项目</w:t>
      </w:r>
      <w:r>
        <w:rPr>
          <w:rFonts w:hint="eastAsia" w:ascii="仿宋_GB2312" w:hAnsi="仿宋_GB2312"/>
          <w:b/>
          <w:bCs/>
          <w:color w:val="auto"/>
          <w:kern w:val="0"/>
          <w:sz w:val="32"/>
          <w:szCs w:val="32"/>
          <w:highlight w:val="none"/>
          <w:lang w:bidi="ar"/>
        </w:rPr>
        <w:t>承包合同</w:t>
      </w:r>
    </w:p>
    <w:p w14:paraId="1A118367">
      <w:pPr>
        <w:shd w:val="clear" w:color="auto"/>
        <w:spacing w:line="560" w:lineRule="exact"/>
        <w:ind w:firstLine="440" w:firstLineChars="200"/>
        <w:rPr>
          <w:rFonts w:ascii="宋体" w:hAnsi="宋体" w:eastAsia="宋体" w:cs="Times New Roman"/>
          <w:b w:val="0"/>
          <w:color w:val="auto"/>
          <w:kern w:val="0"/>
          <w:sz w:val="22"/>
          <w:szCs w:val="22"/>
          <w:highlight w:val="none"/>
        </w:rPr>
      </w:pPr>
      <w:r>
        <w:rPr>
          <w:rFonts w:hint="eastAsia" w:ascii="宋体" w:hAnsi="宋体" w:eastAsia="宋体" w:cs="宋体"/>
          <w:b w:val="0"/>
          <w:color w:val="auto"/>
          <w:kern w:val="0"/>
          <w:sz w:val="22"/>
          <w:szCs w:val="22"/>
          <w:highlight w:val="none"/>
        </w:rPr>
        <w:t>　</w:t>
      </w:r>
      <w:r>
        <w:rPr>
          <w:rFonts w:ascii="宋体" w:hAnsi="宋体" w:eastAsia="宋体" w:cs="Times New Roman"/>
          <w:b w:val="0"/>
          <w:color w:val="auto"/>
          <w:kern w:val="0"/>
          <w:sz w:val="22"/>
          <w:szCs w:val="22"/>
          <w:highlight w:val="none"/>
          <w:u w:val="single"/>
          <w:lang w:val="zh-CN"/>
        </w:rPr>
        <w:t xml:space="preserve">        </w:t>
      </w:r>
      <w:r>
        <w:rPr>
          <w:rFonts w:hint="eastAsia" w:ascii="宋体" w:hAnsi="宋体" w:eastAsia="宋体" w:cs="Times New Roman"/>
          <w:b w:val="0"/>
          <w:color w:val="auto"/>
          <w:kern w:val="0"/>
          <w:sz w:val="22"/>
          <w:szCs w:val="22"/>
          <w:highlight w:val="none"/>
          <w:lang w:val="zh-CN"/>
        </w:rPr>
        <w:t>年</w:t>
      </w:r>
      <w:r>
        <w:rPr>
          <w:rFonts w:ascii="宋体" w:hAnsi="宋体" w:eastAsia="宋体" w:cs="Times New Roman"/>
          <w:b w:val="0"/>
          <w:color w:val="auto"/>
          <w:kern w:val="0"/>
          <w:sz w:val="22"/>
          <w:szCs w:val="22"/>
          <w:highlight w:val="none"/>
          <w:u w:val="single"/>
          <w:lang w:val="zh-CN"/>
        </w:rPr>
        <w:t xml:space="preserve">    </w:t>
      </w:r>
      <w:r>
        <w:rPr>
          <w:rFonts w:hint="eastAsia" w:ascii="宋体" w:hAnsi="宋体" w:eastAsia="宋体" w:cs="Times New Roman"/>
          <w:b w:val="0"/>
          <w:color w:val="auto"/>
          <w:kern w:val="0"/>
          <w:sz w:val="22"/>
          <w:szCs w:val="22"/>
          <w:highlight w:val="none"/>
          <w:lang w:val="zh-CN"/>
        </w:rPr>
        <w:t>月</w:t>
      </w:r>
      <w:r>
        <w:rPr>
          <w:rFonts w:ascii="宋体" w:hAnsi="宋体" w:eastAsia="宋体" w:cs="Times New Roman"/>
          <w:b w:val="0"/>
          <w:color w:val="auto"/>
          <w:kern w:val="0"/>
          <w:sz w:val="22"/>
          <w:szCs w:val="22"/>
          <w:highlight w:val="none"/>
          <w:u w:val="single"/>
          <w:lang w:val="zh-CN"/>
        </w:rPr>
        <w:t xml:space="preserve">    </w:t>
      </w:r>
      <w:r>
        <w:rPr>
          <w:rFonts w:hint="eastAsia" w:ascii="宋体" w:hAnsi="宋体" w:eastAsia="宋体" w:cs="Times New Roman"/>
          <w:b w:val="0"/>
          <w:color w:val="auto"/>
          <w:kern w:val="0"/>
          <w:sz w:val="22"/>
          <w:szCs w:val="22"/>
          <w:highlight w:val="none"/>
          <w:lang w:val="zh-CN"/>
        </w:rPr>
        <w:t>日</w:t>
      </w:r>
      <w:r>
        <w:rPr>
          <w:rFonts w:hint="eastAsia" w:ascii="宋体" w:hAnsi="宋体" w:eastAsia="宋体" w:cs="Times New Roman"/>
          <w:b w:val="0"/>
          <w:color w:val="auto"/>
          <w:kern w:val="0"/>
          <w:sz w:val="22"/>
          <w:szCs w:val="22"/>
          <w:highlight w:val="none"/>
        </w:rPr>
        <w:t>，</w:t>
      </w:r>
      <w:r>
        <w:rPr>
          <w:rFonts w:hint="eastAsia" w:ascii="宋体" w:hAnsi="宋体" w:eastAsia="宋体" w:cs="Times New Roman"/>
          <w:b w:val="0"/>
          <w:color w:val="auto"/>
          <w:kern w:val="0"/>
          <w:sz w:val="22"/>
          <w:szCs w:val="22"/>
          <w:highlight w:val="none"/>
          <w:u w:val="single"/>
          <w:lang w:val="en-US" w:eastAsia="zh-CN"/>
        </w:rPr>
        <w:t>平阳县新鳌城市建设有限公司</w:t>
      </w:r>
      <w:r>
        <w:rPr>
          <w:rFonts w:hint="eastAsia" w:ascii="宋体" w:hAnsi="宋体" w:eastAsia="宋体" w:cs="Times New Roman"/>
          <w:b w:val="0"/>
          <w:color w:val="auto"/>
          <w:kern w:val="0"/>
          <w:sz w:val="22"/>
          <w:szCs w:val="22"/>
          <w:highlight w:val="none"/>
        </w:rPr>
        <w:t>以</w:t>
      </w:r>
      <w:r>
        <w:rPr>
          <w:rFonts w:hint="eastAsia" w:ascii="宋体" w:hAnsi="宋体" w:cs="Times New Roman"/>
          <w:b w:val="0"/>
          <w:color w:val="auto"/>
          <w:kern w:val="0"/>
          <w:sz w:val="22"/>
          <w:szCs w:val="22"/>
          <w:highlight w:val="none"/>
          <w:u w:val="single"/>
          <w:lang w:val="en-US" w:eastAsia="zh-CN"/>
        </w:rPr>
        <w:t>公开招标</w:t>
      </w:r>
      <w:r>
        <w:rPr>
          <w:rFonts w:hint="eastAsia" w:ascii="宋体" w:hAnsi="宋体" w:eastAsia="宋体" w:cs="Times New Roman"/>
          <w:b w:val="0"/>
          <w:color w:val="auto"/>
          <w:kern w:val="0"/>
          <w:sz w:val="22"/>
          <w:szCs w:val="22"/>
          <w:highlight w:val="none"/>
        </w:rPr>
        <w:t>对</w:t>
      </w:r>
      <w:r>
        <w:rPr>
          <w:rFonts w:hint="eastAsia" w:ascii="宋体" w:hAnsi="宋体" w:cs="Times New Roman"/>
          <w:b w:val="0"/>
          <w:color w:val="auto"/>
          <w:kern w:val="0"/>
          <w:sz w:val="22"/>
          <w:szCs w:val="22"/>
          <w:highlight w:val="none"/>
          <w:u w:val="single"/>
          <w:lang w:val="en-US" w:eastAsia="zh-CN"/>
        </w:rPr>
        <w:t>2025年度鳌江镇苗木养护、补植、绿地修复项目</w:t>
      </w:r>
      <w:r>
        <w:rPr>
          <w:rFonts w:hint="eastAsia" w:ascii="宋体" w:hAnsi="宋体" w:eastAsia="宋体" w:cs="Times New Roman"/>
          <w:b w:val="0"/>
          <w:color w:val="auto"/>
          <w:kern w:val="0"/>
          <w:sz w:val="22"/>
          <w:szCs w:val="22"/>
          <w:highlight w:val="none"/>
          <w:u w:val="single"/>
          <w:lang w:val="en-US" w:eastAsia="zh-CN"/>
        </w:rPr>
        <w:t>（标项一：2025年度鳌江镇建成区苗木养护、补植、绿地修复</w:t>
      </w:r>
      <w:r>
        <w:rPr>
          <w:rFonts w:hint="eastAsia" w:ascii="宋体" w:hAnsi="宋体" w:cs="Times New Roman"/>
          <w:b w:val="0"/>
          <w:color w:val="auto"/>
          <w:kern w:val="0"/>
          <w:sz w:val="22"/>
          <w:szCs w:val="22"/>
          <w:highlight w:val="none"/>
          <w:u w:val="single"/>
          <w:lang w:val="en-US" w:eastAsia="zh-CN"/>
        </w:rPr>
        <w:t>项目</w:t>
      </w:r>
      <w:r>
        <w:rPr>
          <w:rFonts w:hint="eastAsia" w:ascii="宋体" w:hAnsi="宋体" w:eastAsia="宋体" w:cs="Times New Roman"/>
          <w:b w:val="0"/>
          <w:color w:val="auto"/>
          <w:kern w:val="0"/>
          <w:sz w:val="22"/>
          <w:szCs w:val="22"/>
          <w:highlight w:val="none"/>
          <w:u w:val="single"/>
          <w:lang w:val="en-US" w:eastAsia="zh-CN"/>
        </w:rPr>
        <w:t>或标项二：2025年度鳌江镇东塘河苗木养护、补植、绿地修复</w:t>
      </w:r>
      <w:r>
        <w:rPr>
          <w:rFonts w:hint="eastAsia" w:ascii="宋体" w:hAnsi="宋体" w:cs="Times New Roman"/>
          <w:b w:val="0"/>
          <w:color w:val="auto"/>
          <w:kern w:val="0"/>
          <w:sz w:val="22"/>
          <w:szCs w:val="22"/>
          <w:highlight w:val="none"/>
          <w:u w:val="single"/>
          <w:lang w:val="en-US" w:eastAsia="zh-CN"/>
        </w:rPr>
        <w:t>项目</w:t>
      </w:r>
      <w:r>
        <w:rPr>
          <w:rFonts w:hint="eastAsia" w:ascii="宋体" w:hAnsi="宋体" w:eastAsia="宋体" w:cs="Times New Roman"/>
          <w:b w:val="0"/>
          <w:color w:val="auto"/>
          <w:kern w:val="0"/>
          <w:sz w:val="22"/>
          <w:szCs w:val="22"/>
          <w:highlight w:val="none"/>
          <w:u w:val="single"/>
          <w:lang w:val="en-US" w:eastAsia="zh-CN"/>
        </w:rPr>
        <w:t>）</w:t>
      </w:r>
      <w:r>
        <w:rPr>
          <w:rFonts w:hint="eastAsia" w:ascii="宋体" w:hAnsi="宋体" w:eastAsia="宋体" w:cs="Times New Roman"/>
          <w:b w:val="0"/>
          <w:color w:val="auto"/>
          <w:kern w:val="0"/>
          <w:sz w:val="22"/>
          <w:szCs w:val="22"/>
          <w:highlight w:val="none"/>
        </w:rPr>
        <w:t>进行了采购。经</w:t>
      </w:r>
      <w:r>
        <w:rPr>
          <w:rFonts w:hint="eastAsia" w:ascii="宋体" w:hAnsi="宋体" w:eastAsia="宋体" w:cs="Times New Roman"/>
          <w:b w:val="0"/>
          <w:color w:val="auto"/>
          <w:kern w:val="0"/>
          <w:sz w:val="22"/>
          <w:szCs w:val="22"/>
          <w:highlight w:val="none"/>
          <w:u w:val="single"/>
          <w:lang w:val="en-US" w:eastAsia="zh-CN"/>
        </w:rPr>
        <w:t xml:space="preserve">浙江名进建设项目管理有限公司招标评定 </w:t>
      </w:r>
      <w:r>
        <w:rPr>
          <w:rFonts w:hint="eastAsia" w:ascii="宋体" w:hAnsi="宋体" w:eastAsia="宋体" w:cs="Times New Roman"/>
          <w:b w:val="0"/>
          <w:color w:val="auto"/>
          <w:kern w:val="0"/>
          <w:sz w:val="22"/>
          <w:szCs w:val="22"/>
          <w:highlight w:val="none"/>
        </w:rPr>
        <w:t>，</w:t>
      </w:r>
      <w:r>
        <w:rPr>
          <w:rFonts w:ascii="宋体" w:hAnsi="宋体" w:eastAsia="宋体" w:cs="Times New Roman"/>
          <w:b w:val="0"/>
          <w:color w:val="auto"/>
          <w:kern w:val="0"/>
          <w:sz w:val="22"/>
          <w:szCs w:val="22"/>
          <w:highlight w:val="none"/>
          <w:u w:val="single"/>
        </w:rPr>
        <w:t xml:space="preserve">   （中标供应商名称）</w:t>
      </w:r>
      <w:r>
        <w:rPr>
          <w:rFonts w:hint="eastAsia" w:ascii="宋体" w:hAnsi="宋体" w:eastAsia="宋体" w:cs="Times New Roman"/>
          <w:b w:val="0"/>
          <w:color w:val="auto"/>
          <w:kern w:val="0"/>
          <w:sz w:val="22"/>
          <w:szCs w:val="22"/>
          <w:highlight w:val="none"/>
        </w:rPr>
        <w:t>为该项目中标供应商。现于中标通知书发出之日起三十日内，按照采购文件确定的事项签订本合同。</w:t>
      </w:r>
    </w:p>
    <w:p w14:paraId="63272645">
      <w:pPr>
        <w:shd w:val="clear" w:color="auto"/>
        <w:tabs>
          <w:tab w:val="left" w:pos="5580"/>
        </w:tabs>
        <w:spacing w:line="440" w:lineRule="exact"/>
        <w:ind w:right="560" w:firstLine="440" w:firstLineChars="200"/>
        <w:rPr>
          <w:rFonts w:ascii="宋体" w:hAnsi="宋体" w:eastAsia="宋体" w:cs="宋体"/>
          <w:b w:val="0"/>
          <w:color w:val="auto"/>
          <w:kern w:val="0"/>
          <w:sz w:val="22"/>
          <w:szCs w:val="22"/>
          <w:highlight w:val="none"/>
        </w:rPr>
      </w:pPr>
      <w:r>
        <w:rPr>
          <w:rFonts w:hint="eastAsia" w:ascii="宋体" w:hAnsi="宋体" w:eastAsia="宋体" w:cs="Times New Roman"/>
          <w:b w:val="0"/>
          <w:color w:val="auto"/>
          <w:kern w:val="0"/>
          <w:sz w:val="22"/>
          <w:szCs w:val="22"/>
          <w:highlight w:val="none"/>
          <w:lang w:val="zh-CN"/>
        </w:rPr>
        <w:t>根据《中华人民共和国民法典》、《中华人民共和国政府采购法》等相关法律法规之规定，按照平等、自愿、公平、诚实信用和绿色的原则，经</w:t>
      </w:r>
      <w:r>
        <w:rPr>
          <w:rFonts w:hint="eastAsia" w:ascii="宋体" w:hAnsi="宋体" w:eastAsia="宋体" w:cs="Times New Roman"/>
          <w:b w:val="0"/>
          <w:color w:val="auto"/>
          <w:kern w:val="0"/>
          <w:sz w:val="22"/>
          <w:szCs w:val="22"/>
          <w:highlight w:val="none"/>
          <w:u w:val="single"/>
          <w:lang w:val="en-US" w:eastAsia="zh-CN"/>
        </w:rPr>
        <w:t>平阳县新鳌城市建设有限公司</w:t>
      </w:r>
      <w:r>
        <w:rPr>
          <w:rFonts w:ascii="宋体" w:hAnsi="宋体" w:eastAsia="宋体" w:cs="Times New Roman"/>
          <w:b w:val="0"/>
          <w:color w:val="auto"/>
          <w:kern w:val="0"/>
          <w:sz w:val="22"/>
          <w:szCs w:val="22"/>
          <w:highlight w:val="none"/>
          <w:lang w:val="zh-CN"/>
        </w:rPr>
        <w:t>(以下简称：甲方)和</w:t>
      </w:r>
      <w:r>
        <w:rPr>
          <w:rFonts w:ascii="宋体" w:hAnsi="宋体" w:eastAsia="宋体" w:cs="Times New Roman"/>
          <w:b w:val="0"/>
          <w:color w:val="auto"/>
          <w:kern w:val="0"/>
          <w:sz w:val="22"/>
          <w:szCs w:val="22"/>
          <w:highlight w:val="none"/>
          <w:u w:val="single"/>
        </w:rPr>
        <w:t xml:space="preserve">   （中标供应商名称）   </w:t>
      </w:r>
      <w:r>
        <w:rPr>
          <w:rFonts w:ascii="宋体" w:hAnsi="宋体" w:eastAsia="宋体" w:cs="Times New Roman"/>
          <w:b w:val="0"/>
          <w:color w:val="auto"/>
          <w:kern w:val="0"/>
          <w:sz w:val="22"/>
          <w:szCs w:val="22"/>
          <w:highlight w:val="none"/>
          <w:lang w:val="zh-CN"/>
        </w:rPr>
        <w:t>(以下简称：乙方)协商一致，约定以下合同</w:t>
      </w:r>
      <w:r>
        <w:rPr>
          <w:rFonts w:hint="eastAsia" w:ascii="宋体" w:hAnsi="宋体" w:eastAsia="宋体" w:cs="Times New Roman"/>
          <w:b w:val="0"/>
          <w:color w:val="auto"/>
          <w:kern w:val="0"/>
          <w:sz w:val="22"/>
          <w:szCs w:val="22"/>
          <w:highlight w:val="none"/>
        </w:rPr>
        <w:t>条款，以兹共同遵守、全面履行。</w:t>
      </w:r>
    </w:p>
    <w:p w14:paraId="7819AFC1">
      <w:pPr>
        <w:shd w:val="clear" w:color="auto"/>
        <w:spacing w:line="440" w:lineRule="exact"/>
        <w:ind w:firstLine="440" w:firstLineChars="200"/>
        <w:rPr>
          <w:rFonts w:hint="eastAsia" w:ascii="宋体" w:hAnsi="宋体" w:eastAsia="宋体" w:cs="宋体"/>
          <w:b w:val="0"/>
          <w:color w:val="auto"/>
          <w:kern w:val="0"/>
          <w:sz w:val="22"/>
          <w:szCs w:val="22"/>
          <w:highlight w:val="none"/>
        </w:rPr>
      </w:pPr>
      <w:r>
        <w:rPr>
          <w:rFonts w:hint="eastAsia" w:ascii="宋体" w:hAnsi="宋体" w:eastAsia="宋体" w:cs="宋体"/>
          <w:b w:val="0"/>
          <w:color w:val="auto"/>
          <w:kern w:val="0"/>
          <w:sz w:val="22"/>
          <w:szCs w:val="22"/>
          <w:highlight w:val="none"/>
        </w:rPr>
        <w:t>委托人委托</w:t>
      </w:r>
      <w:r>
        <w:rPr>
          <w:rFonts w:hint="eastAsia" w:ascii="宋体" w:hAnsi="宋体" w:eastAsia="宋体" w:cs="宋体"/>
          <w:b w:val="0"/>
          <w:color w:val="auto"/>
          <w:kern w:val="0"/>
          <w:sz w:val="22"/>
          <w:szCs w:val="22"/>
          <w:highlight w:val="none"/>
          <w:lang w:val="en-US" w:eastAsia="zh-CN"/>
        </w:rPr>
        <w:t xml:space="preserve"> </w:t>
      </w:r>
      <w:r>
        <w:rPr>
          <w:rFonts w:hint="eastAsia" w:ascii="宋体" w:hAnsi="宋体" w:eastAsia="宋体" w:cs="宋体"/>
          <w:b w:val="0"/>
          <w:color w:val="auto"/>
          <w:kern w:val="0"/>
          <w:sz w:val="22"/>
          <w:szCs w:val="22"/>
          <w:highlight w:val="none"/>
          <w:u w:val="single"/>
          <w:lang w:val="en-US" w:eastAsia="zh-CN"/>
        </w:rPr>
        <w:t xml:space="preserve">       </w:t>
      </w:r>
      <w:r>
        <w:rPr>
          <w:rFonts w:hint="eastAsia" w:ascii="宋体" w:hAnsi="宋体" w:eastAsia="宋体" w:cs="宋体"/>
          <w:b w:val="0"/>
          <w:color w:val="auto"/>
          <w:kern w:val="0"/>
          <w:sz w:val="22"/>
          <w:szCs w:val="22"/>
          <w:highlight w:val="none"/>
        </w:rPr>
        <w:t>为以下项目</w:t>
      </w:r>
      <w:r>
        <w:rPr>
          <w:rFonts w:hint="eastAsia" w:ascii="宋体" w:hAnsi="宋体" w:eastAsia="宋体" w:cs="宋体"/>
          <w:b w:val="0"/>
          <w:color w:val="auto"/>
          <w:kern w:val="0"/>
          <w:sz w:val="22"/>
          <w:szCs w:val="22"/>
          <w:highlight w:val="none"/>
          <w:lang w:val="en-US" w:eastAsia="zh-CN"/>
        </w:rPr>
        <w:t>提供</w:t>
      </w:r>
      <w:r>
        <w:rPr>
          <w:rFonts w:hint="eastAsia" w:ascii="宋体" w:hAnsi="宋体" w:eastAsia="宋体" w:cs="宋体"/>
          <w:b/>
          <w:color w:val="auto"/>
          <w:kern w:val="0"/>
          <w:sz w:val="22"/>
          <w:szCs w:val="22"/>
          <w:highlight w:val="none"/>
          <w:u w:val="single"/>
          <w:lang w:val="en-US" w:eastAsia="zh-CN"/>
        </w:rPr>
        <w:t xml:space="preserve">（    ）项服务 </w:t>
      </w:r>
      <w:r>
        <w:rPr>
          <w:rFonts w:hint="eastAsia" w:ascii="宋体" w:hAnsi="宋体" w:eastAsia="宋体" w:cs="宋体"/>
          <w:b/>
          <w:color w:val="auto"/>
          <w:kern w:val="0"/>
          <w:sz w:val="22"/>
          <w:szCs w:val="22"/>
          <w:highlight w:val="none"/>
          <w:u w:val="none"/>
          <w:lang w:val="en-US" w:eastAsia="zh-CN"/>
        </w:rPr>
        <w:t>①2025年度鳌江镇建成区苗木养护、补植、绿地修复</w:t>
      </w:r>
      <w:r>
        <w:rPr>
          <w:rFonts w:hint="eastAsia" w:ascii="宋体" w:hAnsi="宋体" w:cs="宋体"/>
          <w:b/>
          <w:color w:val="auto"/>
          <w:kern w:val="0"/>
          <w:sz w:val="22"/>
          <w:szCs w:val="22"/>
          <w:highlight w:val="none"/>
          <w:u w:val="none"/>
          <w:lang w:val="en-US" w:eastAsia="zh-CN"/>
        </w:rPr>
        <w:t>项目</w:t>
      </w:r>
      <w:r>
        <w:rPr>
          <w:rFonts w:hint="eastAsia" w:ascii="宋体" w:hAnsi="宋体" w:eastAsia="宋体" w:cs="宋体"/>
          <w:b/>
          <w:color w:val="auto"/>
          <w:kern w:val="0"/>
          <w:sz w:val="22"/>
          <w:szCs w:val="22"/>
          <w:highlight w:val="none"/>
          <w:u w:val="none"/>
          <w:lang w:val="en-US" w:eastAsia="zh-CN"/>
        </w:rPr>
        <w:t>②2025年度鳌江镇东塘河苗木养护、补植、绿地修复</w:t>
      </w:r>
      <w:r>
        <w:rPr>
          <w:rFonts w:hint="eastAsia" w:ascii="宋体" w:hAnsi="宋体" w:cs="宋体"/>
          <w:b/>
          <w:color w:val="auto"/>
          <w:kern w:val="0"/>
          <w:sz w:val="22"/>
          <w:szCs w:val="22"/>
          <w:highlight w:val="none"/>
          <w:u w:val="none"/>
          <w:lang w:val="en-US" w:eastAsia="zh-CN"/>
        </w:rPr>
        <w:t>项目</w:t>
      </w:r>
      <w:r>
        <w:rPr>
          <w:rFonts w:ascii="宋体" w:hAnsi="宋体" w:eastAsia="宋体" w:cs="宋体"/>
          <w:b w:val="0"/>
          <w:color w:val="auto"/>
          <w:kern w:val="0"/>
          <w:sz w:val="22"/>
          <w:szCs w:val="22"/>
          <w:highlight w:val="none"/>
          <w:u w:val="none"/>
        </w:rPr>
        <w:t>。</w:t>
      </w:r>
    </w:p>
    <w:p w14:paraId="5FC62C1B">
      <w:pPr>
        <w:numPr>
          <w:ilvl w:val="0"/>
          <w:numId w:val="0"/>
        </w:numPr>
        <w:shd w:val="clear" w:color="auto"/>
        <w:spacing w:line="440" w:lineRule="exact"/>
        <w:ind w:firstLine="440" w:firstLineChars="200"/>
        <w:rPr>
          <w:rFonts w:hint="eastAsia" w:ascii="宋体" w:hAnsi="宋体" w:eastAsia="宋体" w:cs="Times New Roman"/>
          <w:b w:val="0"/>
          <w:color w:val="auto"/>
          <w:kern w:val="0"/>
          <w:sz w:val="22"/>
          <w:szCs w:val="22"/>
          <w:highlight w:val="none"/>
          <w:u w:val="single"/>
          <w:lang w:val="en-US" w:eastAsia="zh-CN"/>
        </w:rPr>
      </w:pPr>
      <w:r>
        <w:rPr>
          <w:rFonts w:hint="eastAsia" w:ascii="宋体" w:hAnsi="宋体" w:eastAsia="宋体" w:cs="宋体"/>
          <w:b w:val="0"/>
          <w:color w:val="auto"/>
          <w:kern w:val="0"/>
          <w:sz w:val="22"/>
          <w:szCs w:val="22"/>
          <w:highlight w:val="none"/>
        </w:rPr>
        <w:t>1．项目名称：</w:t>
      </w:r>
      <w:r>
        <w:rPr>
          <w:rFonts w:hint="eastAsia" w:ascii="宋体" w:hAnsi="宋体" w:eastAsia="宋体" w:cs="宋体"/>
          <w:b w:val="0"/>
          <w:color w:val="auto"/>
          <w:kern w:val="0"/>
          <w:sz w:val="22"/>
          <w:szCs w:val="22"/>
          <w:highlight w:val="none"/>
          <w:u w:val="single"/>
        </w:rPr>
        <w:t>2025年度鳌江镇苗木养护、补植、绿地修复</w:t>
      </w:r>
      <w:r>
        <w:rPr>
          <w:rFonts w:hint="eastAsia" w:ascii="宋体" w:hAnsi="宋体" w:cs="宋体"/>
          <w:b w:val="0"/>
          <w:color w:val="auto"/>
          <w:kern w:val="0"/>
          <w:sz w:val="22"/>
          <w:szCs w:val="22"/>
          <w:highlight w:val="none"/>
          <w:u w:val="single"/>
          <w:lang w:eastAsia="zh-CN"/>
        </w:rPr>
        <w:t>项目</w:t>
      </w:r>
    </w:p>
    <w:p w14:paraId="56DD26B5">
      <w:pPr>
        <w:shd w:val="clear" w:color="auto"/>
        <w:spacing w:line="440" w:lineRule="exact"/>
        <w:ind w:firstLine="440" w:firstLineChars="200"/>
        <w:rPr>
          <w:rFonts w:hint="default" w:ascii="宋体" w:hAnsi="宋体" w:eastAsia="宋体" w:cs="宋体"/>
          <w:b/>
          <w:color w:val="auto"/>
          <w:kern w:val="0"/>
          <w:sz w:val="22"/>
          <w:szCs w:val="22"/>
          <w:highlight w:val="none"/>
          <w:lang w:val="en-US" w:eastAsia="zh-CN"/>
        </w:rPr>
      </w:pPr>
      <w:r>
        <w:rPr>
          <w:rFonts w:hint="eastAsia" w:ascii="宋体" w:hAnsi="宋体" w:eastAsia="宋体" w:cs="宋体"/>
          <w:b w:val="0"/>
          <w:color w:val="auto"/>
          <w:kern w:val="0"/>
          <w:sz w:val="22"/>
          <w:szCs w:val="22"/>
          <w:highlight w:val="none"/>
        </w:rPr>
        <w:t>2．服务类别：</w:t>
      </w:r>
      <w:r>
        <w:rPr>
          <w:rFonts w:hint="eastAsia" w:ascii="宋体" w:hAnsi="宋体" w:eastAsia="宋体" w:cs="Times New Roman"/>
          <w:b w:val="0"/>
          <w:color w:val="auto"/>
          <w:kern w:val="0"/>
          <w:sz w:val="22"/>
          <w:szCs w:val="22"/>
          <w:highlight w:val="none"/>
          <w:u w:val="single"/>
        </w:rPr>
        <w:t>劳动服务业</w:t>
      </w:r>
      <w:r>
        <w:rPr>
          <w:rFonts w:hint="eastAsia" w:ascii="宋体" w:hAnsi="宋体" w:eastAsia="宋体" w:cs="Times New Roman"/>
          <w:b w:val="0"/>
          <w:color w:val="auto"/>
          <w:kern w:val="0"/>
          <w:sz w:val="22"/>
          <w:szCs w:val="22"/>
          <w:highlight w:val="none"/>
          <w:u w:val="single"/>
          <w:lang w:val="en-US" w:eastAsia="zh-CN"/>
        </w:rPr>
        <w:t xml:space="preserve"> </w:t>
      </w:r>
    </w:p>
    <w:p w14:paraId="52F4082C">
      <w:pPr>
        <w:shd w:val="clear" w:color="auto"/>
        <w:spacing w:line="440" w:lineRule="exact"/>
        <w:rPr>
          <w:rFonts w:hint="eastAsia" w:ascii="宋体" w:hAnsi="宋体" w:eastAsia="宋体" w:cs="宋体"/>
          <w:b w:val="0"/>
          <w:color w:val="auto"/>
          <w:kern w:val="0"/>
          <w:sz w:val="22"/>
          <w:szCs w:val="22"/>
          <w:highlight w:val="none"/>
          <w:lang w:eastAsia="zh-CN"/>
        </w:rPr>
      </w:pPr>
      <w:r>
        <w:rPr>
          <w:rFonts w:ascii="宋体" w:hAnsi="宋体" w:eastAsia="宋体" w:cs="宋体"/>
          <w:b w:val="0"/>
          <w:color w:val="auto"/>
          <w:kern w:val="0"/>
          <w:sz w:val="22"/>
          <w:szCs w:val="22"/>
          <w:highlight w:val="none"/>
        </w:rPr>
        <w:t>二、服务范围及工作内容</w:t>
      </w:r>
    </w:p>
    <w:p w14:paraId="19D26F51">
      <w:pPr>
        <w:shd w:val="clear" w:color="auto"/>
        <w:spacing w:line="440" w:lineRule="exact"/>
        <w:ind w:firstLine="440" w:firstLineChars="200"/>
        <w:rPr>
          <w:rFonts w:hint="eastAsia" w:ascii="宋体" w:hAnsi="宋体" w:eastAsia="宋体" w:cs="宋体"/>
          <w:b w:val="0"/>
          <w:color w:val="auto"/>
          <w:kern w:val="0"/>
          <w:sz w:val="22"/>
          <w:szCs w:val="22"/>
          <w:highlight w:val="none"/>
        </w:rPr>
      </w:pPr>
      <w:r>
        <w:rPr>
          <w:rFonts w:ascii="宋体" w:hAnsi="宋体" w:eastAsia="宋体" w:cs="宋体"/>
          <w:b w:val="0"/>
          <w:color w:val="auto"/>
          <w:kern w:val="0"/>
          <w:sz w:val="22"/>
          <w:szCs w:val="22"/>
          <w:highlight w:val="none"/>
        </w:rPr>
        <w:t>双方约定的服务范围及工作内容：</w:t>
      </w:r>
      <w:r>
        <w:rPr>
          <w:rFonts w:hint="eastAsia" w:ascii="宋体" w:hAnsi="宋体" w:eastAsia="宋体" w:cs="宋体"/>
          <w:b/>
          <w:color w:val="auto"/>
          <w:kern w:val="0"/>
          <w:sz w:val="22"/>
          <w:szCs w:val="22"/>
          <w:highlight w:val="none"/>
          <w:u w:val="single"/>
          <w:lang w:val="en-US" w:eastAsia="zh-CN"/>
        </w:rPr>
        <w:t xml:space="preserve">提供（    ）项服务 </w:t>
      </w:r>
      <w:r>
        <w:rPr>
          <w:rFonts w:hint="eastAsia" w:ascii="宋体" w:hAnsi="宋体" w:eastAsia="宋体" w:cs="宋体"/>
          <w:b/>
          <w:color w:val="auto"/>
          <w:kern w:val="0"/>
          <w:sz w:val="22"/>
          <w:szCs w:val="22"/>
          <w:highlight w:val="none"/>
          <w:u w:val="none"/>
          <w:lang w:val="en-US" w:eastAsia="zh-CN"/>
        </w:rPr>
        <w:t>①2025年度鳌江镇建成区苗木养护、补植、绿地修复</w:t>
      </w:r>
      <w:r>
        <w:rPr>
          <w:rFonts w:hint="eastAsia" w:ascii="宋体" w:hAnsi="宋体" w:cs="宋体"/>
          <w:b/>
          <w:color w:val="auto"/>
          <w:kern w:val="0"/>
          <w:sz w:val="22"/>
          <w:szCs w:val="22"/>
          <w:highlight w:val="none"/>
          <w:u w:val="none"/>
          <w:lang w:val="en-US" w:eastAsia="zh-CN"/>
        </w:rPr>
        <w:t>项目</w:t>
      </w:r>
      <w:r>
        <w:rPr>
          <w:rFonts w:hint="eastAsia" w:ascii="宋体" w:hAnsi="宋体" w:eastAsia="宋体" w:cs="宋体"/>
          <w:b/>
          <w:color w:val="auto"/>
          <w:kern w:val="0"/>
          <w:sz w:val="22"/>
          <w:szCs w:val="22"/>
          <w:highlight w:val="none"/>
          <w:u w:val="none"/>
          <w:lang w:val="en-US" w:eastAsia="zh-CN"/>
        </w:rPr>
        <w:t>②2025年度鳌江镇东塘河苗木养护、补植、绿地修复</w:t>
      </w:r>
      <w:r>
        <w:rPr>
          <w:rFonts w:hint="eastAsia" w:ascii="宋体" w:hAnsi="宋体" w:cs="宋体"/>
          <w:b/>
          <w:color w:val="auto"/>
          <w:kern w:val="0"/>
          <w:sz w:val="22"/>
          <w:szCs w:val="22"/>
          <w:highlight w:val="none"/>
          <w:u w:val="none"/>
          <w:lang w:val="en-US" w:eastAsia="zh-CN"/>
        </w:rPr>
        <w:t>项目</w:t>
      </w:r>
      <w:r>
        <w:rPr>
          <w:rFonts w:ascii="宋体" w:hAnsi="宋体" w:eastAsia="宋体" w:cs="宋体"/>
          <w:b w:val="0"/>
          <w:color w:val="auto"/>
          <w:kern w:val="0"/>
          <w:sz w:val="22"/>
          <w:szCs w:val="22"/>
          <w:highlight w:val="none"/>
          <w:u w:val="none"/>
        </w:rPr>
        <w:t>。</w:t>
      </w:r>
    </w:p>
    <w:p w14:paraId="772874A3">
      <w:pPr>
        <w:shd w:val="clear" w:color="auto"/>
        <w:spacing w:line="440" w:lineRule="exact"/>
        <w:ind w:firstLine="440" w:firstLineChars="200"/>
        <w:rPr>
          <w:rFonts w:hint="default" w:ascii="宋体" w:hAnsi="宋体" w:eastAsia="宋体" w:cs="宋体"/>
          <w:b w:val="0"/>
          <w:color w:val="auto"/>
          <w:kern w:val="0"/>
          <w:sz w:val="22"/>
          <w:szCs w:val="22"/>
          <w:highlight w:val="none"/>
          <w:lang w:val="en-US" w:eastAsia="zh-CN"/>
        </w:rPr>
      </w:pPr>
      <w:r>
        <w:rPr>
          <w:rFonts w:hint="eastAsia" w:ascii="宋体" w:hAnsi="宋体" w:cs="宋体"/>
          <w:b w:val="0"/>
          <w:color w:val="auto"/>
          <w:kern w:val="0"/>
          <w:sz w:val="22"/>
          <w:szCs w:val="22"/>
          <w:highlight w:val="none"/>
          <w:lang w:val="en-US" w:eastAsia="zh-CN"/>
        </w:rPr>
        <w:t>合同</w:t>
      </w:r>
      <w:r>
        <w:rPr>
          <w:rFonts w:hint="eastAsia" w:ascii="宋体" w:hAnsi="宋体" w:eastAsia="宋体" w:cs="宋体"/>
          <w:b w:val="0"/>
          <w:color w:val="auto"/>
          <w:kern w:val="0"/>
          <w:sz w:val="22"/>
          <w:szCs w:val="22"/>
          <w:highlight w:val="none"/>
          <w:lang w:val="en-US" w:eastAsia="zh-CN"/>
        </w:rPr>
        <w:t>金额</w:t>
      </w:r>
      <w:r>
        <w:rPr>
          <w:rFonts w:hint="eastAsia" w:ascii="宋体" w:hAnsi="宋体" w:cs="宋体"/>
          <w:b w:val="0"/>
          <w:color w:val="auto"/>
          <w:kern w:val="0"/>
          <w:sz w:val="22"/>
          <w:szCs w:val="22"/>
          <w:highlight w:val="none"/>
          <w:lang w:val="en-US" w:eastAsia="zh-CN"/>
        </w:rPr>
        <w:t>（预算金额）</w:t>
      </w:r>
      <w:r>
        <w:rPr>
          <w:rFonts w:hint="eastAsia" w:ascii="宋体" w:hAnsi="宋体" w:eastAsia="宋体" w:cs="宋体"/>
          <w:b w:val="0"/>
          <w:color w:val="auto"/>
          <w:kern w:val="0"/>
          <w:sz w:val="22"/>
          <w:szCs w:val="22"/>
          <w:highlight w:val="none"/>
          <w:lang w:val="en-US" w:eastAsia="zh-CN"/>
        </w:rPr>
        <w:t>：</w:t>
      </w:r>
      <w:r>
        <w:rPr>
          <w:rFonts w:hint="eastAsia" w:ascii="宋体" w:hAnsi="宋体" w:eastAsia="宋体" w:cs="宋体"/>
          <w:b w:val="0"/>
          <w:color w:val="auto"/>
          <w:kern w:val="0"/>
          <w:sz w:val="22"/>
          <w:szCs w:val="22"/>
          <w:highlight w:val="none"/>
          <w:u w:val="single"/>
          <w:lang w:val="en-US" w:eastAsia="zh-CN"/>
        </w:rPr>
        <w:t xml:space="preserve">        </w:t>
      </w:r>
      <w:r>
        <w:rPr>
          <w:rFonts w:hint="eastAsia" w:ascii="宋体" w:hAnsi="宋体" w:eastAsia="宋体" w:cs="宋体"/>
          <w:b w:val="0"/>
          <w:color w:val="auto"/>
          <w:kern w:val="0"/>
          <w:sz w:val="22"/>
          <w:szCs w:val="22"/>
          <w:highlight w:val="none"/>
          <w:lang w:val="en-US" w:eastAsia="zh-CN"/>
        </w:rPr>
        <w:t>，中标折扣率：</w:t>
      </w:r>
      <w:r>
        <w:rPr>
          <w:rFonts w:hint="eastAsia" w:ascii="宋体" w:hAnsi="宋体" w:eastAsia="宋体" w:cs="宋体"/>
          <w:b w:val="0"/>
          <w:color w:val="auto"/>
          <w:kern w:val="0"/>
          <w:sz w:val="22"/>
          <w:szCs w:val="22"/>
          <w:highlight w:val="none"/>
          <w:u w:val="single"/>
          <w:lang w:val="en-US" w:eastAsia="zh-CN"/>
        </w:rPr>
        <w:t xml:space="preserve">        。</w:t>
      </w:r>
    </w:p>
    <w:p w14:paraId="58A8F9B8">
      <w:pPr>
        <w:keepNext w:val="0"/>
        <w:keepLines w:val="0"/>
        <w:pageBreakBefore w:val="0"/>
        <w:widowControl/>
        <w:numPr>
          <w:ilvl w:val="0"/>
          <w:numId w:val="0"/>
        </w:numPr>
        <w:shd w:val="clear" w:color="auto"/>
        <w:kinsoku/>
        <w:wordWrap/>
        <w:overflowPunct/>
        <w:topLinePunct w:val="0"/>
        <w:autoSpaceDE/>
        <w:autoSpaceDN/>
        <w:bidi w:val="0"/>
        <w:adjustRightInd/>
        <w:spacing w:line="430" w:lineRule="exact"/>
        <w:textAlignment w:val="auto"/>
        <w:rPr>
          <w:rFonts w:hint="eastAsia" w:ascii="仿宋_GB2312" w:hAnsi="仿宋_GB2312" w:eastAsia="宋体"/>
          <w:b/>
          <w:color w:val="auto"/>
          <w:kern w:val="0"/>
          <w:sz w:val="22"/>
          <w:szCs w:val="22"/>
          <w:highlight w:val="none"/>
          <w:lang w:eastAsia="zh-CN" w:bidi="ar"/>
        </w:rPr>
      </w:pPr>
      <w:r>
        <w:rPr>
          <w:rFonts w:hint="eastAsia" w:ascii="仿宋_GB2312" w:hAnsi="仿宋_GB2312"/>
          <w:b/>
          <w:color w:val="auto"/>
          <w:kern w:val="0"/>
          <w:sz w:val="22"/>
          <w:szCs w:val="22"/>
          <w:highlight w:val="none"/>
          <w:lang w:val="en-US" w:eastAsia="zh-CN" w:bidi="ar"/>
        </w:rPr>
        <w:t>三、</w:t>
      </w:r>
      <w:r>
        <w:rPr>
          <w:rFonts w:ascii="仿宋_GB2312" w:hAnsi="仿宋_GB2312"/>
          <w:b/>
          <w:color w:val="auto"/>
          <w:kern w:val="0"/>
          <w:sz w:val="22"/>
          <w:szCs w:val="22"/>
          <w:highlight w:val="none"/>
          <w:lang w:bidi="ar"/>
        </w:rPr>
        <w:t>养护范围:</w:t>
      </w:r>
      <w:r>
        <w:rPr>
          <w:rFonts w:hint="eastAsia" w:ascii="仿宋_GB2312" w:hAnsi="仿宋_GB2312"/>
          <w:b/>
          <w:color w:val="auto"/>
          <w:kern w:val="0"/>
          <w:sz w:val="22"/>
          <w:szCs w:val="22"/>
          <w:highlight w:val="none"/>
          <w:lang w:eastAsia="zh-CN" w:bidi="ar"/>
        </w:rPr>
        <w:t>（</w:t>
      </w:r>
      <w:r>
        <w:rPr>
          <w:rFonts w:hint="eastAsia" w:ascii="仿宋_GB2312" w:hAnsi="仿宋_GB2312"/>
          <w:b/>
          <w:color w:val="auto"/>
          <w:kern w:val="0"/>
          <w:sz w:val="22"/>
          <w:szCs w:val="22"/>
          <w:highlight w:val="none"/>
          <w:lang w:val="en-US" w:eastAsia="zh-CN" w:bidi="ar"/>
        </w:rPr>
        <w:t>按实际签订标项为准</w:t>
      </w:r>
      <w:r>
        <w:rPr>
          <w:rFonts w:hint="eastAsia" w:ascii="仿宋_GB2312" w:hAnsi="仿宋_GB2312"/>
          <w:b/>
          <w:color w:val="auto"/>
          <w:kern w:val="0"/>
          <w:sz w:val="22"/>
          <w:szCs w:val="22"/>
          <w:highlight w:val="none"/>
          <w:lang w:eastAsia="zh-CN" w:bidi="ar"/>
        </w:rPr>
        <w:t>）</w:t>
      </w:r>
    </w:p>
    <w:p w14:paraId="56D0AF86">
      <w:pPr>
        <w:numPr>
          <w:ilvl w:val="0"/>
          <w:numId w:val="0"/>
        </w:numPr>
        <w:shd w:val="clear" w:color="auto"/>
        <w:snapToGrid w:val="0"/>
        <w:spacing w:line="360" w:lineRule="auto"/>
        <w:ind w:left="402" w:leftChars="0"/>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（一）标项一：</w:t>
      </w:r>
    </w:p>
    <w:p w14:paraId="14693E7C">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绿化养护范围：绿化养护范围：包括但不限于2025年鳌江镇建成区、镇政府门口、浙鳌前养护、润德医院至火车站出口、站前A区三角绿地中间绿地、广场路绿地、兴鳌东路（名人酒吧）、柳下路与兴鳌路交叉口钟桥边、胜利路两侧、环城路与柳下路交叉口、曙光路与曙光东路交叉口、老人公寓边、柳浪花坛、曙光路（新移交）、曙光路与育才街交叉口、超风机械前、边防派出所、七小、七小南侧及七小北侧、南门胜利路、联合审批局（老）、东河村路边、店下老人亭、鳌江公园、兴鳌西路中医院前树池养护、鞋城垃圾转运站边（1）、鞋城垃圾转运站边（2）、海关停车广场、文苑小区小公园、浙鳌高中、动车站站前片区养护、欧南大桥、曾宅河边绿化养护、香缇原墅、东河临时生态停车场、游步道一期、纬二路、经五路、镇安路、文体中心楼上、人大屋顶、西桥村滨水小公园、明珠广场、兴鳌东路延伸段、兴鳌中路、锦东嘉苑、欧南大桥上、新镇内苗木、鳌江镇旧城五期改建工程周围道路一侧苗木、鳌江镇蓝田花苑建设项目昆鳌大道一侧苗木、标准段沿堤坝侧绿化、河滨堤对面、平阳县鳌江镇九叠河生态公园景观工程二期（港口公园）、公园路、老镇、横河、园林东路老人院前、蔡落桥、曙东生活区、死株处理、补植、清理石头等杂物（兴鳌东路、环城路、园林路等）、下埕公园对面停车场、常绿树修剪残枝运费及堆放（一年）、河边公园水泵含日常维护及维修、务垟苗木场杀虫、除草整理等事宜、花架，坐凳，设施清洗、苗木胸径15以上重剪、园林路榕树简单造型（750株含清理运费、安全设施设备树枝处理等等一切费用）、兴鳌中路、环城路重剪、河边栏杆外野树处理、其他需甲方同意确认的正常二级绿地养护、补植养护及补植工作内容以外的临时应急任务、墨城堆场管理等。详见养护内容。</w:t>
      </w:r>
    </w:p>
    <w:p w14:paraId="098D46C7">
      <w:pPr>
        <w:shd w:val="clear" w:color="auto"/>
        <w:snapToGrid w:val="0"/>
        <w:spacing w:line="360" w:lineRule="auto"/>
        <w:ind w:firstLine="440" w:firstLineChars="200"/>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1.本项目地点常年处在开放状态，人流量较大，人员构成复杂。</w:t>
      </w:r>
    </w:p>
    <w:p w14:paraId="34440A36">
      <w:pPr>
        <w:shd w:val="clear" w:color="auto"/>
        <w:snapToGrid w:val="0"/>
        <w:spacing w:line="360" w:lineRule="auto"/>
        <w:ind w:firstLine="440" w:firstLineChars="200"/>
        <w:rPr>
          <w:rFonts w:hint="default"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2.本次养护内容具体包括养护范围内乔灌木、地被植物、草坪、养护范围内的养护全部内容；内容如下：</w:t>
      </w:r>
    </w:p>
    <w:tbl>
      <w:tblPr>
        <w:tblStyle w:val="13"/>
        <w:tblW w:w="9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4013"/>
        <w:gridCol w:w="973"/>
        <w:gridCol w:w="1041"/>
        <w:gridCol w:w="1155"/>
        <w:gridCol w:w="1342"/>
      </w:tblGrid>
      <w:tr w14:paraId="1A4F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6D63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4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E979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工程名称</w:t>
            </w:r>
          </w:p>
        </w:tc>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FFD1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89C7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最高限价(元)</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B699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预估数量</w:t>
            </w:r>
          </w:p>
        </w:tc>
        <w:tc>
          <w:tcPr>
            <w:tcW w:w="13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5538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综合单价最高限价</w:t>
            </w:r>
            <w:r>
              <w:rPr>
                <w:rFonts w:hint="eastAsia" w:ascii="宋体" w:hAnsi="宋体" w:eastAsia="宋体" w:cs="宋体"/>
                <w:i w:val="0"/>
                <w:iCs w:val="0"/>
                <w:color w:val="auto"/>
                <w:kern w:val="0"/>
                <w:sz w:val="22"/>
                <w:szCs w:val="22"/>
                <w:highlight w:val="none"/>
                <w:u w:val="none"/>
                <w:lang w:val="en-US" w:eastAsia="zh-CN" w:bidi="ar"/>
              </w:rPr>
              <w:t>(元)</w:t>
            </w:r>
          </w:p>
        </w:tc>
      </w:tr>
      <w:tr w14:paraId="09423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D27DF">
            <w:pPr>
              <w:shd w:val="clear"/>
              <w:jc w:val="center"/>
              <w:rPr>
                <w:rFonts w:hint="eastAsia" w:ascii="宋体" w:hAnsi="宋体" w:eastAsia="宋体" w:cs="宋体"/>
                <w:i w:val="0"/>
                <w:iCs w:val="0"/>
                <w:color w:val="auto"/>
                <w:sz w:val="22"/>
                <w:szCs w:val="22"/>
                <w:highlight w:val="none"/>
                <w:u w:val="none"/>
              </w:rPr>
            </w:pPr>
          </w:p>
        </w:tc>
        <w:tc>
          <w:tcPr>
            <w:tcW w:w="4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459E5">
            <w:pPr>
              <w:shd w:val="clear"/>
              <w:jc w:val="center"/>
              <w:rPr>
                <w:rFonts w:hint="eastAsia" w:ascii="宋体" w:hAnsi="宋体" w:eastAsia="宋体" w:cs="宋体"/>
                <w:i w:val="0"/>
                <w:iCs w:val="0"/>
                <w:color w:val="auto"/>
                <w:sz w:val="22"/>
                <w:szCs w:val="22"/>
                <w:highlight w:val="none"/>
                <w:u w:val="none"/>
              </w:rPr>
            </w:pPr>
          </w:p>
        </w:tc>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7D96E">
            <w:pPr>
              <w:shd w:val="clear"/>
              <w:jc w:val="center"/>
              <w:rPr>
                <w:rFonts w:hint="eastAsia" w:ascii="宋体" w:hAnsi="宋体" w:eastAsia="宋体" w:cs="宋体"/>
                <w:i w:val="0"/>
                <w:iCs w:val="0"/>
                <w:color w:val="auto"/>
                <w:sz w:val="22"/>
                <w:szCs w:val="22"/>
                <w:highlight w:val="none"/>
                <w:u w:val="none"/>
              </w:rPr>
            </w:pP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CC95">
            <w:pPr>
              <w:shd w:val="clear"/>
              <w:jc w:val="center"/>
              <w:rPr>
                <w:rFonts w:hint="eastAsia" w:ascii="宋体" w:hAnsi="宋体" w:eastAsia="宋体" w:cs="宋体"/>
                <w:i w:val="0"/>
                <w:iCs w:val="0"/>
                <w:color w:val="auto"/>
                <w:sz w:val="22"/>
                <w:szCs w:val="22"/>
                <w:highlight w:val="none"/>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BD551">
            <w:pPr>
              <w:shd w:val="clear"/>
              <w:jc w:val="center"/>
              <w:rPr>
                <w:rFonts w:hint="eastAsia" w:ascii="宋体" w:hAnsi="宋体" w:eastAsia="宋体" w:cs="宋体"/>
                <w:i w:val="0"/>
                <w:iCs w:val="0"/>
                <w:color w:val="auto"/>
                <w:sz w:val="22"/>
                <w:szCs w:val="22"/>
                <w:highlight w:val="none"/>
                <w:u w:val="none"/>
              </w:rPr>
            </w:pPr>
          </w:p>
        </w:tc>
        <w:tc>
          <w:tcPr>
            <w:tcW w:w="13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CA430">
            <w:pPr>
              <w:shd w:val="clear"/>
              <w:jc w:val="center"/>
              <w:rPr>
                <w:rFonts w:hint="eastAsia" w:ascii="宋体" w:hAnsi="宋体" w:eastAsia="宋体" w:cs="宋体"/>
                <w:i w:val="0"/>
                <w:iCs w:val="0"/>
                <w:color w:val="auto"/>
                <w:sz w:val="22"/>
                <w:szCs w:val="22"/>
                <w:highlight w:val="none"/>
                <w:u w:val="none"/>
              </w:rPr>
            </w:pPr>
          </w:p>
        </w:tc>
      </w:tr>
      <w:tr w14:paraId="44E32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25F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DC2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养护</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52E2">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3A4A">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4765">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12F7">
            <w:pPr>
              <w:shd w:val="clear"/>
              <w:jc w:val="right"/>
              <w:rPr>
                <w:rFonts w:hint="eastAsia" w:ascii="宋体" w:hAnsi="宋体" w:eastAsia="宋体" w:cs="宋体"/>
                <w:i w:val="0"/>
                <w:iCs w:val="0"/>
                <w:color w:val="auto"/>
                <w:sz w:val="22"/>
                <w:szCs w:val="22"/>
                <w:highlight w:val="none"/>
                <w:u w:val="none"/>
              </w:rPr>
            </w:pPr>
          </w:p>
        </w:tc>
      </w:tr>
      <w:tr w14:paraId="17090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154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FB3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10以内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28B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F84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6AE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2808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F9E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87048.00</w:t>
            </w:r>
          </w:p>
        </w:tc>
      </w:tr>
      <w:tr w14:paraId="044A8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CEC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965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10-20以内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90D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463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5F8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9155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099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512680.00</w:t>
            </w:r>
          </w:p>
        </w:tc>
      </w:tr>
      <w:tr w14:paraId="28B09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21F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CD7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20-30以内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624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294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C0F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2378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405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206886.00</w:t>
            </w:r>
          </w:p>
        </w:tc>
      </w:tr>
      <w:tr w14:paraId="20785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1DC7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3A7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胸径（cm)30-40以内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0C4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1D6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6A1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215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977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25370.00</w:t>
            </w:r>
          </w:p>
        </w:tc>
      </w:tr>
      <w:tr w14:paraId="22AC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FE6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380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40-60以内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ADC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B24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0E5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141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1C8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21573.00</w:t>
            </w:r>
          </w:p>
        </w:tc>
      </w:tr>
      <w:tr w14:paraId="0400A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190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D94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60-80以内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72D0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446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A8F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3E5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4122</w:t>
            </w:r>
          </w:p>
        </w:tc>
      </w:tr>
      <w:tr w14:paraId="3097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2F3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A7DD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高度（cm以内） 50-100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A39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D8E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47F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20484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972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40968.00</w:t>
            </w:r>
          </w:p>
        </w:tc>
      </w:tr>
      <w:tr w14:paraId="287C7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68D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686C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高度（cm以内） 100-150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8DD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554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1F3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332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062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996</w:t>
            </w:r>
          </w:p>
        </w:tc>
      </w:tr>
      <w:tr w14:paraId="2376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F97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984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150-200以内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232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174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3C1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182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C6A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910.00</w:t>
            </w:r>
          </w:p>
        </w:tc>
      </w:tr>
      <w:tr w14:paraId="0C23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6C9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EF4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200-250以内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FE2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1E2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3D4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47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BE1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376.00</w:t>
            </w:r>
          </w:p>
        </w:tc>
      </w:tr>
      <w:tr w14:paraId="4648E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CC4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E9D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250以上</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A45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D40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6C1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1CF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r>
      <w:tr w14:paraId="10DB6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046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EA4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60-100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4BF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B19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D43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91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735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910.00</w:t>
            </w:r>
          </w:p>
        </w:tc>
      </w:tr>
      <w:tr w14:paraId="482BD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855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BB2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100-150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8CE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092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A41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294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EF3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4704.00</w:t>
            </w:r>
          </w:p>
        </w:tc>
      </w:tr>
      <w:tr w14:paraId="6E606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BD7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85F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150-200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F59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521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1D1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1806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24D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45150.00</w:t>
            </w:r>
          </w:p>
        </w:tc>
      </w:tr>
      <w:tr w14:paraId="17C5B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74D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42C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300以内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7646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1C9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69B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96E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49.00</w:t>
            </w:r>
          </w:p>
        </w:tc>
      </w:tr>
      <w:tr w14:paraId="59966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461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F96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攀缘植物养护 攀缘植物生长年数3年内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D86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66E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7F6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41F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30.00</w:t>
            </w:r>
          </w:p>
        </w:tc>
      </w:tr>
      <w:tr w14:paraId="6C56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CDE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30D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片植灌木 常绿</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883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827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2B3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39286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010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314288.00</w:t>
            </w:r>
          </w:p>
        </w:tc>
      </w:tr>
      <w:tr w14:paraId="1CDA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F79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648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草坪 暖地型</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75D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048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0EE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65677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0A6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656770.00</w:t>
            </w:r>
          </w:p>
        </w:tc>
      </w:tr>
      <w:tr w14:paraId="71002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874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345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地被植物 覆盖面积</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5F4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7AB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4F6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18346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4AB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55038.00</w:t>
            </w:r>
          </w:p>
        </w:tc>
      </w:tr>
      <w:tr w14:paraId="2041D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758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127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攀援植物 覆盖面积</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FEE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B02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71A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180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A69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2700</w:t>
            </w:r>
          </w:p>
        </w:tc>
      </w:tr>
      <w:tr w14:paraId="034E2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406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1A7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散生竹</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92A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4CB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424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13C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275.00</w:t>
            </w:r>
          </w:p>
        </w:tc>
      </w:tr>
      <w:tr w14:paraId="1CC60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37D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79F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单排绿篱 高度(cm) 100-150以内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A63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556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543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E05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r>
      <w:tr w14:paraId="7D1C0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958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24F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文体中心楼上</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6986">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A782">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405C">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0C59">
            <w:pPr>
              <w:shd w:val="clear"/>
              <w:jc w:val="right"/>
              <w:rPr>
                <w:rFonts w:hint="eastAsia" w:ascii="宋体" w:hAnsi="宋体" w:eastAsia="宋体" w:cs="宋体"/>
                <w:i w:val="0"/>
                <w:iCs w:val="0"/>
                <w:color w:val="auto"/>
                <w:sz w:val="22"/>
                <w:szCs w:val="22"/>
                <w:highlight w:val="none"/>
                <w:u w:val="none"/>
              </w:rPr>
            </w:pPr>
          </w:p>
        </w:tc>
      </w:tr>
      <w:tr w14:paraId="7832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946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2EB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文体中心楼上绿化养护总价包干</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C17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D6E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1559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C91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CA4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1559.00</w:t>
            </w:r>
          </w:p>
        </w:tc>
      </w:tr>
      <w:tr w14:paraId="19C10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1D0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327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欧南大桥上</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362F">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DA9E">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4458">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4E40">
            <w:pPr>
              <w:shd w:val="clear"/>
              <w:jc w:val="right"/>
              <w:rPr>
                <w:rFonts w:hint="eastAsia" w:ascii="宋体" w:hAnsi="宋体" w:eastAsia="宋体" w:cs="宋体"/>
                <w:i w:val="0"/>
                <w:iCs w:val="0"/>
                <w:color w:val="auto"/>
                <w:sz w:val="22"/>
                <w:szCs w:val="22"/>
                <w:highlight w:val="none"/>
                <w:u w:val="none"/>
              </w:rPr>
            </w:pPr>
          </w:p>
        </w:tc>
      </w:tr>
      <w:tr w14:paraId="22721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F681">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DBA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自动喷灌等设施更换、检修维护</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E0C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2A5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58D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262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500</w:t>
            </w:r>
          </w:p>
        </w:tc>
      </w:tr>
      <w:tr w14:paraId="3BA2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58F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E5F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其他</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9907">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6A83">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5AF2">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449B">
            <w:pPr>
              <w:shd w:val="clear"/>
              <w:jc w:val="right"/>
              <w:rPr>
                <w:rFonts w:hint="eastAsia" w:ascii="宋体" w:hAnsi="宋体" w:eastAsia="宋体" w:cs="宋体"/>
                <w:i w:val="0"/>
                <w:iCs w:val="0"/>
                <w:color w:val="auto"/>
                <w:sz w:val="22"/>
                <w:szCs w:val="22"/>
                <w:highlight w:val="none"/>
                <w:u w:val="none"/>
              </w:rPr>
            </w:pPr>
          </w:p>
        </w:tc>
      </w:tr>
      <w:tr w14:paraId="18E1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E62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E2D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造型榕胸径（cm）60cm内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70C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E9F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9DE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8C5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204.00</w:t>
            </w:r>
          </w:p>
        </w:tc>
      </w:tr>
      <w:tr w14:paraId="79773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D02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58D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老镇</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3AF7">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81AD">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B661">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31BE">
            <w:pPr>
              <w:shd w:val="clear"/>
              <w:jc w:val="right"/>
              <w:rPr>
                <w:rFonts w:hint="eastAsia" w:ascii="宋体" w:hAnsi="宋体" w:eastAsia="宋体" w:cs="宋体"/>
                <w:i w:val="0"/>
                <w:iCs w:val="0"/>
                <w:color w:val="auto"/>
                <w:sz w:val="22"/>
                <w:szCs w:val="22"/>
                <w:highlight w:val="none"/>
                <w:u w:val="none"/>
              </w:rPr>
            </w:pPr>
          </w:p>
        </w:tc>
      </w:tr>
      <w:tr w14:paraId="5747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CE5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D31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楼顶养护包干价</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561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259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78E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188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2000.00</w:t>
            </w:r>
          </w:p>
        </w:tc>
      </w:tr>
      <w:tr w14:paraId="468CD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5D4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EAA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1EB5">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9219">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DBF3">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EDB1">
            <w:pPr>
              <w:shd w:val="clear"/>
              <w:jc w:val="right"/>
              <w:rPr>
                <w:rFonts w:hint="eastAsia" w:ascii="宋体" w:hAnsi="宋体" w:eastAsia="宋体" w:cs="宋体"/>
                <w:i w:val="0"/>
                <w:iCs w:val="0"/>
                <w:color w:val="auto"/>
                <w:sz w:val="22"/>
                <w:szCs w:val="22"/>
                <w:highlight w:val="none"/>
                <w:u w:val="none"/>
              </w:rPr>
            </w:pPr>
          </w:p>
        </w:tc>
      </w:tr>
      <w:tr w14:paraId="35533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335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817D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起挖乔木（带土球）胸径（cm）11以内`基价*0.3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972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E13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223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7D5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5700.00</w:t>
            </w:r>
          </w:p>
        </w:tc>
      </w:tr>
      <w:tr w14:paraId="32220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618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4BEF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起挖乔木（带土球）胸径（cm）11-20以内`基价*0.3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476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7B9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69B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578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15200.00</w:t>
            </w:r>
          </w:p>
        </w:tc>
      </w:tr>
      <w:tr w14:paraId="0946D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386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949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大树起挖（带土球）胸径（cm）25-35以内`基价*0.3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508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B80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047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681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42900.00</w:t>
            </w:r>
          </w:p>
        </w:tc>
      </w:tr>
      <w:tr w14:paraId="361AA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1B8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81A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死株处理胸径（cm）10以内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38E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545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3A2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A91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800.00</w:t>
            </w:r>
          </w:p>
        </w:tc>
      </w:tr>
      <w:tr w14:paraId="28462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680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0ED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死株处理胸径（cm）10-20以内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37F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0226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2A4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7B1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1100.00</w:t>
            </w:r>
          </w:p>
        </w:tc>
      </w:tr>
      <w:tr w14:paraId="30B78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92F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0B5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死株处理胸径（cm）20-30以内</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C41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285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5D6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D21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1600.00</w:t>
            </w:r>
          </w:p>
        </w:tc>
      </w:tr>
      <w:tr w14:paraId="3273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30D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1C4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补植</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25141">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C74F0">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55AC">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CD7C">
            <w:pPr>
              <w:shd w:val="clear"/>
              <w:jc w:val="right"/>
              <w:rPr>
                <w:rFonts w:hint="eastAsia" w:ascii="宋体" w:hAnsi="宋体" w:eastAsia="宋体" w:cs="宋体"/>
                <w:i w:val="0"/>
                <w:iCs w:val="0"/>
                <w:color w:val="auto"/>
                <w:sz w:val="22"/>
                <w:szCs w:val="22"/>
                <w:highlight w:val="none"/>
                <w:u w:val="none"/>
              </w:rPr>
            </w:pPr>
          </w:p>
        </w:tc>
      </w:tr>
      <w:tr w14:paraId="50CFA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502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4A52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 香樟 胸径（cm）10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58A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B5E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A0E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088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32060.00</w:t>
            </w:r>
          </w:p>
        </w:tc>
      </w:tr>
      <w:tr w14:paraId="34A3C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E11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2BC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栽植香樟 胸径（cm）10-15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428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F73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8D5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35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42D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69930.00</w:t>
            </w:r>
          </w:p>
        </w:tc>
      </w:tr>
      <w:tr w14:paraId="34BE0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12F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BBB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栽植桂花 地径（cm）6 金桂 地径（cm）6</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DB3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E01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F3F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537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12840.00</w:t>
            </w:r>
          </w:p>
        </w:tc>
      </w:tr>
      <w:tr w14:paraId="6C132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ABB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57E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栽植桂花 地径（cm）10 金桂 地径（cm）10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04C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236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957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39C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60E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38280.00</w:t>
            </w:r>
          </w:p>
        </w:tc>
      </w:tr>
      <w:tr w14:paraId="07036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57B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84E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栽植桂花 地径（cm以内）15 金桂 地径（cm）15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415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107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3230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C48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12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6D8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38760.00</w:t>
            </w:r>
          </w:p>
        </w:tc>
      </w:tr>
      <w:tr w14:paraId="493CD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6F0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EC8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栽植草皮满铺-马尼拉草</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7BF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D44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75A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3550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86C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110050.00</w:t>
            </w:r>
          </w:p>
        </w:tc>
      </w:tr>
      <w:tr w14:paraId="285B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629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6D1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栽植樱花D10cm</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5DF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FB0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4DA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62A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82600</w:t>
            </w:r>
          </w:p>
        </w:tc>
      </w:tr>
      <w:tr w14:paraId="766F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00E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13B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地被植物片植[丛（株）/</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]-麦冬49丛/</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 xml:space="preserve"> 3-5芽/丛</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308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8D7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D4E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1540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576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98560</w:t>
            </w:r>
          </w:p>
        </w:tc>
      </w:tr>
      <w:tr w14:paraId="3E565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783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7.9</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BD0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撒播草籽</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B0F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285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1CC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1000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8A7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7500</w:t>
            </w:r>
          </w:p>
        </w:tc>
      </w:tr>
      <w:tr w14:paraId="34CEE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A7B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7F8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综合部分</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6E28">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A432">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120A">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78CF">
            <w:pPr>
              <w:shd w:val="clear"/>
              <w:jc w:val="right"/>
              <w:rPr>
                <w:rFonts w:hint="eastAsia" w:ascii="宋体" w:hAnsi="宋体" w:eastAsia="宋体" w:cs="宋体"/>
                <w:i w:val="0"/>
                <w:iCs w:val="0"/>
                <w:color w:val="auto"/>
                <w:sz w:val="22"/>
                <w:szCs w:val="22"/>
                <w:highlight w:val="none"/>
                <w:u w:val="none"/>
              </w:rPr>
            </w:pPr>
          </w:p>
        </w:tc>
      </w:tr>
      <w:tr w14:paraId="3E504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F2F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877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清理石头等杂物（兴鳌东路、环城路、园林路等）</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FD1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工日</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7B2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B40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00A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9600.00</w:t>
            </w:r>
          </w:p>
        </w:tc>
      </w:tr>
      <w:tr w14:paraId="1F9F0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ED81">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E309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 常绿树修剪残枝运费及堆放（一年）</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FAD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94D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32E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769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33000.00</w:t>
            </w:r>
          </w:p>
        </w:tc>
      </w:tr>
      <w:tr w14:paraId="0D74C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C99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7E2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包干价(不下浮）河边公园水泵含日常维护及维修</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5D2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A13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A5E8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3C3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3200.00</w:t>
            </w:r>
          </w:p>
        </w:tc>
      </w:tr>
      <w:tr w14:paraId="55FB7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E21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8.4</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415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包干价务垟苗木场杀虫、除草整理等事宜</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E27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6BB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1DC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E11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12000.00</w:t>
            </w:r>
          </w:p>
        </w:tc>
      </w:tr>
      <w:tr w14:paraId="2B762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EDE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8.5</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DF1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包干价花架，坐凳，设施清洗</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608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DC2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00E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CD8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6000.00</w:t>
            </w:r>
          </w:p>
        </w:tc>
      </w:tr>
      <w:tr w14:paraId="63CE4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D61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0BA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苗木胸径15以上重剪、园林路榕树简单造型（750株含清理运费、安全设施设备树枝处理等等一切费用）</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B54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4E6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706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2DB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100000.00</w:t>
            </w:r>
          </w:p>
        </w:tc>
      </w:tr>
      <w:tr w14:paraId="7D381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14D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D38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兴鳌中路、环城路重剪</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A57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BEF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858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8CA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60000.00</w:t>
            </w:r>
          </w:p>
        </w:tc>
      </w:tr>
      <w:tr w14:paraId="762D5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C7B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F4B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包干价河边栏杆外野树处理</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61F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648A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7406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9D7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CC0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7406.00</w:t>
            </w:r>
          </w:p>
        </w:tc>
      </w:tr>
      <w:tr w14:paraId="2A3E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E2D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F90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其他（正常二级绿地养护、补植养护及补植工作内容以外的临时应急任务，需甲方同意确认）</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71FF">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BC12">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4A54">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8F75">
            <w:pPr>
              <w:shd w:val="clear"/>
              <w:jc w:val="right"/>
              <w:rPr>
                <w:rFonts w:hint="eastAsia" w:ascii="宋体" w:hAnsi="宋体" w:eastAsia="宋体" w:cs="宋体"/>
                <w:i w:val="0"/>
                <w:iCs w:val="0"/>
                <w:color w:val="auto"/>
                <w:sz w:val="22"/>
                <w:szCs w:val="22"/>
                <w:highlight w:val="none"/>
                <w:u w:val="none"/>
              </w:rPr>
            </w:pPr>
          </w:p>
        </w:tc>
      </w:tr>
      <w:tr w14:paraId="36A2E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A1A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70C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吊机</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774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9A0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3270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609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7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820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22890.00</w:t>
            </w:r>
          </w:p>
        </w:tc>
      </w:tr>
      <w:tr w14:paraId="6F8AE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EB9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3D2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拖拉机</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A3D7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DEB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A89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7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9016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9156.00</w:t>
            </w:r>
          </w:p>
        </w:tc>
      </w:tr>
      <w:tr w14:paraId="16C9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571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3AD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人工</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BA0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工日</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7AA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067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80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A81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19200.00</w:t>
            </w:r>
          </w:p>
        </w:tc>
      </w:tr>
      <w:tr w14:paraId="3BAE6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898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A95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墨城堆场管理</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73DB">
            <w:pPr>
              <w:shd w:val="clear"/>
              <w:jc w:val="left"/>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6BFE">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8B8C">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685C">
            <w:pPr>
              <w:shd w:val="clear"/>
              <w:jc w:val="right"/>
              <w:rPr>
                <w:rFonts w:hint="eastAsia" w:ascii="宋体" w:hAnsi="宋体" w:eastAsia="宋体" w:cs="宋体"/>
                <w:i w:val="0"/>
                <w:iCs w:val="0"/>
                <w:color w:val="auto"/>
                <w:sz w:val="22"/>
                <w:szCs w:val="22"/>
                <w:highlight w:val="none"/>
                <w:u w:val="none"/>
              </w:rPr>
            </w:pPr>
          </w:p>
        </w:tc>
      </w:tr>
      <w:tr w14:paraId="5AE95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58E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10.1</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320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人工</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2D5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工日</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6FE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1609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75.00</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A2B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18000.00</w:t>
            </w:r>
          </w:p>
        </w:tc>
      </w:tr>
      <w:tr w14:paraId="379EB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D75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10.2</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A0D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铲车</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265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91D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8BB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20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437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15000.00</w:t>
            </w:r>
          </w:p>
        </w:tc>
      </w:tr>
      <w:tr w14:paraId="46419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F56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10.3</w:t>
            </w:r>
          </w:p>
        </w:tc>
        <w:tc>
          <w:tcPr>
            <w:tcW w:w="4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73F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堆场内卫生、设施养护、场地内包干价</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FFD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923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04E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DFA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3000.00</w:t>
            </w:r>
          </w:p>
        </w:tc>
      </w:tr>
      <w:tr w14:paraId="76523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4FD8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合计</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2440D4">
            <w:pPr>
              <w:shd w:val="clear"/>
              <w:rPr>
                <w:rFonts w:hint="eastAsia" w:ascii="宋体" w:hAnsi="宋体" w:eastAsia="宋体" w:cs="宋体"/>
                <w:i w:val="0"/>
                <w:iCs w:val="0"/>
                <w:color w:val="auto"/>
                <w:sz w:val="22"/>
                <w:szCs w:val="22"/>
                <w:highlight w:val="none"/>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6114">
            <w:pPr>
              <w:shd w:val="clear"/>
              <w:jc w:val="right"/>
              <w:rPr>
                <w:rFonts w:hint="eastAsia" w:ascii="宋体" w:hAnsi="宋体" w:eastAsia="宋体" w:cs="宋体"/>
                <w:i w:val="0"/>
                <w:iCs w:val="0"/>
                <w:color w:val="auto"/>
                <w:sz w:val="22"/>
                <w:szCs w:val="22"/>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656D">
            <w:pPr>
              <w:shd w:val="clear"/>
              <w:jc w:val="right"/>
              <w:rPr>
                <w:rFonts w:hint="eastAsia" w:ascii="宋体" w:hAnsi="宋体" w:eastAsia="宋体" w:cs="宋体"/>
                <w:i w:val="0"/>
                <w:iCs w:val="0"/>
                <w:color w:val="auto"/>
                <w:sz w:val="22"/>
                <w:szCs w:val="22"/>
                <w:highlight w:val="none"/>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AD1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2861500</w:t>
            </w:r>
          </w:p>
        </w:tc>
      </w:tr>
    </w:tbl>
    <w:p w14:paraId="4A07E9E7">
      <w:pPr>
        <w:shd w:val="clear" w:color="auto"/>
        <w:adjustRightInd w:val="0"/>
        <w:snapToGrid w:val="0"/>
        <w:spacing w:line="360" w:lineRule="auto"/>
        <w:ind w:firstLine="440" w:firstLineChars="200"/>
        <w:rPr>
          <w:rFonts w:hint="default" w:ascii="仿宋_GB2312" w:hAnsi="仿宋_GB2312" w:eastAsia="宋体" w:cs="Times New Roman"/>
          <w:b/>
          <w:bCs w:val="0"/>
          <w:color w:val="auto"/>
          <w:kern w:val="0"/>
          <w:sz w:val="22"/>
          <w:szCs w:val="22"/>
          <w:highlight w:val="none"/>
          <w:lang w:val="en-US" w:eastAsia="zh-CN"/>
        </w:rPr>
      </w:pPr>
      <w:r>
        <w:rPr>
          <w:rFonts w:hint="eastAsia" w:ascii="仿宋_GB2312" w:hAnsi="仿宋_GB2312" w:eastAsia="宋体" w:cs="Times New Roman"/>
          <w:b w:val="0"/>
          <w:bCs/>
          <w:color w:val="auto"/>
          <w:kern w:val="0"/>
          <w:sz w:val="22"/>
          <w:szCs w:val="20"/>
          <w:highlight w:val="none"/>
        </w:rPr>
        <w:t>注：上述</w:t>
      </w:r>
      <w:r>
        <w:rPr>
          <w:rFonts w:hint="eastAsia" w:ascii="仿宋_GB2312" w:hAnsi="仿宋_GB2312" w:eastAsia="宋体" w:cs="Times New Roman"/>
          <w:b w:val="0"/>
          <w:bCs/>
          <w:color w:val="auto"/>
          <w:kern w:val="0"/>
          <w:sz w:val="22"/>
          <w:szCs w:val="20"/>
          <w:highlight w:val="none"/>
          <w:lang w:val="en-US" w:eastAsia="zh-CN"/>
        </w:rPr>
        <w:t>清单</w:t>
      </w:r>
      <w:r>
        <w:rPr>
          <w:rFonts w:hint="eastAsia" w:ascii="仿宋_GB2312" w:hAnsi="仿宋_GB2312" w:eastAsia="宋体" w:cs="Times New Roman"/>
          <w:b w:val="0"/>
          <w:bCs/>
          <w:color w:val="auto"/>
          <w:kern w:val="0"/>
          <w:sz w:val="22"/>
          <w:szCs w:val="20"/>
          <w:highlight w:val="none"/>
        </w:rPr>
        <w:t>均为预计清单，具体应按实际</w:t>
      </w:r>
      <w:r>
        <w:rPr>
          <w:rFonts w:hint="eastAsia" w:ascii="仿宋_GB2312" w:hAnsi="仿宋_GB2312" w:eastAsia="宋体" w:cs="Times New Roman"/>
          <w:b w:val="0"/>
          <w:bCs/>
          <w:color w:val="auto"/>
          <w:kern w:val="0"/>
          <w:sz w:val="22"/>
          <w:szCs w:val="20"/>
          <w:highlight w:val="none"/>
          <w:lang w:val="en-US" w:eastAsia="zh-CN"/>
        </w:rPr>
        <w:t>情况</w:t>
      </w:r>
      <w:r>
        <w:rPr>
          <w:rFonts w:hint="eastAsia" w:ascii="仿宋_GB2312" w:hAnsi="仿宋_GB2312" w:eastAsia="宋体" w:cs="Times New Roman"/>
          <w:b w:val="0"/>
          <w:bCs/>
          <w:color w:val="auto"/>
          <w:kern w:val="0"/>
          <w:sz w:val="22"/>
          <w:szCs w:val="20"/>
          <w:highlight w:val="none"/>
        </w:rPr>
        <w:t>进行养护</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bCs w:val="0"/>
          <w:color w:val="auto"/>
          <w:kern w:val="0"/>
          <w:sz w:val="22"/>
          <w:szCs w:val="22"/>
          <w:highlight w:val="none"/>
          <w:lang w:val="en-US" w:eastAsia="zh-CN"/>
        </w:rPr>
        <w:t>后期实际结算金额按照各分项单价最高限价*实际养护数量*中标折扣率进行结算。</w:t>
      </w:r>
    </w:p>
    <w:p w14:paraId="63D8879F">
      <w:pPr>
        <w:numPr>
          <w:ilvl w:val="0"/>
          <w:numId w:val="0"/>
        </w:numPr>
        <w:shd w:val="clear" w:color="auto"/>
        <w:autoSpaceDE w:val="0"/>
        <w:autoSpaceDN w:val="0"/>
        <w:adjustRightInd w:val="0"/>
        <w:spacing w:line="460" w:lineRule="atLeast"/>
        <w:ind w:firstLine="440" w:firstLineChars="200"/>
        <w:textAlignment w:val="bottom"/>
        <w:rPr>
          <w:rFonts w:hint="eastAsia" w:ascii="宋体" w:hAnsi="宋体" w:eastAsia="宋体" w:cs="宋体"/>
          <w:b w:val="0"/>
          <w:bCs/>
          <w:color w:val="auto"/>
          <w:kern w:val="0"/>
          <w:sz w:val="22"/>
          <w:szCs w:val="20"/>
          <w:highlight w:val="none"/>
          <w:lang w:val="en-US" w:eastAsia="zh-CN"/>
        </w:rPr>
      </w:pPr>
      <w:r>
        <w:rPr>
          <w:rFonts w:hint="eastAsia" w:ascii="宋体" w:hAnsi="宋体" w:cs="宋体"/>
          <w:b w:val="0"/>
          <w:bCs/>
          <w:color w:val="auto"/>
          <w:kern w:val="0"/>
          <w:sz w:val="22"/>
          <w:szCs w:val="20"/>
          <w:highlight w:val="none"/>
          <w:lang w:val="en-US" w:eastAsia="zh-CN"/>
        </w:rPr>
        <w:t>（二）</w:t>
      </w:r>
      <w:r>
        <w:rPr>
          <w:rFonts w:hint="eastAsia" w:ascii="宋体" w:hAnsi="宋体" w:eastAsia="宋体" w:cs="宋体"/>
          <w:b w:val="0"/>
          <w:bCs/>
          <w:color w:val="auto"/>
          <w:kern w:val="0"/>
          <w:sz w:val="22"/>
          <w:szCs w:val="20"/>
          <w:highlight w:val="none"/>
          <w:lang w:val="en-US" w:eastAsia="zh-CN"/>
        </w:rPr>
        <w:t>标项二：</w:t>
      </w:r>
    </w:p>
    <w:p w14:paraId="06482966">
      <w:pPr>
        <w:numPr>
          <w:ilvl w:val="0"/>
          <w:numId w:val="0"/>
        </w:numPr>
        <w:shd w:val="clear" w:color="auto"/>
        <w:autoSpaceDE w:val="0"/>
        <w:autoSpaceDN w:val="0"/>
        <w:adjustRightInd w:val="0"/>
        <w:spacing w:line="460" w:lineRule="atLeast"/>
        <w:ind w:firstLine="440" w:firstLineChars="200"/>
        <w:textAlignment w:val="bottom"/>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绿化养护范围：104钱仓段钱梅路、104(东江道侧绿地）(扣除罗赛洛部分）、园林路延伸段（鳌江五小至鳌江水厂段）、包田、五小、下河街头公园、下河村复兴大厦路侧绿化、104国道交叉口绿地、西塘菜场边、鸽巢路一期、二期、昆鳌大道厚垟村口、昆鳌大道厚垟塘下、昆仑公馆附近、务垟新路、务垟西路、御龙湾附近、铂金湾、华鸿公园华府红线外沿河绿化带、昆玉华府小区停车场、鳌江镇港口公园（一期）、新纪元新校区、车站大道与园林路交叉口、墨城工业园区、务垟前苗圃、蓝田2号路、环城东路、墨城道路绿化、纬四路、纬四路延伸段、新河北路二期、三期配套绿化工程、下河南、岱口部分绿化、鸽巢路延伸段、鸽巢路、国际大酒围墙边、广场路、一桥二期、海关路、园林西路、志澄路、下河路口绿地、鳌江镇执法局（疏港大道办公楼）、鳌江镇鸽巢路B-16地块周边绿地、平阳县鳌江镇蓝田河滨水绿化工程（前湖河曙东路-兴鳌东路段）、钱仓社区史伯璿文化广场、江城里小区围墙边、公园天下围墙边、长庚医院前绿地、中梁壹品围墙边、东塘花苑外围绿化、新明村委入口绿化、新明村花坛、胜利路与车站大道交叉处（泵站前）、广场路（靠新民村安置房）、站前广场路至铁路桥下、岱口村办公楼前、名木古树养护、江滨公园、动车站(西）、平阳县鳌江镇蓝田河滨水绿化景观、新河北路、死株处理、补植、常绿树修剪残枝运费及堆放（一年）、地被植物片植[丛（株）/㎡]-麦冬49丛/㎡ 3-5芽/丛、花架，坐凳，设施清洗、清理石头等杂物等杂物综合部分等，详见养护内容。</w:t>
      </w:r>
    </w:p>
    <w:p w14:paraId="4F789D20">
      <w:pPr>
        <w:numPr>
          <w:ilvl w:val="0"/>
          <w:numId w:val="0"/>
        </w:numPr>
        <w:shd w:val="clear" w:color="auto"/>
        <w:autoSpaceDE w:val="0"/>
        <w:autoSpaceDN w:val="0"/>
        <w:adjustRightInd w:val="0"/>
        <w:spacing w:line="460" w:lineRule="atLeast"/>
        <w:ind w:firstLine="440" w:firstLineChars="200"/>
        <w:textAlignment w:val="bottom"/>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1.本项目地点常年处在开放状态，人流量较大，人员构成复杂。</w:t>
      </w:r>
    </w:p>
    <w:p w14:paraId="128F063A">
      <w:pPr>
        <w:numPr>
          <w:ilvl w:val="0"/>
          <w:numId w:val="0"/>
        </w:numPr>
        <w:shd w:val="clear" w:color="auto"/>
        <w:autoSpaceDE w:val="0"/>
        <w:autoSpaceDN w:val="0"/>
        <w:adjustRightInd w:val="0"/>
        <w:spacing w:line="460" w:lineRule="atLeast"/>
        <w:ind w:firstLine="440" w:firstLineChars="200"/>
        <w:textAlignment w:val="bottom"/>
        <w:rPr>
          <w:rFonts w:hint="eastAsia" w:ascii="宋体" w:hAnsi="宋体" w:eastAsia="宋体" w:cs="宋体"/>
          <w:b w:val="0"/>
          <w:bCs/>
          <w:color w:val="auto"/>
          <w:kern w:val="0"/>
          <w:sz w:val="22"/>
          <w:szCs w:val="20"/>
          <w:highlight w:val="none"/>
          <w:lang w:val="en-US" w:eastAsia="zh-CN"/>
        </w:rPr>
      </w:pPr>
      <w:r>
        <w:rPr>
          <w:rFonts w:hint="eastAsia" w:ascii="宋体" w:hAnsi="宋体" w:eastAsia="宋体" w:cs="宋体"/>
          <w:b w:val="0"/>
          <w:bCs/>
          <w:color w:val="auto"/>
          <w:kern w:val="0"/>
          <w:sz w:val="22"/>
          <w:szCs w:val="20"/>
          <w:highlight w:val="none"/>
          <w:lang w:val="en-US" w:eastAsia="zh-CN"/>
        </w:rPr>
        <w:t>2.本次养护内容具体包括养护范围内乔灌木、地被植物、草坪、养护范围内的养护全部内容；内容如下：</w:t>
      </w:r>
    </w:p>
    <w:tbl>
      <w:tblPr>
        <w:tblStyle w:val="13"/>
        <w:tblW w:w="94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76"/>
        <w:gridCol w:w="3360"/>
        <w:gridCol w:w="1528"/>
        <w:gridCol w:w="980"/>
        <w:gridCol w:w="1336"/>
        <w:gridCol w:w="1476"/>
      </w:tblGrid>
      <w:tr w14:paraId="6745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vMerge w:val="restart"/>
            <w:shd w:val="clear" w:color="auto" w:fill="auto"/>
            <w:vAlign w:val="center"/>
          </w:tcPr>
          <w:p w14:paraId="4E94E71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3360" w:type="dxa"/>
            <w:vMerge w:val="restart"/>
            <w:shd w:val="clear" w:color="auto" w:fill="auto"/>
            <w:vAlign w:val="center"/>
          </w:tcPr>
          <w:p w14:paraId="1352751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工程名称</w:t>
            </w:r>
          </w:p>
        </w:tc>
        <w:tc>
          <w:tcPr>
            <w:tcW w:w="1528" w:type="dxa"/>
            <w:vMerge w:val="restart"/>
            <w:shd w:val="clear" w:color="auto" w:fill="auto"/>
            <w:vAlign w:val="center"/>
          </w:tcPr>
          <w:p w14:paraId="60CC001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980" w:type="dxa"/>
            <w:vMerge w:val="restart"/>
            <w:shd w:val="clear" w:color="auto" w:fill="auto"/>
            <w:vAlign w:val="center"/>
          </w:tcPr>
          <w:p w14:paraId="6AC0609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最高限价(元)</w:t>
            </w:r>
          </w:p>
        </w:tc>
        <w:tc>
          <w:tcPr>
            <w:tcW w:w="1336" w:type="dxa"/>
            <w:vMerge w:val="restart"/>
            <w:shd w:val="clear" w:color="auto" w:fill="auto"/>
            <w:vAlign w:val="center"/>
          </w:tcPr>
          <w:p w14:paraId="6CF22F3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预估数量</w:t>
            </w:r>
          </w:p>
        </w:tc>
        <w:tc>
          <w:tcPr>
            <w:tcW w:w="1476" w:type="dxa"/>
            <w:vMerge w:val="restart"/>
            <w:shd w:val="clear" w:color="auto" w:fill="auto"/>
            <w:vAlign w:val="center"/>
          </w:tcPr>
          <w:p w14:paraId="3E562DC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综合单价最高限价</w:t>
            </w:r>
            <w:r>
              <w:rPr>
                <w:rFonts w:hint="eastAsia" w:ascii="宋体" w:hAnsi="宋体" w:eastAsia="宋体" w:cs="宋体"/>
                <w:i w:val="0"/>
                <w:iCs w:val="0"/>
                <w:color w:val="auto"/>
                <w:kern w:val="0"/>
                <w:sz w:val="22"/>
                <w:szCs w:val="22"/>
                <w:highlight w:val="none"/>
                <w:u w:val="none"/>
                <w:lang w:val="en-US" w:eastAsia="zh-CN" w:bidi="ar"/>
              </w:rPr>
              <w:t>(元)</w:t>
            </w:r>
          </w:p>
        </w:tc>
      </w:tr>
      <w:tr w14:paraId="53D1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vMerge w:val="continue"/>
            <w:shd w:val="clear" w:color="auto" w:fill="auto"/>
            <w:vAlign w:val="center"/>
          </w:tcPr>
          <w:p w14:paraId="5965C3A6">
            <w:pPr>
              <w:shd w:val="clear"/>
              <w:jc w:val="center"/>
              <w:rPr>
                <w:rFonts w:hint="eastAsia" w:ascii="宋体" w:hAnsi="宋体" w:eastAsia="宋体" w:cs="宋体"/>
                <w:i w:val="0"/>
                <w:iCs w:val="0"/>
                <w:color w:val="auto"/>
                <w:sz w:val="22"/>
                <w:szCs w:val="22"/>
                <w:highlight w:val="none"/>
                <w:u w:val="none"/>
              </w:rPr>
            </w:pPr>
          </w:p>
        </w:tc>
        <w:tc>
          <w:tcPr>
            <w:tcW w:w="3360" w:type="dxa"/>
            <w:vMerge w:val="continue"/>
            <w:shd w:val="clear" w:color="auto" w:fill="auto"/>
            <w:vAlign w:val="center"/>
          </w:tcPr>
          <w:p w14:paraId="5B475474">
            <w:pPr>
              <w:shd w:val="clear"/>
              <w:jc w:val="center"/>
              <w:rPr>
                <w:rFonts w:hint="eastAsia" w:ascii="宋体" w:hAnsi="宋体" w:eastAsia="宋体" w:cs="宋体"/>
                <w:i w:val="0"/>
                <w:iCs w:val="0"/>
                <w:color w:val="auto"/>
                <w:sz w:val="22"/>
                <w:szCs w:val="22"/>
                <w:highlight w:val="none"/>
                <w:u w:val="none"/>
              </w:rPr>
            </w:pPr>
          </w:p>
        </w:tc>
        <w:tc>
          <w:tcPr>
            <w:tcW w:w="1528" w:type="dxa"/>
            <w:vMerge w:val="continue"/>
            <w:shd w:val="clear" w:color="auto" w:fill="auto"/>
            <w:vAlign w:val="center"/>
          </w:tcPr>
          <w:p w14:paraId="6E3C7615">
            <w:pPr>
              <w:shd w:val="clear"/>
              <w:jc w:val="center"/>
              <w:rPr>
                <w:rFonts w:hint="eastAsia" w:ascii="宋体" w:hAnsi="宋体" w:eastAsia="宋体" w:cs="宋体"/>
                <w:i w:val="0"/>
                <w:iCs w:val="0"/>
                <w:color w:val="auto"/>
                <w:sz w:val="22"/>
                <w:szCs w:val="22"/>
                <w:highlight w:val="none"/>
                <w:u w:val="none"/>
              </w:rPr>
            </w:pPr>
          </w:p>
        </w:tc>
        <w:tc>
          <w:tcPr>
            <w:tcW w:w="980" w:type="dxa"/>
            <w:vMerge w:val="continue"/>
            <w:shd w:val="clear" w:color="auto" w:fill="auto"/>
            <w:vAlign w:val="center"/>
          </w:tcPr>
          <w:p w14:paraId="489B817C">
            <w:pPr>
              <w:shd w:val="clear"/>
              <w:jc w:val="center"/>
              <w:rPr>
                <w:rFonts w:hint="eastAsia" w:ascii="宋体" w:hAnsi="宋体" w:eastAsia="宋体" w:cs="宋体"/>
                <w:i w:val="0"/>
                <w:iCs w:val="0"/>
                <w:color w:val="auto"/>
                <w:sz w:val="22"/>
                <w:szCs w:val="22"/>
                <w:highlight w:val="none"/>
                <w:u w:val="none"/>
              </w:rPr>
            </w:pPr>
          </w:p>
        </w:tc>
        <w:tc>
          <w:tcPr>
            <w:tcW w:w="1336" w:type="dxa"/>
            <w:vMerge w:val="continue"/>
            <w:shd w:val="clear" w:color="auto" w:fill="auto"/>
            <w:vAlign w:val="center"/>
          </w:tcPr>
          <w:p w14:paraId="0F9A7A2E">
            <w:pPr>
              <w:shd w:val="clear"/>
              <w:jc w:val="center"/>
              <w:rPr>
                <w:rFonts w:hint="eastAsia" w:ascii="宋体" w:hAnsi="宋体" w:eastAsia="宋体" w:cs="宋体"/>
                <w:i w:val="0"/>
                <w:iCs w:val="0"/>
                <w:color w:val="auto"/>
                <w:sz w:val="22"/>
                <w:szCs w:val="22"/>
                <w:highlight w:val="none"/>
                <w:u w:val="none"/>
              </w:rPr>
            </w:pPr>
          </w:p>
        </w:tc>
        <w:tc>
          <w:tcPr>
            <w:tcW w:w="1476" w:type="dxa"/>
            <w:vMerge w:val="continue"/>
            <w:shd w:val="clear" w:color="auto" w:fill="auto"/>
            <w:vAlign w:val="center"/>
          </w:tcPr>
          <w:p w14:paraId="342FF22B">
            <w:pPr>
              <w:shd w:val="clear"/>
              <w:jc w:val="center"/>
              <w:rPr>
                <w:rFonts w:hint="eastAsia" w:ascii="宋体" w:hAnsi="宋体" w:eastAsia="宋体" w:cs="宋体"/>
                <w:i w:val="0"/>
                <w:iCs w:val="0"/>
                <w:color w:val="auto"/>
                <w:sz w:val="22"/>
                <w:szCs w:val="22"/>
                <w:highlight w:val="none"/>
                <w:u w:val="none"/>
              </w:rPr>
            </w:pPr>
          </w:p>
        </w:tc>
      </w:tr>
      <w:tr w14:paraId="7F9B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05071D3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360" w:type="dxa"/>
            <w:shd w:val="clear" w:color="auto" w:fill="auto"/>
            <w:vAlign w:val="center"/>
          </w:tcPr>
          <w:p w14:paraId="31E5258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养护</w:t>
            </w:r>
          </w:p>
        </w:tc>
        <w:tc>
          <w:tcPr>
            <w:tcW w:w="1528" w:type="dxa"/>
            <w:shd w:val="clear" w:color="auto" w:fill="auto"/>
            <w:vAlign w:val="center"/>
          </w:tcPr>
          <w:p w14:paraId="63A88B23">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6C8BA6F5">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0584D067">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1614EF58">
            <w:pPr>
              <w:shd w:val="clear"/>
              <w:jc w:val="right"/>
              <w:rPr>
                <w:rFonts w:hint="eastAsia" w:ascii="宋体" w:hAnsi="宋体" w:eastAsia="宋体" w:cs="宋体"/>
                <w:i w:val="0"/>
                <w:iCs w:val="0"/>
                <w:color w:val="auto"/>
                <w:sz w:val="22"/>
                <w:szCs w:val="22"/>
                <w:highlight w:val="none"/>
                <w:u w:val="none"/>
              </w:rPr>
            </w:pPr>
          </w:p>
        </w:tc>
      </w:tr>
      <w:tr w14:paraId="11C7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0CC4634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3360" w:type="dxa"/>
            <w:shd w:val="clear" w:color="auto" w:fill="auto"/>
            <w:vAlign w:val="center"/>
          </w:tcPr>
          <w:p w14:paraId="2559AF9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10以内</w:t>
            </w:r>
          </w:p>
        </w:tc>
        <w:tc>
          <w:tcPr>
            <w:tcW w:w="1528" w:type="dxa"/>
            <w:shd w:val="clear" w:color="auto" w:fill="auto"/>
            <w:vAlign w:val="center"/>
          </w:tcPr>
          <w:p w14:paraId="2C84C93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720CAD9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31 </w:t>
            </w:r>
          </w:p>
        </w:tc>
        <w:tc>
          <w:tcPr>
            <w:tcW w:w="1336" w:type="dxa"/>
            <w:shd w:val="clear" w:color="auto" w:fill="auto"/>
            <w:vAlign w:val="center"/>
          </w:tcPr>
          <w:p w14:paraId="02BDC8D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2366</w:t>
            </w:r>
          </w:p>
        </w:tc>
        <w:tc>
          <w:tcPr>
            <w:tcW w:w="1476" w:type="dxa"/>
            <w:shd w:val="clear" w:color="auto" w:fill="auto"/>
            <w:vAlign w:val="center"/>
          </w:tcPr>
          <w:p w14:paraId="6FF7E07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73346</w:t>
            </w:r>
          </w:p>
        </w:tc>
      </w:tr>
      <w:tr w14:paraId="1727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2DE7B3D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3360" w:type="dxa"/>
            <w:shd w:val="clear" w:color="auto" w:fill="auto"/>
            <w:vAlign w:val="center"/>
          </w:tcPr>
          <w:p w14:paraId="5013265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10-20以内</w:t>
            </w:r>
          </w:p>
        </w:tc>
        <w:tc>
          <w:tcPr>
            <w:tcW w:w="1528" w:type="dxa"/>
            <w:shd w:val="clear" w:color="auto" w:fill="auto"/>
            <w:vAlign w:val="center"/>
          </w:tcPr>
          <w:p w14:paraId="66EAEE7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4F74CD9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56 </w:t>
            </w:r>
          </w:p>
        </w:tc>
        <w:tc>
          <w:tcPr>
            <w:tcW w:w="1336" w:type="dxa"/>
            <w:shd w:val="clear" w:color="auto" w:fill="auto"/>
            <w:vAlign w:val="center"/>
          </w:tcPr>
          <w:p w14:paraId="332252F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6477</w:t>
            </w:r>
          </w:p>
        </w:tc>
        <w:tc>
          <w:tcPr>
            <w:tcW w:w="1476" w:type="dxa"/>
            <w:shd w:val="clear" w:color="auto" w:fill="auto"/>
            <w:vAlign w:val="center"/>
          </w:tcPr>
          <w:p w14:paraId="113A153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362712</w:t>
            </w:r>
          </w:p>
        </w:tc>
      </w:tr>
      <w:tr w14:paraId="6B22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6549EBE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3360" w:type="dxa"/>
            <w:shd w:val="clear" w:color="auto" w:fill="auto"/>
            <w:vAlign w:val="center"/>
          </w:tcPr>
          <w:p w14:paraId="5F1BC21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20-30以内</w:t>
            </w:r>
          </w:p>
        </w:tc>
        <w:tc>
          <w:tcPr>
            <w:tcW w:w="1528" w:type="dxa"/>
            <w:shd w:val="clear" w:color="auto" w:fill="auto"/>
            <w:vAlign w:val="center"/>
          </w:tcPr>
          <w:p w14:paraId="06703CE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34071C0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87 </w:t>
            </w:r>
          </w:p>
        </w:tc>
        <w:tc>
          <w:tcPr>
            <w:tcW w:w="1336" w:type="dxa"/>
            <w:shd w:val="clear" w:color="auto" w:fill="auto"/>
            <w:vAlign w:val="center"/>
          </w:tcPr>
          <w:p w14:paraId="3D1BA43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357</w:t>
            </w:r>
          </w:p>
        </w:tc>
        <w:tc>
          <w:tcPr>
            <w:tcW w:w="1476" w:type="dxa"/>
            <w:shd w:val="clear" w:color="auto" w:fill="auto"/>
            <w:vAlign w:val="center"/>
          </w:tcPr>
          <w:p w14:paraId="3AA4017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31059</w:t>
            </w:r>
          </w:p>
        </w:tc>
      </w:tr>
      <w:tr w14:paraId="1CEE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AB1420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3360" w:type="dxa"/>
            <w:shd w:val="clear" w:color="auto" w:fill="auto"/>
            <w:vAlign w:val="center"/>
          </w:tcPr>
          <w:p w14:paraId="3A45580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30-40以内</w:t>
            </w:r>
          </w:p>
        </w:tc>
        <w:tc>
          <w:tcPr>
            <w:tcW w:w="1528" w:type="dxa"/>
            <w:shd w:val="clear" w:color="auto" w:fill="auto"/>
            <w:vAlign w:val="center"/>
          </w:tcPr>
          <w:p w14:paraId="3ED89ED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4A8DC00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118 </w:t>
            </w:r>
          </w:p>
        </w:tc>
        <w:tc>
          <w:tcPr>
            <w:tcW w:w="1336" w:type="dxa"/>
            <w:shd w:val="clear" w:color="auto" w:fill="auto"/>
            <w:vAlign w:val="center"/>
          </w:tcPr>
          <w:p w14:paraId="473FB16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w:t>
            </w:r>
          </w:p>
        </w:tc>
        <w:tc>
          <w:tcPr>
            <w:tcW w:w="1476" w:type="dxa"/>
            <w:shd w:val="clear" w:color="auto" w:fill="auto"/>
            <w:vAlign w:val="center"/>
          </w:tcPr>
          <w:p w14:paraId="495B319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21240</w:t>
            </w:r>
          </w:p>
        </w:tc>
      </w:tr>
      <w:tr w14:paraId="113A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1162F21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3360" w:type="dxa"/>
            <w:shd w:val="clear" w:color="auto" w:fill="auto"/>
            <w:vAlign w:val="center"/>
          </w:tcPr>
          <w:p w14:paraId="01E656A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常绿乔木 胸径（cm) 40-60以内</w:t>
            </w:r>
          </w:p>
        </w:tc>
        <w:tc>
          <w:tcPr>
            <w:tcW w:w="1528" w:type="dxa"/>
            <w:shd w:val="clear" w:color="auto" w:fill="auto"/>
            <w:vAlign w:val="center"/>
          </w:tcPr>
          <w:p w14:paraId="61183B0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1E14075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153 </w:t>
            </w:r>
          </w:p>
        </w:tc>
        <w:tc>
          <w:tcPr>
            <w:tcW w:w="1336" w:type="dxa"/>
            <w:shd w:val="clear" w:color="auto" w:fill="auto"/>
            <w:vAlign w:val="center"/>
          </w:tcPr>
          <w:p w14:paraId="7F89CC6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1476" w:type="dxa"/>
            <w:shd w:val="clear" w:color="auto" w:fill="auto"/>
            <w:vAlign w:val="center"/>
          </w:tcPr>
          <w:p w14:paraId="32E77A4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5661</w:t>
            </w:r>
          </w:p>
        </w:tc>
      </w:tr>
      <w:tr w14:paraId="0BEE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6A19968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3360" w:type="dxa"/>
            <w:shd w:val="clear" w:color="auto" w:fill="auto"/>
            <w:vAlign w:val="center"/>
          </w:tcPr>
          <w:p w14:paraId="3DA6CA8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高度（cm以内） 50-100</w:t>
            </w:r>
          </w:p>
        </w:tc>
        <w:tc>
          <w:tcPr>
            <w:tcW w:w="1528" w:type="dxa"/>
            <w:shd w:val="clear" w:color="auto" w:fill="auto"/>
            <w:vAlign w:val="center"/>
          </w:tcPr>
          <w:p w14:paraId="27BC19A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33D0D4E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336" w:type="dxa"/>
            <w:shd w:val="clear" w:color="auto" w:fill="auto"/>
            <w:vAlign w:val="center"/>
          </w:tcPr>
          <w:p w14:paraId="648301B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228</w:t>
            </w:r>
          </w:p>
        </w:tc>
        <w:tc>
          <w:tcPr>
            <w:tcW w:w="1476" w:type="dxa"/>
            <w:shd w:val="clear" w:color="auto" w:fill="auto"/>
            <w:vAlign w:val="center"/>
          </w:tcPr>
          <w:p w14:paraId="56D2C20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456.00</w:t>
            </w:r>
          </w:p>
        </w:tc>
      </w:tr>
      <w:tr w14:paraId="3490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8A4320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3360" w:type="dxa"/>
            <w:shd w:val="clear" w:color="auto" w:fill="auto"/>
            <w:vAlign w:val="center"/>
          </w:tcPr>
          <w:p w14:paraId="303AE97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高度（cm以内） 100-150</w:t>
            </w:r>
          </w:p>
        </w:tc>
        <w:tc>
          <w:tcPr>
            <w:tcW w:w="1528" w:type="dxa"/>
            <w:shd w:val="clear" w:color="auto" w:fill="auto"/>
            <w:vAlign w:val="center"/>
          </w:tcPr>
          <w:p w14:paraId="7DDA67C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791169B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336" w:type="dxa"/>
            <w:shd w:val="clear" w:color="auto" w:fill="auto"/>
            <w:vAlign w:val="center"/>
          </w:tcPr>
          <w:p w14:paraId="0120822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234</w:t>
            </w:r>
          </w:p>
        </w:tc>
        <w:tc>
          <w:tcPr>
            <w:tcW w:w="1476" w:type="dxa"/>
            <w:shd w:val="clear" w:color="auto" w:fill="auto"/>
            <w:vAlign w:val="center"/>
          </w:tcPr>
          <w:p w14:paraId="025707A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702</w:t>
            </w:r>
          </w:p>
        </w:tc>
      </w:tr>
      <w:tr w14:paraId="03D4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1AFED1D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3360" w:type="dxa"/>
            <w:shd w:val="clear" w:color="auto" w:fill="auto"/>
            <w:vAlign w:val="center"/>
          </w:tcPr>
          <w:p w14:paraId="7A93A44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150-200以内</w:t>
            </w:r>
          </w:p>
        </w:tc>
        <w:tc>
          <w:tcPr>
            <w:tcW w:w="1528" w:type="dxa"/>
            <w:shd w:val="clear" w:color="auto" w:fill="auto"/>
            <w:vAlign w:val="center"/>
          </w:tcPr>
          <w:p w14:paraId="3362EB2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27A352F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336" w:type="dxa"/>
            <w:shd w:val="clear" w:color="auto" w:fill="auto"/>
            <w:vAlign w:val="center"/>
          </w:tcPr>
          <w:p w14:paraId="48C2D67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476" w:type="dxa"/>
            <w:shd w:val="clear" w:color="auto" w:fill="auto"/>
            <w:vAlign w:val="center"/>
          </w:tcPr>
          <w:p w14:paraId="580F10E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1200.00</w:t>
            </w:r>
          </w:p>
        </w:tc>
      </w:tr>
      <w:tr w14:paraId="251E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69823A0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3360" w:type="dxa"/>
            <w:shd w:val="clear" w:color="auto" w:fill="auto"/>
            <w:vAlign w:val="center"/>
          </w:tcPr>
          <w:p w14:paraId="7B8A367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常绿灌木 高度（cm） 250以上</w:t>
            </w:r>
          </w:p>
        </w:tc>
        <w:tc>
          <w:tcPr>
            <w:tcW w:w="1528" w:type="dxa"/>
            <w:shd w:val="clear" w:color="auto" w:fill="auto"/>
            <w:vAlign w:val="center"/>
          </w:tcPr>
          <w:p w14:paraId="68F72004">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CF9B2D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336" w:type="dxa"/>
            <w:shd w:val="clear" w:color="auto" w:fill="auto"/>
            <w:vAlign w:val="center"/>
          </w:tcPr>
          <w:p w14:paraId="6EE4165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1476" w:type="dxa"/>
            <w:shd w:val="clear" w:color="auto" w:fill="auto"/>
            <w:vAlign w:val="center"/>
          </w:tcPr>
          <w:p w14:paraId="60FBD8D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253.00</w:t>
            </w:r>
          </w:p>
        </w:tc>
      </w:tr>
      <w:tr w14:paraId="6C5D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30B388A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1.10 </w:t>
            </w:r>
          </w:p>
        </w:tc>
        <w:tc>
          <w:tcPr>
            <w:tcW w:w="3360" w:type="dxa"/>
            <w:shd w:val="clear" w:color="auto" w:fill="auto"/>
            <w:vAlign w:val="center"/>
          </w:tcPr>
          <w:p w14:paraId="4EDA81E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60以内</w:t>
            </w:r>
          </w:p>
        </w:tc>
        <w:tc>
          <w:tcPr>
            <w:tcW w:w="1528" w:type="dxa"/>
            <w:shd w:val="clear" w:color="auto" w:fill="auto"/>
            <w:vAlign w:val="center"/>
          </w:tcPr>
          <w:p w14:paraId="3499730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5D7B0B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1336" w:type="dxa"/>
            <w:shd w:val="clear" w:color="auto" w:fill="auto"/>
            <w:vAlign w:val="center"/>
          </w:tcPr>
          <w:p w14:paraId="64C7681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476" w:type="dxa"/>
            <w:shd w:val="clear" w:color="auto" w:fill="auto"/>
            <w:vAlign w:val="center"/>
          </w:tcPr>
          <w:p w14:paraId="660A0D1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77</w:t>
            </w:r>
          </w:p>
        </w:tc>
      </w:tr>
      <w:tr w14:paraId="263E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0A64834">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3360" w:type="dxa"/>
            <w:shd w:val="clear" w:color="auto" w:fill="auto"/>
            <w:vAlign w:val="center"/>
          </w:tcPr>
          <w:p w14:paraId="449ACB5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60-100</w:t>
            </w:r>
          </w:p>
        </w:tc>
        <w:tc>
          <w:tcPr>
            <w:tcW w:w="1528" w:type="dxa"/>
            <w:shd w:val="clear" w:color="auto" w:fill="auto"/>
            <w:vAlign w:val="center"/>
          </w:tcPr>
          <w:p w14:paraId="1E65913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0157FA4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 </w:t>
            </w:r>
          </w:p>
        </w:tc>
        <w:tc>
          <w:tcPr>
            <w:tcW w:w="1336" w:type="dxa"/>
            <w:shd w:val="clear" w:color="auto" w:fill="auto"/>
            <w:vAlign w:val="center"/>
          </w:tcPr>
          <w:p w14:paraId="208A6AF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314</w:t>
            </w:r>
          </w:p>
        </w:tc>
        <w:tc>
          <w:tcPr>
            <w:tcW w:w="1476" w:type="dxa"/>
            <w:shd w:val="clear" w:color="auto" w:fill="auto"/>
            <w:vAlign w:val="center"/>
          </w:tcPr>
          <w:p w14:paraId="6951E03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3140</w:t>
            </w:r>
          </w:p>
        </w:tc>
      </w:tr>
      <w:tr w14:paraId="4DD6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2DA41B8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1.12 </w:t>
            </w:r>
          </w:p>
        </w:tc>
        <w:tc>
          <w:tcPr>
            <w:tcW w:w="3360" w:type="dxa"/>
            <w:shd w:val="clear" w:color="auto" w:fill="auto"/>
            <w:vAlign w:val="center"/>
          </w:tcPr>
          <w:p w14:paraId="3BE99D5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100-150</w:t>
            </w:r>
          </w:p>
        </w:tc>
        <w:tc>
          <w:tcPr>
            <w:tcW w:w="1528" w:type="dxa"/>
            <w:shd w:val="clear" w:color="auto" w:fill="auto"/>
            <w:vAlign w:val="center"/>
          </w:tcPr>
          <w:p w14:paraId="657E019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7F553E8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16 </w:t>
            </w:r>
          </w:p>
        </w:tc>
        <w:tc>
          <w:tcPr>
            <w:tcW w:w="1336" w:type="dxa"/>
            <w:shd w:val="clear" w:color="auto" w:fill="auto"/>
            <w:vAlign w:val="center"/>
          </w:tcPr>
          <w:p w14:paraId="765F33C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769</w:t>
            </w:r>
          </w:p>
        </w:tc>
        <w:tc>
          <w:tcPr>
            <w:tcW w:w="1476" w:type="dxa"/>
            <w:shd w:val="clear" w:color="auto" w:fill="auto"/>
            <w:vAlign w:val="center"/>
          </w:tcPr>
          <w:p w14:paraId="2AB77DB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12304</w:t>
            </w:r>
          </w:p>
        </w:tc>
      </w:tr>
      <w:tr w14:paraId="60C6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1333F81">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3360" w:type="dxa"/>
            <w:shd w:val="clear" w:color="auto" w:fill="auto"/>
            <w:vAlign w:val="center"/>
          </w:tcPr>
          <w:p w14:paraId="3E2F73A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150-200</w:t>
            </w:r>
          </w:p>
        </w:tc>
        <w:tc>
          <w:tcPr>
            <w:tcW w:w="1528" w:type="dxa"/>
            <w:shd w:val="clear" w:color="auto" w:fill="auto"/>
            <w:vAlign w:val="center"/>
          </w:tcPr>
          <w:p w14:paraId="68F8512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48E6258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25 </w:t>
            </w:r>
          </w:p>
        </w:tc>
        <w:tc>
          <w:tcPr>
            <w:tcW w:w="1336" w:type="dxa"/>
            <w:shd w:val="clear" w:color="auto" w:fill="auto"/>
            <w:vAlign w:val="center"/>
          </w:tcPr>
          <w:p w14:paraId="6AAE4E1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701</w:t>
            </w:r>
          </w:p>
        </w:tc>
        <w:tc>
          <w:tcPr>
            <w:tcW w:w="1476" w:type="dxa"/>
            <w:shd w:val="clear" w:color="auto" w:fill="auto"/>
            <w:vAlign w:val="center"/>
          </w:tcPr>
          <w:p w14:paraId="333D23E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17525</w:t>
            </w:r>
          </w:p>
        </w:tc>
      </w:tr>
      <w:tr w14:paraId="3D22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776" w:type="dxa"/>
            <w:shd w:val="clear" w:color="auto" w:fill="auto"/>
            <w:vAlign w:val="center"/>
          </w:tcPr>
          <w:p w14:paraId="093643D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1.14 </w:t>
            </w:r>
          </w:p>
        </w:tc>
        <w:tc>
          <w:tcPr>
            <w:tcW w:w="3360" w:type="dxa"/>
            <w:shd w:val="clear" w:color="auto" w:fill="auto"/>
            <w:vAlign w:val="center"/>
          </w:tcPr>
          <w:p w14:paraId="478696D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200-250以内</w:t>
            </w:r>
          </w:p>
        </w:tc>
        <w:tc>
          <w:tcPr>
            <w:tcW w:w="1528" w:type="dxa"/>
            <w:shd w:val="clear" w:color="auto" w:fill="auto"/>
            <w:vAlign w:val="center"/>
          </w:tcPr>
          <w:p w14:paraId="6655A63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6DB6F85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37 </w:t>
            </w:r>
          </w:p>
        </w:tc>
        <w:tc>
          <w:tcPr>
            <w:tcW w:w="1336" w:type="dxa"/>
            <w:shd w:val="clear" w:color="auto" w:fill="auto"/>
            <w:vAlign w:val="center"/>
          </w:tcPr>
          <w:p w14:paraId="705BF31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476" w:type="dxa"/>
            <w:shd w:val="clear" w:color="auto" w:fill="auto"/>
            <w:vAlign w:val="center"/>
          </w:tcPr>
          <w:p w14:paraId="15DB258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740</w:t>
            </w:r>
          </w:p>
        </w:tc>
      </w:tr>
      <w:tr w14:paraId="4DAE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4" w:hRule="atLeast"/>
        </w:trPr>
        <w:tc>
          <w:tcPr>
            <w:tcW w:w="776" w:type="dxa"/>
            <w:shd w:val="clear" w:color="auto" w:fill="auto"/>
            <w:vAlign w:val="center"/>
          </w:tcPr>
          <w:p w14:paraId="469936E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3360" w:type="dxa"/>
            <w:shd w:val="clear" w:color="auto" w:fill="auto"/>
            <w:vAlign w:val="center"/>
          </w:tcPr>
          <w:p w14:paraId="6F99037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球形植物 蓬径（cm以内 250-300以内</w:t>
            </w:r>
          </w:p>
        </w:tc>
        <w:tc>
          <w:tcPr>
            <w:tcW w:w="1528" w:type="dxa"/>
            <w:shd w:val="clear" w:color="auto" w:fill="auto"/>
            <w:vAlign w:val="center"/>
          </w:tcPr>
          <w:p w14:paraId="26BC5BC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63718B1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49 </w:t>
            </w:r>
          </w:p>
        </w:tc>
        <w:tc>
          <w:tcPr>
            <w:tcW w:w="1336" w:type="dxa"/>
            <w:shd w:val="clear" w:color="auto" w:fill="auto"/>
            <w:vAlign w:val="center"/>
          </w:tcPr>
          <w:p w14:paraId="48C35C7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1476" w:type="dxa"/>
            <w:shd w:val="clear" w:color="auto" w:fill="auto"/>
            <w:vAlign w:val="center"/>
          </w:tcPr>
          <w:p w14:paraId="0A863BB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441.00</w:t>
            </w:r>
          </w:p>
        </w:tc>
      </w:tr>
      <w:tr w14:paraId="7C07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5E9AFA7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1.16 </w:t>
            </w:r>
          </w:p>
        </w:tc>
        <w:tc>
          <w:tcPr>
            <w:tcW w:w="3360" w:type="dxa"/>
            <w:shd w:val="clear" w:color="auto" w:fill="auto"/>
            <w:vAlign w:val="center"/>
          </w:tcPr>
          <w:p w14:paraId="7653CB7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片植灌木 常绿</w:t>
            </w:r>
          </w:p>
        </w:tc>
        <w:tc>
          <w:tcPr>
            <w:tcW w:w="1528" w:type="dxa"/>
            <w:shd w:val="clear" w:color="auto" w:fill="auto"/>
            <w:vAlign w:val="center"/>
          </w:tcPr>
          <w:p w14:paraId="1A57D54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06B094E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8 </w:t>
            </w:r>
          </w:p>
        </w:tc>
        <w:tc>
          <w:tcPr>
            <w:tcW w:w="1336" w:type="dxa"/>
            <w:shd w:val="clear" w:color="auto" w:fill="auto"/>
            <w:vAlign w:val="center"/>
          </w:tcPr>
          <w:p w14:paraId="56B2B08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38107</w:t>
            </w:r>
          </w:p>
        </w:tc>
        <w:tc>
          <w:tcPr>
            <w:tcW w:w="1476" w:type="dxa"/>
            <w:shd w:val="clear" w:color="auto" w:fill="auto"/>
            <w:vAlign w:val="center"/>
          </w:tcPr>
          <w:p w14:paraId="32AF934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304856</w:t>
            </w:r>
          </w:p>
        </w:tc>
      </w:tr>
      <w:tr w14:paraId="5169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5D56EBC">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3360" w:type="dxa"/>
            <w:shd w:val="clear" w:color="auto" w:fill="auto"/>
            <w:vAlign w:val="center"/>
          </w:tcPr>
          <w:p w14:paraId="6EB0637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草坪 暖地型</w:t>
            </w:r>
          </w:p>
        </w:tc>
        <w:tc>
          <w:tcPr>
            <w:tcW w:w="1528" w:type="dxa"/>
            <w:shd w:val="clear" w:color="auto" w:fill="auto"/>
            <w:vAlign w:val="center"/>
          </w:tcPr>
          <w:p w14:paraId="628B975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280D4CF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10 </w:t>
            </w:r>
          </w:p>
        </w:tc>
        <w:tc>
          <w:tcPr>
            <w:tcW w:w="1336" w:type="dxa"/>
            <w:shd w:val="clear" w:color="auto" w:fill="auto"/>
            <w:vAlign w:val="center"/>
          </w:tcPr>
          <w:p w14:paraId="27E51F9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68621.80</w:t>
            </w:r>
          </w:p>
        </w:tc>
        <w:tc>
          <w:tcPr>
            <w:tcW w:w="1476" w:type="dxa"/>
            <w:shd w:val="clear" w:color="auto" w:fill="auto"/>
            <w:vAlign w:val="center"/>
          </w:tcPr>
          <w:p w14:paraId="73645DF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686218</w:t>
            </w:r>
          </w:p>
        </w:tc>
      </w:tr>
      <w:tr w14:paraId="0FE2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5183A911">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1.18 </w:t>
            </w:r>
          </w:p>
        </w:tc>
        <w:tc>
          <w:tcPr>
            <w:tcW w:w="3360" w:type="dxa"/>
            <w:shd w:val="clear" w:color="auto" w:fill="auto"/>
            <w:vAlign w:val="center"/>
          </w:tcPr>
          <w:p w14:paraId="40E39D1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地被植物 覆盖面积</w:t>
            </w:r>
          </w:p>
        </w:tc>
        <w:tc>
          <w:tcPr>
            <w:tcW w:w="1528" w:type="dxa"/>
            <w:shd w:val="clear" w:color="auto" w:fill="auto"/>
            <w:vAlign w:val="center"/>
          </w:tcPr>
          <w:p w14:paraId="170DD26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2941BAC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336" w:type="dxa"/>
            <w:shd w:val="clear" w:color="auto" w:fill="auto"/>
            <w:vAlign w:val="center"/>
          </w:tcPr>
          <w:p w14:paraId="59011DD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5631.36</w:t>
            </w:r>
          </w:p>
        </w:tc>
        <w:tc>
          <w:tcPr>
            <w:tcW w:w="1476" w:type="dxa"/>
            <w:shd w:val="clear" w:color="auto" w:fill="auto"/>
            <w:vAlign w:val="center"/>
          </w:tcPr>
          <w:p w14:paraId="6F6C2B0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16894</w:t>
            </w:r>
          </w:p>
        </w:tc>
      </w:tr>
      <w:tr w14:paraId="1941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476789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3360" w:type="dxa"/>
            <w:shd w:val="clear" w:color="auto" w:fill="auto"/>
            <w:vAlign w:val="center"/>
          </w:tcPr>
          <w:p w14:paraId="5FA403F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单排绿篱 高度(cm) 50-100以内</w:t>
            </w:r>
          </w:p>
        </w:tc>
        <w:tc>
          <w:tcPr>
            <w:tcW w:w="1528" w:type="dxa"/>
            <w:shd w:val="clear" w:color="auto" w:fill="auto"/>
            <w:vAlign w:val="center"/>
          </w:tcPr>
          <w:p w14:paraId="5E777D4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980" w:type="dxa"/>
            <w:shd w:val="clear" w:color="auto" w:fill="auto"/>
            <w:vAlign w:val="center"/>
          </w:tcPr>
          <w:p w14:paraId="19549B9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336" w:type="dxa"/>
            <w:shd w:val="clear" w:color="auto" w:fill="auto"/>
            <w:vAlign w:val="center"/>
          </w:tcPr>
          <w:p w14:paraId="2B2C9F6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1476" w:type="dxa"/>
            <w:shd w:val="clear" w:color="auto" w:fill="auto"/>
            <w:vAlign w:val="center"/>
          </w:tcPr>
          <w:p w14:paraId="7B9FB47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12.00</w:t>
            </w:r>
          </w:p>
        </w:tc>
      </w:tr>
      <w:tr w14:paraId="6311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43D79B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1.20 </w:t>
            </w:r>
          </w:p>
        </w:tc>
        <w:tc>
          <w:tcPr>
            <w:tcW w:w="3360" w:type="dxa"/>
            <w:shd w:val="clear" w:color="auto" w:fill="auto"/>
            <w:vAlign w:val="center"/>
          </w:tcPr>
          <w:p w14:paraId="31122FF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单排绿篱 高度(cm) 100-150以内</w:t>
            </w:r>
          </w:p>
        </w:tc>
        <w:tc>
          <w:tcPr>
            <w:tcW w:w="1528" w:type="dxa"/>
            <w:shd w:val="clear" w:color="auto" w:fill="auto"/>
            <w:vAlign w:val="center"/>
          </w:tcPr>
          <w:p w14:paraId="1E74B23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980" w:type="dxa"/>
            <w:shd w:val="clear" w:color="auto" w:fill="auto"/>
            <w:vAlign w:val="center"/>
          </w:tcPr>
          <w:p w14:paraId="48BAFE6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336" w:type="dxa"/>
            <w:shd w:val="clear" w:color="auto" w:fill="auto"/>
            <w:vAlign w:val="center"/>
          </w:tcPr>
          <w:p w14:paraId="6B660B2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1476" w:type="dxa"/>
            <w:shd w:val="clear" w:color="auto" w:fill="auto"/>
            <w:vAlign w:val="center"/>
          </w:tcPr>
          <w:p w14:paraId="7F57C89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r>
      <w:tr w14:paraId="5E35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7875119">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3360" w:type="dxa"/>
            <w:shd w:val="clear" w:color="auto" w:fill="auto"/>
            <w:vAlign w:val="center"/>
          </w:tcPr>
          <w:p w14:paraId="29D8A19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二级绿地养护项目 单排绿篱 高度(cm) 150-200以内</w:t>
            </w:r>
          </w:p>
        </w:tc>
        <w:tc>
          <w:tcPr>
            <w:tcW w:w="1528" w:type="dxa"/>
            <w:shd w:val="clear" w:color="auto" w:fill="auto"/>
            <w:vAlign w:val="center"/>
          </w:tcPr>
          <w:p w14:paraId="0D1B395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980" w:type="dxa"/>
            <w:shd w:val="clear" w:color="auto" w:fill="auto"/>
            <w:vAlign w:val="center"/>
          </w:tcPr>
          <w:p w14:paraId="5DB3BDE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1336" w:type="dxa"/>
            <w:shd w:val="clear" w:color="auto" w:fill="auto"/>
            <w:vAlign w:val="center"/>
          </w:tcPr>
          <w:p w14:paraId="7DF9C6D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476" w:type="dxa"/>
            <w:shd w:val="clear" w:color="auto" w:fill="auto"/>
            <w:vAlign w:val="center"/>
          </w:tcPr>
          <w:p w14:paraId="58B3D4A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70.00</w:t>
            </w:r>
          </w:p>
        </w:tc>
      </w:tr>
      <w:tr w14:paraId="031C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3FA9FEA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360" w:type="dxa"/>
            <w:shd w:val="clear" w:color="auto" w:fill="auto"/>
            <w:vAlign w:val="center"/>
          </w:tcPr>
          <w:p w14:paraId="410EC5A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w:t>
            </w:r>
          </w:p>
        </w:tc>
        <w:tc>
          <w:tcPr>
            <w:tcW w:w="1528" w:type="dxa"/>
            <w:shd w:val="clear" w:color="auto" w:fill="auto"/>
            <w:vAlign w:val="center"/>
          </w:tcPr>
          <w:p w14:paraId="41FD5791">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274EC564">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0F585B62">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50FD3219">
            <w:pPr>
              <w:shd w:val="clear"/>
              <w:jc w:val="right"/>
              <w:rPr>
                <w:rFonts w:hint="eastAsia" w:ascii="宋体" w:hAnsi="宋体" w:eastAsia="宋体" w:cs="宋体"/>
                <w:i w:val="0"/>
                <w:iCs w:val="0"/>
                <w:color w:val="auto"/>
                <w:sz w:val="22"/>
                <w:szCs w:val="22"/>
                <w:highlight w:val="none"/>
                <w:u w:val="none"/>
              </w:rPr>
            </w:pPr>
          </w:p>
        </w:tc>
      </w:tr>
      <w:tr w14:paraId="1C8C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022EE2C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3360" w:type="dxa"/>
            <w:shd w:val="clear" w:color="auto" w:fill="auto"/>
            <w:vAlign w:val="center"/>
          </w:tcPr>
          <w:p w14:paraId="72FC0C0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起挖乔木（带土球）胸径（cm）11以内`基价*0.3</w:t>
            </w:r>
          </w:p>
        </w:tc>
        <w:tc>
          <w:tcPr>
            <w:tcW w:w="1528" w:type="dxa"/>
            <w:shd w:val="clear" w:color="auto" w:fill="auto"/>
            <w:vAlign w:val="center"/>
          </w:tcPr>
          <w:p w14:paraId="531CD82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2224615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336" w:type="dxa"/>
            <w:shd w:val="clear" w:color="auto" w:fill="auto"/>
            <w:vAlign w:val="center"/>
          </w:tcPr>
          <w:p w14:paraId="24DE881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43B8D2B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5700.00</w:t>
            </w:r>
          </w:p>
        </w:tc>
      </w:tr>
      <w:tr w14:paraId="4F84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B8DDE3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3360" w:type="dxa"/>
            <w:shd w:val="clear" w:color="auto" w:fill="auto"/>
            <w:vAlign w:val="center"/>
          </w:tcPr>
          <w:p w14:paraId="4909A1E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起挖乔木（带土球）胸径（cm）11-20以内`基价*0.3</w:t>
            </w:r>
          </w:p>
        </w:tc>
        <w:tc>
          <w:tcPr>
            <w:tcW w:w="1528" w:type="dxa"/>
            <w:shd w:val="clear" w:color="auto" w:fill="auto"/>
            <w:vAlign w:val="center"/>
          </w:tcPr>
          <w:p w14:paraId="757DF0DC">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3AE5E37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w:t>
            </w:r>
          </w:p>
        </w:tc>
        <w:tc>
          <w:tcPr>
            <w:tcW w:w="1336" w:type="dxa"/>
            <w:shd w:val="clear" w:color="auto" w:fill="auto"/>
            <w:vAlign w:val="center"/>
          </w:tcPr>
          <w:p w14:paraId="39F763C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2FDC5D1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15200.00</w:t>
            </w:r>
          </w:p>
        </w:tc>
      </w:tr>
      <w:tr w14:paraId="1F08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754FC5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3360" w:type="dxa"/>
            <w:shd w:val="clear" w:color="auto" w:fill="auto"/>
            <w:vAlign w:val="center"/>
          </w:tcPr>
          <w:p w14:paraId="1118487D">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大树起挖（带土球）胸径（cm）25-35以内`基价*0.3</w:t>
            </w:r>
          </w:p>
        </w:tc>
        <w:tc>
          <w:tcPr>
            <w:tcW w:w="1528" w:type="dxa"/>
            <w:shd w:val="clear" w:color="auto" w:fill="auto"/>
            <w:vAlign w:val="center"/>
          </w:tcPr>
          <w:p w14:paraId="5572620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29BD0C7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429</w:t>
            </w:r>
          </w:p>
        </w:tc>
        <w:tc>
          <w:tcPr>
            <w:tcW w:w="1336" w:type="dxa"/>
            <w:shd w:val="clear" w:color="auto" w:fill="auto"/>
            <w:vAlign w:val="center"/>
          </w:tcPr>
          <w:p w14:paraId="0EF0CA0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54D463F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42900.00</w:t>
            </w:r>
          </w:p>
        </w:tc>
      </w:tr>
      <w:tr w14:paraId="4073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633FD3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3360" w:type="dxa"/>
            <w:shd w:val="clear" w:color="auto" w:fill="auto"/>
            <w:vAlign w:val="center"/>
          </w:tcPr>
          <w:p w14:paraId="2489D5E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死株处理胸径（cm）10以内</w:t>
            </w:r>
          </w:p>
        </w:tc>
        <w:tc>
          <w:tcPr>
            <w:tcW w:w="1528" w:type="dxa"/>
            <w:shd w:val="clear" w:color="auto" w:fill="auto"/>
            <w:vAlign w:val="center"/>
          </w:tcPr>
          <w:p w14:paraId="2C3950EA">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41B1710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336" w:type="dxa"/>
            <w:shd w:val="clear" w:color="auto" w:fill="auto"/>
            <w:vAlign w:val="center"/>
          </w:tcPr>
          <w:p w14:paraId="52D8428C">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1B87F14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800.00</w:t>
            </w:r>
          </w:p>
        </w:tc>
      </w:tr>
      <w:tr w14:paraId="0DCF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45DE12D">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3360" w:type="dxa"/>
            <w:shd w:val="clear" w:color="auto" w:fill="auto"/>
            <w:vAlign w:val="center"/>
          </w:tcPr>
          <w:p w14:paraId="66A8FA0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死株处理胸径（cm）10-20以内</w:t>
            </w:r>
          </w:p>
        </w:tc>
        <w:tc>
          <w:tcPr>
            <w:tcW w:w="1528" w:type="dxa"/>
            <w:shd w:val="clear" w:color="auto" w:fill="auto"/>
            <w:vAlign w:val="center"/>
          </w:tcPr>
          <w:p w14:paraId="3243B34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75AAE92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336" w:type="dxa"/>
            <w:shd w:val="clear" w:color="auto" w:fill="auto"/>
            <w:vAlign w:val="center"/>
          </w:tcPr>
          <w:p w14:paraId="4BF57F8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56184229">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1100.00</w:t>
            </w:r>
          </w:p>
        </w:tc>
      </w:tr>
      <w:tr w14:paraId="1B78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04C1E3C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3360" w:type="dxa"/>
            <w:shd w:val="clear" w:color="auto" w:fill="auto"/>
            <w:vAlign w:val="center"/>
          </w:tcPr>
          <w:p w14:paraId="7FD9AD43">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死株处理胸径（cm）20-30以内</w:t>
            </w:r>
          </w:p>
        </w:tc>
        <w:tc>
          <w:tcPr>
            <w:tcW w:w="1528" w:type="dxa"/>
            <w:shd w:val="clear" w:color="auto" w:fill="auto"/>
            <w:vAlign w:val="center"/>
          </w:tcPr>
          <w:p w14:paraId="1517E1F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5CF766C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336" w:type="dxa"/>
            <w:shd w:val="clear" w:color="auto" w:fill="auto"/>
            <w:vAlign w:val="center"/>
          </w:tcPr>
          <w:p w14:paraId="3A55897E">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1476" w:type="dxa"/>
            <w:shd w:val="clear" w:color="auto" w:fill="auto"/>
            <w:vAlign w:val="center"/>
          </w:tcPr>
          <w:p w14:paraId="0C07E98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1600.00</w:t>
            </w:r>
          </w:p>
        </w:tc>
      </w:tr>
      <w:tr w14:paraId="750A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000DCA78">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360" w:type="dxa"/>
            <w:shd w:val="clear" w:color="auto" w:fill="auto"/>
            <w:vAlign w:val="center"/>
          </w:tcPr>
          <w:p w14:paraId="69ECB22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补植</w:t>
            </w:r>
          </w:p>
        </w:tc>
        <w:tc>
          <w:tcPr>
            <w:tcW w:w="1528" w:type="dxa"/>
            <w:shd w:val="clear" w:color="auto" w:fill="auto"/>
            <w:vAlign w:val="center"/>
          </w:tcPr>
          <w:p w14:paraId="62D82066">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532F5A13">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35672C78">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2BAC883F">
            <w:pPr>
              <w:shd w:val="clear"/>
              <w:jc w:val="right"/>
              <w:rPr>
                <w:rFonts w:hint="eastAsia" w:ascii="宋体" w:hAnsi="宋体" w:eastAsia="宋体" w:cs="宋体"/>
                <w:i w:val="0"/>
                <w:iCs w:val="0"/>
                <w:color w:val="auto"/>
                <w:sz w:val="22"/>
                <w:szCs w:val="22"/>
                <w:highlight w:val="none"/>
                <w:u w:val="none"/>
              </w:rPr>
            </w:pPr>
          </w:p>
        </w:tc>
      </w:tr>
      <w:tr w14:paraId="03E8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6CC8339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3360" w:type="dxa"/>
            <w:shd w:val="clear" w:color="auto" w:fill="auto"/>
            <w:vAlign w:val="center"/>
          </w:tcPr>
          <w:p w14:paraId="0193658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栽植草皮满铺-马尼拉草</w:t>
            </w:r>
          </w:p>
        </w:tc>
        <w:tc>
          <w:tcPr>
            <w:tcW w:w="1528" w:type="dxa"/>
            <w:shd w:val="clear" w:color="auto" w:fill="auto"/>
            <w:vAlign w:val="center"/>
          </w:tcPr>
          <w:p w14:paraId="4F276C7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1A984EE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336" w:type="dxa"/>
            <w:shd w:val="clear" w:color="auto" w:fill="auto"/>
            <w:vAlign w:val="center"/>
          </w:tcPr>
          <w:p w14:paraId="2146AF1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1715</w:t>
            </w:r>
          </w:p>
        </w:tc>
        <w:tc>
          <w:tcPr>
            <w:tcW w:w="1476" w:type="dxa"/>
            <w:shd w:val="clear" w:color="auto" w:fill="auto"/>
            <w:vAlign w:val="center"/>
          </w:tcPr>
          <w:p w14:paraId="545B2F6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53165</w:t>
            </w:r>
          </w:p>
        </w:tc>
      </w:tr>
      <w:tr w14:paraId="75BE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7D5F522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3360" w:type="dxa"/>
            <w:shd w:val="clear" w:color="auto" w:fill="auto"/>
            <w:vAlign w:val="center"/>
          </w:tcPr>
          <w:p w14:paraId="4BB2CC3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撒播草籽</w:t>
            </w:r>
          </w:p>
        </w:tc>
        <w:tc>
          <w:tcPr>
            <w:tcW w:w="1528" w:type="dxa"/>
            <w:shd w:val="clear" w:color="auto" w:fill="auto"/>
            <w:vAlign w:val="center"/>
          </w:tcPr>
          <w:p w14:paraId="1A98B68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4019932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1336" w:type="dxa"/>
            <w:shd w:val="clear" w:color="auto" w:fill="auto"/>
            <w:vAlign w:val="center"/>
          </w:tcPr>
          <w:p w14:paraId="7D9D111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7550.00</w:t>
            </w:r>
          </w:p>
        </w:tc>
        <w:tc>
          <w:tcPr>
            <w:tcW w:w="1476" w:type="dxa"/>
            <w:shd w:val="clear" w:color="auto" w:fill="auto"/>
            <w:vAlign w:val="center"/>
          </w:tcPr>
          <w:p w14:paraId="2899E66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56625</w:t>
            </w:r>
          </w:p>
        </w:tc>
      </w:tr>
      <w:tr w14:paraId="1BE6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6721AEF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3360" w:type="dxa"/>
            <w:shd w:val="clear" w:color="auto" w:fill="auto"/>
            <w:vAlign w:val="center"/>
          </w:tcPr>
          <w:p w14:paraId="6D387296">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综合部分</w:t>
            </w:r>
          </w:p>
        </w:tc>
        <w:tc>
          <w:tcPr>
            <w:tcW w:w="1528" w:type="dxa"/>
            <w:shd w:val="clear" w:color="auto" w:fill="auto"/>
            <w:vAlign w:val="center"/>
          </w:tcPr>
          <w:p w14:paraId="230A8217">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5D48AF89">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70FACA20">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2C818479">
            <w:pPr>
              <w:shd w:val="clear"/>
              <w:jc w:val="right"/>
              <w:rPr>
                <w:rFonts w:hint="eastAsia" w:ascii="宋体" w:hAnsi="宋体" w:eastAsia="宋体" w:cs="宋体"/>
                <w:i w:val="0"/>
                <w:iCs w:val="0"/>
                <w:color w:val="auto"/>
                <w:sz w:val="22"/>
                <w:szCs w:val="22"/>
                <w:highlight w:val="none"/>
                <w:u w:val="none"/>
              </w:rPr>
            </w:pPr>
          </w:p>
        </w:tc>
      </w:tr>
      <w:tr w14:paraId="75EE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E59A063">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3360" w:type="dxa"/>
            <w:shd w:val="clear" w:color="auto" w:fill="auto"/>
            <w:vAlign w:val="center"/>
          </w:tcPr>
          <w:p w14:paraId="1D79211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包干价常绿树修剪残枝运费及堆放（一年）</w:t>
            </w:r>
          </w:p>
        </w:tc>
        <w:tc>
          <w:tcPr>
            <w:tcW w:w="1528" w:type="dxa"/>
            <w:shd w:val="clear" w:color="auto" w:fill="auto"/>
            <w:vAlign w:val="center"/>
          </w:tcPr>
          <w:p w14:paraId="4162621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62CB923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23000</w:t>
            </w:r>
          </w:p>
        </w:tc>
        <w:tc>
          <w:tcPr>
            <w:tcW w:w="1336" w:type="dxa"/>
            <w:shd w:val="clear" w:color="auto" w:fill="auto"/>
            <w:vAlign w:val="center"/>
          </w:tcPr>
          <w:p w14:paraId="74AD184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476" w:type="dxa"/>
            <w:shd w:val="clear" w:color="auto" w:fill="auto"/>
            <w:vAlign w:val="center"/>
          </w:tcPr>
          <w:p w14:paraId="6648DF2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23000.00</w:t>
            </w:r>
          </w:p>
        </w:tc>
      </w:tr>
      <w:tr w14:paraId="5443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6D3B20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3360" w:type="dxa"/>
            <w:shd w:val="clear" w:color="auto" w:fill="auto"/>
            <w:vAlign w:val="center"/>
          </w:tcPr>
          <w:p w14:paraId="2E8C087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地被植物片植[丛（株）/</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]-麦冬49丛/</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 xml:space="preserve"> 3-5芽/丛</w:t>
            </w:r>
          </w:p>
        </w:tc>
        <w:tc>
          <w:tcPr>
            <w:tcW w:w="1528" w:type="dxa"/>
            <w:shd w:val="clear" w:color="auto" w:fill="auto"/>
            <w:vAlign w:val="center"/>
          </w:tcPr>
          <w:p w14:paraId="318E92C8">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w:t>
            </w:r>
          </w:p>
        </w:tc>
        <w:tc>
          <w:tcPr>
            <w:tcW w:w="980" w:type="dxa"/>
            <w:shd w:val="clear" w:color="auto" w:fill="auto"/>
            <w:vAlign w:val="center"/>
          </w:tcPr>
          <w:p w14:paraId="29BD9B9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1336" w:type="dxa"/>
            <w:shd w:val="clear" w:color="auto" w:fill="auto"/>
            <w:vAlign w:val="center"/>
          </w:tcPr>
          <w:p w14:paraId="033BF404">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1672</w:t>
            </w:r>
          </w:p>
        </w:tc>
        <w:tc>
          <w:tcPr>
            <w:tcW w:w="1476" w:type="dxa"/>
            <w:shd w:val="clear" w:color="auto" w:fill="auto"/>
            <w:vAlign w:val="center"/>
          </w:tcPr>
          <w:p w14:paraId="62B72D5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107008.00</w:t>
            </w:r>
          </w:p>
        </w:tc>
      </w:tr>
      <w:tr w14:paraId="615E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624AEC9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3360" w:type="dxa"/>
            <w:shd w:val="clear" w:color="auto" w:fill="auto"/>
            <w:vAlign w:val="center"/>
          </w:tcPr>
          <w:p w14:paraId="6DA8159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包干价花架，坐凳，设施清洗</w:t>
            </w:r>
          </w:p>
        </w:tc>
        <w:tc>
          <w:tcPr>
            <w:tcW w:w="1528" w:type="dxa"/>
            <w:shd w:val="clear" w:color="auto" w:fill="auto"/>
            <w:vAlign w:val="center"/>
          </w:tcPr>
          <w:p w14:paraId="325EC67E">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49D2B7B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w:t>
            </w:r>
          </w:p>
        </w:tc>
        <w:tc>
          <w:tcPr>
            <w:tcW w:w="1336" w:type="dxa"/>
            <w:shd w:val="clear" w:color="auto" w:fill="auto"/>
            <w:vAlign w:val="center"/>
          </w:tcPr>
          <w:p w14:paraId="091485F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476" w:type="dxa"/>
            <w:shd w:val="clear" w:color="auto" w:fill="auto"/>
            <w:vAlign w:val="center"/>
          </w:tcPr>
          <w:p w14:paraId="11661EED">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6000.00</w:t>
            </w:r>
          </w:p>
        </w:tc>
      </w:tr>
      <w:tr w14:paraId="58C6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D4ECE1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3360" w:type="dxa"/>
            <w:shd w:val="clear" w:color="auto" w:fill="auto"/>
            <w:vAlign w:val="center"/>
          </w:tcPr>
          <w:p w14:paraId="3788B76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包干价清理石头等杂物</w:t>
            </w:r>
          </w:p>
        </w:tc>
        <w:tc>
          <w:tcPr>
            <w:tcW w:w="1528" w:type="dxa"/>
            <w:shd w:val="clear" w:color="auto" w:fill="auto"/>
            <w:vAlign w:val="center"/>
          </w:tcPr>
          <w:p w14:paraId="0A105EB1">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1B2E82A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6009</w:t>
            </w:r>
          </w:p>
        </w:tc>
        <w:tc>
          <w:tcPr>
            <w:tcW w:w="1336" w:type="dxa"/>
            <w:shd w:val="clear" w:color="auto" w:fill="auto"/>
            <w:vAlign w:val="center"/>
          </w:tcPr>
          <w:p w14:paraId="190CF801">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476" w:type="dxa"/>
            <w:shd w:val="clear" w:color="auto" w:fill="auto"/>
            <w:vAlign w:val="center"/>
          </w:tcPr>
          <w:p w14:paraId="42BE975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6009.00</w:t>
            </w:r>
          </w:p>
        </w:tc>
      </w:tr>
      <w:tr w14:paraId="08D3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3" w:hRule="atLeast"/>
        </w:trPr>
        <w:tc>
          <w:tcPr>
            <w:tcW w:w="776" w:type="dxa"/>
            <w:shd w:val="clear" w:color="auto" w:fill="auto"/>
            <w:vAlign w:val="center"/>
          </w:tcPr>
          <w:p w14:paraId="71127980">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3360" w:type="dxa"/>
            <w:shd w:val="clear" w:color="auto" w:fill="auto"/>
            <w:vAlign w:val="center"/>
          </w:tcPr>
          <w:p w14:paraId="5B64D067">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名木古树养护</w:t>
            </w:r>
          </w:p>
        </w:tc>
        <w:tc>
          <w:tcPr>
            <w:tcW w:w="1528" w:type="dxa"/>
            <w:shd w:val="clear" w:color="auto" w:fill="auto"/>
            <w:vAlign w:val="center"/>
          </w:tcPr>
          <w:p w14:paraId="79A96769">
            <w:pPr>
              <w:shd w:val="clear"/>
              <w:jc w:val="left"/>
              <w:rPr>
                <w:rFonts w:hint="eastAsia" w:ascii="宋体" w:hAnsi="宋体" w:eastAsia="宋体" w:cs="宋体"/>
                <w:i w:val="0"/>
                <w:iCs w:val="0"/>
                <w:color w:val="auto"/>
                <w:sz w:val="22"/>
                <w:szCs w:val="22"/>
                <w:highlight w:val="none"/>
                <w:u w:val="none"/>
              </w:rPr>
            </w:pPr>
          </w:p>
        </w:tc>
        <w:tc>
          <w:tcPr>
            <w:tcW w:w="980" w:type="dxa"/>
            <w:shd w:val="clear" w:color="auto" w:fill="auto"/>
            <w:vAlign w:val="center"/>
          </w:tcPr>
          <w:p w14:paraId="6BA5CCBF">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50657470">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2067C65D">
            <w:pPr>
              <w:shd w:val="clear"/>
              <w:jc w:val="right"/>
              <w:rPr>
                <w:rFonts w:hint="eastAsia" w:ascii="宋体" w:hAnsi="宋体" w:eastAsia="宋体" w:cs="宋体"/>
                <w:i w:val="0"/>
                <w:iCs w:val="0"/>
                <w:color w:val="auto"/>
                <w:sz w:val="22"/>
                <w:szCs w:val="22"/>
                <w:highlight w:val="none"/>
                <w:u w:val="none"/>
              </w:rPr>
            </w:pPr>
          </w:p>
        </w:tc>
      </w:tr>
      <w:tr w14:paraId="5C62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592982A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3360" w:type="dxa"/>
            <w:shd w:val="clear" w:color="auto" w:fill="auto"/>
            <w:vAlign w:val="center"/>
          </w:tcPr>
          <w:p w14:paraId="48B09445">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吊机</w:t>
            </w:r>
          </w:p>
        </w:tc>
        <w:tc>
          <w:tcPr>
            <w:tcW w:w="1528" w:type="dxa"/>
            <w:shd w:val="clear" w:color="auto" w:fill="auto"/>
            <w:vAlign w:val="center"/>
          </w:tcPr>
          <w:p w14:paraId="4F00B84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22CEA2B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3270</w:t>
            </w:r>
          </w:p>
        </w:tc>
        <w:tc>
          <w:tcPr>
            <w:tcW w:w="1336" w:type="dxa"/>
            <w:shd w:val="clear" w:color="auto" w:fill="auto"/>
            <w:vAlign w:val="center"/>
          </w:tcPr>
          <w:p w14:paraId="5C523B3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476" w:type="dxa"/>
            <w:shd w:val="clear" w:color="auto" w:fill="auto"/>
            <w:vAlign w:val="center"/>
          </w:tcPr>
          <w:p w14:paraId="6B42C16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32700</w:t>
            </w:r>
          </w:p>
        </w:tc>
      </w:tr>
      <w:tr w14:paraId="56E5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2DC2B4EE">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3360" w:type="dxa"/>
            <w:shd w:val="clear" w:color="auto" w:fill="auto"/>
            <w:vAlign w:val="center"/>
          </w:tcPr>
          <w:p w14:paraId="507E659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人工</w:t>
            </w:r>
          </w:p>
        </w:tc>
        <w:tc>
          <w:tcPr>
            <w:tcW w:w="1528" w:type="dxa"/>
            <w:shd w:val="clear" w:color="auto" w:fill="auto"/>
            <w:vAlign w:val="center"/>
          </w:tcPr>
          <w:p w14:paraId="16DE3C5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工日</w:t>
            </w:r>
          </w:p>
        </w:tc>
        <w:tc>
          <w:tcPr>
            <w:tcW w:w="980" w:type="dxa"/>
            <w:shd w:val="clear" w:color="auto" w:fill="auto"/>
            <w:vAlign w:val="center"/>
          </w:tcPr>
          <w:p w14:paraId="61A2A398">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1336" w:type="dxa"/>
            <w:shd w:val="clear" w:color="auto" w:fill="auto"/>
            <w:vAlign w:val="center"/>
          </w:tcPr>
          <w:p w14:paraId="3109FF8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1476" w:type="dxa"/>
            <w:shd w:val="clear" w:color="auto" w:fill="auto"/>
            <w:vAlign w:val="center"/>
          </w:tcPr>
          <w:p w14:paraId="3FA9BE2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19440</w:t>
            </w:r>
          </w:p>
        </w:tc>
      </w:tr>
      <w:tr w14:paraId="39AF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47066C3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3360" w:type="dxa"/>
            <w:shd w:val="clear" w:color="auto" w:fill="auto"/>
            <w:vAlign w:val="center"/>
          </w:tcPr>
          <w:p w14:paraId="06B6CE4B">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拖拉机</w:t>
            </w:r>
          </w:p>
        </w:tc>
        <w:tc>
          <w:tcPr>
            <w:tcW w:w="1528" w:type="dxa"/>
            <w:shd w:val="clear" w:color="auto" w:fill="auto"/>
            <w:vAlign w:val="center"/>
          </w:tcPr>
          <w:p w14:paraId="5AFAF9F9">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980" w:type="dxa"/>
            <w:shd w:val="clear" w:color="auto" w:fill="auto"/>
            <w:vAlign w:val="center"/>
          </w:tcPr>
          <w:p w14:paraId="17F214D6">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1308</w:t>
            </w:r>
          </w:p>
        </w:tc>
        <w:tc>
          <w:tcPr>
            <w:tcW w:w="1336" w:type="dxa"/>
            <w:shd w:val="clear" w:color="auto" w:fill="auto"/>
            <w:vAlign w:val="center"/>
          </w:tcPr>
          <w:p w14:paraId="6BC0606B">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476" w:type="dxa"/>
            <w:shd w:val="clear" w:color="auto" w:fill="auto"/>
            <w:vAlign w:val="center"/>
          </w:tcPr>
          <w:p w14:paraId="1BB09327">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13080</w:t>
            </w:r>
          </w:p>
        </w:tc>
      </w:tr>
      <w:tr w14:paraId="2481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978BCE1">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3360" w:type="dxa"/>
            <w:shd w:val="clear" w:color="auto" w:fill="auto"/>
            <w:vAlign w:val="center"/>
          </w:tcPr>
          <w:p w14:paraId="566D0FFF">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树木支撑架（树棍四角支撑）</w:t>
            </w:r>
          </w:p>
        </w:tc>
        <w:tc>
          <w:tcPr>
            <w:tcW w:w="1528" w:type="dxa"/>
            <w:shd w:val="clear" w:color="auto" w:fill="auto"/>
            <w:vAlign w:val="center"/>
          </w:tcPr>
          <w:p w14:paraId="250EF8D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株</w:t>
            </w:r>
          </w:p>
        </w:tc>
        <w:tc>
          <w:tcPr>
            <w:tcW w:w="980" w:type="dxa"/>
            <w:shd w:val="clear" w:color="auto" w:fill="auto"/>
            <w:vAlign w:val="center"/>
          </w:tcPr>
          <w:p w14:paraId="4DAAB310">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1336" w:type="dxa"/>
            <w:shd w:val="clear" w:color="auto" w:fill="auto"/>
            <w:vAlign w:val="center"/>
          </w:tcPr>
          <w:p w14:paraId="0E2ABAD2">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1476" w:type="dxa"/>
            <w:shd w:val="clear" w:color="auto" w:fill="auto"/>
            <w:vAlign w:val="center"/>
          </w:tcPr>
          <w:p w14:paraId="631574E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3960</w:t>
            </w:r>
          </w:p>
        </w:tc>
      </w:tr>
      <w:tr w14:paraId="19FB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shd w:val="clear" w:color="auto" w:fill="auto"/>
            <w:vAlign w:val="center"/>
          </w:tcPr>
          <w:p w14:paraId="125C26F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3360" w:type="dxa"/>
            <w:shd w:val="clear" w:color="auto" w:fill="auto"/>
            <w:vAlign w:val="center"/>
          </w:tcPr>
          <w:p w14:paraId="1BEA6B62">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黄泥</w:t>
            </w:r>
          </w:p>
        </w:tc>
        <w:tc>
          <w:tcPr>
            <w:tcW w:w="1528" w:type="dxa"/>
            <w:shd w:val="clear" w:color="auto" w:fill="auto"/>
            <w:vAlign w:val="center"/>
          </w:tcPr>
          <w:p w14:paraId="4473F360">
            <w:pPr>
              <w:keepNext w:val="0"/>
              <w:keepLines w:val="0"/>
              <w:widowControl/>
              <w:suppressLineNumbers w:val="0"/>
              <w:shd w:val="clear"/>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立方</w:t>
            </w:r>
          </w:p>
        </w:tc>
        <w:tc>
          <w:tcPr>
            <w:tcW w:w="980" w:type="dxa"/>
            <w:shd w:val="clear" w:color="auto" w:fill="auto"/>
            <w:vAlign w:val="center"/>
          </w:tcPr>
          <w:p w14:paraId="0C979A75">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1336" w:type="dxa"/>
            <w:shd w:val="clear" w:color="auto" w:fill="auto"/>
            <w:vAlign w:val="center"/>
          </w:tcPr>
          <w:p w14:paraId="1F9F521F">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w:t>
            </w:r>
          </w:p>
        </w:tc>
        <w:tc>
          <w:tcPr>
            <w:tcW w:w="1476" w:type="dxa"/>
            <w:shd w:val="clear" w:color="auto" w:fill="auto"/>
            <w:vAlign w:val="center"/>
          </w:tcPr>
          <w:p w14:paraId="3CBB0DEA">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11250</w:t>
            </w:r>
          </w:p>
        </w:tc>
      </w:tr>
      <w:tr w14:paraId="7273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4136" w:type="dxa"/>
            <w:gridSpan w:val="2"/>
            <w:shd w:val="clear" w:color="auto" w:fill="auto"/>
            <w:vAlign w:val="center"/>
          </w:tcPr>
          <w:p w14:paraId="40C7AC7B">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合计</w:t>
            </w:r>
          </w:p>
        </w:tc>
        <w:tc>
          <w:tcPr>
            <w:tcW w:w="1528" w:type="dxa"/>
            <w:shd w:val="clear" w:color="auto" w:fill="auto"/>
            <w:noWrap/>
            <w:vAlign w:val="bottom"/>
          </w:tcPr>
          <w:p w14:paraId="1E8B0C26">
            <w:pPr>
              <w:shd w:val="clear"/>
              <w:rPr>
                <w:rFonts w:hint="eastAsia" w:ascii="Arial" w:hAnsi="Arial" w:cs="Arial"/>
                <w:i w:val="0"/>
                <w:iCs w:val="0"/>
                <w:color w:val="auto"/>
                <w:sz w:val="22"/>
                <w:szCs w:val="22"/>
                <w:highlight w:val="none"/>
                <w:u w:val="none"/>
              </w:rPr>
            </w:pPr>
          </w:p>
        </w:tc>
        <w:tc>
          <w:tcPr>
            <w:tcW w:w="980" w:type="dxa"/>
            <w:shd w:val="clear" w:color="auto" w:fill="auto"/>
            <w:vAlign w:val="center"/>
          </w:tcPr>
          <w:p w14:paraId="0ED8CE48">
            <w:pPr>
              <w:shd w:val="clear"/>
              <w:jc w:val="right"/>
              <w:rPr>
                <w:rFonts w:hint="eastAsia" w:ascii="宋体" w:hAnsi="宋体" w:eastAsia="宋体" w:cs="宋体"/>
                <w:i w:val="0"/>
                <w:iCs w:val="0"/>
                <w:color w:val="auto"/>
                <w:sz w:val="22"/>
                <w:szCs w:val="22"/>
                <w:highlight w:val="none"/>
                <w:u w:val="none"/>
              </w:rPr>
            </w:pPr>
          </w:p>
        </w:tc>
        <w:tc>
          <w:tcPr>
            <w:tcW w:w="1336" w:type="dxa"/>
            <w:shd w:val="clear" w:color="auto" w:fill="auto"/>
            <w:vAlign w:val="center"/>
          </w:tcPr>
          <w:p w14:paraId="3653C4AC">
            <w:pPr>
              <w:shd w:val="clear"/>
              <w:jc w:val="right"/>
              <w:rPr>
                <w:rFonts w:hint="eastAsia" w:ascii="宋体" w:hAnsi="宋体" w:eastAsia="宋体" w:cs="宋体"/>
                <w:i w:val="0"/>
                <w:iCs w:val="0"/>
                <w:color w:val="auto"/>
                <w:sz w:val="22"/>
                <w:szCs w:val="22"/>
                <w:highlight w:val="none"/>
                <w:u w:val="none"/>
              </w:rPr>
            </w:pPr>
          </w:p>
        </w:tc>
        <w:tc>
          <w:tcPr>
            <w:tcW w:w="1476" w:type="dxa"/>
            <w:shd w:val="clear" w:color="auto" w:fill="auto"/>
            <w:vAlign w:val="center"/>
          </w:tcPr>
          <w:p w14:paraId="2EB6F4C3">
            <w:pPr>
              <w:keepNext w:val="0"/>
              <w:keepLines w:val="0"/>
              <w:widowControl/>
              <w:suppressLineNumbers w:val="0"/>
              <w:shd w:val="clear"/>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1938500</w:t>
            </w:r>
          </w:p>
        </w:tc>
      </w:tr>
    </w:tbl>
    <w:p w14:paraId="5D2A9C17">
      <w:pPr>
        <w:shd w:val="clear" w:color="auto"/>
        <w:adjustRightInd w:val="0"/>
        <w:snapToGrid w:val="0"/>
        <w:spacing w:line="360" w:lineRule="auto"/>
        <w:ind w:firstLine="440" w:firstLineChars="200"/>
        <w:rPr>
          <w:rFonts w:hint="eastAsia" w:ascii="仿宋_GB2312" w:hAnsi="仿宋_GB2312" w:eastAsia="宋体" w:cs="Times New Roman"/>
          <w:b/>
          <w:bCs w:val="0"/>
          <w:color w:val="auto"/>
          <w:kern w:val="0"/>
          <w:sz w:val="22"/>
          <w:szCs w:val="22"/>
          <w:highlight w:val="none"/>
          <w:lang w:val="en-US" w:eastAsia="zh-CN"/>
        </w:rPr>
      </w:pPr>
      <w:r>
        <w:rPr>
          <w:rFonts w:hint="eastAsia" w:ascii="仿宋_GB2312" w:hAnsi="仿宋_GB2312" w:eastAsia="宋体" w:cs="Times New Roman"/>
          <w:b w:val="0"/>
          <w:bCs/>
          <w:color w:val="auto"/>
          <w:kern w:val="0"/>
          <w:sz w:val="22"/>
          <w:szCs w:val="20"/>
          <w:highlight w:val="none"/>
        </w:rPr>
        <w:t>注：上述</w:t>
      </w:r>
      <w:r>
        <w:rPr>
          <w:rFonts w:hint="eastAsia" w:ascii="仿宋_GB2312" w:hAnsi="仿宋_GB2312" w:eastAsia="宋体" w:cs="Times New Roman"/>
          <w:b w:val="0"/>
          <w:bCs/>
          <w:color w:val="auto"/>
          <w:kern w:val="0"/>
          <w:sz w:val="22"/>
          <w:szCs w:val="20"/>
          <w:highlight w:val="none"/>
          <w:lang w:val="en-US" w:eastAsia="zh-CN"/>
        </w:rPr>
        <w:t>清单</w:t>
      </w:r>
      <w:r>
        <w:rPr>
          <w:rFonts w:hint="eastAsia" w:ascii="仿宋_GB2312" w:hAnsi="仿宋_GB2312" w:eastAsia="宋体" w:cs="Times New Roman"/>
          <w:b w:val="0"/>
          <w:bCs/>
          <w:color w:val="auto"/>
          <w:kern w:val="0"/>
          <w:sz w:val="22"/>
          <w:szCs w:val="20"/>
          <w:highlight w:val="none"/>
        </w:rPr>
        <w:t>均为预计清单，具体应按实际</w:t>
      </w:r>
      <w:r>
        <w:rPr>
          <w:rFonts w:hint="eastAsia" w:ascii="仿宋_GB2312" w:hAnsi="仿宋_GB2312" w:eastAsia="宋体" w:cs="Times New Roman"/>
          <w:b w:val="0"/>
          <w:bCs/>
          <w:color w:val="auto"/>
          <w:kern w:val="0"/>
          <w:sz w:val="22"/>
          <w:szCs w:val="20"/>
          <w:highlight w:val="none"/>
          <w:lang w:val="en-US" w:eastAsia="zh-CN"/>
        </w:rPr>
        <w:t>情况</w:t>
      </w:r>
      <w:r>
        <w:rPr>
          <w:rFonts w:hint="eastAsia" w:ascii="仿宋_GB2312" w:hAnsi="仿宋_GB2312" w:eastAsia="宋体" w:cs="Times New Roman"/>
          <w:b w:val="0"/>
          <w:bCs/>
          <w:color w:val="auto"/>
          <w:kern w:val="0"/>
          <w:sz w:val="22"/>
          <w:szCs w:val="20"/>
          <w:highlight w:val="none"/>
        </w:rPr>
        <w:t>进行养护，供应商须自行考虑其中差异风险，</w:t>
      </w:r>
      <w:r>
        <w:rPr>
          <w:rFonts w:hint="eastAsia" w:ascii="仿宋_GB2312" w:hAnsi="仿宋_GB2312" w:eastAsia="宋体" w:cs="Times New Roman"/>
          <w:b/>
          <w:bCs w:val="0"/>
          <w:color w:val="auto"/>
          <w:kern w:val="0"/>
          <w:sz w:val="22"/>
          <w:szCs w:val="22"/>
          <w:highlight w:val="none"/>
          <w:lang w:val="en-US" w:eastAsia="zh-CN"/>
        </w:rPr>
        <w:t>后期实际结算金额按照各分项单价最高限价*实际养护数量*中标折扣率进行结算。</w:t>
      </w:r>
    </w:p>
    <w:p w14:paraId="4A3B99A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承包内容</w:t>
      </w:r>
    </w:p>
    <w:p w14:paraId="2B54B60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3.1</w:t>
      </w:r>
      <w:r>
        <w:rPr>
          <w:rFonts w:hint="eastAsia" w:ascii="仿宋_GB2312" w:hAnsi="仿宋_GB2312" w:eastAsia="宋体" w:cs="Times New Roman"/>
          <w:b w:val="0"/>
          <w:bCs/>
          <w:color w:val="auto"/>
          <w:kern w:val="0"/>
          <w:sz w:val="22"/>
          <w:szCs w:val="20"/>
          <w:highlight w:val="none"/>
        </w:rPr>
        <w:t>服务要求、内容和范围：</w:t>
      </w:r>
    </w:p>
    <w:p w14:paraId="059A9D3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1.1以安全管理、环境卫生、绿化养护为主要管理内容，在满足《鳌江镇绿化养护考核办法及实施细则》为前提来开展工作，确保养护内容处于正常、有序的状态。</w:t>
      </w:r>
    </w:p>
    <w:p w14:paraId="765CEC1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1.2建立并完善各种管理制度和工作流程，明确分工及职责和工作质量标准，强化工作的计划性、可操作性和实效性，确保设备安全和维保质量，确保设备维运的及时性和准确性，确保环境舒适、有序。</w:t>
      </w:r>
    </w:p>
    <w:p w14:paraId="71341B3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按照管理内容编制检查表，每日进行检查，发现问题及时整改。对各工作岗位的服务质量随时进行抽查，发现问题，及时整改。定期向服务对象发放“服务意见征询书”，根据反馈意见进行统计，进行优化调整</w:t>
      </w:r>
      <w:r>
        <w:rPr>
          <w:rFonts w:hint="eastAsia" w:ascii="仿宋_GB2312" w:hAnsi="仿宋_GB2312" w:eastAsia="宋体" w:cs="Times New Roman"/>
          <w:b w:val="0"/>
          <w:bCs/>
          <w:color w:val="auto"/>
          <w:kern w:val="0"/>
          <w:sz w:val="22"/>
          <w:szCs w:val="20"/>
          <w:highlight w:val="none"/>
          <w:lang w:eastAsia="zh-CN"/>
        </w:rPr>
        <w:t>。</w:t>
      </w:r>
    </w:p>
    <w:p w14:paraId="0B68950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1.4建立各类应急预案（如消防、防汛、抗台等）并实施，培训相关人员达到相关要求。</w:t>
      </w:r>
    </w:p>
    <w:p w14:paraId="45A2A39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1.5自行按需要和《鳌江镇绿化养护考核办法及实施细则》对服务人员进行培训，并接受招标人对服务人员的集中培训。</w:t>
      </w:r>
    </w:p>
    <w:p w14:paraId="6485DCC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1.6自觉接受</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考核，并根据考核结果及时调整改进。</w:t>
      </w:r>
    </w:p>
    <w:p w14:paraId="35A6B5B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val="en-US" w:eastAsia="zh-CN"/>
        </w:rPr>
        <w:t>7</w:t>
      </w:r>
      <w:r>
        <w:rPr>
          <w:rFonts w:hint="eastAsia" w:ascii="仿宋_GB2312" w:hAnsi="仿宋_GB2312" w:eastAsia="宋体" w:cs="Times New Roman"/>
          <w:b w:val="0"/>
          <w:bCs/>
          <w:color w:val="auto"/>
          <w:kern w:val="0"/>
          <w:sz w:val="22"/>
          <w:szCs w:val="20"/>
          <w:highlight w:val="none"/>
        </w:rPr>
        <w:t>日常管理细则必须按</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要求规定执行。</w:t>
      </w:r>
    </w:p>
    <w:p w14:paraId="08EC46E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1.8做好相关台账。</w:t>
      </w:r>
    </w:p>
    <w:p w14:paraId="6600CE3B">
      <w:pPr>
        <w:shd w:val="clear" w:color="auto"/>
        <w:adjustRightInd w:val="0"/>
        <w:snapToGrid w:val="0"/>
        <w:spacing w:line="360" w:lineRule="auto"/>
        <w:ind w:firstLine="440" w:firstLineChars="200"/>
        <w:rPr>
          <w:rFonts w:hint="default"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3.1.9遇到灾害性气候发生，应及时组织人员进行抗旱、浇水、抗台扶树、抗雪保绿，并在2天内完成所有损坏树木的扶植、加固、清枝等工作。</w:t>
      </w:r>
    </w:p>
    <w:p w14:paraId="4F29218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3.2</w:t>
      </w:r>
      <w:r>
        <w:rPr>
          <w:rFonts w:hint="eastAsia" w:ascii="仿宋_GB2312" w:hAnsi="仿宋_GB2312" w:eastAsia="宋体" w:cs="Times New Roman"/>
          <w:b w:val="0"/>
          <w:bCs/>
          <w:color w:val="auto"/>
          <w:kern w:val="0"/>
          <w:sz w:val="22"/>
          <w:szCs w:val="20"/>
          <w:highlight w:val="none"/>
        </w:rPr>
        <w:t>保洁服务部分</w:t>
      </w:r>
    </w:p>
    <w:p w14:paraId="0BBD227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2.1具体要求</w:t>
      </w:r>
    </w:p>
    <w:p w14:paraId="657565E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负责本标项区域（招标范围内）的卫生保洁</w:t>
      </w:r>
      <w:r>
        <w:rPr>
          <w:rFonts w:hint="eastAsia" w:ascii="仿宋_GB2312" w:hAnsi="仿宋_GB2312" w:eastAsia="宋体" w:cs="Times New Roman"/>
          <w:b w:val="0"/>
          <w:bCs/>
          <w:color w:val="auto"/>
          <w:kern w:val="0"/>
          <w:sz w:val="22"/>
          <w:szCs w:val="20"/>
          <w:highlight w:val="none"/>
        </w:rPr>
        <w:t>。</w:t>
      </w:r>
    </w:p>
    <w:p w14:paraId="6E85A8F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（1）按照规定卫生标准提供24小时的清洁服务，并针对特殊情况，协助制定防止交叉感染、消毒隔离制度和工作标准、流程。</w:t>
      </w:r>
    </w:p>
    <w:p w14:paraId="5C4DEDF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（2）协助做好预防与灭治白蚁、消杀老鼠、蟑螂、蚊子、苍蝇等“四害”。</w:t>
      </w:r>
    </w:p>
    <w:p w14:paraId="33A6792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（3）保洁频率及标准按招标人要求执行，人员配置按招标人要求执行（详见养护管理日常管理人员配置要求）</w:t>
      </w:r>
    </w:p>
    <w:p w14:paraId="668E596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 </w:t>
      </w:r>
      <w:r>
        <w:rPr>
          <w:rFonts w:hint="eastAsia" w:ascii="仿宋_GB2312" w:hAnsi="仿宋_GB2312" w:eastAsia="宋体" w:cs="Times New Roman"/>
          <w:b w:val="0"/>
          <w:bCs/>
          <w:color w:val="auto"/>
          <w:kern w:val="0"/>
          <w:sz w:val="22"/>
          <w:szCs w:val="20"/>
          <w:highlight w:val="none"/>
          <w:lang w:val="en-US" w:eastAsia="zh-CN"/>
        </w:rPr>
        <w:t>3.3</w:t>
      </w:r>
      <w:r>
        <w:rPr>
          <w:rFonts w:hint="eastAsia" w:ascii="仿宋_GB2312" w:hAnsi="仿宋_GB2312" w:eastAsia="宋体" w:cs="Times New Roman"/>
          <w:b w:val="0"/>
          <w:bCs/>
          <w:color w:val="auto"/>
          <w:kern w:val="0"/>
          <w:sz w:val="22"/>
          <w:szCs w:val="20"/>
          <w:highlight w:val="none"/>
        </w:rPr>
        <w:t>绿化养护部分（</w:t>
      </w:r>
      <w:r>
        <w:rPr>
          <w:rFonts w:hint="eastAsia" w:ascii="仿宋_GB2312" w:hAnsi="仿宋_GB2312" w:eastAsia="宋体" w:cs="Times New Roman"/>
          <w:b w:val="0"/>
          <w:bCs/>
          <w:color w:val="auto"/>
          <w:kern w:val="0"/>
          <w:sz w:val="22"/>
          <w:szCs w:val="20"/>
          <w:highlight w:val="none"/>
          <w:lang w:eastAsia="zh-CN"/>
        </w:rPr>
        <w:t>绿化养护范围详见各标项“养护内容”</w:t>
      </w:r>
      <w:r>
        <w:rPr>
          <w:rFonts w:hint="eastAsia" w:ascii="仿宋_GB2312" w:hAnsi="仿宋_GB2312" w:eastAsia="宋体" w:cs="Times New Roman"/>
          <w:b w:val="0"/>
          <w:bCs/>
          <w:color w:val="auto"/>
          <w:kern w:val="0"/>
          <w:sz w:val="22"/>
          <w:szCs w:val="20"/>
          <w:highlight w:val="none"/>
        </w:rPr>
        <w:t>，统计表数量仅为参考，实际数量</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中标后可自行进行校对并校对结果上报招标人确认后，以最终校对结果做为移交清单，否则招标人可将以本统计表做为最终移交清单，校对过程中可能产生的费用需要包含在此次报价中）</w:t>
      </w:r>
    </w:p>
    <w:p w14:paraId="000FA72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3.3</w:t>
      </w:r>
      <w:r>
        <w:rPr>
          <w:rFonts w:hint="eastAsia" w:ascii="仿宋_GB2312" w:hAnsi="仿宋_GB2312" w:eastAsia="宋体" w:cs="Times New Roman"/>
          <w:b w:val="0"/>
          <w:bCs/>
          <w:color w:val="auto"/>
          <w:kern w:val="0"/>
          <w:sz w:val="22"/>
          <w:szCs w:val="20"/>
          <w:highlight w:val="none"/>
        </w:rPr>
        <w:t>.1养护标准</w:t>
      </w:r>
    </w:p>
    <w:p w14:paraId="30841B1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 符合《中华人民共和国城市绿化条例》、《城市绿化工程施工及验收规范》、《园林绿化技术规程》、《温州市园林绿化工程验收标准》（修订）、《温州市绿地养护管理标准》</w:t>
      </w:r>
      <w:r>
        <w:rPr>
          <w:rFonts w:hint="eastAsia" w:ascii="仿宋_GB2312" w:hAnsi="仿宋_GB2312" w:eastAsia="宋体" w:cs="Times New Roman"/>
          <w:b w:val="0"/>
          <w:bCs/>
          <w:color w:val="auto"/>
          <w:kern w:val="0"/>
          <w:sz w:val="22"/>
          <w:szCs w:val="20"/>
          <w:highlight w:val="none"/>
          <w:lang w:eastAsia="zh-CN"/>
        </w:rPr>
        <w:t>二级</w:t>
      </w:r>
      <w:r>
        <w:rPr>
          <w:rFonts w:hint="eastAsia" w:ascii="仿宋_GB2312" w:hAnsi="仿宋_GB2312" w:eastAsia="宋体" w:cs="Times New Roman"/>
          <w:b w:val="0"/>
          <w:bCs/>
          <w:color w:val="auto"/>
          <w:kern w:val="0"/>
          <w:sz w:val="22"/>
          <w:szCs w:val="20"/>
          <w:highlight w:val="none"/>
        </w:rPr>
        <w:t>绿地标准</w:t>
      </w:r>
      <w:r>
        <w:rPr>
          <w:rFonts w:hint="eastAsia" w:ascii="仿宋_GB2312" w:hAnsi="仿宋_GB2312" w:eastAsia="宋体" w:cs="Times New Roman"/>
          <w:b w:val="0"/>
          <w:bCs/>
          <w:color w:val="auto"/>
          <w:kern w:val="0"/>
          <w:sz w:val="22"/>
          <w:szCs w:val="20"/>
          <w:highlight w:val="none"/>
          <w:lang w:eastAsia="zh-CN"/>
        </w:rPr>
        <w:t>（详见附表）</w:t>
      </w:r>
      <w:r>
        <w:rPr>
          <w:rFonts w:hint="eastAsia" w:ascii="仿宋_GB2312" w:hAnsi="仿宋_GB2312" w:eastAsia="宋体" w:cs="Times New Roman"/>
          <w:b w:val="0"/>
          <w:bCs/>
          <w:color w:val="auto"/>
          <w:kern w:val="0"/>
          <w:sz w:val="22"/>
          <w:szCs w:val="20"/>
          <w:highlight w:val="none"/>
        </w:rPr>
        <w:t>，达到绿化养护</w:t>
      </w:r>
      <w:r>
        <w:rPr>
          <w:rFonts w:hint="eastAsia" w:ascii="仿宋_GB2312" w:hAnsi="仿宋_GB2312" w:eastAsia="宋体" w:cs="Times New Roman"/>
          <w:b w:val="0"/>
          <w:bCs/>
          <w:color w:val="auto"/>
          <w:kern w:val="0"/>
          <w:sz w:val="22"/>
          <w:szCs w:val="20"/>
          <w:highlight w:val="none"/>
          <w:lang w:eastAsia="zh-CN"/>
        </w:rPr>
        <w:t>二</w:t>
      </w:r>
      <w:r>
        <w:rPr>
          <w:rFonts w:hint="eastAsia" w:ascii="仿宋_GB2312" w:hAnsi="仿宋_GB2312" w:eastAsia="宋体" w:cs="Times New Roman"/>
          <w:b w:val="0"/>
          <w:bCs/>
          <w:color w:val="auto"/>
          <w:kern w:val="0"/>
          <w:sz w:val="22"/>
          <w:szCs w:val="20"/>
          <w:highlight w:val="none"/>
        </w:rPr>
        <w:t>级标准。</w:t>
      </w:r>
    </w:p>
    <w:p w14:paraId="1E24E56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（1）乔木:树冠完整美观，分枝点合适，枝条粗壮，无枯枝死杈；主侧枝分布匀称、数量适宜；内膛不乱，通风透光。行道树树穴有平整盖板或种植地被植物，黄土不裸露，设施完好。</w:t>
      </w:r>
    </w:p>
    <w:p w14:paraId="775F2B6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（2）花灌木:适时开花，株形丰满，枝叶茂密，无缺株，花后修剪及时合理。绿篱、色块等修剪及时整齐一致。修剪高度根据不同层次合理控制。</w:t>
      </w:r>
    </w:p>
    <w:p w14:paraId="3A731F0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（3）地被草坪:外观整齐，边缘线清晰，生长旺盛，草根不裸露，生长季节不枯黄，修剪及时，基本无杂草。</w:t>
      </w:r>
    </w:p>
    <w:p w14:paraId="07154F4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（4）花坛花带:轮廓清晰，整齐美观，色彩艳丽，无残缺，无残花败叶。花卉生长健壮，色彩鲜艳，株行距适宜，花期整齐，图案清晰。</w:t>
      </w:r>
    </w:p>
    <w:p w14:paraId="7D6A657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（5）病虫害防治:绿化养护技术措施完善，管理得当，病虫害控制及时，无明显虫害发生。</w:t>
      </w:r>
    </w:p>
    <w:p w14:paraId="324EF4E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质量技术要求</w:t>
      </w:r>
    </w:p>
    <w:p w14:paraId="056774A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.1灌溉和排水</w:t>
      </w:r>
    </w:p>
    <w:p w14:paraId="2DBFC06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（1）排水：严格保持绿地排水通畅，大雨后及时排出局部积水，每株树都要避免雨后根部淹水，避免绿地积水；下暴雨后，要确保排水通畅。</w:t>
      </w:r>
    </w:p>
    <w:p w14:paraId="3BD9A0F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灌溉：根据土壤“墒情”及时灌溉，夏季浇水时间应在下午4点以后；水量适当，既要浇透不能只湿地皮不湿根，又不可水分过多，以防底土过湿而影响植物根系生长。第二天上午土壤湿度达到“耕性”状态时，立即松土，以切断上部毛细管，减少土表水蒸发。不得出现树木因缺水死亡的现象。</w:t>
      </w:r>
    </w:p>
    <w:p w14:paraId="1E273DC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（3）根据季节适时浇水、排水。</w:t>
      </w:r>
    </w:p>
    <w:p w14:paraId="7C0278A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.2 中耕除草、挑草</w:t>
      </w:r>
    </w:p>
    <w:p w14:paraId="02C1123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1）树木根部附近土壤要保持疏松，易板结的土壤在蒸腾旺季每月松土一次。在生长旺季，每月松土除草1-2次。中耕除草应选在晴朗或初晴天气，土壤不过分湿润的时期进行。中耕除草以不影响根系生长为限。</w:t>
      </w:r>
    </w:p>
    <w:p w14:paraId="1316445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2）人工挑草有利于地被植物的保护，防止杂草与地被争水争肥影响地被健康生长。</w:t>
      </w:r>
    </w:p>
    <w:p w14:paraId="4677812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.3 施肥</w:t>
      </w:r>
    </w:p>
    <w:p w14:paraId="3826822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 行道树要求每年施肥二次，绿地内各类树木要求一年施肥二次，肥料为复合肥或肥饼，施肥时需通知</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，以</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验收为准；实际施肥数量未达到标内要求用量将在结算中扣除相应费用。改善土壤理化性状，保持土壤疏松。不出现因缺肥造成树木产生病害。(包工包料)</w:t>
      </w:r>
    </w:p>
    <w:p w14:paraId="263FBDB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.4</w:t>
      </w:r>
      <w:r>
        <w:rPr>
          <w:rFonts w:hint="eastAsia" w:ascii="仿宋_GB2312" w:hAnsi="仿宋_GB2312" w:eastAsia="宋体" w:cs="Times New Roman"/>
          <w:b w:val="0"/>
          <w:bCs/>
          <w:color w:val="auto"/>
          <w:kern w:val="0"/>
          <w:sz w:val="22"/>
          <w:szCs w:val="20"/>
          <w:highlight w:val="none"/>
          <w:lang w:val="en-US" w:eastAsia="zh-CN"/>
        </w:rPr>
        <w:t xml:space="preserve"> </w:t>
      </w:r>
      <w:r>
        <w:rPr>
          <w:rFonts w:hint="eastAsia" w:ascii="仿宋_GB2312" w:hAnsi="仿宋_GB2312" w:eastAsia="宋体" w:cs="Times New Roman"/>
          <w:b w:val="0"/>
          <w:bCs/>
          <w:color w:val="auto"/>
          <w:kern w:val="0"/>
          <w:sz w:val="22"/>
          <w:szCs w:val="20"/>
          <w:highlight w:val="none"/>
        </w:rPr>
        <w:t>病虫害防治</w:t>
      </w:r>
    </w:p>
    <w:p w14:paraId="2790230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对园林植物为害及普遍又严重的“五小、二病”加强防治。五小指：疥虫、蚜虫、粉虱、蓟马、叶螨；二病指：病毒病、线虫病、还应该对天牛以及其他病害进行防治。使用的农药必须符合国家规定，如高效低毒或生物农药等。</w:t>
      </w:r>
    </w:p>
    <w:p w14:paraId="6A1EC77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综合防治，以防为主；病虫害危害控制在以不影响观赏效果的范围之内。其中食叶性害虫危害的叶片，每株不超过10%；刺吸式害虫危害的叶片，每株不超过15%；无蛀干性害虫的株数在2%以下。（需在人流量较少的时候进行施药）</w:t>
      </w:r>
    </w:p>
    <w:p w14:paraId="65F080C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（3）所有树木冬季必须刷白，及时防治病虫害。发现枯枝、死枝必须24小时处理完毕；对枯死的树木应连同根部在24小时内挖除，并在1周内补种完毕。</w:t>
      </w:r>
    </w:p>
    <w:p w14:paraId="515146F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（4)配备专职植保员，应每天检查病虫害发生情况，发现病虫害应在2天内治理完毕，并做好病虫害防治工作台账，要求树木常年无明显病虫害。</w:t>
      </w:r>
    </w:p>
    <w:p w14:paraId="38F06F5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.5修剪</w:t>
      </w:r>
    </w:p>
    <w:p w14:paraId="08760EE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（1）乔木类主要修除病虫害枝、扭伤枝、枯烂枝、徒长枝、过密枝以及基部萌芽。主梢明显的乔木应保护顶芽，孤植树应保留下枝，保持树冠丰满；</w:t>
      </w:r>
    </w:p>
    <w:p w14:paraId="7DE3550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（2）灌木类修剪遵循“先上后下，先外后内，去弱留强，去老留新”的原则进行，修剪促使枝叶茂盛，分布匀称，高度合理；</w:t>
      </w:r>
    </w:p>
    <w:p w14:paraId="7ECDB7E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（3）色块应及时整修，保持和达到设计要求。</w:t>
      </w:r>
    </w:p>
    <w:p w14:paraId="4CA3430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（4）一年至少对树木保持三次以上大型修剪。树木要求无徒长枝、病虫枝、过密枝、枯枝、伤损枝、无死树木现象。</w:t>
      </w:r>
    </w:p>
    <w:p w14:paraId="7BFF482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（5）草坪内草高不得超过8cm，常绿草高不得超过6cm，草种基本纯，无杂草，草坪覆盖率应大于95%，无孔秃现象。</w:t>
      </w:r>
    </w:p>
    <w:p w14:paraId="77A47A5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（6）整形植物必须及时修剪保持形态，悬垂植物生长健壮，整体效果好。采用修剪等特殊手法，控制高度，植物高度不得影响交通视线。</w:t>
      </w:r>
    </w:p>
    <w:p w14:paraId="631B7B5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.6 剥芽</w:t>
      </w:r>
    </w:p>
    <w:p w14:paraId="37F8C6F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   对白玉兰、梧桐、榕树、紫荆等树种在春季应及时剥去主干上根基部的萌蘖条。</w:t>
      </w:r>
    </w:p>
    <w:p w14:paraId="142D3CB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.7 防寒、防冻措施</w:t>
      </w:r>
    </w:p>
    <w:p w14:paraId="76CC27A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   寒流来临前应采取根基培土、主干和根颈包扎等措施（耐寒性差的树种主枝也要包扎），防寒工作宜在常规寒流来临前完成，如遇有大雪及时清除树冠积雪，但不要损伤树冠。</w:t>
      </w:r>
    </w:p>
    <w:p w14:paraId="4795E84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.8 抗台风及紧急情况抢救措施</w:t>
      </w:r>
    </w:p>
    <w:p w14:paraId="7177CA4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（1）高大乔木在台风来临前，应以预防为主的原则，对树木存在根浅、迎风、树冠大、树枝过密以及立地条件差等，要根据实际情况分别采取绑扎、加土、扶正、疏枝、加桩等几项综合措施。</w:t>
      </w:r>
    </w:p>
    <w:p w14:paraId="353E222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（2）绑扎宜采用8号铅丝或绳索绑扎树干，绑扎点应衬垫橡皮，不得损伤树枝；另一端必须固定；不得多株串联起来再行固定，以免影响美观。</w:t>
      </w:r>
    </w:p>
    <w:p w14:paraId="314A1AD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（3）加土：树穴内的土壤，出现低洼和积水现象时，必须在台风来临前加土，使根颈周围的土保持馒头状。对枝叶茂密、树冠庞大的树木经行疏稀修剪；</w:t>
      </w:r>
    </w:p>
    <w:p w14:paraId="5B4A2D5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（4）如果在台风暴雨中树木倒伏，应先强行修剪疏冠，在土壤耕性状态时扶起重栽，重栽后必须采取有效的固定措施如用三角撑等。</w:t>
      </w:r>
    </w:p>
    <w:p w14:paraId="1752E7E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（5）台风过后影响安全、畅通的树木要求在12小时内处理完毕，其余受损树木等应在三天内处理完毕。</w:t>
      </w:r>
    </w:p>
    <w:p w14:paraId="574D2D9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.9 环境卫生：</w:t>
      </w:r>
    </w:p>
    <w:p w14:paraId="19F18AB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要求绿地整洁，草坪与树穴内无杂草，不得有石块、果壳、纸屑及其他垃圾，树木无张贴、无钉子、铁丝等破坏树木生长的东西。修剪留下的树枝及草末要求在当天必须清理完毕。</w:t>
      </w:r>
    </w:p>
    <w:p w14:paraId="4A7612F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.10 树木成活率</w:t>
      </w:r>
    </w:p>
    <w:p w14:paraId="1D0FDFA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新栽树木成活率在95%以上；原有树木保存率在100%，无死株、无缺株（遇人力不可抗拒的自然灾害，并防范措施到位者除外）。由自身养护及防护措施不到位造成树木死亡率超过</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标准，损失的费用由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承担（如补植，树木品种规格应一致，胸径误差≤20%）。如果非法侵占或砍伐树木，要及时向</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汇报，由</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配合乙方追查，补植由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负责。</w:t>
      </w:r>
    </w:p>
    <w:p w14:paraId="6076135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3.4</w:t>
      </w:r>
      <w:r>
        <w:rPr>
          <w:rFonts w:hint="eastAsia" w:ascii="仿宋_GB2312" w:hAnsi="仿宋_GB2312" w:eastAsia="宋体" w:cs="Times New Roman"/>
          <w:b w:val="0"/>
          <w:bCs/>
          <w:color w:val="auto"/>
          <w:kern w:val="0"/>
          <w:sz w:val="22"/>
          <w:szCs w:val="20"/>
          <w:highlight w:val="none"/>
        </w:rPr>
        <w:t>.11补植</w:t>
      </w:r>
    </w:p>
    <w:p w14:paraId="0C05FB78">
      <w:pPr>
        <w:numPr>
          <w:ilvl w:val="0"/>
          <w:numId w:val="0"/>
        </w:num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养护不到位</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lang w:val="en-US" w:eastAsia="zh-CN"/>
        </w:rPr>
        <w:t>包括但不限于未及时浇水、除草、除虫等</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而造成的</w:t>
      </w:r>
      <w:r>
        <w:rPr>
          <w:rFonts w:hint="eastAsia" w:ascii="仿宋_GB2312" w:hAnsi="仿宋_GB2312" w:eastAsia="宋体" w:cs="Times New Roman"/>
          <w:b w:val="0"/>
          <w:bCs/>
          <w:color w:val="auto"/>
          <w:kern w:val="0"/>
          <w:sz w:val="22"/>
          <w:szCs w:val="20"/>
          <w:highlight w:val="none"/>
          <w:lang w:val="en-US" w:eastAsia="zh-CN"/>
        </w:rPr>
        <w:t>植株枯死等</w:t>
      </w:r>
      <w:r>
        <w:rPr>
          <w:rFonts w:hint="eastAsia" w:ascii="仿宋_GB2312" w:hAnsi="仿宋_GB2312" w:eastAsia="宋体" w:cs="Times New Roman"/>
          <w:b w:val="0"/>
          <w:bCs/>
          <w:color w:val="auto"/>
          <w:kern w:val="0"/>
          <w:sz w:val="22"/>
          <w:szCs w:val="20"/>
          <w:highlight w:val="none"/>
        </w:rPr>
        <w:t>一切损失由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自行负责，必须无条件在1周内补植完毕。</w:t>
      </w:r>
    </w:p>
    <w:p w14:paraId="3E901CC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3.4</w:t>
      </w:r>
      <w:r>
        <w:rPr>
          <w:rFonts w:hint="eastAsia" w:ascii="仿宋_GB2312" w:hAnsi="仿宋_GB2312" w:eastAsia="宋体" w:cs="Times New Roman"/>
          <w:b w:val="0"/>
          <w:bCs/>
          <w:color w:val="auto"/>
          <w:kern w:val="0"/>
          <w:sz w:val="22"/>
          <w:szCs w:val="20"/>
          <w:highlight w:val="none"/>
        </w:rPr>
        <w:t>.12及时向</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反映</w:t>
      </w:r>
    </w:p>
    <w:p w14:paraId="284AC8A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对绿化情况进行登记管理，在绿化养护移交后，若发现垃圾死角、缺株、死株是</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未进行登记管理的，需及时向</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反映，第一次由</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及时进行处理，处理完毕后，后续还出现类似问题，均需</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负责。</w:t>
      </w:r>
    </w:p>
    <w:p w14:paraId="1740919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2</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对损坏绿化、侵占绿地的现象应及时予以制止，遇到严重的破坏树木行为应及时上报</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及执法部门，并做好配合。</w:t>
      </w:r>
    </w:p>
    <w:p w14:paraId="524E640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3.5</w:t>
      </w:r>
      <w:r>
        <w:rPr>
          <w:rFonts w:hint="eastAsia" w:ascii="仿宋_GB2312" w:hAnsi="仿宋_GB2312" w:eastAsia="宋体" w:cs="Times New Roman"/>
          <w:b w:val="0"/>
          <w:bCs/>
          <w:color w:val="auto"/>
          <w:kern w:val="0"/>
          <w:sz w:val="22"/>
          <w:szCs w:val="20"/>
          <w:highlight w:val="none"/>
        </w:rPr>
        <w:t xml:space="preserve"> 其他任务要求：</w:t>
      </w:r>
    </w:p>
    <w:p w14:paraId="4649FD09">
      <w:pPr>
        <w:shd w:val="clear" w:color="auto"/>
        <w:adjustRightInd w:val="0"/>
        <w:snapToGrid w:val="0"/>
        <w:spacing w:line="360" w:lineRule="auto"/>
        <w:ind w:firstLine="440" w:firstLineChars="200"/>
        <w:rPr>
          <w:rFonts w:hint="default"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rPr>
        <w:t>（1）因工作需要，</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临时向</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提出种植、补植、移植乔、灌木的要求，</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应全力配合，按照</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提出标准及要求完成任务并保活，不得无故拖延。其中，种植、补植的苗木费用由</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lang w:eastAsia="zh-CN"/>
        </w:rPr>
        <w:t>另计</w:t>
      </w:r>
      <w:r>
        <w:rPr>
          <w:rFonts w:hint="eastAsia" w:ascii="仿宋_GB2312" w:hAnsi="仿宋_GB2312" w:eastAsia="宋体" w:cs="Times New Roman"/>
          <w:b w:val="0"/>
          <w:bCs/>
          <w:color w:val="auto"/>
          <w:kern w:val="0"/>
          <w:sz w:val="22"/>
          <w:szCs w:val="20"/>
          <w:highlight w:val="none"/>
        </w:rPr>
        <w:t>支付，人工等费用由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lang w:eastAsia="zh-CN"/>
        </w:rPr>
        <w:t>承担（包括在本次投标报价中）</w:t>
      </w:r>
      <w:r>
        <w:rPr>
          <w:rFonts w:hint="eastAsia" w:ascii="仿宋_GB2312" w:hAnsi="仿宋_GB2312" w:eastAsia="宋体" w:cs="Times New Roman"/>
          <w:b w:val="0"/>
          <w:bCs/>
          <w:color w:val="auto"/>
          <w:kern w:val="0"/>
          <w:sz w:val="22"/>
          <w:szCs w:val="20"/>
          <w:highlight w:val="none"/>
        </w:rPr>
        <w:t>。</w:t>
      </w:r>
      <w:r>
        <w:rPr>
          <w:rFonts w:hint="eastAsia" w:ascii="仿宋_GB2312" w:hAnsi="仿宋_GB2312" w:eastAsia="宋体" w:cs="Times New Roman"/>
          <w:b w:val="0"/>
          <w:bCs/>
          <w:color w:val="auto"/>
          <w:kern w:val="0"/>
          <w:sz w:val="22"/>
          <w:szCs w:val="20"/>
          <w:highlight w:val="none"/>
          <w:lang w:eastAsia="zh-CN"/>
        </w:rPr>
        <w:t>如无故拖延，作为养护管理不合格处理，扣除当月养护费用的</w:t>
      </w:r>
      <w:r>
        <w:rPr>
          <w:rFonts w:hint="eastAsia" w:ascii="仿宋_GB2312" w:hAnsi="仿宋_GB2312" w:eastAsia="宋体" w:cs="Times New Roman"/>
          <w:b w:val="0"/>
          <w:bCs/>
          <w:color w:val="auto"/>
          <w:kern w:val="0"/>
          <w:sz w:val="22"/>
          <w:szCs w:val="20"/>
          <w:highlight w:val="none"/>
          <w:lang w:val="en-US" w:eastAsia="zh-CN"/>
        </w:rPr>
        <w:t>5%。</w:t>
      </w:r>
    </w:p>
    <w:p w14:paraId="13CDFA7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应根据</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要求在指定地段完成临时性的花卉摆放（经费由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向</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另外清算，不列在养护经费之内）。</w:t>
      </w:r>
    </w:p>
    <w:p w14:paraId="68B6F5C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管理及作业要求</w:t>
      </w:r>
    </w:p>
    <w:p w14:paraId="107E77E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 xml:space="preserve">1 </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应建立完善的管理制度及《质量考核奖惩规定》；并建立健全的管理制度及档案资料（包括对树种、数量、更换等情况及时记录入档）；</w:t>
      </w:r>
    </w:p>
    <w:p w14:paraId="2E12E07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 xml:space="preserve">2 </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必须信守承诺，认真落实具有相应技术的固定养护人员；</w:t>
      </w:r>
    </w:p>
    <w:p w14:paraId="00CF604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 xml:space="preserve">3 </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认真落实具有相应技术的固定养护人员；每位上岗员工在上岗工作前，应接受过绿化技术普及培训，安全教育，包括道路交通安全教育，机械操作规程教育，消防教育等，明确每项养护工作的质量要求，并按规定操作；</w:t>
      </w:r>
    </w:p>
    <w:p w14:paraId="2C4C340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4 养护人员必须挂牌上岗，统一穿着工作服，工作鞋，不能穿拖鞋上岗操作；</w:t>
      </w:r>
    </w:p>
    <w:p w14:paraId="3979C98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 xml:space="preserve">5 </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应制定各类应急措施，如发生车损、土方倾倒、树木被台风吹倒等情况，在半小时内赶到现场，拍照后汇报</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，并立即处置现场，尽快恢复绿化面貌；</w:t>
      </w:r>
    </w:p>
    <w:p w14:paraId="67F60AB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6 每天巡视养护路段，遇有树木倒伏等突发情况，及时赶到现场作业，尽快恢复绿化面貌；</w:t>
      </w:r>
    </w:p>
    <w:p w14:paraId="76E4BBC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7 各类农药专门放置，并安排专人保管，专人使用；</w:t>
      </w:r>
    </w:p>
    <w:p w14:paraId="488DB92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8 机械设备的操作者，必须持有专门的上岗证书，不得擅自违章操作；</w:t>
      </w:r>
    </w:p>
    <w:p w14:paraId="1306856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9 制定安全生产奖罚制度，对违反制度的工作人员，根据情节轻重予以教育和处罚；</w:t>
      </w:r>
    </w:p>
    <w:p w14:paraId="1A49343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10 实行挂牌施工，标明施工范围、内容、开竣工日期、施工单位、项目经理、监督电话、牌子置于施工范围明显处，以便监督；开展文明施工，职业道德教育，做到无野蛮施工，无违章施工和无重大安全伤亡事故；</w:t>
      </w:r>
    </w:p>
    <w:p w14:paraId="335DB07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11 施工现场的材料堆放整齐有序，施工结束后做到工完场地清，如割完草皮后及时将草屑清理干净；</w:t>
      </w:r>
    </w:p>
    <w:p w14:paraId="54EC223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3.6.12</w:t>
      </w:r>
      <w:r>
        <w:rPr>
          <w:rFonts w:hint="eastAsia" w:ascii="仿宋_GB2312" w:hAnsi="仿宋_GB2312" w:eastAsia="宋体" w:cs="Times New Roman"/>
          <w:b w:val="0"/>
          <w:bCs/>
          <w:color w:val="auto"/>
          <w:kern w:val="0"/>
          <w:sz w:val="22"/>
          <w:szCs w:val="20"/>
          <w:highlight w:val="none"/>
        </w:rPr>
        <w:t>中标供应商在承包期内，未经采购单位的同意，不得变换项目负责人，如若不能兑现，视同违约处理。</w:t>
      </w:r>
    </w:p>
    <w:p w14:paraId="4E28F8A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3.7</w:t>
      </w:r>
      <w:r>
        <w:rPr>
          <w:rFonts w:hint="eastAsia" w:ascii="仿宋_GB2312" w:hAnsi="仿宋_GB2312" w:eastAsia="宋体" w:cs="Times New Roman"/>
          <w:b w:val="0"/>
          <w:bCs/>
          <w:color w:val="auto"/>
          <w:kern w:val="0"/>
          <w:sz w:val="22"/>
          <w:szCs w:val="20"/>
          <w:highlight w:val="none"/>
        </w:rPr>
        <w:t xml:space="preserve">员工劳动保障 </w:t>
      </w:r>
    </w:p>
    <w:p w14:paraId="5CD3A7C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（1）必须与员工签订书面劳动合同，招收人员在主管部门备案。</w:t>
      </w:r>
    </w:p>
    <w:p w14:paraId="10360B9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（2）执行《劳动法》、《劳动合同法》有关员工保障的其他规定，由劳动部门查实的，根据查实情况处罚。</w:t>
      </w:r>
    </w:p>
    <w:p w14:paraId="317B6AD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（3）用工年龄按照国家劳动法律法规相关规定执行。</w:t>
      </w:r>
    </w:p>
    <w:p w14:paraId="0A27D26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3.8</w:t>
      </w:r>
      <w:r>
        <w:rPr>
          <w:rFonts w:hint="eastAsia" w:ascii="仿宋_GB2312" w:hAnsi="仿宋_GB2312" w:eastAsia="宋体" w:cs="Times New Roman"/>
          <w:b w:val="0"/>
          <w:bCs/>
          <w:color w:val="auto"/>
          <w:kern w:val="0"/>
          <w:sz w:val="22"/>
          <w:szCs w:val="20"/>
          <w:highlight w:val="none"/>
        </w:rPr>
        <w:t>绿化残肢堆放消纳场所要求</w:t>
      </w:r>
      <w:r>
        <w:rPr>
          <w:rFonts w:hint="eastAsia" w:ascii="仿宋_GB2312" w:hAnsi="仿宋_GB2312" w:eastAsia="宋体" w:cs="Times New Roman"/>
          <w:b w:val="0"/>
          <w:bCs/>
          <w:color w:val="auto"/>
          <w:kern w:val="0"/>
          <w:sz w:val="22"/>
          <w:szCs w:val="20"/>
          <w:highlight w:val="none"/>
          <w:lang w:eastAsia="zh-CN"/>
        </w:rPr>
        <w:t>（根据县有关部门规定）</w:t>
      </w:r>
      <w:r>
        <w:rPr>
          <w:rFonts w:hint="eastAsia" w:ascii="仿宋_GB2312" w:hAnsi="仿宋_GB2312" w:eastAsia="宋体" w:cs="Times New Roman"/>
          <w:b w:val="0"/>
          <w:bCs/>
          <w:color w:val="auto"/>
          <w:kern w:val="0"/>
          <w:sz w:val="22"/>
          <w:szCs w:val="20"/>
          <w:highlight w:val="none"/>
        </w:rPr>
        <w:t>：</w:t>
      </w:r>
    </w:p>
    <w:p w14:paraId="34ADBDA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四周设置不低于2米的实体围墙，或设置界桩，明确控制范围；</w:t>
      </w:r>
    </w:p>
    <w:p w14:paraId="210D914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应当配备用于绿化垃圾消纳的机械设备。</w:t>
      </w:r>
    </w:p>
    <w:p w14:paraId="14C6A17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消纳场必须配有专业工作人员现场管理。</w:t>
      </w:r>
    </w:p>
    <w:p w14:paraId="43814FD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eastAsia="zh-CN"/>
        </w:rPr>
        <w:t>需配合并通过</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lang w:eastAsia="zh-CN"/>
        </w:rPr>
        <w:t>每月进行考核。</w:t>
      </w:r>
    </w:p>
    <w:p w14:paraId="41D087F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9</w:t>
      </w:r>
      <w:r>
        <w:rPr>
          <w:rFonts w:hint="eastAsia" w:ascii="仿宋_GB2312" w:hAnsi="仿宋_GB2312" w:eastAsia="宋体" w:cs="Times New Roman"/>
          <w:b w:val="0"/>
          <w:bCs/>
          <w:color w:val="auto"/>
          <w:kern w:val="0"/>
          <w:sz w:val="22"/>
          <w:szCs w:val="20"/>
          <w:highlight w:val="none"/>
        </w:rPr>
        <w:t xml:space="preserve"> 绿化维护及保洁所用耗材、材料装备设施；水、电的接入及费用；人员食宿、安全等均由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自行负责解决，包含在投标总价中；</w:t>
      </w:r>
    </w:p>
    <w:p w14:paraId="60FA11F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10</w:t>
      </w:r>
      <w:r>
        <w:rPr>
          <w:rFonts w:hint="eastAsia" w:ascii="仿宋_GB2312" w:hAnsi="仿宋_GB2312" w:eastAsia="宋体" w:cs="Times New Roman"/>
          <w:b w:val="0"/>
          <w:bCs/>
          <w:color w:val="auto"/>
          <w:kern w:val="0"/>
          <w:sz w:val="22"/>
          <w:szCs w:val="20"/>
          <w:highlight w:val="none"/>
        </w:rPr>
        <w:t xml:space="preserve"> 在合同执行期内，</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应遵守法律法规及其他有关规定，并接受</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及有关部门的监督、检查和管理。</w:t>
      </w:r>
    </w:p>
    <w:p w14:paraId="6796B74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r>
        <w:rPr>
          <w:rFonts w:hint="eastAsia" w:ascii="仿宋_GB2312" w:hAnsi="仿宋_GB2312" w:eastAsia="宋体" w:cs="Times New Roman"/>
          <w:b w:val="0"/>
          <w:bCs/>
          <w:color w:val="auto"/>
          <w:kern w:val="0"/>
          <w:sz w:val="22"/>
          <w:szCs w:val="20"/>
          <w:highlight w:val="none"/>
          <w:lang w:val="en-US" w:eastAsia="zh-CN"/>
        </w:rPr>
        <w:t>11</w:t>
      </w:r>
      <w:r>
        <w:rPr>
          <w:rFonts w:hint="eastAsia" w:ascii="仿宋_GB2312" w:hAnsi="仿宋_GB2312" w:eastAsia="宋体" w:cs="Times New Roman"/>
          <w:b w:val="0"/>
          <w:bCs/>
          <w:color w:val="auto"/>
          <w:kern w:val="0"/>
          <w:sz w:val="22"/>
          <w:szCs w:val="20"/>
          <w:highlight w:val="none"/>
        </w:rPr>
        <w:t xml:space="preserve"> 项目负责人到岗率应达90%以上，平常巡查管理由专业技工负责。 </w:t>
      </w:r>
    </w:p>
    <w:p w14:paraId="2277CC6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3.1</w:t>
      </w:r>
      <w:r>
        <w:rPr>
          <w:rFonts w:hint="eastAsia" w:ascii="仿宋_GB2312" w:hAnsi="仿宋_GB2312" w:eastAsia="宋体" w:cs="Times New Roman"/>
          <w:b w:val="0"/>
          <w:bCs/>
          <w:color w:val="auto"/>
          <w:kern w:val="0"/>
          <w:sz w:val="22"/>
          <w:szCs w:val="20"/>
          <w:highlight w:val="none"/>
          <w:lang w:val="en-US" w:eastAsia="zh-CN"/>
        </w:rPr>
        <w:t>2</w:t>
      </w:r>
      <w:r>
        <w:rPr>
          <w:rFonts w:hint="eastAsia" w:ascii="仿宋_GB2312" w:hAnsi="仿宋_GB2312" w:eastAsia="宋体" w:cs="Times New Roman"/>
          <w:b w:val="0"/>
          <w:bCs/>
          <w:color w:val="auto"/>
          <w:kern w:val="0"/>
          <w:sz w:val="22"/>
          <w:szCs w:val="20"/>
          <w:highlight w:val="none"/>
        </w:rPr>
        <w:t>本项目不得转包、分包。</w:t>
      </w:r>
    </w:p>
    <w:p w14:paraId="124C997D">
      <w:pPr>
        <w:shd w:val="clear" w:color="auto"/>
        <w:adjustRightInd w:val="0"/>
        <w:snapToGrid w:val="0"/>
        <w:spacing w:line="360" w:lineRule="auto"/>
        <w:ind w:firstLine="442" w:firstLineChars="200"/>
        <w:rPr>
          <w:rFonts w:hint="eastAsia" w:ascii="仿宋_GB2312" w:hAnsi="仿宋_GB2312" w:eastAsia="宋体" w:cs="Times New Roman"/>
          <w:b/>
          <w:bCs w:val="0"/>
          <w:color w:val="auto"/>
          <w:kern w:val="0"/>
          <w:sz w:val="22"/>
          <w:szCs w:val="20"/>
          <w:highlight w:val="none"/>
        </w:rPr>
      </w:pPr>
      <w:r>
        <w:rPr>
          <w:rFonts w:hint="eastAsia" w:ascii="仿宋_GB2312" w:hAnsi="仿宋_GB2312" w:eastAsia="宋体" w:cs="Times New Roman"/>
          <w:b/>
          <w:bCs w:val="0"/>
          <w:color w:val="auto"/>
          <w:kern w:val="0"/>
          <w:sz w:val="22"/>
          <w:szCs w:val="20"/>
          <w:highlight w:val="none"/>
          <w:lang w:val="en-US" w:eastAsia="zh-CN"/>
        </w:rPr>
        <w:t>4.</w:t>
      </w:r>
      <w:r>
        <w:rPr>
          <w:rFonts w:hint="eastAsia" w:ascii="仿宋_GB2312" w:hAnsi="仿宋_GB2312" w:eastAsia="宋体" w:cs="Times New Roman"/>
          <w:b/>
          <w:bCs w:val="0"/>
          <w:color w:val="auto"/>
          <w:kern w:val="0"/>
          <w:sz w:val="22"/>
          <w:szCs w:val="20"/>
          <w:highlight w:val="none"/>
        </w:rPr>
        <w:t>服务质量要求</w:t>
      </w:r>
    </w:p>
    <w:p w14:paraId="1F6EC6C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w:t>
      </w:r>
      <w:r>
        <w:rPr>
          <w:rFonts w:hint="eastAsia" w:ascii="仿宋_GB2312" w:hAnsi="仿宋_GB2312" w:eastAsia="宋体" w:cs="Times New Roman"/>
          <w:b w:val="0"/>
          <w:bCs/>
          <w:color w:val="auto"/>
          <w:kern w:val="0"/>
          <w:sz w:val="22"/>
          <w:szCs w:val="20"/>
          <w:highlight w:val="none"/>
        </w:rPr>
        <w:t>各</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需本着对企业品牌的延伸，以社会效益为重的原则进行报价。</w:t>
      </w:r>
    </w:p>
    <w:p w14:paraId="399B3B2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4.2</w:t>
      </w:r>
      <w:r>
        <w:rPr>
          <w:rFonts w:hint="eastAsia" w:ascii="仿宋_GB2312" w:hAnsi="仿宋_GB2312" w:eastAsia="宋体" w:cs="Times New Roman"/>
          <w:b w:val="0"/>
          <w:bCs/>
          <w:color w:val="auto"/>
          <w:kern w:val="0"/>
          <w:sz w:val="22"/>
          <w:szCs w:val="20"/>
          <w:highlight w:val="none"/>
        </w:rPr>
        <w:t>各</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自行对现场、周边环境全面了解的情况下编制科学合理、切实可行的组织实施计划以及具体的保障措施、工作程序。</w:t>
      </w:r>
    </w:p>
    <w:p w14:paraId="5BE65AC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4.3</w:t>
      </w:r>
      <w:r>
        <w:rPr>
          <w:rFonts w:hint="eastAsia" w:ascii="仿宋_GB2312" w:hAnsi="仿宋_GB2312" w:eastAsia="宋体" w:cs="Times New Roman"/>
          <w:b w:val="0"/>
          <w:bCs/>
          <w:color w:val="auto"/>
          <w:kern w:val="0"/>
          <w:sz w:val="22"/>
          <w:szCs w:val="20"/>
          <w:highlight w:val="none"/>
        </w:rPr>
        <w:t>服务质量标准要求订立服务规程。</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应制订具体的质量保证措施及质量保证和相关服务承诺。如因质量未达到目标，</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应因此承担责任和经济赔偿。</w:t>
      </w:r>
    </w:p>
    <w:p w14:paraId="228AE51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服务区内垃圾用袋装收集，存放在指定地点。清卫、保洁及生活服务的工作质量按国家卫生城市管理的有关标准严格验收。</w:t>
      </w:r>
    </w:p>
    <w:p w14:paraId="070543A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4.5</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须按现代企业制度运行，发挥自身优势，以热心、爱心、专心、贴心的服务，为养护区后勤提供全方位、一体化的专业服务保障。确保养护区正常运转。</w:t>
      </w:r>
    </w:p>
    <w:p w14:paraId="44E4FFA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4.6</w:t>
      </w:r>
      <w:r>
        <w:rPr>
          <w:rFonts w:hint="eastAsia" w:ascii="仿宋_GB2312" w:hAnsi="仿宋_GB2312" w:eastAsia="宋体" w:cs="Times New Roman"/>
          <w:b w:val="0"/>
          <w:bCs/>
          <w:color w:val="auto"/>
          <w:kern w:val="0"/>
          <w:sz w:val="22"/>
          <w:szCs w:val="20"/>
          <w:highlight w:val="none"/>
        </w:rPr>
        <w:t>招标人有权在需要时对相关人员做集中调配并以调休、补休等方式进行补偿。此方式</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必须认可。</w:t>
      </w:r>
    </w:p>
    <w:p w14:paraId="174D230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4.7</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达不到招标人要求及</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各项服务承诺，招标人有权要求其整改，直至扣款或终止合同。</w:t>
      </w:r>
    </w:p>
    <w:p w14:paraId="0927CFA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4.8</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所有的工作除应按</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的内部流程实施外还应接受</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的检查。</w:t>
      </w:r>
    </w:p>
    <w:p w14:paraId="2C9CBF5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4.9</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需制定消防、抗台、防汛、安全等紧急预案，并切实地培训到每个岗位人员。</w:t>
      </w:r>
    </w:p>
    <w:p w14:paraId="2627217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4.10</w:t>
      </w:r>
      <w:r>
        <w:rPr>
          <w:rFonts w:hint="eastAsia" w:ascii="仿宋_GB2312" w:hAnsi="仿宋_GB2312" w:eastAsia="宋体" w:cs="Times New Roman"/>
          <w:b w:val="0"/>
          <w:bCs/>
          <w:color w:val="auto"/>
          <w:kern w:val="0"/>
          <w:sz w:val="22"/>
          <w:szCs w:val="20"/>
          <w:highlight w:val="none"/>
        </w:rPr>
        <w:t>绿化养护质量严格按照温州市市政园林局印发的《温州市绿地养护管理标准》</w:t>
      </w:r>
      <w:r>
        <w:rPr>
          <w:rFonts w:hint="eastAsia" w:ascii="仿宋_GB2312" w:hAnsi="仿宋_GB2312" w:eastAsia="宋体" w:cs="Times New Roman"/>
          <w:b w:val="0"/>
          <w:bCs/>
          <w:color w:val="auto"/>
          <w:kern w:val="0"/>
          <w:sz w:val="22"/>
          <w:szCs w:val="20"/>
          <w:highlight w:val="none"/>
          <w:lang w:eastAsia="zh-CN"/>
        </w:rPr>
        <w:t>二级</w:t>
      </w:r>
      <w:r>
        <w:rPr>
          <w:rFonts w:hint="eastAsia" w:ascii="仿宋_GB2312" w:hAnsi="仿宋_GB2312" w:eastAsia="宋体" w:cs="Times New Roman"/>
          <w:b w:val="0"/>
          <w:bCs/>
          <w:color w:val="auto"/>
          <w:kern w:val="0"/>
          <w:sz w:val="22"/>
          <w:szCs w:val="20"/>
          <w:highlight w:val="none"/>
        </w:rPr>
        <w:t>绿地标准</w:t>
      </w:r>
      <w:r>
        <w:rPr>
          <w:rFonts w:hint="eastAsia" w:ascii="仿宋_GB2312" w:hAnsi="仿宋_GB2312" w:eastAsia="宋体" w:cs="Times New Roman"/>
          <w:b w:val="0"/>
          <w:bCs/>
          <w:color w:val="auto"/>
          <w:kern w:val="0"/>
          <w:sz w:val="22"/>
          <w:szCs w:val="20"/>
          <w:highlight w:val="none"/>
          <w:lang w:eastAsia="zh-CN"/>
        </w:rPr>
        <w:t>（详见附表）</w:t>
      </w:r>
      <w:r>
        <w:rPr>
          <w:rFonts w:hint="eastAsia" w:ascii="仿宋_GB2312" w:hAnsi="仿宋_GB2312" w:eastAsia="宋体" w:cs="Times New Roman"/>
          <w:b w:val="0"/>
          <w:bCs/>
          <w:color w:val="auto"/>
          <w:kern w:val="0"/>
          <w:sz w:val="22"/>
          <w:szCs w:val="20"/>
          <w:highlight w:val="none"/>
        </w:rPr>
        <w:t>及相关规定执行。</w:t>
      </w:r>
    </w:p>
    <w:p w14:paraId="0FF1085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4.11</w:t>
      </w:r>
      <w:r>
        <w:rPr>
          <w:rFonts w:hint="eastAsia" w:ascii="仿宋_GB2312" w:hAnsi="仿宋_GB2312" w:eastAsia="宋体" w:cs="Times New Roman"/>
          <w:b w:val="0"/>
          <w:bCs/>
          <w:color w:val="auto"/>
          <w:kern w:val="0"/>
          <w:sz w:val="22"/>
          <w:szCs w:val="20"/>
          <w:highlight w:val="none"/>
        </w:rPr>
        <w:t>本项目承包期内，中标人必须对承包区域内有死株现象发生的苗木及时进行补种。承包期满后，招标人对养护区域内所有苗木进行移交验收，苗木数量必须与</w:t>
      </w:r>
      <w:r>
        <w:rPr>
          <w:rFonts w:hint="eastAsia" w:ascii="仿宋_GB2312" w:hAnsi="仿宋_GB2312" w:eastAsia="宋体" w:cs="Times New Roman"/>
          <w:b w:val="0"/>
          <w:bCs/>
          <w:color w:val="auto"/>
          <w:kern w:val="0"/>
          <w:sz w:val="22"/>
          <w:szCs w:val="20"/>
          <w:highlight w:val="none"/>
          <w:lang w:val="en-US" w:eastAsia="zh-CN"/>
        </w:rPr>
        <w:t>移交前数量</w:t>
      </w:r>
      <w:r>
        <w:rPr>
          <w:rFonts w:hint="eastAsia" w:ascii="仿宋_GB2312" w:hAnsi="仿宋_GB2312" w:eastAsia="宋体" w:cs="Times New Roman"/>
          <w:b w:val="0"/>
          <w:bCs/>
          <w:color w:val="auto"/>
          <w:kern w:val="0"/>
          <w:sz w:val="22"/>
          <w:szCs w:val="20"/>
          <w:highlight w:val="none"/>
        </w:rPr>
        <w:t>一致，若少于</w:t>
      </w:r>
      <w:r>
        <w:rPr>
          <w:rFonts w:hint="eastAsia" w:ascii="仿宋_GB2312" w:hAnsi="仿宋_GB2312" w:eastAsia="宋体" w:cs="Times New Roman"/>
          <w:b w:val="0"/>
          <w:bCs/>
          <w:color w:val="auto"/>
          <w:kern w:val="0"/>
          <w:sz w:val="22"/>
          <w:szCs w:val="20"/>
          <w:highlight w:val="none"/>
          <w:lang w:val="en-US" w:eastAsia="zh-CN"/>
        </w:rPr>
        <w:t>移交前数量</w:t>
      </w:r>
      <w:r>
        <w:rPr>
          <w:rFonts w:hint="eastAsia" w:ascii="仿宋_GB2312" w:hAnsi="仿宋_GB2312" w:eastAsia="宋体" w:cs="Times New Roman"/>
          <w:b w:val="0"/>
          <w:bCs/>
          <w:color w:val="auto"/>
          <w:kern w:val="0"/>
          <w:sz w:val="22"/>
          <w:szCs w:val="20"/>
          <w:highlight w:val="none"/>
        </w:rPr>
        <w:t>，则在退还履约保证金之前必须进行补种，否则履约保证金不予退还。</w:t>
      </w:r>
    </w:p>
    <w:p w14:paraId="778832C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4.12</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必须提供购置化肥的清单凭证给</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，且须与实物对照，经</w:t>
      </w:r>
      <w:r>
        <w:rPr>
          <w:rFonts w:hint="eastAsia" w:ascii="仿宋_GB2312" w:hAnsi="仿宋_GB2312" w:eastAsia="宋体" w:cs="Times New Roman"/>
          <w:b w:val="0"/>
          <w:bCs/>
          <w:color w:val="auto"/>
          <w:kern w:val="0"/>
          <w:sz w:val="22"/>
          <w:szCs w:val="20"/>
          <w:highlight w:val="none"/>
          <w:lang w:eastAsia="zh-CN"/>
        </w:rPr>
        <w:t>业主方经办人</w:t>
      </w:r>
      <w:r>
        <w:rPr>
          <w:rFonts w:hint="eastAsia" w:ascii="仿宋_GB2312" w:hAnsi="仿宋_GB2312" w:eastAsia="宋体" w:cs="Times New Roman"/>
          <w:b w:val="0"/>
          <w:bCs/>
          <w:color w:val="auto"/>
          <w:kern w:val="0"/>
          <w:sz w:val="22"/>
          <w:szCs w:val="20"/>
          <w:highlight w:val="none"/>
        </w:rPr>
        <w:t>签字确认后，方可实施。否则</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可不予支付化肥的结算费用。</w:t>
      </w:r>
    </w:p>
    <w:p w14:paraId="4BAE5F1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4.13</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增加车辆的，须相应增加机动车驾驶员人数；</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增加设备的，须相应增加设备操作人员。在实际养护过程质量不合格的（以考核评分结果为准），招标人有权要求</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增加投入养护人员进行作业，中标价（合同价）不予调整。</w:t>
      </w:r>
    </w:p>
    <w:p w14:paraId="2A06BC2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4.14中标后实施养护过程中，如</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提出机械化替代人工作业方案或优化方案结构（减少作业人数），可优于现养护效果的，须经招标人同意后方可实施。</w:t>
      </w:r>
    </w:p>
    <w:p w14:paraId="7BDBD4B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4.15车辆配备要求：</w:t>
      </w:r>
      <w:r>
        <w:rPr>
          <w:rFonts w:hint="eastAsia" w:ascii="仿宋_GB2312" w:hAnsi="仿宋_GB2312" w:eastAsia="宋体" w:cs="Times New Roman"/>
          <w:b w:val="0"/>
          <w:bCs/>
          <w:color w:val="auto"/>
          <w:kern w:val="0"/>
          <w:sz w:val="22"/>
          <w:szCs w:val="20"/>
          <w:highlight w:val="none"/>
        </w:rPr>
        <w:t>车辆需长期停放在</w:t>
      </w:r>
      <w:r>
        <w:rPr>
          <w:rFonts w:hint="eastAsia" w:ascii="仿宋_GB2312" w:hAnsi="仿宋_GB2312" w:eastAsia="宋体" w:cs="Times New Roman"/>
          <w:b w:val="0"/>
          <w:bCs/>
          <w:color w:val="auto"/>
          <w:kern w:val="0"/>
          <w:sz w:val="22"/>
          <w:szCs w:val="20"/>
          <w:highlight w:val="none"/>
          <w:lang w:eastAsia="zh-CN"/>
        </w:rPr>
        <w:t>平阳县</w:t>
      </w:r>
      <w:r>
        <w:rPr>
          <w:rFonts w:hint="eastAsia" w:ascii="仿宋_GB2312" w:hAnsi="仿宋_GB2312" w:eastAsia="宋体" w:cs="Times New Roman"/>
          <w:b w:val="0"/>
          <w:bCs/>
          <w:color w:val="auto"/>
          <w:kern w:val="0"/>
          <w:sz w:val="22"/>
          <w:szCs w:val="20"/>
          <w:highlight w:val="none"/>
        </w:rPr>
        <w:t>，如因特殊原因(如年审等)需驶离项目所在地，</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须另行提供同规格的备用车辆，经</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报备并得到许可后方可更换。车辆进场验收后，如经</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同意，</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可以根据实际作业情况用优于投标车辆品牌、参数的车辆以新换旧、以优换次来替代投标时投入的车辆，但最终投入进场的车辆须专车专用，只用于本项目，未经</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同意不得自行变更或另用他处。</w:t>
      </w:r>
    </w:p>
    <w:p w14:paraId="25E301D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4.16车辆持有形式可以自有已上牌(指</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自行购置，包括分公司或全资子公司购置)或现已租赁或承诺中标后购买或承诺中标后租赁，并按要求提供车辆行驶证及车辆全身彩色照片,若</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现有车辆未达到本项目数量要求的，则应在投标文件中承诺合同签订生效之日起7日历天内购置（租赁）剩余车辆并配备相应的驾驶员，确保能及时到位工作，否则</w:t>
      </w:r>
      <w:r>
        <w:rPr>
          <w:rFonts w:hint="eastAsia" w:ascii="仿宋_GB2312" w:hAnsi="仿宋_GB2312" w:cs="Times New Roman"/>
          <w:b w:val="0"/>
          <w:bCs/>
          <w:color w:val="auto"/>
          <w:kern w:val="0"/>
          <w:sz w:val="22"/>
          <w:szCs w:val="20"/>
          <w:highlight w:val="none"/>
          <w:lang w:val="en-US" w:eastAsia="zh-CN"/>
        </w:rPr>
        <w:t>甲方</w:t>
      </w:r>
      <w:r>
        <w:rPr>
          <w:rFonts w:hint="eastAsia" w:ascii="仿宋_GB2312" w:hAnsi="仿宋_GB2312" w:eastAsia="宋体" w:cs="Times New Roman"/>
          <w:b w:val="0"/>
          <w:bCs/>
          <w:color w:val="auto"/>
          <w:kern w:val="0"/>
          <w:sz w:val="22"/>
          <w:szCs w:val="20"/>
          <w:highlight w:val="none"/>
          <w:lang w:val="en-US" w:eastAsia="zh-CN"/>
        </w:rPr>
        <w:t>单方面解除合同。所有车辆在合同期间的运行、维保等费用均由</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自行承担。</w:t>
      </w:r>
    </w:p>
    <w:p w14:paraId="054DF0D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4.17</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自备或承诺养护设备及工具，中标后，</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自备或承诺的设备及工具应在合同签订生效之日起7日历天内配置完成到位，确保能及时到位工作，否则</w:t>
      </w:r>
      <w:r>
        <w:rPr>
          <w:rFonts w:hint="eastAsia" w:ascii="仿宋_GB2312" w:hAnsi="仿宋_GB2312" w:cs="Times New Roman"/>
          <w:b w:val="0"/>
          <w:bCs/>
          <w:color w:val="auto"/>
          <w:kern w:val="0"/>
          <w:sz w:val="22"/>
          <w:szCs w:val="20"/>
          <w:highlight w:val="none"/>
          <w:lang w:val="en-US" w:eastAsia="zh-CN"/>
        </w:rPr>
        <w:t>甲方</w:t>
      </w:r>
      <w:r>
        <w:rPr>
          <w:rFonts w:hint="eastAsia" w:ascii="仿宋_GB2312" w:hAnsi="仿宋_GB2312" w:eastAsia="宋体" w:cs="Times New Roman"/>
          <w:b w:val="0"/>
          <w:bCs/>
          <w:color w:val="auto"/>
          <w:kern w:val="0"/>
          <w:sz w:val="22"/>
          <w:szCs w:val="20"/>
          <w:highlight w:val="none"/>
          <w:lang w:val="en-US" w:eastAsia="zh-CN"/>
        </w:rPr>
        <w:t>单方面解除合同。</w:t>
      </w:r>
    </w:p>
    <w:p w14:paraId="66E6635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4.18合同签订生效之日起7日历天内</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需提供详细的全年养护管理计划；各路段养护作业人员的花名册及计划表；绿化喷洒车及轻型货车的驾驶员详细名单、身份证、联系电话及相应的行驶证。</w:t>
      </w:r>
    </w:p>
    <w:p w14:paraId="20209AD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4.19建立完善的巡查制度、培训制度及例会制度，管理人员需每日定期对绿地进行巡查，并且做好相关记录工作，需每日向招标人报告巡查线路及巡查中发现的问题；每月养护项目部至少安排召开一次例会。</w:t>
      </w:r>
    </w:p>
    <w:p w14:paraId="56630AF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20、养护用水由</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负责提供接水点，其相关费用包含于投标总价中。</w:t>
      </w:r>
    </w:p>
    <w:p w14:paraId="3431312E">
      <w:pPr>
        <w:shd w:val="clear" w:color="auto"/>
        <w:adjustRightInd w:val="0"/>
        <w:snapToGrid w:val="0"/>
        <w:spacing w:line="360" w:lineRule="auto"/>
        <w:ind w:firstLine="440" w:firstLineChars="200"/>
        <w:rPr>
          <w:rFonts w:hint="default"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21、本地化服务要求：</w:t>
      </w:r>
      <w:r>
        <w:rPr>
          <w:rFonts w:hint="eastAsia" w:ascii="仿宋_GB2312" w:hAnsi="仿宋_GB2312" w:cs="Times New Roman"/>
          <w:b w:val="0"/>
          <w:bCs/>
          <w:color w:val="auto"/>
          <w:kern w:val="0"/>
          <w:sz w:val="22"/>
          <w:szCs w:val="20"/>
          <w:highlight w:val="none"/>
          <w:lang w:val="en-US" w:eastAsia="zh-CN"/>
        </w:rPr>
        <w:t>乙方</w:t>
      </w:r>
      <w:r>
        <w:rPr>
          <w:rFonts w:hint="eastAsia" w:ascii="仿宋_GB2312" w:hAnsi="仿宋_GB2312" w:eastAsia="宋体" w:cs="Times New Roman"/>
          <w:b w:val="0"/>
          <w:bCs/>
          <w:color w:val="auto"/>
          <w:kern w:val="0"/>
          <w:sz w:val="22"/>
          <w:szCs w:val="20"/>
          <w:highlight w:val="none"/>
          <w:lang w:val="en-US" w:eastAsia="zh-CN"/>
        </w:rPr>
        <w:t>如为平阳以外的企业须在发出中标通知书后30天内在平阳县设立办事处，并配置办公场地及一定规模的仓库，满足项目需求。否则将取消中标资格。</w:t>
      </w:r>
    </w:p>
    <w:p w14:paraId="604916D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三</w:t>
      </w:r>
      <w:r>
        <w:rPr>
          <w:rFonts w:hint="eastAsia" w:ascii="仿宋_GB2312" w:hAnsi="仿宋_GB2312" w:eastAsia="宋体" w:cs="Times New Roman"/>
          <w:b w:val="0"/>
          <w:bCs/>
          <w:color w:val="auto"/>
          <w:kern w:val="0"/>
          <w:sz w:val="22"/>
          <w:szCs w:val="20"/>
          <w:highlight w:val="none"/>
        </w:rPr>
        <w:t>、其他要求及说明</w:t>
      </w:r>
    </w:p>
    <w:p w14:paraId="1DEA221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1.投标报价</w:t>
      </w:r>
    </w:p>
    <w:p w14:paraId="5F79ED1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1.1本次招标实行</w:t>
      </w:r>
      <w:r>
        <w:rPr>
          <w:rFonts w:hint="eastAsia" w:ascii="仿宋_GB2312" w:hAnsi="仿宋_GB2312" w:eastAsia="宋体" w:cs="Times New Roman"/>
          <w:b w:val="0"/>
          <w:bCs/>
          <w:color w:val="auto"/>
          <w:kern w:val="0"/>
          <w:sz w:val="22"/>
          <w:szCs w:val="20"/>
          <w:highlight w:val="none"/>
          <w:lang w:val="en-US" w:eastAsia="zh-CN"/>
        </w:rPr>
        <w:t>折扣率报价，养护数量按实际结算。</w:t>
      </w:r>
      <w:r>
        <w:rPr>
          <w:rFonts w:hint="eastAsia" w:ascii="仿宋_GB2312" w:hAnsi="仿宋_GB2312" w:eastAsia="宋体" w:cs="Times New Roman"/>
          <w:b w:val="0"/>
          <w:bCs/>
          <w:color w:val="auto"/>
          <w:kern w:val="0"/>
          <w:sz w:val="22"/>
          <w:szCs w:val="20"/>
          <w:highlight w:val="none"/>
        </w:rPr>
        <w:t>承包价必须包括</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在承包区域内提供绿化养护、补种、保洁及所有设施维护的相关服务所需的</w:t>
      </w:r>
      <w:r>
        <w:rPr>
          <w:rFonts w:hint="eastAsia" w:ascii="仿宋_GB2312" w:hAnsi="仿宋_GB2312" w:eastAsia="宋体" w:cs="Times New Roman"/>
          <w:b w:val="0"/>
          <w:bCs/>
          <w:color w:val="auto"/>
          <w:kern w:val="0"/>
          <w:sz w:val="22"/>
          <w:szCs w:val="20"/>
          <w:highlight w:val="none"/>
          <w:lang w:eastAsia="zh-CN"/>
        </w:rPr>
        <w:t>一切劳务、材料、设备、配件、备件、损耗（包括水、电等）、仓储、运输（包括垃圾外运）、维护、税费、保险、利润、验收、</w:t>
      </w:r>
      <w:r>
        <w:rPr>
          <w:rFonts w:hint="eastAsia" w:ascii="仿宋_GB2312" w:hAnsi="仿宋_GB2312" w:eastAsia="宋体" w:cs="Times New Roman"/>
          <w:b w:val="0"/>
          <w:bCs/>
          <w:color w:val="auto"/>
          <w:kern w:val="0"/>
          <w:sz w:val="22"/>
          <w:szCs w:val="20"/>
          <w:highlight w:val="none"/>
        </w:rPr>
        <w:t>完成合同所需的一切本身和不可或缺的所有工作开支、政策性文件规定及合同包含的所有风险、责任等各项全部费用并承担一切风险责任。除发生下列因素可调整合同价外，不得以任何其他理由调整任何费用。</w:t>
      </w:r>
    </w:p>
    <w:p w14:paraId="77FEDAE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（1）发包方提出的承包区域面积变更，根据原中标</w:t>
      </w:r>
      <w:r>
        <w:rPr>
          <w:rFonts w:hint="eastAsia" w:ascii="仿宋_GB2312" w:hAnsi="仿宋_GB2312" w:eastAsia="宋体" w:cs="Times New Roman"/>
          <w:b w:val="0"/>
          <w:bCs/>
          <w:color w:val="auto"/>
          <w:kern w:val="0"/>
          <w:sz w:val="22"/>
          <w:szCs w:val="20"/>
          <w:highlight w:val="none"/>
          <w:lang w:eastAsia="zh-CN"/>
        </w:rPr>
        <w:t>单价最高限价</w:t>
      </w:r>
      <w:r>
        <w:rPr>
          <w:rFonts w:hint="eastAsia" w:ascii="仿宋_GB2312" w:hAnsi="仿宋_GB2312" w:eastAsia="宋体" w:cs="Times New Roman"/>
          <w:b w:val="0"/>
          <w:bCs/>
          <w:color w:val="auto"/>
          <w:kern w:val="0"/>
          <w:sz w:val="22"/>
          <w:szCs w:val="20"/>
          <w:highlight w:val="none"/>
        </w:rPr>
        <w:t>计算变更费用。但属于</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投标漏项少算的费用不得追补。</w:t>
      </w:r>
    </w:p>
    <w:p w14:paraId="4999F98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（2）发生不可抗力的因素造成</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直接损失的费用，经鉴定核准，</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酌情予以一定补偿。但属于</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可以预见、预防，而</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预防不力所造成的损失，不予补偿。其经济损失由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承担。</w:t>
      </w:r>
    </w:p>
    <w:p w14:paraId="3BFED6F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 xml:space="preserve">1.2 </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认为为完成本招标文件规定的承包内容所需发生的直接成本、间接成本、利润、税金、政策性文件规定的费用、技术措施费、原材料价格变化风险等一切费用均应计入投标报价；凡未列入的，将被认为均已包含在投标</w:t>
      </w:r>
      <w:r>
        <w:rPr>
          <w:rFonts w:hint="eastAsia" w:ascii="仿宋_GB2312" w:hAnsi="仿宋_GB2312" w:eastAsia="宋体" w:cs="Times New Roman"/>
          <w:b w:val="0"/>
          <w:bCs/>
          <w:color w:val="auto"/>
          <w:kern w:val="0"/>
          <w:sz w:val="22"/>
          <w:szCs w:val="20"/>
          <w:highlight w:val="none"/>
          <w:lang w:val="en-US" w:eastAsia="zh-CN"/>
        </w:rPr>
        <w:t>单价</w:t>
      </w:r>
      <w:r>
        <w:rPr>
          <w:rFonts w:hint="eastAsia" w:ascii="仿宋_GB2312" w:hAnsi="仿宋_GB2312" w:eastAsia="宋体" w:cs="Times New Roman"/>
          <w:b w:val="0"/>
          <w:bCs/>
          <w:color w:val="auto"/>
          <w:kern w:val="0"/>
          <w:sz w:val="22"/>
          <w:szCs w:val="20"/>
          <w:highlight w:val="none"/>
        </w:rPr>
        <w:t>中，今后不得以任何理由追加或调整。</w:t>
      </w:r>
    </w:p>
    <w:p w14:paraId="71BCB99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一线职工、项目负责人、技术管理人员在承包期内意外险由乙方一次性投保意外险，在签订合同</w:t>
      </w:r>
      <w:r>
        <w:rPr>
          <w:rFonts w:hint="eastAsia" w:ascii="仿宋_GB2312" w:hAnsi="仿宋_GB2312" w:eastAsia="宋体" w:cs="Times New Roman"/>
          <w:b w:val="0"/>
          <w:bCs/>
          <w:color w:val="auto"/>
          <w:kern w:val="0"/>
          <w:sz w:val="22"/>
          <w:szCs w:val="20"/>
          <w:highlight w:val="none"/>
          <w:lang w:eastAsia="zh-CN"/>
        </w:rPr>
        <w:t>后</w:t>
      </w:r>
      <w:r>
        <w:rPr>
          <w:rFonts w:hint="eastAsia" w:ascii="仿宋_GB2312" w:hAnsi="仿宋_GB2312" w:eastAsia="宋体" w:cs="Times New Roman"/>
          <w:b w:val="0"/>
          <w:bCs/>
          <w:color w:val="auto"/>
          <w:kern w:val="0"/>
          <w:sz w:val="22"/>
          <w:szCs w:val="20"/>
          <w:highlight w:val="none"/>
        </w:rPr>
        <w:t>一个月内提供保险材料有关复印件。</w:t>
      </w:r>
    </w:p>
    <w:p w14:paraId="6D59F45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 xml:space="preserve"> </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的报价应包括为完成本项目服务可能发生的全部费用及</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的利润和应交纳的税金等。</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对合同内容的费用、质量、安全、文明服务等实行全面承包。</w:t>
      </w:r>
    </w:p>
    <w:p w14:paraId="47981BEB">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2.承包期限</w:t>
      </w:r>
    </w:p>
    <w:p w14:paraId="098B5A4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2.1</w:t>
      </w:r>
      <w:r>
        <w:rPr>
          <w:rFonts w:hint="eastAsia" w:ascii="仿宋_GB2312" w:hAnsi="仿宋_GB2312" w:eastAsia="宋体" w:cs="Times New Roman"/>
          <w:b w:val="0"/>
          <w:bCs/>
          <w:color w:val="auto"/>
          <w:kern w:val="0"/>
          <w:sz w:val="22"/>
          <w:szCs w:val="20"/>
          <w:highlight w:val="none"/>
          <w:lang w:eastAsia="zh-CN"/>
        </w:rPr>
        <w:t>管理服务期为一年</w:t>
      </w:r>
      <w:r>
        <w:rPr>
          <w:rFonts w:hint="eastAsia" w:ascii="仿宋_GB2312" w:hAnsi="仿宋_GB2312" w:eastAsia="宋体" w:cs="Times New Roman"/>
          <w:b w:val="0"/>
          <w:bCs/>
          <w:color w:val="auto"/>
          <w:kern w:val="0"/>
          <w:sz w:val="22"/>
          <w:szCs w:val="20"/>
          <w:highlight w:val="none"/>
          <w:lang w:val="en-US" w:eastAsia="zh-CN"/>
        </w:rPr>
        <w:t>或支付至各标项采购预算满则视为合同履约结束（按先达到的条件认定）</w:t>
      </w:r>
      <w:r>
        <w:rPr>
          <w:rFonts w:hint="eastAsia" w:ascii="仿宋_GB2312" w:hAnsi="仿宋_GB2312" w:eastAsia="宋体" w:cs="Times New Roman"/>
          <w:b w:val="0"/>
          <w:bCs/>
          <w:color w:val="auto"/>
          <w:kern w:val="0"/>
          <w:sz w:val="22"/>
          <w:szCs w:val="20"/>
          <w:highlight w:val="none"/>
        </w:rPr>
        <w:t>。</w:t>
      </w:r>
    </w:p>
    <w:p w14:paraId="27961CB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3.商务条款</w:t>
      </w:r>
      <w:r>
        <w:rPr>
          <w:rFonts w:hint="eastAsia" w:ascii="仿宋_GB2312" w:hAnsi="仿宋_GB2312" w:eastAsia="宋体" w:cs="Times New Roman"/>
          <w:b w:val="0"/>
          <w:bCs/>
          <w:color w:val="auto"/>
          <w:kern w:val="0"/>
          <w:sz w:val="22"/>
          <w:szCs w:val="20"/>
          <w:highlight w:val="none"/>
        </w:rPr>
        <w:t>（或具体款项支付视财政部门资金拨付情况而定）：</w:t>
      </w:r>
    </w:p>
    <w:p w14:paraId="0715F22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rPr>
        <w:t>3.1</w:t>
      </w:r>
      <w:r>
        <w:rPr>
          <w:rFonts w:hint="eastAsia" w:ascii="仿宋_GB2312" w:hAnsi="仿宋_GB2312" w:eastAsia="宋体" w:cs="Times New Roman"/>
          <w:b w:val="0"/>
          <w:bCs/>
          <w:color w:val="auto"/>
          <w:kern w:val="0"/>
          <w:sz w:val="22"/>
          <w:szCs w:val="20"/>
          <w:highlight w:val="none"/>
          <w:lang w:val="en-US" w:eastAsia="zh-CN"/>
        </w:rPr>
        <w:t>付款方式</w:t>
      </w:r>
    </w:p>
    <w:p w14:paraId="1086E9B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（1）履约保证金</w:t>
      </w:r>
    </w:p>
    <w:p w14:paraId="48639F53">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①签订合同后7个工作日内，乙方须向</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lang w:val="en-US" w:eastAsia="zh-CN"/>
        </w:rPr>
        <w:t>递交预算金额1%的履约保证金（转账或汇票或保函等非现金方式）；</w:t>
      </w:r>
    </w:p>
    <w:p w14:paraId="6210FC0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②服务期到期经验收合格后，无息将履约保证金（预算金额的1%）一次性退还。</w:t>
      </w:r>
    </w:p>
    <w:p w14:paraId="1316C2C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（2）付款方式（具体付款时间以财政拨付为准）：</w:t>
      </w:r>
    </w:p>
    <w:p w14:paraId="4471971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①在合同生效以及具备实施条件后七个工作日内，</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lang w:val="en-US" w:eastAsia="zh-CN"/>
        </w:rPr>
        <w:t>向乙方支付预算金额的40%作为预付款。</w:t>
      </w:r>
    </w:p>
    <w:p w14:paraId="7018603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（在签订合同时，乙方明确表示无需预付款或者主动要求降低预付款比例的，</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lang w:val="en-US" w:eastAsia="zh-CN"/>
        </w:rPr>
        <w:t>可不适用前述规定。</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lang w:val="en-US" w:eastAsia="zh-CN"/>
        </w:rPr>
        <w:t>可根据项目特点、乙方信用等情况，决定是否要求乙方提交银行、保险公司等金融机构出具的预付款保函或其他担保措施。（浙财采监[2022]3号文件）</w:t>
      </w:r>
    </w:p>
    <w:p w14:paraId="1D36C68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② 每季度验收一次。每季度按</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lang w:val="en-US" w:eastAsia="zh-CN"/>
        </w:rPr>
        <w:t>完成本季度养护、种植、补植等工作，经验收合格且当季度养护期结束，完成审价后支付至该季度费用的 100%。(第一季度应付金额未超过预付款则不予支付。当应支付金额超过预付款时，支付超出部分款项)。第四季度验收合格、养护期结算，并经审价完成后支付该季度费用的 100%。（具体以合同为主)。</w:t>
      </w:r>
      <w:r>
        <w:rPr>
          <w:rFonts w:hint="eastAsia" w:ascii="仿宋_GB2312" w:hAnsi="仿宋_GB2312" w:eastAsia="宋体" w:cs="Times New Roman"/>
          <w:b w:val="0"/>
          <w:bCs/>
          <w:color w:val="auto"/>
          <w:kern w:val="0"/>
          <w:sz w:val="22"/>
          <w:szCs w:val="20"/>
          <w:highlight w:val="none"/>
        </w:rPr>
        <w:t>其中肥料费用按</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实际用量并提供发票由</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确认后支付（</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必须提供购置化肥的清单凭证给</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，且须与实物对照，经</w:t>
      </w:r>
      <w:r>
        <w:rPr>
          <w:rFonts w:hint="eastAsia" w:ascii="仿宋_GB2312" w:hAnsi="仿宋_GB2312" w:eastAsia="宋体" w:cs="Times New Roman"/>
          <w:b w:val="0"/>
          <w:bCs/>
          <w:color w:val="auto"/>
          <w:kern w:val="0"/>
          <w:sz w:val="22"/>
          <w:szCs w:val="20"/>
          <w:highlight w:val="none"/>
          <w:lang w:eastAsia="zh-CN"/>
        </w:rPr>
        <w:t>业主方经办人</w:t>
      </w:r>
      <w:r>
        <w:rPr>
          <w:rFonts w:hint="eastAsia" w:ascii="仿宋_GB2312" w:hAnsi="仿宋_GB2312" w:eastAsia="宋体" w:cs="Times New Roman"/>
          <w:b w:val="0"/>
          <w:bCs/>
          <w:color w:val="auto"/>
          <w:kern w:val="0"/>
          <w:sz w:val="22"/>
          <w:szCs w:val="20"/>
          <w:highlight w:val="none"/>
        </w:rPr>
        <w:t>签字确认后，方可实施。否则</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可不予支付化肥的结算费用）。</w:t>
      </w:r>
    </w:p>
    <w:p w14:paraId="008B56D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3.2</w:t>
      </w:r>
      <w:r>
        <w:rPr>
          <w:rFonts w:hint="eastAsia" w:ascii="仿宋_GB2312" w:hAnsi="仿宋_GB2312" w:eastAsia="宋体" w:cs="Times New Roman"/>
          <w:b w:val="0"/>
          <w:bCs/>
          <w:color w:val="auto"/>
          <w:kern w:val="0"/>
          <w:sz w:val="22"/>
          <w:szCs w:val="20"/>
          <w:highlight w:val="none"/>
          <w:lang w:eastAsia="zh-CN"/>
        </w:rPr>
        <w:t>其他</w:t>
      </w:r>
    </w:p>
    <w:p w14:paraId="035AF64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zh-CN" w:eastAsia="zh-CN"/>
        </w:rPr>
      </w:pPr>
      <w:r>
        <w:rPr>
          <w:rFonts w:hint="eastAsia" w:ascii="仿宋_GB2312" w:hAnsi="仿宋_GB2312" w:eastAsia="宋体" w:cs="Times New Roman"/>
          <w:b w:val="0"/>
          <w:bCs/>
          <w:color w:val="auto"/>
          <w:kern w:val="0"/>
          <w:sz w:val="22"/>
          <w:szCs w:val="20"/>
          <w:highlight w:val="none"/>
          <w:lang w:val="zh-CN" w:eastAsia="zh-CN"/>
        </w:rPr>
        <w:t>投标报价应</w:t>
      </w:r>
      <w:r>
        <w:rPr>
          <w:rFonts w:hint="eastAsia" w:ascii="仿宋_GB2312" w:hAnsi="仿宋_GB2312" w:eastAsia="宋体" w:cs="Times New Roman"/>
          <w:b w:val="0"/>
          <w:bCs/>
          <w:color w:val="auto"/>
          <w:kern w:val="0"/>
          <w:sz w:val="22"/>
          <w:szCs w:val="20"/>
          <w:highlight w:val="none"/>
          <w:lang w:eastAsia="zh-CN"/>
        </w:rPr>
        <w:t>包括</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在承包区域内提供绿化养护、补种、保洁及所有设施维护的相关服务所需的</w:t>
      </w:r>
      <w:r>
        <w:rPr>
          <w:rFonts w:hint="eastAsia" w:ascii="仿宋_GB2312" w:hAnsi="仿宋_GB2312" w:eastAsia="宋体" w:cs="Times New Roman"/>
          <w:b w:val="0"/>
          <w:bCs/>
          <w:color w:val="auto"/>
          <w:kern w:val="0"/>
          <w:sz w:val="22"/>
          <w:szCs w:val="20"/>
          <w:highlight w:val="none"/>
          <w:lang w:eastAsia="zh-CN"/>
        </w:rPr>
        <w:t>一切劳务、材料、设备、配件、备件、损耗（包括水、电等）、仓储、运输（包括垃圾外运）、维护、税费、保险、利润、验收、</w:t>
      </w:r>
      <w:r>
        <w:rPr>
          <w:rFonts w:hint="eastAsia" w:ascii="仿宋_GB2312" w:hAnsi="仿宋_GB2312" w:eastAsia="宋体" w:cs="Times New Roman"/>
          <w:b w:val="0"/>
          <w:bCs/>
          <w:color w:val="auto"/>
          <w:kern w:val="0"/>
          <w:sz w:val="22"/>
          <w:szCs w:val="20"/>
          <w:highlight w:val="none"/>
        </w:rPr>
        <w:t>完成合同所需的一切本身和不可或缺的所有工作开支、政策性文件规定及合同包含的所有风险、责任等各项全部费用并承担一切风险责任</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lang w:eastAsia="zh-CN"/>
        </w:rPr>
        <w:t>不再另外支付其他费用</w:t>
      </w:r>
      <w:r>
        <w:rPr>
          <w:rFonts w:hint="eastAsia" w:ascii="仿宋_GB2312" w:hAnsi="仿宋_GB2312" w:eastAsia="宋体" w:cs="Times New Roman"/>
          <w:b w:val="0"/>
          <w:bCs/>
          <w:color w:val="auto"/>
          <w:kern w:val="0"/>
          <w:sz w:val="22"/>
          <w:szCs w:val="20"/>
          <w:highlight w:val="none"/>
          <w:lang w:val="zh-CN" w:eastAsia="zh-CN"/>
        </w:rPr>
        <w:t>。</w:t>
      </w:r>
    </w:p>
    <w:p w14:paraId="69656A5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lang w:eastAsia="zh-CN"/>
        </w:rPr>
        <w:t>验收</w:t>
      </w:r>
    </w:p>
    <w:p w14:paraId="33C60DB5">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zh-CN" w:eastAsia="zh-CN"/>
        </w:rPr>
      </w:pPr>
      <w:r>
        <w:rPr>
          <w:rFonts w:hint="eastAsia" w:ascii="仿宋_GB2312" w:hAnsi="仿宋_GB2312" w:eastAsia="宋体" w:cs="Times New Roman"/>
          <w:b w:val="0"/>
          <w:bCs/>
          <w:color w:val="auto"/>
          <w:kern w:val="0"/>
          <w:sz w:val="22"/>
          <w:szCs w:val="20"/>
          <w:highlight w:val="none"/>
          <w:lang w:val="zh-CN" w:eastAsia="zh-CN"/>
        </w:rPr>
        <w:t>（1）</w:t>
      </w:r>
      <w:r>
        <w:rPr>
          <w:rFonts w:hint="eastAsia" w:ascii="仿宋_GB2312" w:hAnsi="仿宋_GB2312" w:cs="Times New Roman"/>
          <w:b w:val="0"/>
          <w:bCs/>
          <w:color w:val="auto"/>
          <w:kern w:val="0"/>
          <w:sz w:val="22"/>
          <w:szCs w:val="20"/>
          <w:highlight w:val="none"/>
          <w:lang w:val="en-US" w:eastAsia="zh-CN"/>
        </w:rPr>
        <w:t>国企</w:t>
      </w:r>
      <w:r>
        <w:rPr>
          <w:rFonts w:hint="eastAsia" w:ascii="仿宋_GB2312" w:hAnsi="仿宋_GB2312" w:eastAsia="宋体" w:cs="Times New Roman"/>
          <w:b w:val="0"/>
          <w:bCs/>
          <w:color w:val="auto"/>
          <w:kern w:val="0"/>
          <w:sz w:val="22"/>
          <w:szCs w:val="20"/>
          <w:highlight w:val="none"/>
          <w:lang w:val="zh-CN" w:eastAsia="zh-CN"/>
        </w:rPr>
        <w:t>采购项目无论金额大小，都要进行履约验收，履约验收工作由</w:t>
      </w:r>
      <w:r>
        <w:rPr>
          <w:rFonts w:hint="eastAsia" w:ascii="仿宋_GB2312" w:hAnsi="仿宋_GB2312" w:cs="Times New Roman"/>
          <w:b w:val="0"/>
          <w:bCs/>
          <w:color w:val="auto"/>
          <w:kern w:val="0"/>
          <w:sz w:val="22"/>
          <w:szCs w:val="20"/>
          <w:highlight w:val="none"/>
          <w:lang w:val="zh-CN" w:eastAsia="zh-CN"/>
        </w:rPr>
        <w:t>甲方</w:t>
      </w:r>
      <w:r>
        <w:rPr>
          <w:rFonts w:hint="eastAsia" w:ascii="仿宋_GB2312" w:hAnsi="仿宋_GB2312" w:eastAsia="宋体" w:cs="Times New Roman"/>
          <w:b w:val="0"/>
          <w:bCs/>
          <w:color w:val="auto"/>
          <w:kern w:val="0"/>
          <w:sz w:val="22"/>
          <w:szCs w:val="20"/>
          <w:highlight w:val="none"/>
          <w:lang w:val="zh-CN" w:eastAsia="zh-CN"/>
        </w:rPr>
        <w:t>负责。</w:t>
      </w:r>
      <w:r>
        <w:rPr>
          <w:rFonts w:hint="eastAsia" w:ascii="仿宋_GB2312" w:hAnsi="仿宋_GB2312" w:cs="Times New Roman"/>
          <w:b w:val="0"/>
          <w:bCs/>
          <w:color w:val="auto"/>
          <w:kern w:val="0"/>
          <w:sz w:val="22"/>
          <w:szCs w:val="20"/>
          <w:highlight w:val="none"/>
          <w:lang w:val="zh-CN" w:eastAsia="zh-CN"/>
        </w:rPr>
        <w:t>甲方</w:t>
      </w:r>
      <w:r>
        <w:rPr>
          <w:rFonts w:hint="eastAsia" w:ascii="仿宋_GB2312" w:hAnsi="仿宋_GB2312" w:eastAsia="宋体" w:cs="Times New Roman"/>
          <w:b w:val="0"/>
          <w:bCs/>
          <w:color w:val="auto"/>
          <w:kern w:val="0"/>
          <w:sz w:val="22"/>
          <w:szCs w:val="20"/>
          <w:highlight w:val="none"/>
          <w:lang w:val="zh-CN" w:eastAsia="zh-CN"/>
        </w:rPr>
        <w:t>可以根据采购项目具体情况自行组织验收，</w:t>
      </w:r>
      <w:r>
        <w:rPr>
          <w:rFonts w:hint="eastAsia" w:ascii="仿宋_GB2312" w:hAnsi="仿宋_GB2312" w:cs="Times New Roman"/>
          <w:b w:val="0"/>
          <w:bCs/>
          <w:color w:val="auto"/>
          <w:kern w:val="0"/>
          <w:sz w:val="22"/>
          <w:szCs w:val="20"/>
          <w:highlight w:val="none"/>
          <w:lang w:val="zh-CN" w:eastAsia="zh-CN"/>
        </w:rPr>
        <w:t>甲方</w:t>
      </w:r>
      <w:r>
        <w:rPr>
          <w:rFonts w:hint="eastAsia" w:ascii="仿宋_GB2312" w:hAnsi="仿宋_GB2312" w:eastAsia="宋体" w:cs="Times New Roman"/>
          <w:b w:val="0"/>
          <w:bCs/>
          <w:color w:val="auto"/>
          <w:kern w:val="0"/>
          <w:sz w:val="22"/>
          <w:szCs w:val="20"/>
          <w:highlight w:val="none"/>
          <w:lang w:val="zh-CN" w:eastAsia="zh-CN"/>
        </w:rPr>
        <w:t>自行组织验收的，该项目招标代理负责人须在场作出有关解答；也可委托采购代理机构组织验收，但委托验收不能免除</w:t>
      </w:r>
      <w:r>
        <w:rPr>
          <w:rFonts w:hint="eastAsia" w:ascii="仿宋_GB2312" w:hAnsi="仿宋_GB2312" w:cs="Times New Roman"/>
          <w:b w:val="0"/>
          <w:bCs/>
          <w:color w:val="auto"/>
          <w:kern w:val="0"/>
          <w:sz w:val="22"/>
          <w:szCs w:val="20"/>
          <w:highlight w:val="none"/>
          <w:lang w:val="zh-CN" w:eastAsia="zh-CN"/>
        </w:rPr>
        <w:t>甲方</w:t>
      </w:r>
      <w:r>
        <w:rPr>
          <w:rFonts w:hint="eastAsia" w:ascii="仿宋_GB2312" w:hAnsi="仿宋_GB2312" w:eastAsia="宋体" w:cs="Times New Roman"/>
          <w:b w:val="0"/>
          <w:bCs/>
          <w:color w:val="auto"/>
          <w:kern w:val="0"/>
          <w:sz w:val="22"/>
          <w:szCs w:val="20"/>
          <w:highlight w:val="none"/>
          <w:lang w:val="zh-CN" w:eastAsia="zh-CN"/>
        </w:rPr>
        <w:t>应当承担的法律责任。</w:t>
      </w:r>
    </w:p>
    <w:p w14:paraId="02B4AD66">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zh-CN" w:eastAsia="zh-CN"/>
        </w:rPr>
      </w:pPr>
      <w:r>
        <w:rPr>
          <w:rFonts w:hint="eastAsia" w:ascii="仿宋_GB2312" w:hAnsi="仿宋_GB2312" w:eastAsia="宋体" w:cs="Times New Roman"/>
          <w:b w:val="0"/>
          <w:bCs/>
          <w:color w:val="auto"/>
          <w:kern w:val="0"/>
          <w:sz w:val="22"/>
          <w:szCs w:val="20"/>
          <w:highlight w:val="none"/>
          <w:lang w:val="zh-CN" w:eastAsia="zh-CN"/>
        </w:rPr>
        <w:t>（</w:t>
      </w:r>
      <w:r>
        <w:rPr>
          <w:rFonts w:hint="eastAsia" w:ascii="仿宋_GB2312" w:hAnsi="仿宋_GB2312" w:eastAsia="宋体" w:cs="Times New Roman"/>
          <w:b w:val="0"/>
          <w:bCs/>
          <w:color w:val="auto"/>
          <w:kern w:val="0"/>
          <w:sz w:val="22"/>
          <w:szCs w:val="20"/>
          <w:highlight w:val="none"/>
          <w:lang w:val="en-US" w:eastAsia="zh-CN"/>
        </w:rPr>
        <w:t>2</w:t>
      </w:r>
      <w:r>
        <w:rPr>
          <w:rFonts w:hint="eastAsia" w:ascii="仿宋_GB2312" w:hAnsi="仿宋_GB2312" w:eastAsia="宋体" w:cs="Times New Roman"/>
          <w:b w:val="0"/>
          <w:bCs/>
          <w:color w:val="auto"/>
          <w:kern w:val="0"/>
          <w:sz w:val="22"/>
          <w:szCs w:val="20"/>
          <w:highlight w:val="none"/>
          <w:lang w:val="zh-CN" w:eastAsia="zh-CN"/>
        </w:rPr>
        <w:t>）</w:t>
      </w:r>
      <w:r>
        <w:rPr>
          <w:rFonts w:hint="eastAsia" w:ascii="仿宋_GB2312" w:hAnsi="仿宋_GB2312" w:cs="Times New Roman"/>
          <w:b w:val="0"/>
          <w:bCs/>
          <w:color w:val="auto"/>
          <w:kern w:val="0"/>
          <w:sz w:val="22"/>
          <w:szCs w:val="20"/>
          <w:highlight w:val="none"/>
          <w:lang w:val="zh-CN" w:eastAsia="zh-CN"/>
        </w:rPr>
        <w:t>甲方</w:t>
      </w:r>
      <w:r>
        <w:rPr>
          <w:rFonts w:hint="eastAsia" w:ascii="仿宋_GB2312" w:hAnsi="仿宋_GB2312" w:eastAsia="宋体" w:cs="Times New Roman"/>
          <w:b w:val="0"/>
          <w:bCs/>
          <w:color w:val="auto"/>
          <w:kern w:val="0"/>
          <w:sz w:val="22"/>
          <w:szCs w:val="20"/>
          <w:highlight w:val="none"/>
          <w:lang w:val="zh-CN" w:eastAsia="zh-CN"/>
        </w:rPr>
        <w:t>对中标(成交)人的履约验收应按《温州市政府采购履约验收办法》执行。</w:t>
      </w:r>
    </w:p>
    <w:p w14:paraId="24F33E9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5.</w:t>
      </w:r>
      <w:r>
        <w:rPr>
          <w:rFonts w:hint="eastAsia" w:ascii="仿宋_GB2312" w:hAnsi="仿宋_GB2312" w:eastAsia="宋体" w:cs="Times New Roman"/>
          <w:b w:val="0"/>
          <w:bCs/>
          <w:color w:val="auto"/>
          <w:kern w:val="0"/>
          <w:sz w:val="22"/>
          <w:szCs w:val="20"/>
          <w:highlight w:val="none"/>
        </w:rPr>
        <w:t>其他要求及说明</w:t>
      </w:r>
    </w:p>
    <w:p w14:paraId="6DC7F7D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1、在保证服务质量与最精简优化人员配备的前提下，实行费用包干。</w:t>
      </w:r>
    </w:p>
    <w:p w14:paraId="64CF83E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2、招标人提供的各种设备、设施、工具，</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应安全、规范使用。除正常使用折旧外，</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应保证各设备、设施、工具的完好性，如有非正常损坏或遗失，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应照价赔偿。</w:t>
      </w:r>
    </w:p>
    <w:p w14:paraId="16CEEF5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3、所有人员的服装费用由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自行负责配备，分类统一着装，但服装样式需经招标人核准。</w:t>
      </w:r>
    </w:p>
    <w:p w14:paraId="0524377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必须节约用水、用电、用汽、用油，并严格按招标文件要求提供各种工作报表，如果未按要求提供工作报表一次，则扣罚当月综合养护费用服务费10%。</w:t>
      </w:r>
    </w:p>
    <w:p w14:paraId="40717747">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必须对下属服务人员严格管理，如发现服务人员有赌博、滋事、扰乱治安、偷盗物资、拿一次性消耗品回家等情况，发现一次则扣罚当月综合养护费用服务费10%。</w:t>
      </w:r>
    </w:p>
    <w:p w14:paraId="664EE652">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6.</w:t>
      </w:r>
      <w:r>
        <w:rPr>
          <w:rFonts w:hint="eastAsia" w:ascii="仿宋_GB2312" w:hAnsi="仿宋_GB2312" w:eastAsia="宋体" w:cs="Times New Roman"/>
          <w:b w:val="0"/>
          <w:bCs/>
          <w:color w:val="auto"/>
          <w:kern w:val="0"/>
          <w:sz w:val="22"/>
          <w:szCs w:val="20"/>
          <w:highlight w:val="none"/>
        </w:rPr>
        <w:t>为确保本项目服务人员相对稳定和如实到位，</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应按月提供服务人员实发工资册给招标人，经招标人核实确认后支付，如发现</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服务人员不到位或因</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主观原因而虚造工资的，一经查实，招标人有权拒付工资乃至终止服务合同。</w:t>
      </w:r>
    </w:p>
    <w:p w14:paraId="55EEEF3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三</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现场条件</w:t>
      </w:r>
    </w:p>
    <w:p w14:paraId="4798598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1．此次招标所涉及的人员食宿和作业工具、服装等均由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自行负责解决。此次招标所涉及的人员全部由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自行负责解决。</w:t>
      </w:r>
    </w:p>
    <w:p w14:paraId="793E8F3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2．作业工具的临时停放由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负责。</w:t>
      </w:r>
    </w:p>
    <w:p w14:paraId="5CEFD75F">
      <w:pPr>
        <w:shd w:val="clear" w:color="auto"/>
        <w:adjustRightInd w:val="0"/>
        <w:snapToGrid w:val="0"/>
        <w:spacing w:line="360" w:lineRule="auto"/>
        <w:ind w:firstLine="442" w:firstLineChars="200"/>
        <w:rPr>
          <w:rFonts w:hint="default" w:ascii="仿宋_GB2312" w:hAnsi="仿宋_GB2312" w:eastAsia="宋体" w:cs="Times New Roman"/>
          <w:b/>
          <w:bCs w:val="0"/>
          <w:color w:val="auto"/>
          <w:kern w:val="0"/>
          <w:sz w:val="22"/>
          <w:szCs w:val="20"/>
          <w:highlight w:val="none"/>
          <w:lang w:val="en-US" w:eastAsia="zh-CN"/>
        </w:rPr>
      </w:pPr>
      <w:r>
        <w:rPr>
          <w:rFonts w:hint="eastAsia" w:ascii="仿宋_GB2312" w:hAnsi="仿宋_GB2312" w:eastAsia="宋体" w:cs="Times New Roman"/>
          <w:b/>
          <w:bCs w:val="0"/>
          <w:color w:val="auto"/>
          <w:kern w:val="0"/>
          <w:sz w:val="22"/>
          <w:szCs w:val="20"/>
          <w:highlight w:val="none"/>
          <w:lang w:val="en-US" w:eastAsia="zh-CN"/>
        </w:rPr>
        <w:t>四</w:t>
      </w:r>
      <w:r>
        <w:rPr>
          <w:rFonts w:hint="eastAsia" w:ascii="仿宋_GB2312" w:hAnsi="仿宋_GB2312" w:eastAsia="宋体" w:cs="Times New Roman"/>
          <w:b/>
          <w:bCs w:val="0"/>
          <w:color w:val="auto"/>
          <w:kern w:val="0"/>
          <w:sz w:val="22"/>
          <w:szCs w:val="20"/>
          <w:highlight w:val="none"/>
        </w:rPr>
        <w:t>、养护管理日常管理人员配置要求</w:t>
      </w:r>
      <w:r>
        <w:rPr>
          <w:rFonts w:hint="eastAsia" w:ascii="仿宋_GB2312" w:hAnsi="仿宋_GB2312" w:eastAsia="宋体" w:cs="Times New Roman"/>
          <w:b/>
          <w:bCs w:val="0"/>
          <w:color w:val="auto"/>
          <w:kern w:val="0"/>
          <w:sz w:val="22"/>
          <w:szCs w:val="20"/>
          <w:highlight w:val="none"/>
          <w:lang w:val="en-US" w:eastAsia="zh-CN"/>
        </w:rPr>
        <w:t>(按各标项不同要求进行配备）（后附清单）</w:t>
      </w:r>
    </w:p>
    <w:p w14:paraId="189149CC">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标项一：▲投标供应商须按照本项目绿化保洁管理的特点，成立专业的项目组。项目负责现场绿化管理人员、专业绿化养护工与其他人员(保洁人员、车辆司机人员等)四者之间不得互相兼任;项目负责人(项目经理)不少于1名，须具有多年园林绿化行业经验;现场到岗绿化管理人员须具有助理园林工程师及以上职称证书且具有园林绿化行业经验;到场专业绿化养护工(包括草坪工，绿化工，花卉工，绿修剪工</w:t>
      </w:r>
      <w:r>
        <w:rPr>
          <w:rFonts w:hint="eastAsia" w:ascii="仿宋_GB2312" w:hAnsi="仿宋_GB2312" w:cs="Times New Roman"/>
          <w:b w:val="0"/>
          <w:bCs/>
          <w:color w:val="auto"/>
          <w:kern w:val="0"/>
          <w:sz w:val="22"/>
          <w:szCs w:val="20"/>
          <w:highlight w:val="none"/>
          <w:lang w:val="en-US" w:eastAsia="zh-CN"/>
        </w:rPr>
        <w:t>，具体工种按照实际需要配备</w:t>
      </w:r>
      <w:r>
        <w:rPr>
          <w:rFonts w:hint="eastAsia" w:ascii="仿宋_GB2312" w:hAnsi="仿宋_GB2312" w:eastAsia="宋体" w:cs="Times New Roman"/>
          <w:b w:val="0"/>
          <w:bCs/>
          <w:color w:val="auto"/>
          <w:kern w:val="0"/>
          <w:sz w:val="22"/>
          <w:szCs w:val="20"/>
          <w:highlight w:val="none"/>
          <w:lang w:val="en-US" w:eastAsia="zh-CN"/>
        </w:rPr>
        <w:t>)</w:t>
      </w:r>
      <w:r>
        <w:rPr>
          <w:rFonts w:hint="eastAsia" w:ascii="仿宋_GB2312" w:hAnsi="仿宋_GB2312" w:cs="Times New Roman"/>
          <w:b w:val="0"/>
          <w:bCs/>
          <w:color w:val="auto"/>
          <w:kern w:val="0"/>
          <w:sz w:val="22"/>
          <w:szCs w:val="20"/>
          <w:highlight w:val="none"/>
          <w:lang w:val="en-US" w:eastAsia="zh-CN"/>
        </w:rPr>
        <w:t>、</w:t>
      </w:r>
      <w:r>
        <w:rPr>
          <w:rFonts w:hint="eastAsia" w:ascii="仿宋_GB2312" w:hAnsi="仿宋_GB2312" w:eastAsia="宋体" w:cs="Times New Roman"/>
          <w:b w:val="0"/>
          <w:bCs/>
          <w:color w:val="auto"/>
          <w:kern w:val="0"/>
          <w:sz w:val="22"/>
          <w:szCs w:val="20"/>
          <w:highlight w:val="none"/>
          <w:lang w:val="en-US" w:eastAsia="zh-CN"/>
        </w:rPr>
        <w:t>保洁人员、车辆司机人员等不少于15 名，人员年龄不能超过 60 周岁:</w:t>
      </w:r>
    </w:p>
    <w:p w14:paraId="3ADF1D8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标项二：▲投标供应商须按照本项目绿化保洁管理的特点，成立专业的项目组。项目负责人、现场绿化管理人员、专业绿化养护工与其他人员(保洁人员、车辆司机人员等)四者之间不得互相兼任;项目负责人(项目经理)不少于1名，须具有多年园林绿化行业经验;现场到岗绿化管理人员须具有助理园林工程师及以上职称证书且具有园林绿化行业经验:到场专业绿化养护工(包括草坪工，绿化工，花卉工，绿修剪工，具体工种按照实际需要配备)、保洁人员、车辆司机人员等不少于 12名，人员年龄不能超过 60 周岁;</w:t>
      </w:r>
    </w:p>
    <w:p w14:paraId="086A97B1">
      <w:pPr>
        <w:shd w:val="clear" w:color="auto"/>
        <w:adjustRightInd w:val="0"/>
        <w:snapToGrid w:val="0"/>
        <w:spacing w:line="360" w:lineRule="auto"/>
        <w:ind w:firstLine="442" w:firstLineChars="200"/>
        <w:rPr>
          <w:rFonts w:hint="default" w:ascii="仿宋_GB2312" w:hAnsi="仿宋_GB2312" w:eastAsia="宋体" w:cs="Times New Roman"/>
          <w:b/>
          <w:bCs w:val="0"/>
          <w:color w:val="auto"/>
          <w:kern w:val="0"/>
          <w:sz w:val="22"/>
          <w:szCs w:val="20"/>
          <w:highlight w:val="none"/>
          <w:lang w:val="en-US" w:eastAsia="zh-CN"/>
        </w:rPr>
      </w:pPr>
      <w:r>
        <w:rPr>
          <w:rFonts w:hint="eastAsia" w:ascii="仿宋_GB2312" w:hAnsi="仿宋_GB2312" w:eastAsia="宋体" w:cs="Times New Roman"/>
          <w:b/>
          <w:bCs w:val="0"/>
          <w:color w:val="auto"/>
          <w:kern w:val="0"/>
          <w:sz w:val="22"/>
          <w:szCs w:val="20"/>
          <w:highlight w:val="none"/>
          <w:lang w:val="en-US" w:eastAsia="zh-CN"/>
        </w:rPr>
        <w:t>1</w:t>
      </w:r>
      <w:r>
        <w:rPr>
          <w:rFonts w:hint="default" w:ascii="仿宋_GB2312" w:hAnsi="仿宋_GB2312" w:eastAsia="宋体" w:cs="Times New Roman"/>
          <w:b/>
          <w:bCs w:val="0"/>
          <w:color w:val="auto"/>
          <w:kern w:val="0"/>
          <w:sz w:val="22"/>
          <w:szCs w:val="20"/>
          <w:highlight w:val="none"/>
          <w:lang w:val="en-US" w:eastAsia="zh-CN"/>
        </w:rPr>
        <w:t>、▲中标原则：对标项一、二，满足要求的</w:t>
      </w:r>
      <w:r>
        <w:rPr>
          <w:rFonts w:hint="eastAsia" w:ascii="仿宋_GB2312" w:hAnsi="仿宋_GB2312" w:cs="Times New Roman"/>
          <w:b/>
          <w:bCs w:val="0"/>
          <w:color w:val="auto"/>
          <w:kern w:val="0"/>
          <w:sz w:val="22"/>
          <w:szCs w:val="20"/>
          <w:highlight w:val="none"/>
          <w:lang w:val="en-US" w:eastAsia="zh-CN"/>
        </w:rPr>
        <w:t>乙方</w:t>
      </w:r>
      <w:r>
        <w:rPr>
          <w:rFonts w:hint="default" w:ascii="仿宋_GB2312" w:hAnsi="仿宋_GB2312" w:eastAsia="宋体" w:cs="Times New Roman"/>
          <w:b/>
          <w:bCs w:val="0"/>
          <w:color w:val="auto"/>
          <w:kern w:val="0"/>
          <w:sz w:val="22"/>
          <w:szCs w:val="20"/>
          <w:highlight w:val="none"/>
          <w:lang w:val="en-US" w:eastAsia="zh-CN"/>
        </w:rPr>
        <w:t>均可参与投标，评标委员会按标项一、二的顺序进行评审，并推荐各标项最高得分的</w:t>
      </w:r>
      <w:r>
        <w:rPr>
          <w:rFonts w:hint="eastAsia" w:ascii="仿宋_GB2312" w:hAnsi="仿宋_GB2312" w:cs="Times New Roman"/>
          <w:b/>
          <w:bCs w:val="0"/>
          <w:color w:val="auto"/>
          <w:kern w:val="0"/>
          <w:sz w:val="22"/>
          <w:szCs w:val="20"/>
          <w:highlight w:val="none"/>
          <w:lang w:val="en-US" w:eastAsia="zh-CN"/>
        </w:rPr>
        <w:t>乙方</w:t>
      </w:r>
      <w:r>
        <w:rPr>
          <w:rFonts w:hint="default" w:ascii="仿宋_GB2312" w:hAnsi="仿宋_GB2312" w:eastAsia="宋体" w:cs="Times New Roman"/>
          <w:b/>
          <w:bCs w:val="0"/>
          <w:color w:val="auto"/>
          <w:kern w:val="0"/>
          <w:sz w:val="22"/>
          <w:szCs w:val="20"/>
          <w:highlight w:val="none"/>
          <w:lang w:val="en-US" w:eastAsia="zh-CN"/>
        </w:rPr>
        <w:t>为中标候选人。本次评标，若</w:t>
      </w:r>
      <w:r>
        <w:rPr>
          <w:rFonts w:hint="eastAsia" w:ascii="仿宋_GB2312" w:hAnsi="仿宋_GB2312" w:cs="Times New Roman"/>
          <w:b/>
          <w:bCs w:val="0"/>
          <w:color w:val="auto"/>
          <w:kern w:val="0"/>
          <w:sz w:val="22"/>
          <w:szCs w:val="20"/>
          <w:highlight w:val="none"/>
          <w:lang w:val="en-US" w:eastAsia="zh-CN"/>
        </w:rPr>
        <w:t>乙方</w:t>
      </w:r>
      <w:r>
        <w:rPr>
          <w:rFonts w:hint="default" w:ascii="仿宋_GB2312" w:hAnsi="仿宋_GB2312" w:eastAsia="宋体" w:cs="Times New Roman"/>
          <w:b/>
          <w:bCs w:val="0"/>
          <w:color w:val="auto"/>
          <w:kern w:val="0"/>
          <w:sz w:val="22"/>
          <w:szCs w:val="20"/>
          <w:highlight w:val="none"/>
          <w:lang w:val="en-US" w:eastAsia="zh-CN"/>
        </w:rPr>
        <w:t>在前一个标项中标，则第二标项进行技术、服务、资信、业绩综合评分时，则须提供不同的项目组成员，若拟投入人员为同一批人，则第二标项拟投入人员情况部分得分不再计分。</w:t>
      </w:r>
    </w:p>
    <w:p w14:paraId="7E3F384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val="0"/>
          <w:bCs/>
          <w:color w:val="auto"/>
          <w:kern w:val="0"/>
          <w:sz w:val="22"/>
          <w:szCs w:val="20"/>
          <w:highlight w:val="none"/>
          <w:lang w:val="en-US" w:eastAsia="zh-CN"/>
        </w:rPr>
        <w:t>2、到位率及处罚：</w:t>
      </w:r>
      <w:r>
        <w:rPr>
          <w:rFonts w:hint="eastAsia" w:ascii="仿宋_GB2312" w:hAnsi="仿宋_GB2312" w:cs="Times New Roman"/>
          <w:b w:val="0"/>
          <w:bCs/>
          <w:color w:val="auto"/>
          <w:kern w:val="0"/>
          <w:sz w:val="22"/>
          <w:szCs w:val="20"/>
          <w:highlight w:val="none"/>
          <w:lang w:val="en-US" w:eastAsia="zh-CN"/>
        </w:rPr>
        <w:t>乙方按甲方要求安装考勤打卡机，甲方可在手机端实时查看每日到岗情况。</w:t>
      </w:r>
      <w:r>
        <w:rPr>
          <w:rFonts w:hint="eastAsia" w:ascii="仿宋_GB2312" w:hAnsi="仿宋_GB2312" w:eastAsia="宋体" w:cs="Times New Roman"/>
          <w:b w:val="0"/>
          <w:bCs/>
          <w:color w:val="auto"/>
          <w:kern w:val="0"/>
          <w:sz w:val="22"/>
          <w:szCs w:val="20"/>
          <w:highlight w:val="none"/>
        </w:rPr>
        <w:t>项目组各岗位人员人数构成则由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根据自身情况提出最优配置并保证人员到位率100%，如没达到上述要求</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将在每月的考核中做出扣分处理</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现场到岗绿化管理人员必须人证合一</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如不能履行要求按旷工处理</w:t>
      </w:r>
      <w:r>
        <w:rPr>
          <w:rFonts w:hint="eastAsia" w:ascii="仿宋_GB2312" w:hAnsi="仿宋_GB2312" w:eastAsia="宋体" w:cs="Times New Roman"/>
          <w:b w:val="0"/>
          <w:bCs/>
          <w:color w:val="auto"/>
          <w:kern w:val="0"/>
          <w:sz w:val="22"/>
          <w:szCs w:val="20"/>
          <w:highlight w:val="none"/>
          <w:lang w:eastAsia="zh-CN"/>
        </w:rPr>
        <w:t>，按一</w:t>
      </w:r>
      <w:r>
        <w:rPr>
          <w:rFonts w:hint="eastAsia" w:ascii="仿宋_GB2312" w:hAnsi="仿宋_GB2312" w:eastAsia="宋体" w:cs="Times New Roman"/>
          <w:b w:val="0"/>
          <w:bCs/>
          <w:color w:val="auto"/>
          <w:kern w:val="0"/>
          <w:sz w:val="22"/>
          <w:szCs w:val="20"/>
          <w:highlight w:val="none"/>
        </w:rPr>
        <w:t>天1000元</w:t>
      </w:r>
      <w:r>
        <w:rPr>
          <w:rFonts w:hint="eastAsia" w:ascii="仿宋_GB2312" w:hAnsi="仿宋_GB2312" w:eastAsia="宋体" w:cs="Times New Roman"/>
          <w:b w:val="0"/>
          <w:bCs/>
          <w:color w:val="auto"/>
          <w:kern w:val="0"/>
          <w:sz w:val="22"/>
          <w:szCs w:val="20"/>
          <w:highlight w:val="none"/>
          <w:lang w:val="en-US" w:eastAsia="zh-CN"/>
        </w:rPr>
        <w:t>/人扣</w:t>
      </w:r>
      <w:r>
        <w:rPr>
          <w:rFonts w:hint="eastAsia" w:ascii="仿宋_GB2312" w:hAnsi="仿宋_GB2312" w:eastAsia="宋体" w:cs="Times New Roman"/>
          <w:b w:val="0"/>
          <w:bCs/>
          <w:color w:val="auto"/>
          <w:kern w:val="0"/>
          <w:sz w:val="22"/>
          <w:szCs w:val="20"/>
          <w:highlight w:val="none"/>
        </w:rPr>
        <w:t>，上不封顶</w:t>
      </w:r>
      <w:r>
        <w:rPr>
          <w:rFonts w:hint="eastAsia" w:ascii="仿宋_GB2312" w:hAnsi="仿宋_GB2312" w:eastAsia="宋体" w:cs="Times New Roman"/>
          <w:b w:val="0"/>
          <w:bCs/>
          <w:color w:val="auto"/>
          <w:kern w:val="0"/>
          <w:sz w:val="22"/>
          <w:szCs w:val="20"/>
          <w:highlight w:val="none"/>
          <w:lang w:eastAsia="zh-CN"/>
        </w:rPr>
        <w:t>；</w:t>
      </w:r>
      <w:r>
        <w:rPr>
          <w:rFonts w:hint="eastAsia" w:ascii="仿宋_GB2312" w:hAnsi="仿宋_GB2312" w:eastAsia="宋体" w:cs="Times New Roman"/>
          <w:b w:val="0"/>
          <w:bCs/>
          <w:color w:val="auto"/>
          <w:kern w:val="0"/>
          <w:sz w:val="22"/>
          <w:szCs w:val="20"/>
          <w:highlight w:val="none"/>
        </w:rPr>
        <w:t>养护人员少于一人一天扣500元，上不封顶（特殊情况人员临时休假，需马上安排人员替补到岗）</w:t>
      </w:r>
      <w:r>
        <w:rPr>
          <w:rFonts w:hint="eastAsia" w:ascii="仿宋_GB2312" w:hAnsi="仿宋_GB2312" w:eastAsia="宋体" w:cs="Times New Roman"/>
          <w:b w:val="0"/>
          <w:bCs/>
          <w:color w:val="auto"/>
          <w:kern w:val="0"/>
          <w:sz w:val="22"/>
          <w:szCs w:val="20"/>
          <w:highlight w:val="none"/>
          <w:lang w:eastAsia="zh-CN"/>
        </w:rPr>
        <w:t>；</w:t>
      </w:r>
    </w:p>
    <w:p w14:paraId="00984AFA">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3</w:t>
      </w:r>
      <w:r>
        <w:rPr>
          <w:rFonts w:hint="eastAsia" w:ascii="仿宋_GB2312" w:hAnsi="仿宋_GB2312" w:eastAsia="宋体" w:cs="Times New Roman"/>
          <w:b w:val="0"/>
          <w:bCs/>
          <w:color w:val="auto"/>
          <w:kern w:val="0"/>
          <w:sz w:val="22"/>
          <w:szCs w:val="20"/>
          <w:highlight w:val="none"/>
        </w:rPr>
        <w:t>、</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必须在合同签订前提供所有与投标承诺相符的技术人员的有效职称证、上岗证原件供</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审核，如果</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不能提供，则</w:t>
      </w:r>
      <w:r>
        <w:rPr>
          <w:rFonts w:hint="eastAsia" w:ascii="仿宋_GB2312" w:hAnsi="仿宋_GB2312" w:cs="Times New Roman"/>
          <w:b w:val="0"/>
          <w:bCs/>
          <w:color w:val="auto"/>
          <w:kern w:val="0"/>
          <w:sz w:val="22"/>
          <w:szCs w:val="20"/>
          <w:highlight w:val="none"/>
          <w:lang w:eastAsia="zh-CN"/>
        </w:rPr>
        <w:t>甲方</w:t>
      </w:r>
      <w:r>
        <w:rPr>
          <w:rFonts w:hint="eastAsia" w:ascii="仿宋_GB2312" w:hAnsi="仿宋_GB2312" w:eastAsia="宋体" w:cs="Times New Roman"/>
          <w:b w:val="0"/>
          <w:bCs/>
          <w:color w:val="auto"/>
          <w:kern w:val="0"/>
          <w:sz w:val="22"/>
          <w:szCs w:val="20"/>
          <w:highlight w:val="none"/>
        </w:rPr>
        <w:t>有权废除中标人的中标资格。</w:t>
      </w:r>
    </w:p>
    <w:p w14:paraId="60CB9D9D">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4</w:t>
      </w:r>
      <w:r>
        <w:rPr>
          <w:rFonts w:hint="eastAsia" w:ascii="仿宋_GB2312" w:hAnsi="仿宋_GB2312" w:eastAsia="宋体" w:cs="Times New Roman"/>
          <w:b w:val="0"/>
          <w:bCs/>
          <w:color w:val="auto"/>
          <w:kern w:val="0"/>
          <w:sz w:val="22"/>
          <w:szCs w:val="20"/>
          <w:highlight w:val="none"/>
        </w:rPr>
        <w:t>、所有人员除特殊说明的外，必须专职为本项目服务，不得兼职。中标后所有人员需要更换，须及时上报招标人，经招标人认可后方可更换。</w:t>
      </w:r>
    </w:p>
    <w:p w14:paraId="6F7591C0">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五</w:t>
      </w:r>
      <w:r>
        <w:rPr>
          <w:rFonts w:hint="eastAsia" w:ascii="仿宋_GB2312" w:hAnsi="仿宋_GB2312" w:eastAsia="宋体" w:cs="Times New Roman"/>
          <w:b w:val="0"/>
          <w:bCs/>
          <w:color w:val="auto"/>
          <w:kern w:val="0"/>
          <w:sz w:val="22"/>
          <w:szCs w:val="20"/>
          <w:highlight w:val="none"/>
          <w:lang w:eastAsia="zh-CN"/>
        </w:rPr>
        <w:t>、设备根据配置要求</w:t>
      </w:r>
      <w:r>
        <w:rPr>
          <w:rFonts w:hint="eastAsia" w:ascii="仿宋_GB2312" w:hAnsi="仿宋_GB2312" w:eastAsia="宋体" w:cs="Times New Roman"/>
          <w:b w:val="0"/>
          <w:bCs/>
          <w:color w:val="auto"/>
          <w:kern w:val="0"/>
          <w:sz w:val="22"/>
          <w:szCs w:val="20"/>
          <w:highlight w:val="none"/>
        </w:rPr>
        <w:t>：</w:t>
      </w:r>
    </w:p>
    <w:p w14:paraId="020959C8">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w:t>
      </w:r>
      <w:r>
        <w:rPr>
          <w:rFonts w:hint="eastAsia" w:ascii="仿宋_GB2312" w:hAnsi="仿宋_GB2312" w:eastAsia="宋体" w:cs="Times New Roman"/>
          <w:b w:val="0"/>
          <w:bCs/>
          <w:color w:val="auto"/>
          <w:kern w:val="0"/>
          <w:sz w:val="22"/>
          <w:szCs w:val="20"/>
          <w:highlight w:val="none"/>
          <w:lang w:eastAsia="zh-CN"/>
        </w:rPr>
        <w:t>养护</w:t>
      </w:r>
      <w:r>
        <w:rPr>
          <w:rFonts w:hint="eastAsia" w:ascii="仿宋_GB2312" w:hAnsi="仿宋_GB2312" w:eastAsia="宋体" w:cs="Times New Roman"/>
          <w:b w:val="0"/>
          <w:bCs/>
          <w:color w:val="auto"/>
          <w:kern w:val="0"/>
          <w:sz w:val="22"/>
          <w:szCs w:val="20"/>
          <w:highlight w:val="none"/>
        </w:rPr>
        <w:t>所需设备、清洁工具（如水桶、毛巾、抹布、拖把等）均由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提供使用</w:t>
      </w:r>
      <w:r>
        <w:rPr>
          <w:rFonts w:hint="eastAsia" w:ascii="仿宋_GB2312" w:hAnsi="仿宋_GB2312" w:eastAsia="宋体" w:cs="Times New Roman"/>
          <w:b w:val="0"/>
          <w:bCs/>
          <w:color w:val="auto"/>
          <w:kern w:val="0"/>
          <w:sz w:val="22"/>
          <w:szCs w:val="20"/>
          <w:highlight w:val="none"/>
          <w:lang w:eastAsia="zh-CN"/>
        </w:rPr>
        <w:t>，费用包括在总报价中</w:t>
      </w:r>
      <w:r>
        <w:rPr>
          <w:rFonts w:hint="eastAsia" w:ascii="仿宋_GB2312" w:hAnsi="仿宋_GB2312" w:eastAsia="宋体" w:cs="Times New Roman"/>
          <w:b w:val="0"/>
          <w:bCs/>
          <w:color w:val="auto"/>
          <w:kern w:val="0"/>
          <w:sz w:val="22"/>
          <w:szCs w:val="20"/>
          <w:highlight w:val="none"/>
        </w:rPr>
        <w:t>。</w:t>
      </w:r>
    </w:p>
    <w:p w14:paraId="4822799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rPr>
        <w:t>2、在保证清洁质量、节约使用的前提下，清洁材料由</w:t>
      </w:r>
      <w:r>
        <w:rPr>
          <w:rFonts w:hint="eastAsia" w:ascii="仿宋_GB2312" w:hAnsi="仿宋_GB2312" w:cs="Times New Roman"/>
          <w:b w:val="0"/>
          <w:bCs/>
          <w:color w:val="auto"/>
          <w:kern w:val="0"/>
          <w:sz w:val="22"/>
          <w:szCs w:val="20"/>
          <w:highlight w:val="none"/>
          <w:lang w:eastAsia="zh-CN"/>
        </w:rPr>
        <w:t>乙方</w:t>
      </w:r>
      <w:r>
        <w:rPr>
          <w:rFonts w:hint="eastAsia" w:ascii="仿宋_GB2312" w:hAnsi="仿宋_GB2312" w:eastAsia="宋体" w:cs="Times New Roman"/>
          <w:b w:val="0"/>
          <w:bCs/>
          <w:color w:val="auto"/>
          <w:kern w:val="0"/>
          <w:sz w:val="22"/>
          <w:szCs w:val="20"/>
          <w:highlight w:val="none"/>
        </w:rPr>
        <w:t>自行提供。</w:t>
      </w:r>
    </w:p>
    <w:p w14:paraId="4B6A6973">
      <w:pPr>
        <w:shd w:val="clear" w:color="auto"/>
        <w:adjustRightInd w:val="0"/>
        <w:snapToGrid w:val="0"/>
        <w:spacing w:line="360" w:lineRule="auto"/>
        <w:ind w:firstLine="442" w:firstLineChars="200"/>
        <w:rPr>
          <w:rFonts w:hint="eastAsia" w:ascii="仿宋_GB2312" w:hAnsi="仿宋_GB2312" w:eastAsia="宋体" w:cs="Times New Roman"/>
          <w:b w:val="0"/>
          <w:bCs/>
          <w:color w:val="auto"/>
          <w:kern w:val="0"/>
          <w:sz w:val="22"/>
          <w:szCs w:val="20"/>
          <w:highlight w:val="none"/>
          <w:lang w:eastAsia="zh-CN"/>
        </w:rPr>
      </w:pPr>
      <w:r>
        <w:rPr>
          <w:rFonts w:hint="eastAsia" w:ascii="仿宋_GB2312" w:hAnsi="仿宋_GB2312" w:eastAsia="宋体" w:cs="Times New Roman"/>
          <w:b/>
          <w:bCs w:val="0"/>
          <w:color w:val="auto"/>
          <w:kern w:val="0"/>
          <w:sz w:val="22"/>
          <w:szCs w:val="20"/>
          <w:highlight w:val="none"/>
          <w:lang w:val="en-US" w:eastAsia="zh-CN"/>
        </w:rPr>
        <w:t>六</w:t>
      </w:r>
      <w:r>
        <w:rPr>
          <w:rFonts w:hint="eastAsia" w:ascii="仿宋_GB2312" w:hAnsi="仿宋_GB2312" w:eastAsia="宋体" w:cs="Times New Roman"/>
          <w:b/>
          <w:bCs w:val="0"/>
          <w:color w:val="auto"/>
          <w:kern w:val="0"/>
          <w:sz w:val="22"/>
          <w:szCs w:val="20"/>
          <w:highlight w:val="none"/>
          <w:lang w:eastAsia="zh-CN"/>
        </w:rPr>
        <w:t>、车辆配备要求</w:t>
      </w:r>
      <w:r>
        <w:rPr>
          <w:rFonts w:hint="eastAsia" w:ascii="仿宋_GB2312" w:hAnsi="仿宋_GB2312" w:eastAsia="宋体" w:cs="Times New Roman"/>
          <w:b/>
          <w:bCs w:val="0"/>
          <w:color w:val="auto"/>
          <w:kern w:val="0"/>
          <w:sz w:val="22"/>
          <w:szCs w:val="20"/>
          <w:highlight w:val="none"/>
          <w:lang w:val="en-US" w:eastAsia="zh-CN"/>
        </w:rPr>
        <w:t>(按各标项不同要求进行配备）</w:t>
      </w:r>
      <w:r>
        <w:rPr>
          <w:rFonts w:hint="eastAsia" w:ascii="仿宋_GB2312" w:hAnsi="仿宋_GB2312" w:eastAsia="宋体" w:cs="Times New Roman"/>
          <w:b/>
          <w:bCs w:val="0"/>
          <w:color w:val="auto"/>
          <w:kern w:val="0"/>
          <w:sz w:val="22"/>
          <w:szCs w:val="20"/>
          <w:highlight w:val="none"/>
          <w:lang w:eastAsia="zh-CN"/>
        </w:rPr>
        <w:t>：</w:t>
      </w:r>
    </w:p>
    <w:p w14:paraId="64FED3B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标项一:▲供应商须配备以下车种:洒水车、登高车、草坪修剪机、绿篱机、割灌机、打药车(机)不少于一辆(台)、高枝剪不少于1个(最低配置要求)。养护期内需要该设备必须三天内到场作业，否则迟一天罚款 3000 元。</w:t>
      </w:r>
    </w:p>
    <w:p w14:paraId="7B97471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r>
        <w:rPr>
          <w:rFonts w:hint="eastAsia" w:ascii="仿宋_GB2312" w:hAnsi="仿宋_GB2312" w:eastAsia="宋体" w:cs="Times New Roman"/>
          <w:b w:val="0"/>
          <w:bCs/>
          <w:color w:val="auto"/>
          <w:kern w:val="0"/>
          <w:sz w:val="22"/>
          <w:szCs w:val="20"/>
          <w:highlight w:val="none"/>
          <w:lang w:val="en-US" w:eastAsia="zh-CN"/>
        </w:rPr>
        <w:t>标项二:▲供应商须配备以下车种:洒水车、登高车、草坪修剪机不少于1辆，绿篱机不少于2台，割灌机不少于1台，高枝剪不少于1个，打药车(机)不少于1辆(最低配置要求)</w:t>
      </w:r>
      <w:r>
        <w:rPr>
          <w:rFonts w:hint="eastAsia" w:ascii="仿宋_GB2312" w:hAnsi="仿宋_GB2312" w:cs="Times New Roman"/>
          <w:b w:val="0"/>
          <w:bCs/>
          <w:color w:val="auto"/>
          <w:kern w:val="0"/>
          <w:sz w:val="22"/>
          <w:szCs w:val="20"/>
          <w:highlight w:val="none"/>
          <w:lang w:val="en-US" w:eastAsia="zh-CN"/>
        </w:rPr>
        <w:t>。</w:t>
      </w:r>
      <w:r>
        <w:rPr>
          <w:rFonts w:hint="eastAsia" w:ascii="仿宋_GB2312" w:hAnsi="仿宋_GB2312" w:eastAsia="宋体" w:cs="Times New Roman"/>
          <w:b w:val="0"/>
          <w:bCs/>
          <w:color w:val="auto"/>
          <w:kern w:val="0"/>
          <w:sz w:val="22"/>
          <w:szCs w:val="20"/>
          <w:highlight w:val="none"/>
          <w:lang w:val="en-US" w:eastAsia="zh-CN"/>
        </w:rPr>
        <w:t>养护期内需要该设备必须三天内到场作业，否则迟一天罚款 3000 元。</w:t>
      </w:r>
    </w:p>
    <w:p w14:paraId="088D997F">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p>
    <w:p w14:paraId="67D16E7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p>
    <w:p w14:paraId="5236858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p>
    <w:p w14:paraId="3660826E">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p>
    <w:p w14:paraId="3859571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p>
    <w:p w14:paraId="07D19181">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p>
    <w:p w14:paraId="41F78634">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lang w:val="en-US" w:eastAsia="zh-CN"/>
        </w:rPr>
      </w:pPr>
    </w:p>
    <w:p w14:paraId="60DE9123">
      <w:pPr>
        <w:widowControl w:val="0"/>
        <w:shd w:val="clear" w:color="auto"/>
        <w:spacing w:after="120"/>
        <w:ind w:right="1470" w:rightChars="700"/>
        <w:jc w:val="both"/>
        <w:rPr>
          <w:rFonts w:hint="eastAsia" w:ascii="仿宋_GB2312" w:hAnsi="仿宋_GB2312" w:eastAsia="宋体" w:cs="Times New Roman"/>
          <w:b/>
          <w:color w:val="auto"/>
          <w:sz w:val="22"/>
          <w:highlight w:val="none"/>
          <w:lang w:val="en-US" w:eastAsia="zh-CN" w:bidi="ar-SA"/>
        </w:rPr>
      </w:pPr>
    </w:p>
    <w:p w14:paraId="1CAC9315">
      <w:pPr>
        <w:widowControl w:val="0"/>
        <w:shd w:val="clear" w:color="auto"/>
        <w:spacing w:after="120"/>
        <w:ind w:right="1470" w:rightChars="700"/>
        <w:jc w:val="both"/>
        <w:rPr>
          <w:rFonts w:hint="eastAsia" w:ascii="仿宋_GB2312" w:hAnsi="仿宋_GB2312" w:eastAsia="宋体" w:cs="Times New Roman"/>
          <w:b/>
          <w:color w:val="auto"/>
          <w:sz w:val="22"/>
          <w:highlight w:val="none"/>
          <w:lang w:val="en-US" w:eastAsia="zh-CN" w:bidi="ar-SA"/>
        </w:rPr>
      </w:pPr>
    </w:p>
    <w:p w14:paraId="1C2B27A9">
      <w:pPr>
        <w:shd w:val="clear" w:color="auto"/>
        <w:adjustRightInd w:val="0"/>
        <w:snapToGrid w:val="0"/>
        <w:spacing w:line="360" w:lineRule="auto"/>
        <w:ind w:firstLine="440" w:firstLineChars="200"/>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lang w:val="en-US" w:eastAsia="zh-CN"/>
        </w:rPr>
        <w:t>七、</w:t>
      </w:r>
      <w:r>
        <w:rPr>
          <w:rFonts w:hint="eastAsia" w:ascii="仿宋_GB2312" w:hAnsi="仿宋_GB2312" w:eastAsia="宋体" w:cs="Times New Roman"/>
          <w:b w:val="0"/>
          <w:bCs/>
          <w:color w:val="auto"/>
          <w:kern w:val="0"/>
          <w:sz w:val="22"/>
          <w:szCs w:val="20"/>
          <w:highlight w:val="none"/>
        </w:rPr>
        <w:t>考核及处罚标准</w:t>
      </w:r>
    </w:p>
    <w:p w14:paraId="7A892E31">
      <w:pPr>
        <w:shd w:val="clear" w:color="auto"/>
        <w:adjustRightInd w:val="0"/>
        <w:snapToGrid w:val="0"/>
        <w:spacing w:line="360" w:lineRule="auto"/>
        <w:ind w:firstLine="440" w:firstLineChars="200"/>
        <w:rPr>
          <w:rFonts w:hint="eastAsia" w:ascii="宋体" w:hAnsi="宋体" w:eastAsia="宋体" w:cs="宋体"/>
          <w:b w:val="0"/>
          <w:bCs/>
          <w:color w:val="auto"/>
          <w:kern w:val="0"/>
          <w:sz w:val="21"/>
          <w:szCs w:val="21"/>
          <w:highlight w:val="none"/>
        </w:rPr>
      </w:pPr>
      <w:r>
        <w:rPr>
          <w:rFonts w:hint="eastAsia" w:ascii="仿宋_GB2312" w:hAnsi="仿宋_GB2312" w:eastAsia="宋体" w:cs="Times New Roman"/>
          <w:b w:val="0"/>
          <w:bCs/>
          <w:color w:val="auto"/>
          <w:kern w:val="0"/>
          <w:sz w:val="22"/>
          <w:szCs w:val="20"/>
          <w:highlight w:val="none"/>
          <w:lang w:val="en-US" w:eastAsia="zh-CN"/>
        </w:rPr>
        <w:t>1、</w:t>
      </w:r>
      <w:r>
        <w:rPr>
          <w:rFonts w:hint="eastAsia" w:ascii="仿宋_GB2312" w:hAnsi="仿宋_GB2312" w:eastAsia="宋体" w:cs="Times New Roman"/>
          <w:b w:val="0"/>
          <w:bCs/>
          <w:color w:val="auto"/>
          <w:kern w:val="0"/>
          <w:sz w:val="22"/>
          <w:szCs w:val="20"/>
          <w:highlight w:val="none"/>
        </w:rPr>
        <w:t>鳌江镇园林绿化管护作业考核以日常考核、月考核和年度考核相结合。每月考</w:t>
      </w:r>
      <w:r>
        <w:rPr>
          <w:rFonts w:hint="eastAsia" w:ascii="宋体" w:hAnsi="宋体" w:eastAsia="宋体" w:cs="宋体"/>
          <w:b w:val="0"/>
          <w:bCs/>
          <w:color w:val="auto"/>
          <w:kern w:val="0"/>
          <w:sz w:val="21"/>
          <w:szCs w:val="21"/>
          <w:highlight w:val="none"/>
        </w:rPr>
        <w:t xml:space="preserve">核为不定期，鳌江镇可组织暗查，其暗查资料可作为考核依据。 </w:t>
      </w:r>
      <w:r>
        <w:rPr>
          <w:rFonts w:hint="eastAsia" w:ascii="宋体" w:hAnsi="宋体" w:eastAsia="宋体" w:cs="宋体"/>
          <w:b w:val="0"/>
          <w:bCs/>
          <w:color w:val="auto"/>
          <w:kern w:val="0"/>
          <w:sz w:val="21"/>
          <w:szCs w:val="21"/>
          <w:highlight w:val="none"/>
        </w:rPr>
        <w:cr/>
      </w:r>
      <w:r>
        <w:rPr>
          <w:rFonts w:hint="eastAsia" w:ascii="宋体" w:hAnsi="宋体" w:eastAsia="宋体" w:cs="宋体"/>
          <w:b w:val="0"/>
          <w:bCs/>
          <w:color w:val="auto"/>
          <w:kern w:val="0"/>
          <w:sz w:val="21"/>
          <w:szCs w:val="21"/>
          <w:highlight w:val="none"/>
        </w:rPr>
        <w:t xml:space="preserve">    2、媒体曝光市、县通报批评经查属实纳入考核结果。一年内查证属实累计超过5次取消管护资格。 </w:t>
      </w:r>
    </w:p>
    <w:tbl>
      <w:tblPr>
        <w:tblStyle w:val="13"/>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2419"/>
        <w:gridCol w:w="2571"/>
        <w:gridCol w:w="767"/>
        <w:gridCol w:w="1150"/>
        <w:gridCol w:w="803"/>
      </w:tblGrid>
      <w:tr w14:paraId="30D1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920" w:type="dxa"/>
            <w:gridSpan w:val="6"/>
            <w:noWrap w:val="0"/>
            <w:vAlign w:val="top"/>
          </w:tcPr>
          <w:p w14:paraId="377687C5">
            <w:pPr>
              <w:keepNext w:val="0"/>
              <w:keepLines w:val="0"/>
              <w:pageBreakBefore w:val="0"/>
              <w:shd w:val="clear" w:color="auto"/>
              <w:kinsoku/>
              <w:wordWrap/>
              <w:overflowPunct/>
              <w:topLinePunct w:val="0"/>
              <w:autoSpaceDE/>
              <w:autoSpaceDN/>
              <w:bidi w:val="0"/>
              <w:spacing w:line="360" w:lineRule="auto"/>
              <w:textAlignment w:val="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被考核单位：</w:t>
            </w:r>
          </w:p>
        </w:tc>
      </w:tr>
      <w:tr w14:paraId="5F3C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920" w:type="dxa"/>
            <w:gridSpan w:val="6"/>
            <w:noWrap w:val="0"/>
            <w:vAlign w:val="top"/>
          </w:tcPr>
          <w:p w14:paraId="27A6D4A4">
            <w:pPr>
              <w:keepNext w:val="0"/>
              <w:keepLines w:val="0"/>
              <w:pageBreakBefore w:val="0"/>
              <w:shd w:val="clear" w:color="auto"/>
              <w:kinsoku/>
              <w:wordWrap/>
              <w:overflowPunct/>
              <w:topLinePunct w:val="0"/>
              <w:autoSpaceDE/>
              <w:autoSpaceDN/>
              <w:bidi w:val="0"/>
              <w:spacing w:line="360" w:lineRule="auto"/>
              <w:textAlignment w:val="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r>
      <w:tr w14:paraId="72E4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920" w:type="dxa"/>
            <w:gridSpan w:val="6"/>
            <w:noWrap w:val="0"/>
            <w:vAlign w:val="top"/>
          </w:tcPr>
          <w:p w14:paraId="51AB3FB7">
            <w:pPr>
              <w:keepNext w:val="0"/>
              <w:keepLines w:val="0"/>
              <w:pageBreakBefore w:val="0"/>
              <w:shd w:val="clear" w:color="auto"/>
              <w:kinsoku/>
              <w:wordWrap/>
              <w:overflowPunct/>
              <w:topLinePunct w:val="0"/>
              <w:autoSpaceDE/>
              <w:autoSpaceDN/>
              <w:bidi w:val="0"/>
              <w:spacing w:line="360" w:lineRule="auto"/>
              <w:textAlignment w:val="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考核</w:t>
            </w:r>
            <w:r>
              <w:rPr>
                <w:rFonts w:hint="eastAsia" w:ascii="宋体" w:hAnsi="宋体" w:eastAsia="宋体" w:cs="宋体"/>
                <w:color w:val="auto"/>
                <w:sz w:val="22"/>
                <w:szCs w:val="22"/>
                <w:highlight w:val="none"/>
                <w:lang w:val="en-US" w:eastAsia="zh-CN"/>
              </w:rPr>
              <w:t>组成员</w:t>
            </w:r>
            <w:r>
              <w:rPr>
                <w:rFonts w:hint="eastAsia" w:ascii="宋体" w:hAnsi="宋体" w:eastAsia="宋体" w:cs="宋体"/>
                <w:color w:val="auto"/>
                <w:sz w:val="22"/>
                <w:szCs w:val="22"/>
                <w:highlight w:val="none"/>
              </w:rPr>
              <w:t>：</w:t>
            </w:r>
          </w:p>
        </w:tc>
      </w:tr>
      <w:tr w14:paraId="238D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210" w:type="dxa"/>
            <w:noWrap w:val="0"/>
            <w:vAlign w:val="center"/>
          </w:tcPr>
          <w:p w14:paraId="537E910A">
            <w:pPr>
              <w:shd w:val="clear" w:color="auto"/>
              <w:topLinePunct/>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考核内容</w:t>
            </w:r>
          </w:p>
        </w:tc>
        <w:tc>
          <w:tcPr>
            <w:tcW w:w="4990" w:type="dxa"/>
            <w:gridSpan w:val="2"/>
            <w:noWrap w:val="0"/>
            <w:vAlign w:val="center"/>
          </w:tcPr>
          <w:p w14:paraId="3E9EF5D4">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评分标准</w:t>
            </w:r>
          </w:p>
        </w:tc>
        <w:tc>
          <w:tcPr>
            <w:tcW w:w="767" w:type="dxa"/>
            <w:noWrap w:val="0"/>
            <w:vAlign w:val="center"/>
          </w:tcPr>
          <w:p w14:paraId="5578E024">
            <w:pPr>
              <w:keepNext w:val="0"/>
              <w:keepLines w:val="0"/>
              <w:pageBreakBefore w:val="0"/>
              <w:shd w:val="clear" w:color="auto"/>
              <w:kinsoku/>
              <w:wordWrap/>
              <w:overflowPunct/>
              <w:topLinePunct w:val="0"/>
              <w:autoSpaceDE/>
              <w:autoSpaceDN/>
              <w:bidi w:val="0"/>
              <w:spacing w:line="360" w:lineRule="auto"/>
              <w:jc w:val="center"/>
              <w:textAlignment w:val="auto"/>
              <w:outlineLvl w:val="0"/>
              <w:rPr>
                <w:rFonts w:hint="eastAsia" w:ascii="宋体" w:hAnsi="宋体" w:eastAsia="宋体" w:cs="宋体"/>
                <w:b w:val="0"/>
                <w:bCs/>
                <w:color w:val="auto"/>
                <w:sz w:val="21"/>
                <w:szCs w:val="21"/>
                <w:highlight w:val="none"/>
                <w:lang w:eastAsia="zh-CN"/>
              </w:rPr>
            </w:pPr>
            <w:r>
              <w:rPr>
                <w:rFonts w:hint="eastAsia" w:ascii="宋体" w:hAnsi="宋体" w:eastAsia="宋体" w:cs="宋体"/>
                <w:color w:val="auto"/>
                <w:sz w:val="22"/>
                <w:szCs w:val="22"/>
                <w:highlight w:val="none"/>
                <w:lang w:val="en-US" w:eastAsia="zh-CN"/>
              </w:rPr>
              <w:t>分值</w:t>
            </w:r>
          </w:p>
        </w:tc>
        <w:tc>
          <w:tcPr>
            <w:tcW w:w="1150" w:type="dxa"/>
            <w:noWrap w:val="0"/>
            <w:vAlign w:val="center"/>
          </w:tcPr>
          <w:p w14:paraId="4648BB43">
            <w:pPr>
              <w:keepNext w:val="0"/>
              <w:keepLines w:val="0"/>
              <w:pageBreakBefore w:val="0"/>
              <w:shd w:val="clear" w:color="auto"/>
              <w:kinsoku/>
              <w:wordWrap/>
              <w:overflowPunct/>
              <w:topLinePunct w:val="0"/>
              <w:autoSpaceDE/>
              <w:autoSpaceDN/>
              <w:bidi w:val="0"/>
              <w:spacing w:line="360" w:lineRule="auto"/>
              <w:jc w:val="center"/>
              <w:textAlignment w:val="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扣分原因</w:t>
            </w:r>
          </w:p>
        </w:tc>
        <w:tc>
          <w:tcPr>
            <w:tcW w:w="803" w:type="dxa"/>
            <w:noWrap w:val="0"/>
            <w:vAlign w:val="center"/>
          </w:tcPr>
          <w:p w14:paraId="5DFF676C">
            <w:pPr>
              <w:keepNext w:val="0"/>
              <w:keepLines w:val="0"/>
              <w:pageBreakBefore w:val="0"/>
              <w:shd w:val="clear" w:color="auto"/>
              <w:kinsoku/>
              <w:wordWrap/>
              <w:overflowPunct/>
              <w:topLinePunct w:val="0"/>
              <w:autoSpaceDE/>
              <w:autoSpaceDN/>
              <w:bidi w:val="0"/>
              <w:spacing w:line="360" w:lineRule="auto"/>
              <w:jc w:val="center"/>
              <w:textAlignment w:val="auto"/>
              <w:outlineLvl w:val="0"/>
              <w:rPr>
                <w:rFonts w:hint="eastAsia" w:ascii="宋体" w:hAnsi="宋体" w:eastAsia="宋体" w:cs="宋体"/>
                <w:b w:val="0"/>
                <w:bCs/>
                <w:color w:val="auto"/>
                <w:sz w:val="21"/>
                <w:szCs w:val="21"/>
                <w:highlight w:val="none"/>
              </w:rPr>
            </w:pPr>
            <w:r>
              <w:rPr>
                <w:rFonts w:hint="eastAsia" w:ascii="宋体" w:hAnsi="宋体" w:eastAsia="宋体" w:cs="宋体"/>
                <w:color w:val="auto"/>
                <w:sz w:val="22"/>
                <w:szCs w:val="22"/>
                <w:highlight w:val="none"/>
              </w:rPr>
              <w:t>得分</w:t>
            </w:r>
          </w:p>
        </w:tc>
      </w:tr>
      <w:tr w14:paraId="7686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9" w:hRule="atLeast"/>
        </w:trPr>
        <w:tc>
          <w:tcPr>
            <w:tcW w:w="1210" w:type="dxa"/>
            <w:noWrap w:val="0"/>
            <w:vAlign w:val="center"/>
          </w:tcPr>
          <w:p w14:paraId="6C6ABBCD">
            <w:pPr>
              <w:shd w:val="clear" w:color="auto"/>
              <w:topLinePunct/>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绿地</w:t>
            </w:r>
          </w:p>
        </w:tc>
        <w:tc>
          <w:tcPr>
            <w:tcW w:w="4990" w:type="dxa"/>
            <w:gridSpan w:val="2"/>
            <w:noWrap w:val="0"/>
            <w:vAlign w:val="center"/>
          </w:tcPr>
          <w:p w14:paraId="3307FF0B">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rPr>
              <w:t xml:space="preserve">对绿地内整形植物修剪不符合形状要求的球形、柱形，扣0.1分/个绿篱，植物线条不清晰出现凹凸不平每米超过两处扣0.1分/米每㎡有超过10株杂草，扣0.1分/㎡。                  </w:t>
            </w:r>
          </w:p>
          <w:p w14:paraId="725C52E5">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 xml:space="preserve">地被出现斑秃扣0.1分/㎡，杂草每㎡出现超过20株，扣0.1分/㎡，树木落叶、换叶时出现每㎡超过30片陈旧性落叶，扣0.1分/㎡。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 xml:space="preserve">践踏处植物未及时扶正、松土，限期内未完成整改扣0.2分/㎡。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 xml:space="preserve">绿地内乔木有过密枝、枯枝、吊枝，出现歪斜现象，修枝切口不平整，出现叉棍现象，限期内未完成整改，扣0.5分/株。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 xml:space="preserve">绿地内植物出现枯死株是管理原因造成的死亡由管护单位负责补栽限期内未完成的灌木2株扣0.1分，胸径5cm以下乔木扣0.5分/株，胸径5cm以上乔木扣1分/株。 </w:t>
            </w:r>
          </w:p>
          <w:p w14:paraId="347DD209">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 xml:space="preserve">花镜内基本无残花败叶，残花每㎡超过10朵或败叶每㎡超过20片扣0.1分/㎡，无明显杂草每㎡有超过10株杂草扣0.1分/㎡。鲜花生长期内长势良好无萎焉和死亡现象，发生萎焉现象应立即进行救治，不及时采取救治措施造成死亡发现一处扣0.5分/㎡或每50株扣0.5分，采取措施后仍然死亡，经检查是因缺水或病虫危害造成的扣0.2分/㎡。花镜病虫害发生率超过3%，扣0.1分/㎡ </w:t>
            </w:r>
          </w:p>
          <w:p w14:paraId="6D2863C1">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 xml:space="preserve">植物病虫害发生率超过3%，扣0.1分/㎡。 </w:t>
            </w:r>
          </w:p>
          <w:p w14:paraId="6B00849B">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 xml:space="preserve">桥下无法接受自然雨水的绿地内植物未采取措施致使植物死亡经检查是因缺水造成的，扣0.5分/㎡。已采取措施仍然造成植物死亡的扣0.1分/㎡。 </w:t>
            </w:r>
          </w:p>
          <w:p w14:paraId="1C30303B">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rPr>
              <w:t xml:space="preserve">植株叶面不清洁有明显陈旧粉尘，大小乔木扣0.1分/株，绿地扣0.1分/㎡。 </w:t>
            </w:r>
          </w:p>
          <w:p w14:paraId="5C87E569">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rPr>
              <w:t xml:space="preserve">加强巡查、巡视发现损坏设施、花木等行为时不及时劝阻对劝阻无效的未向业主报告发现一次扣0.2分。 </w:t>
            </w:r>
          </w:p>
        </w:tc>
        <w:tc>
          <w:tcPr>
            <w:tcW w:w="767" w:type="dxa"/>
            <w:noWrap w:val="0"/>
            <w:vAlign w:val="center"/>
          </w:tcPr>
          <w:p w14:paraId="0461283D">
            <w:pPr>
              <w:shd w:val="clear" w:color="auto"/>
              <w:topLinePunct/>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50</w:t>
            </w:r>
          </w:p>
        </w:tc>
        <w:tc>
          <w:tcPr>
            <w:tcW w:w="1150" w:type="dxa"/>
            <w:noWrap w:val="0"/>
            <w:vAlign w:val="center"/>
          </w:tcPr>
          <w:p w14:paraId="24934435">
            <w:pPr>
              <w:shd w:val="clear" w:color="auto"/>
              <w:topLinePunct/>
              <w:spacing w:line="240" w:lineRule="auto"/>
              <w:rPr>
                <w:rFonts w:hint="eastAsia" w:ascii="宋体" w:hAnsi="宋体" w:eastAsia="宋体" w:cs="宋体"/>
                <w:b w:val="0"/>
                <w:bCs/>
                <w:color w:val="auto"/>
                <w:sz w:val="21"/>
                <w:szCs w:val="21"/>
                <w:highlight w:val="none"/>
                <w:lang w:val="en-US" w:eastAsia="zh-CN"/>
              </w:rPr>
            </w:pPr>
          </w:p>
        </w:tc>
        <w:tc>
          <w:tcPr>
            <w:tcW w:w="803" w:type="dxa"/>
            <w:noWrap w:val="0"/>
            <w:vAlign w:val="center"/>
          </w:tcPr>
          <w:p w14:paraId="62166840">
            <w:pPr>
              <w:shd w:val="clear" w:color="auto"/>
              <w:topLinePunct/>
              <w:spacing w:line="240" w:lineRule="auto"/>
              <w:rPr>
                <w:rFonts w:hint="eastAsia" w:ascii="宋体" w:hAnsi="宋体" w:eastAsia="宋体" w:cs="宋体"/>
                <w:b w:val="0"/>
                <w:bCs/>
                <w:color w:val="auto"/>
                <w:sz w:val="21"/>
                <w:szCs w:val="21"/>
                <w:highlight w:val="none"/>
                <w:lang w:val="en-US" w:eastAsia="zh-CN"/>
              </w:rPr>
            </w:pPr>
          </w:p>
        </w:tc>
      </w:tr>
      <w:tr w14:paraId="28CF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8" w:hRule="atLeast"/>
        </w:trPr>
        <w:tc>
          <w:tcPr>
            <w:tcW w:w="1210" w:type="dxa"/>
            <w:noWrap w:val="0"/>
            <w:vAlign w:val="center"/>
          </w:tcPr>
          <w:p w14:paraId="2D34FE83">
            <w:pPr>
              <w:shd w:val="clear" w:color="auto"/>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行道树</w:t>
            </w:r>
          </w:p>
        </w:tc>
        <w:tc>
          <w:tcPr>
            <w:tcW w:w="4990" w:type="dxa"/>
            <w:gridSpan w:val="2"/>
            <w:noWrap w:val="0"/>
            <w:vAlign w:val="center"/>
          </w:tcPr>
          <w:p w14:paraId="3CC54923">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rPr>
              <w:t xml:space="preserve">发出新芽后未进行抹芽，有徒长枝、病虫枝、过密枝、并生枝、交叉枝、吊枝、枯枝。修枝切口不平整，出现叉棍现象，限期内未完成整改扣0.5分/株。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 xml:space="preserve">出现行道树枝条影响行人与车辆通行的，下垂枝低于2.5m，限期内未完成整改扣0.2分/株。 </w:t>
            </w:r>
          </w:p>
          <w:p w14:paraId="2D63A6A1">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 xml:space="preserve">行道树病虫害发生率超过3%，扣0.5分/株。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 xml:space="preserve">行道树小叶榕出现气生根，每株气生根长度超过20cm且数量超过50根气生根，限期内未完成整改扣0.5分/株。 </w:t>
            </w:r>
            <w:r>
              <w:rPr>
                <w:rFonts w:hint="eastAsia" w:ascii="宋体" w:hAnsi="宋体" w:eastAsia="宋体" w:cs="宋体"/>
                <w:b w:val="0"/>
                <w:bCs/>
                <w:color w:val="auto"/>
                <w:sz w:val="21"/>
                <w:szCs w:val="21"/>
                <w:highlight w:val="none"/>
              </w:rPr>
              <w:cr/>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 xml:space="preserve">加强巡查、巡视，发现损坏设施行为时不及时劝阻，对劝阻无效的未向单位报告，发现一次扣0.5分。 </w:t>
            </w:r>
          </w:p>
          <w:p w14:paraId="275871A0">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 xml:space="preserve">植株叶面不清洁有明显陈旧粉尘，大小乔木扣0.1分/株，绿地扣0.1分/㎡。  </w:t>
            </w:r>
          </w:p>
          <w:p w14:paraId="1997CC9B">
            <w:pPr>
              <w:shd w:val="clear" w:color="auto"/>
              <w:topLinePunct/>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不及时抗旱，造成严重缺水，叶片枯萎，每次扣1-2分，抗旱时间不符，每次扣1分</w:t>
            </w:r>
          </w:p>
        </w:tc>
        <w:tc>
          <w:tcPr>
            <w:tcW w:w="767" w:type="dxa"/>
            <w:noWrap w:val="0"/>
            <w:vAlign w:val="center"/>
          </w:tcPr>
          <w:p w14:paraId="3E8A9FE3">
            <w:pPr>
              <w:shd w:val="clear" w:color="auto"/>
              <w:topLinePunct/>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20</w:t>
            </w:r>
          </w:p>
        </w:tc>
        <w:tc>
          <w:tcPr>
            <w:tcW w:w="1150" w:type="dxa"/>
            <w:noWrap w:val="0"/>
            <w:vAlign w:val="center"/>
          </w:tcPr>
          <w:p w14:paraId="23B21DAE">
            <w:pPr>
              <w:shd w:val="clear" w:color="auto"/>
              <w:topLinePunct/>
              <w:spacing w:line="240" w:lineRule="auto"/>
              <w:rPr>
                <w:rFonts w:hint="eastAsia" w:ascii="宋体" w:hAnsi="宋体" w:eastAsia="宋体" w:cs="宋体"/>
                <w:b w:val="0"/>
                <w:bCs/>
                <w:color w:val="auto"/>
                <w:sz w:val="21"/>
                <w:szCs w:val="21"/>
                <w:highlight w:val="none"/>
                <w:lang w:val="en-US" w:eastAsia="zh-CN"/>
              </w:rPr>
            </w:pPr>
          </w:p>
        </w:tc>
        <w:tc>
          <w:tcPr>
            <w:tcW w:w="803" w:type="dxa"/>
            <w:noWrap w:val="0"/>
            <w:vAlign w:val="center"/>
          </w:tcPr>
          <w:p w14:paraId="4317070B">
            <w:pPr>
              <w:shd w:val="clear" w:color="auto"/>
              <w:topLinePunct/>
              <w:spacing w:line="240" w:lineRule="auto"/>
              <w:rPr>
                <w:rFonts w:hint="eastAsia" w:ascii="宋体" w:hAnsi="宋体" w:eastAsia="宋体" w:cs="宋体"/>
                <w:b w:val="0"/>
                <w:bCs/>
                <w:color w:val="auto"/>
                <w:sz w:val="21"/>
                <w:szCs w:val="21"/>
                <w:highlight w:val="none"/>
                <w:lang w:val="en-US" w:eastAsia="zh-CN"/>
              </w:rPr>
            </w:pPr>
          </w:p>
        </w:tc>
      </w:tr>
      <w:tr w14:paraId="0A4B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trPr>
        <w:tc>
          <w:tcPr>
            <w:tcW w:w="1210" w:type="dxa"/>
            <w:noWrap w:val="0"/>
            <w:vAlign w:val="center"/>
          </w:tcPr>
          <w:p w14:paraId="6CD08D20">
            <w:pPr>
              <w:shd w:val="clear" w:color="auto"/>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问题交办督办处置</w:t>
            </w:r>
          </w:p>
        </w:tc>
        <w:tc>
          <w:tcPr>
            <w:tcW w:w="4990" w:type="dxa"/>
            <w:gridSpan w:val="2"/>
            <w:noWrap w:val="0"/>
            <w:vAlign w:val="center"/>
          </w:tcPr>
          <w:p w14:paraId="3F3FA862">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指挥中心、智慧城管等交办问题未处置（办理）的，发生一次扣0.1分，未按期处置（办理）或处置（办理）不到位的，发生一次减半扣分。社会反映的热点、焦点问题和市政府阶段重点工作保障任务、领导重要批示要求、市局巡查督办等重点督办件办理、回复不及时、不到位的，发现一次扣1分。对因管理不当被媒体曝光并造成社会恶劣影响的，发生一次，市级扣6分，区级扣3分。</w:t>
            </w:r>
          </w:p>
        </w:tc>
        <w:tc>
          <w:tcPr>
            <w:tcW w:w="767" w:type="dxa"/>
            <w:noWrap w:val="0"/>
            <w:vAlign w:val="center"/>
          </w:tcPr>
          <w:p w14:paraId="4626CE10">
            <w:pPr>
              <w:shd w:val="clear" w:color="auto"/>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10</w:t>
            </w:r>
          </w:p>
        </w:tc>
        <w:tc>
          <w:tcPr>
            <w:tcW w:w="1150" w:type="dxa"/>
            <w:noWrap w:val="0"/>
            <w:vAlign w:val="center"/>
          </w:tcPr>
          <w:p w14:paraId="52D34BB7">
            <w:pPr>
              <w:shd w:val="clear" w:color="auto"/>
              <w:spacing w:line="240" w:lineRule="auto"/>
              <w:rPr>
                <w:rFonts w:hint="eastAsia" w:ascii="宋体" w:hAnsi="宋体" w:eastAsia="宋体" w:cs="宋体"/>
                <w:b w:val="0"/>
                <w:bCs/>
                <w:color w:val="auto"/>
                <w:sz w:val="21"/>
                <w:szCs w:val="21"/>
                <w:highlight w:val="none"/>
              </w:rPr>
            </w:pPr>
          </w:p>
        </w:tc>
        <w:tc>
          <w:tcPr>
            <w:tcW w:w="803" w:type="dxa"/>
            <w:noWrap w:val="0"/>
            <w:vAlign w:val="center"/>
          </w:tcPr>
          <w:p w14:paraId="51C9CF9A">
            <w:pPr>
              <w:shd w:val="clear" w:color="auto"/>
              <w:spacing w:line="240" w:lineRule="auto"/>
              <w:rPr>
                <w:rFonts w:hint="eastAsia" w:ascii="宋体" w:hAnsi="宋体" w:eastAsia="宋体" w:cs="宋体"/>
                <w:b w:val="0"/>
                <w:bCs/>
                <w:color w:val="auto"/>
                <w:sz w:val="21"/>
                <w:szCs w:val="21"/>
                <w:highlight w:val="none"/>
              </w:rPr>
            </w:pPr>
          </w:p>
        </w:tc>
      </w:tr>
      <w:tr w14:paraId="7013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210" w:type="dxa"/>
            <w:vMerge w:val="restart"/>
            <w:noWrap w:val="0"/>
            <w:vAlign w:val="center"/>
          </w:tcPr>
          <w:p w14:paraId="2F360161">
            <w:pPr>
              <w:shd w:val="clear" w:color="auto"/>
              <w:spacing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管理制度落实情况</w:t>
            </w:r>
          </w:p>
        </w:tc>
        <w:tc>
          <w:tcPr>
            <w:tcW w:w="2419" w:type="dxa"/>
            <w:noWrap w:val="0"/>
            <w:vAlign w:val="center"/>
          </w:tcPr>
          <w:p w14:paraId="42E88AA1">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绿化管养、安保、保洁等各类日常管理台帐齐全，并及时上报各类报表和业主交付的工作</w:t>
            </w:r>
          </w:p>
        </w:tc>
        <w:tc>
          <w:tcPr>
            <w:tcW w:w="2571" w:type="dxa"/>
            <w:noWrap w:val="0"/>
            <w:vAlign w:val="center"/>
          </w:tcPr>
          <w:p w14:paraId="56002794">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台账不齐全，发现一类扣1分；</w:t>
            </w:r>
          </w:p>
          <w:p w14:paraId="780B885E">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没按时完成业主交付工作一次扣2分</w:t>
            </w:r>
          </w:p>
        </w:tc>
        <w:tc>
          <w:tcPr>
            <w:tcW w:w="767" w:type="dxa"/>
            <w:noWrap w:val="0"/>
            <w:vAlign w:val="center"/>
          </w:tcPr>
          <w:p w14:paraId="48161762">
            <w:pPr>
              <w:shd w:val="clear" w:color="auto"/>
              <w:spacing w:line="24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w:t>
            </w:r>
          </w:p>
        </w:tc>
        <w:tc>
          <w:tcPr>
            <w:tcW w:w="1150" w:type="dxa"/>
            <w:noWrap w:val="0"/>
            <w:vAlign w:val="center"/>
          </w:tcPr>
          <w:p w14:paraId="1EA6F8E7">
            <w:pPr>
              <w:shd w:val="clear" w:color="auto"/>
              <w:spacing w:line="240" w:lineRule="auto"/>
              <w:rPr>
                <w:rFonts w:hint="eastAsia" w:ascii="宋体" w:hAnsi="宋体" w:eastAsia="宋体" w:cs="宋体"/>
                <w:b w:val="0"/>
                <w:bCs/>
                <w:color w:val="auto"/>
                <w:sz w:val="21"/>
                <w:szCs w:val="21"/>
                <w:highlight w:val="none"/>
              </w:rPr>
            </w:pPr>
          </w:p>
        </w:tc>
        <w:tc>
          <w:tcPr>
            <w:tcW w:w="803" w:type="dxa"/>
            <w:noWrap w:val="0"/>
            <w:vAlign w:val="center"/>
          </w:tcPr>
          <w:p w14:paraId="07A52459">
            <w:pPr>
              <w:shd w:val="clear" w:color="auto"/>
              <w:spacing w:line="240" w:lineRule="auto"/>
              <w:rPr>
                <w:rFonts w:hint="eastAsia" w:ascii="宋体" w:hAnsi="宋体" w:eastAsia="宋体" w:cs="宋体"/>
                <w:b w:val="0"/>
                <w:bCs/>
                <w:color w:val="auto"/>
                <w:sz w:val="21"/>
                <w:szCs w:val="21"/>
                <w:highlight w:val="none"/>
              </w:rPr>
            </w:pPr>
          </w:p>
        </w:tc>
      </w:tr>
      <w:tr w14:paraId="0373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10" w:type="dxa"/>
            <w:vMerge w:val="continue"/>
            <w:noWrap w:val="0"/>
            <w:vAlign w:val="center"/>
          </w:tcPr>
          <w:p w14:paraId="1751086D">
            <w:pPr>
              <w:shd w:val="clear" w:color="auto"/>
              <w:spacing w:line="240" w:lineRule="auto"/>
              <w:jc w:val="center"/>
              <w:rPr>
                <w:rFonts w:hint="eastAsia" w:ascii="宋体" w:hAnsi="宋体" w:eastAsia="宋体" w:cs="宋体"/>
                <w:b w:val="0"/>
                <w:bCs/>
                <w:color w:val="auto"/>
                <w:sz w:val="21"/>
                <w:szCs w:val="21"/>
                <w:highlight w:val="none"/>
              </w:rPr>
            </w:pPr>
          </w:p>
        </w:tc>
        <w:tc>
          <w:tcPr>
            <w:tcW w:w="2419" w:type="dxa"/>
            <w:noWrap w:val="0"/>
            <w:vAlign w:val="center"/>
          </w:tcPr>
          <w:p w14:paraId="72A5A8D5">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养管人员形象良好，服装统一，人员到位情况和投入设备与承诺一致，无缺人、少人、不在岗情况</w:t>
            </w:r>
          </w:p>
        </w:tc>
        <w:tc>
          <w:tcPr>
            <w:tcW w:w="2571" w:type="dxa"/>
            <w:noWrap w:val="0"/>
            <w:vAlign w:val="center"/>
          </w:tcPr>
          <w:p w14:paraId="7C2B7EB1">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发现一次扣1分</w:t>
            </w:r>
          </w:p>
        </w:tc>
        <w:tc>
          <w:tcPr>
            <w:tcW w:w="767" w:type="dxa"/>
            <w:noWrap w:val="0"/>
            <w:vAlign w:val="center"/>
          </w:tcPr>
          <w:p w14:paraId="22F17362">
            <w:pPr>
              <w:shd w:val="clear" w:color="auto"/>
              <w:spacing w:line="24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w:t>
            </w:r>
          </w:p>
        </w:tc>
        <w:tc>
          <w:tcPr>
            <w:tcW w:w="1150" w:type="dxa"/>
            <w:noWrap w:val="0"/>
            <w:vAlign w:val="center"/>
          </w:tcPr>
          <w:p w14:paraId="32AEE4BC">
            <w:pPr>
              <w:shd w:val="clear" w:color="auto"/>
              <w:spacing w:line="240" w:lineRule="auto"/>
              <w:rPr>
                <w:rFonts w:hint="eastAsia" w:ascii="宋体" w:hAnsi="宋体" w:eastAsia="宋体" w:cs="宋体"/>
                <w:b w:val="0"/>
                <w:bCs/>
                <w:color w:val="auto"/>
                <w:sz w:val="21"/>
                <w:szCs w:val="21"/>
                <w:highlight w:val="none"/>
              </w:rPr>
            </w:pPr>
          </w:p>
        </w:tc>
        <w:tc>
          <w:tcPr>
            <w:tcW w:w="803" w:type="dxa"/>
            <w:noWrap w:val="0"/>
            <w:vAlign w:val="center"/>
          </w:tcPr>
          <w:p w14:paraId="65E2AC8C">
            <w:pPr>
              <w:shd w:val="clear" w:color="auto"/>
              <w:spacing w:line="240" w:lineRule="auto"/>
              <w:rPr>
                <w:rFonts w:hint="eastAsia" w:ascii="宋体" w:hAnsi="宋体" w:eastAsia="宋体" w:cs="宋体"/>
                <w:b w:val="0"/>
                <w:bCs/>
                <w:color w:val="auto"/>
                <w:sz w:val="21"/>
                <w:szCs w:val="21"/>
                <w:highlight w:val="none"/>
              </w:rPr>
            </w:pPr>
          </w:p>
        </w:tc>
      </w:tr>
      <w:tr w14:paraId="4ACF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210" w:type="dxa"/>
            <w:vMerge w:val="continue"/>
            <w:noWrap w:val="0"/>
            <w:vAlign w:val="center"/>
          </w:tcPr>
          <w:p w14:paraId="4590E575">
            <w:pPr>
              <w:shd w:val="clear" w:color="auto"/>
              <w:spacing w:line="240" w:lineRule="auto"/>
              <w:jc w:val="center"/>
              <w:rPr>
                <w:rFonts w:hint="eastAsia" w:ascii="宋体" w:hAnsi="宋体" w:eastAsia="宋体" w:cs="宋体"/>
                <w:b w:val="0"/>
                <w:bCs/>
                <w:color w:val="auto"/>
                <w:sz w:val="21"/>
                <w:szCs w:val="21"/>
                <w:highlight w:val="none"/>
              </w:rPr>
            </w:pPr>
          </w:p>
        </w:tc>
        <w:tc>
          <w:tcPr>
            <w:tcW w:w="2419" w:type="dxa"/>
            <w:noWrap w:val="0"/>
            <w:vAlign w:val="center"/>
          </w:tcPr>
          <w:p w14:paraId="3294A730">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管理责任落实到人，禁泳区无人游泳，无非法猎杀动物行为，无责任安全事故</w:t>
            </w:r>
          </w:p>
        </w:tc>
        <w:tc>
          <w:tcPr>
            <w:tcW w:w="2571" w:type="dxa"/>
            <w:noWrap w:val="0"/>
            <w:vAlign w:val="center"/>
          </w:tcPr>
          <w:p w14:paraId="04061CA8">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发现一次扣1分，有责任的伤亡事故扣4分</w:t>
            </w:r>
          </w:p>
        </w:tc>
        <w:tc>
          <w:tcPr>
            <w:tcW w:w="767" w:type="dxa"/>
            <w:noWrap w:val="0"/>
            <w:vAlign w:val="center"/>
          </w:tcPr>
          <w:p w14:paraId="57CADB82">
            <w:pPr>
              <w:shd w:val="clear" w:color="auto"/>
              <w:spacing w:line="240" w:lineRule="auto"/>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4</w:t>
            </w:r>
          </w:p>
        </w:tc>
        <w:tc>
          <w:tcPr>
            <w:tcW w:w="1150" w:type="dxa"/>
            <w:noWrap w:val="0"/>
            <w:vAlign w:val="center"/>
          </w:tcPr>
          <w:p w14:paraId="76F7FDD7">
            <w:pPr>
              <w:shd w:val="clear" w:color="auto"/>
              <w:spacing w:line="240" w:lineRule="auto"/>
              <w:rPr>
                <w:rFonts w:hint="eastAsia" w:ascii="宋体" w:hAnsi="宋体" w:eastAsia="宋体" w:cs="宋体"/>
                <w:b w:val="0"/>
                <w:bCs/>
                <w:color w:val="auto"/>
                <w:sz w:val="21"/>
                <w:szCs w:val="21"/>
                <w:highlight w:val="none"/>
              </w:rPr>
            </w:pPr>
          </w:p>
        </w:tc>
        <w:tc>
          <w:tcPr>
            <w:tcW w:w="803" w:type="dxa"/>
            <w:noWrap w:val="0"/>
            <w:vAlign w:val="center"/>
          </w:tcPr>
          <w:p w14:paraId="062A668F">
            <w:pPr>
              <w:shd w:val="clear" w:color="auto"/>
              <w:spacing w:line="240" w:lineRule="auto"/>
              <w:rPr>
                <w:rFonts w:hint="eastAsia" w:ascii="宋体" w:hAnsi="宋体" w:eastAsia="宋体" w:cs="宋体"/>
                <w:b w:val="0"/>
                <w:bCs/>
                <w:color w:val="auto"/>
                <w:sz w:val="21"/>
                <w:szCs w:val="21"/>
                <w:highlight w:val="none"/>
              </w:rPr>
            </w:pPr>
          </w:p>
        </w:tc>
      </w:tr>
      <w:tr w14:paraId="4B45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0" w:type="dxa"/>
            <w:vMerge w:val="restart"/>
            <w:noWrap w:val="0"/>
            <w:vAlign w:val="center"/>
          </w:tcPr>
          <w:p w14:paraId="5096AF91">
            <w:pPr>
              <w:shd w:val="clear" w:color="auto"/>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安全制度落实情况</w:t>
            </w:r>
          </w:p>
        </w:tc>
        <w:tc>
          <w:tcPr>
            <w:tcW w:w="2419" w:type="dxa"/>
            <w:noWrap w:val="0"/>
            <w:vAlign w:val="center"/>
          </w:tcPr>
          <w:p w14:paraId="22795214">
            <w:pPr>
              <w:shd w:val="clear" w:color="auto"/>
              <w:spacing w:line="240" w:lineRule="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要确认适当的安全作业距离并设置安全警示标牌</w:t>
            </w:r>
          </w:p>
        </w:tc>
        <w:tc>
          <w:tcPr>
            <w:tcW w:w="2571" w:type="dxa"/>
            <w:noWrap w:val="0"/>
            <w:vAlign w:val="center"/>
          </w:tcPr>
          <w:p w14:paraId="0F51D7A8">
            <w:pPr>
              <w:shd w:val="clear" w:color="auto"/>
              <w:spacing w:line="24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发现一次扣1分</w:t>
            </w:r>
          </w:p>
        </w:tc>
        <w:tc>
          <w:tcPr>
            <w:tcW w:w="767" w:type="dxa"/>
            <w:noWrap w:val="0"/>
            <w:vAlign w:val="center"/>
          </w:tcPr>
          <w:p w14:paraId="7F459E4C">
            <w:pPr>
              <w:shd w:val="clear" w:color="auto"/>
              <w:spacing w:line="240" w:lineRule="auto"/>
              <w:jc w:val="center"/>
              <w:rPr>
                <w:rFonts w:hint="default"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w:t>
            </w:r>
          </w:p>
        </w:tc>
        <w:tc>
          <w:tcPr>
            <w:tcW w:w="1150" w:type="dxa"/>
            <w:noWrap w:val="0"/>
            <w:vAlign w:val="center"/>
          </w:tcPr>
          <w:p w14:paraId="7817AFCE">
            <w:pPr>
              <w:shd w:val="clear" w:color="auto"/>
              <w:spacing w:line="240" w:lineRule="auto"/>
              <w:rPr>
                <w:rFonts w:hint="eastAsia" w:ascii="宋体" w:hAnsi="宋体" w:eastAsia="宋体" w:cs="宋体"/>
                <w:b w:val="0"/>
                <w:bCs/>
                <w:color w:val="auto"/>
                <w:sz w:val="21"/>
                <w:szCs w:val="21"/>
                <w:highlight w:val="none"/>
              </w:rPr>
            </w:pPr>
          </w:p>
        </w:tc>
        <w:tc>
          <w:tcPr>
            <w:tcW w:w="803" w:type="dxa"/>
            <w:noWrap w:val="0"/>
            <w:vAlign w:val="center"/>
          </w:tcPr>
          <w:p w14:paraId="70E42139">
            <w:pPr>
              <w:shd w:val="clear" w:color="auto"/>
              <w:spacing w:line="240" w:lineRule="auto"/>
              <w:rPr>
                <w:rFonts w:hint="eastAsia" w:ascii="宋体" w:hAnsi="宋体" w:eastAsia="宋体" w:cs="宋体"/>
                <w:b w:val="0"/>
                <w:bCs/>
                <w:color w:val="auto"/>
                <w:sz w:val="21"/>
                <w:szCs w:val="21"/>
                <w:highlight w:val="none"/>
              </w:rPr>
            </w:pPr>
          </w:p>
        </w:tc>
      </w:tr>
      <w:tr w14:paraId="3273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210" w:type="dxa"/>
            <w:vMerge w:val="continue"/>
            <w:noWrap w:val="0"/>
            <w:vAlign w:val="center"/>
          </w:tcPr>
          <w:p w14:paraId="67A192C6">
            <w:pPr>
              <w:shd w:val="clear" w:color="auto"/>
              <w:spacing w:line="240" w:lineRule="auto"/>
              <w:rPr>
                <w:color w:val="auto"/>
                <w:highlight w:val="none"/>
              </w:rPr>
            </w:pPr>
          </w:p>
        </w:tc>
        <w:tc>
          <w:tcPr>
            <w:tcW w:w="2419" w:type="dxa"/>
            <w:noWrap w:val="0"/>
            <w:vAlign w:val="center"/>
          </w:tcPr>
          <w:p w14:paraId="495F2D49">
            <w:pPr>
              <w:shd w:val="clear" w:color="auto"/>
              <w:spacing w:line="240" w:lineRule="auto"/>
              <w:rPr>
                <w:rFonts w:hint="default"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操作不规范但未造成事故</w:t>
            </w:r>
          </w:p>
        </w:tc>
        <w:tc>
          <w:tcPr>
            <w:tcW w:w="2571" w:type="dxa"/>
            <w:noWrap w:val="0"/>
            <w:vAlign w:val="center"/>
          </w:tcPr>
          <w:p w14:paraId="472CDA03">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发现一次扣1分，有责任的伤亡事故</w:t>
            </w:r>
            <w:r>
              <w:rPr>
                <w:rFonts w:hint="eastAsia" w:ascii="宋体" w:hAnsi="宋体" w:cs="宋体"/>
                <w:b w:val="0"/>
                <w:bCs/>
                <w:color w:val="auto"/>
                <w:sz w:val="21"/>
                <w:szCs w:val="21"/>
                <w:highlight w:val="none"/>
                <w:lang w:val="en-US" w:eastAsia="zh-CN"/>
              </w:rPr>
              <w:t>采购人有权直接终止合同并追究其相关责任</w:t>
            </w:r>
          </w:p>
        </w:tc>
        <w:tc>
          <w:tcPr>
            <w:tcW w:w="767" w:type="dxa"/>
            <w:noWrap w:val="0"/>
            <w:vAlign w:val="center"/>
          </w:tcPr>
          <w:p w14:paraId="710D2285">
            <w:pPr>
              <w:shd w:val="clear" w:color="auto"/>
              <w:spacing w:line="240" w:lineRule="auto"/>
              <w:jc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p>
        </w:tc>
        <w:tc>
          <w:tcPr>
            <w:tcW w:w="1150" w:type="dxa"/>
            <w:noWrap w:val="0"/>
            <w:vAlign w:val="center"/>
          </w:tcPr>
          <w:p w14:paraId="57BB31D1">
            <w:pPr>
              <w:shd w:val="clear" w:color="auto"/>
              <w:spacing w:line="240" w:lineRule="auto"/>
              <w:rPr>
                <w:rFonts w:hint="eastAsia" w:ascii="宋体" w:hAnsi="宋体" w:eastAsia="宋体" w:cs="宋体"/>
                <w:b w:val="0"/>
                <w:bCs/>
                <w:color w:val="auto"/>
                <w:sz w:val="21"/>
                <w:szCs w:val="21"/>
                <w:highlight w:val="none"/>
                <w:lang w:val="en-US" w:eastAsia="zh-CN"/>
              </w:rPr>
            </w:pPr>
          </w:p>
        </w:tc>
        <w:tc>
          <w:tcPr>
            <w:tcW w:w="803" w:type="dxa"/>
            <w:noWrap w:val="0"/>
            <w:vAlign w:val="center"/>
          </w:tcPr>
          <w:p w14:paraId="77B69836">
            <w:pPr>
              <w:shd w:val="clear" w:color="auto"/>
              <w:spacing w:line="240" w:lineRule="auto"/>
              <w:rPr>
                <w:rFonts w:hint="eastAsia" w:ascii="宋体" w:hAnsi="宋体" w:eastAsia="宋体" w:cs="宋体"/>
                <w:b w:val="0"/>
                <w:bCs/>
                <w:color w:val="auto"/>
                <w:sz w:val="21"/>
                <w:szCs w:val="21"/>
                <w:highlight w:val="none"/>
                <w:lang w:val="en-US" w:eastAsia="zh-CN"/>
              </w:rPr>
            </w:pPr>
          </w:p>
        </w:tc>
      </w:tr>
      <w:tr w14:paraId="6AB8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6200" w:type="dxa"/>
            <w:gridSpan w:val="3"/>
            <w:noWrap w:val="0"/>
            <w:vAlign w:val="center"/>
          </w:tcPr>
          <w:p w14:paraId="0009B1BB">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合计</w:t>
            </w:r>
          </w:p>
        </w:tc>
        <w:tc>
          <w:tcPr>
            <w:tcW w:w="767" w:type="dxa"/>
            <w:noWrap w:val="0"/>
            <w:vAlign w:val="center"/>
          </w:tcPr>
          <w:p w14:paraId="6140468F">
            <w:pPr>
              <w:shd w:val="clear" w:color="auto"/>
              <w:spacing w:line="240" w:lineRule="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100</w:t>
            </w:r>
          </w:p>
        </w:tc>
        <w:tc>
          <w:tcPr>
            <w:tcW w:w="1150" w:type="dxa"/>
            <w:noWrap w:val="0"/>
            <w:vAlign w:val="center"/>
          </w:tcPr>
          <w:p w14:paraId="7C3B5DE2">
            <w:pPr>
              <w:shd w:val="clear" w:color="auto"/>
              <w:spacing w:line="240" w:lineRule="auto"/>
              <w:rPr>
                <w:rFonts w:hint="eastAsia" w:ascii="宋体" w:hAnsi="宋体" w:eastAsia="宋体" w:cs="宋体"/>
                <w:b w:val="0"/>
                <w:bCs/>
                <w:color w:val="auto"/>
                <w:sz w:val="21"/>
                <w:szCs w:val="21"/>
                <w:highlight w:val="none"/>
                <w:lang w:val="en-US" w:eastAsia="zh-CN"/>
              </w:rPr>
            </w:pPr>
          </w:p>
        </w:tc>
        <w:tc>
          <w:tcPr>
            <w:tcW w:w="803" w:type="dxa"/>
            <w:noWrap w:val="0"/>
            <w:vAlign w:val="center"/>
          </w:tcPr>
          <w:p w14:paraId="09117D24">
            <w:pPr>
              <w:shd w:val="clear" w:color="auto"/>
              <w:spacing w:line="240" w:lineRule="auto"/>
              <w:rPr>
                <w:rFonts w:hint="eastAsia" w:ascii="宋体" w:hAnsi="宋体" w:eastAsia="宋体" w:cs="宋体"/>
                <w:b w:val="0"/>
                <w:bCs/>
                <w:color w:val="auto"/>
                <w:sz w:val="21"/>
                <w:szCs w:val="21"/>
                <w:highlight w:val="none"/>
                <w:lang w:val="en-US" w:eastAsia="zh-CN"/>
              </w:rPr>
            </w:pPr>
          </w:p>
        </w:tc>
      </w:tr>
      <w:tr w14:paraId="3E10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6" w:hRule="atLeast"/>
        </w:trPr>
        <w:tc>
          <w:tcPr>
            <w:tcW w:w="8920" w:type="dxa"/>
            <w:gridSpan w:val="6"/>
            <w:noWrap w:val="0"/>
            <w:vAlign w:val="center"/>
          </w:tcPr>
          <w:p w14:paraId="1F08431C">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考核办法：</w:t>
            </w:r>
          </w:p>
          <w:p w14:paraId="25480B29">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日常考核评分按照《鳌江镇绿化养护考核服务质量表》执行实行倒扣分制其结果用于月考核评分。每月考核，累计按季度支付。月考核评分实行百分制，其考核取当月日常考核扣分之和，分值即月考核得分等于100分减去当月日常考核扣分累计数。考核得分情况与每季度管护经费的发放挂钩。</w:t>
            </w:r>
          </w:p>
          <w:p w14:paraId="3B603AD2">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A、月考核得分在94分及以上，当月管护合格，执行中标单价。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B、月考核得分在94分以下，当月管护经费单价下浮。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C、月考核得分在93分，含93分至94分，当月管护经费单价下浮1%。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C1、月考核得分在92分，含92分至93分，当月管护经费单价下浮2%。 </w:t>
            </w:r>
          </w:p>
          <w:p w14:paraId="51A98B4B">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C2、月考核得分在91分，含91分至92分，当月管护经费单价下浮3%。 </w:t>
            </w:r>
          </w:p>
          <w:p w14:paraId="66CC3658">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C3、月考核得分在90分，含90分至91分，当月管护经费单价下浮4%。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C4、月考核得分在88分，含88分至90分，当月管护经费单价下浮7%。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C5、月考核得分在86分，含86分至88分，当月管护经费单价下浮8%。 </w:t>
            </w:r>
            <w:r>
              <w:rPr>
                <w:rFonts w:hint="eastAsia" w:ascii="宋体" w:hAnsi="宋体" w:eastAsia="宋体" w:cs="宋体"/>
                <w:b w:val="0"/>
                <w:bCs/>
                <w:color w:val="auto"/>
                <w:sz w:val="21"/>
                <w:szCs w:val="21"/>
                <w:highlight w:val="none"/>
                <w:lang w:val="en-US" w:eastAsia="zh-CN"/>
              </w:rPr>
              <w:cr/>
            </w:r>
            <w:r>
              <w:rPr>
                <w:rFonts w:hint="eastAsia" w:ascii="宋体" w:hAnsi="宋体" w:eastAsia="宋体" w:cs="宋体"/>
                <w:b w:val="0"/>
                <w:bCs/>
                <w:color w:val="auto"/>
                <w:sz w:val="21"/>
                <w:szCs w:val="21"/>
                <w:highlight w:val="none"/>
                <w:lang w:val="en-US" w:eastAsia="zh-CN"/>
              </w:rPr>
              <w:t xml:space="preserve">D、月考核得分在86分以下，当月管护经费单价下浮10%。 中标人若连续两个月考核86分以下，取消管护资格。 </w:t>
            </w:r>
          </w:p>
          <w:p w14:paraId="13BC7123">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巡查考核人员在进行检查考核时详实记录考核时间、地点和考核情况加以照片记录。 </w:t>
            </w:r>
          </w:p>
          <w:p w14:paraId="1CA7D00A">
            <w:pPr>
              <w:shd w:val="clear" w:color="auto"/>
              <w:spacing w:line="24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（三）管护作业单位不得以任何理由拒绝检查考核。</w:t>
            </w:r>
          </w:p>
        </w:tc>
      </w:tr>
    </w:tbl>
    <w:p w14:paraId="3C5CE1BC">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八  权利和义务</w:t>
      </w:r>
    </w:p>
    <w:p w14:paraId="501FE434">
      <w:pPr>
        <w:widowControl w:val="0"/>
        <w:shd w:val="clear" w:color="auto"/>
        <w:snapToGrid w:val="0"/>
        <w:spacing w:line="440" w:lineRule="atLeast"/>
        <w:ind w:firstLine="220" w:firstLineChars="1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（一）甲方权利与义务</w:t>
      </w:r>
    </w:p>
    <w:p w14:paraId="6DF32EB4">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1、甲方对乙方的绿化养护业务进行全面的技术指导、检查、管理和监督，对检查中发现的环境卫生质量问题及时向乙方提出书面或口头改进意见。</w:t>
      </w:r>
    </w:p>
    <w:p w14:paraId="623258AB">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2、甲方对乙方违反《绿化养护考核标准》中规定的行为进行违约。</w:t>
      </w:r>
    </w:p>
    <w:p w14:paraId="48608E56">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3、甲方监督检查乙方落实安全生产措施（包括防台、防火）。</w:t>
      </w:r>
    </w:p>
    <w:p w14:paraId="1DED2BD4">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4、甲方监督检查乙方对员工进行培训的情况，以提高绿化养护服务的技术水平。</w:t>
      </w:r>
    </w:p>
    <w:p w14:paraId="1C574F36">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5、甲方应按绿化养护质量和检查验收结果计算经费，扣除乙方因检查不合格应扣款后，将经费按期支付给乙方。</w:t>
      </w:r>
    </w:p>
    <w:p w14:paraId="53219B2D">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6、甲方可要求乙方调整不合格员工。</w:t>
      </w:r>
    </w:p>
    <w:p w14:paraId="38B12AC2">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7、甲方可根据政策的变动并结合实际情况对本项目合同、</w:t>
      </w:r>
      <w:r>
        <w:rPr>
          <w:rFonts w:hint="eastAsia" w:ascii="宋体" w:hAnsi="宋体" w:eastAsia="宋体" w:cs="宋体"/>
          <w:b w:val="0"/>
          <w:bCs/>
          <w:color w:val="auto"/>
          <w:sz w:val="22"/>
          <w:highlight w:val="none"/>
          <w:lang w:val="en-US" w:eastAsia="zh-CN" w:bidi="ar-SA"/>
        </w:rPr>
        <w:t>《温州市园林植物养护技术规程》</w:t>
      </w:r>
      <w:r>
        <w:rPr>
          <w:rFonts w:hint="eastAsia" w:ascii="宋体" w:hAnsi="宋体" w:eastAsia="宋体" w:cs="宋体"/>
          <w:b w:val="0"/>
          <w:bCs/>
          <w:color w:val="auto"/>
          <w:sz w:val="22"/>
          <w:szCs w:val="22"/>
          <w:highlight w:val="none"/>
          <w:lang w:val="en-US" w:eastAsia="zh-CN" w:bidi="ar-SA"/>
        </w:rPr>
        <w:t>及《绿化养护考核标准》和“考核及违约标准”进行修改和补充。</w:t>
      </w:r>
    </w:p>
    <w:p w14:paraId="0F1E848E">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8、甲方应按时支付款项。本合同的经费由政府拨款，如因政策影响，拨款未能及时到位，乙方不得以此为由而不履行本合同规定的义务，否则甲方按规定扣罚。</w:t>
      </w:r>
    </w:p>
    <w:p w14:paraId="11139EDF">
      <w:pPr>
        <w:widowControl w:val="0"/>
        <w:shd w:val="clear" w:color="auto"/>
        <w:snapToGrid w:val="0"/>
        <w:spacing w:line="440" w:lineRule="atLeast"/>
        <w:ind w:firstLine="220" w:firstLineChars="1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（二）乙方权利和义务</w:t>
      </w:r>
    </w:p>
    <w:p w14:paraId="52036F52">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1、乙方有权根据承包合同按期领取承包结算经费。</w:t>
      </w:r>
    </w:p>
    <w:p w14:paraId="608DC82B">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2、乙方有权对管理工作提出建议。</w:t>
      </w:r>
    </w:p>
    <w:p w14:paraId="28D7716F">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3、乙方履行承诺的义务，并参加由甲方组织的检查和综合考评。</w:t>
      </w:r>
    </w:p>
    <w:p w14:paraId="26291CB6">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4、乙方应接受甲方的检查监督及指导。</w:t>
      </w:r>
    </w:p>
    <w:p w14:paraId="6690783F">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5、按甲方的要求开展工作，如有改变，乙方应提出书面申请，并征得甲方的书面同意。</w:t>
      </w:r>
    </w:p>
    <w:p w14:paraId="23B70B1E">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 xml:space="preserve">6、特殊情况下（台风、暴雨和冰雪等），乙方除应做好管辖地段保护工作外，还应服从甲方的统一指挥和调动，参加抢险救灾工作。 </w:t>
      </w:r>
    </w:p>
    <w:p w14:paraId="64CEC2C1">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7、乙方根据本合同所承担的服务内容，按实际上岗人数自行到有关部门申办相关手续。员工最低工资不得低于平阳县本年度最低工资标准</w:t>
      </w:r>
      <w:r>
        <w:rPr>
          <w:rFonts w:hint="eastAsia" w:ascii="宋体" w:hAnsi="宋体" w:eastAsia="宋体" w:cs="宋体"/>
          <w:b w:val="0"/>
          <w:bCs/>
          <w:color w:val="auto"/>
          <w:sz w:val="22"/>
          <w:highlight w:val="none"/>
          <w:lang w:val="en-US" w:eastAsia="zh-CN" w:bidi="ar-SA"/>
        </w:rPr>
        <w:t>的110%</w:t>
      </w:r>
      <w:r>
        <w:rPr>
          <w:rFonts w:hint="eastAsia" w:ascii="宋体" w:hAnsi="宋体" w:eastAsia="宋体" w:cs="宋体"/>
          <w:b w:val="0"/>
          <w:bCs/>
          <w:color w:val="auto"/>
          <w:sz w:val="22"/>
          <w:szCs w:val="22"/>
          <w:highlight w:val="none"/>
          <w:lang w:val="en-US" w:eastAsia="zh-CN" w:bidi="ar-SA"/>
        </w:rPr>
        <w:t>，并按相关规定办理社保。安排好属下人员的住宿和教育管理工作，如发生违纪事件，由乙方承担一切经济责任和法律责任。</w:t>
      </w:r>
    </w:p>
    <w:p w14:paraId="355F9D36">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8、乙方应按甲方要求，为上岗工人购买统一的工作服及反光背心。</w:t>
      </w:r>
    </w:p>
    <w:p w14:paraId="5FC29314">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9、负责提供本项目所需的全部工具、设备和材料。</w:t>
      </w:r>
    </w:p>
    <w:p w14:paraId="00101DF4">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10、乙方负责安排骨干参加业务技术的培训学习。</w:t>
      </w:r>
    </w:p>
    <w:p w14:paraId="33842C72">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11、乙方负责作业过程中的事故处理和一切费用，并承担事故的所有责任。</w:t>
      </w:r>
    </w:p>
    <w:p w14:paraId="7FEDC0F1">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12、乙方应严格遵守国家法律、法规的规定，做好社会治安综合治理和计划生育等工作，不得违反国家法律、法规和有关规定。</w:t>
      </w:r>
    </w:p>
    <w:p w14:paraId="79EAC87E">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13、在合同期内，因国家建设需要调整乙方管理任务和管理级别时，乙方要服从大局，相应增减承包面积及经费。由此造成的经济损失，甲方不负赔偿责任。</w:t>
      </w:r>
    </w:p>
    <w:p w14:paraId="10D00CB5">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14、乙方应遵守法律、法规和政策的规定，因以上原因使合同性质发生改变，甲方不负赔偿责任。</w:t>
      </w:r>
    </w:p>
    <w:p w14:paraId="3B54272D">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九  合同组成</w:t>
      </w:r>
    </w:p>
    <w:p w14:paraId="7861AE66">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承包合同组成：《招标文件》、《投标文件》、《中标通知书》、《温州市区城市园林绿化养护管理考核办法》、《绿化养护考核标准》和 “考核及违约标准”及询标纪要和承诺书为本合同的有效组成部分。</w:t>
      </w:r>
    </w:p>
    <w:p w14:paraId="22405D91">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十  违约责任</w:t>
      </w:r>
    </w:p>
    <w:p w14:paraId="0249691D">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一）乙方违反甲方具体要求及《招标文件》规定的行为均属违约行为。甲方根据上述规定条款，视乙方违反规定的情节轻重，做出批评教育、警告、扣罚处理，情节严重者，甲方有权单方终止本合同，由乙方承担一切经济损失和法律责任。因乙方违约造成甲方损失的，甲方从乙方缴纳的履约保证金中扣除。</w:t>
      </w:r>
    </w:p>
    <w:p w14:paraId="4248CD17">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（二）乙方因机械、工具或技术、劳动等跟不上管理需要影响工作，未达到质量标准，按照《招标文件》第二部分内的“考核与违约标准”的规定，甲方有权单方终止本合同，并没收履约保证金。</w:t>
      </w:r>
    </w:p>
    <w:p w14:paraId="361A7179">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十二  验收移交</w:t>
      </w:r>
    </w:p>
    <w:p w14:paraId="2FFC0620">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（一）在合同终止前十个工作日内，由乙方书面向甲方提出移交验收申请。</w:t>
      </w:r>
    </w:p>
    <w:p w14:paraId="4DED0453">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十三  争议的解决</w:t>
      </w:r>
    </w:p>
    <w:p w14:paraId="7E7FBB18">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1、合同在履行过程中发生争议时，甲方与乙方及时协商解决。协商不成时，向平阳县人民法院进行诉讼。</w:t>
      </w:r>
    </w:p>
    <w:p w14:paraId="74756973">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十四  合同生效及终止</w:t>
      </w:r>
    </w:p>
    <w:p w14:paraId="1E5C3772">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（一）合同终止：本合同出现以下情况时终止。</w:t>
      </w:r>
    </w:p>
    <w:p w14:paraId="0542093C">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1、期限届满时自行终止。</w:t>
      </w:r>
    </w:p>
    <w:p w14:paraId="71A0D37F">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2、根据《温州市区城市园林绿化养护管理考核办法》、《绿化养护考核标准》及 “考核及违约标准”进行检查考评，不符合相关规定需终止合同的。</w:t>
      </w:r>
    </w:p>
    <w:p w14:paraId="7831DED6">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3、本项目有下列情形的，甲方有权终止合同：</w:t>
      </w:r>
    </w:p>
    <w:p w14:paraId="1E95CDB6">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（一）合同生效：本合同自双方法定代表人签字、盖章之日起生效。</w:t>
      </w:r>
    </w:p>
    <w:p w14:paraId="2990D090">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（二）合同终止：本项目有下列情形的，甲方有权终止合同：</w:t>
      </w:r>
    </w:p>
    <w:p w14:paraId="2393C6B3">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 xml:space="preserve">1）本项目遇不可抗力影响或法律、法规、国家政策重大调整影响合同无法执行的； </w:t>
      </w:r>
    </w:p>
    <w:p w14:paraId="7065C461">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2）乙方对监管人员，考核成员有行贿或其它利益输送行为的。</w:t>
      </w:r>
    </w:p>
    <w:p w14:paraId="3BB83AD7">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3）按相关法律、法规、招标文件规定及考核办法，有下列情形之一的，甲方有权终止合同：</w:t>
      </w:r>
    </w:p>
    <w:p w14:paraId="3F1E1FB2">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（1）全年有两次被严重警告或三次被警告（含一次严重警告，两次警告）的乙方，甲方有权无责任终止采购合同。</w:t>
      </w:r>
    </w:p>
    <w:p w14:paraId="6BDFDDBE">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（2）连续两个月考核得分低于86分时，甲方有权无责任终止采购合同。</w:t>
      </w:r>
    </w:p>
    <w:p w14:paraId="67AA0D77">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（3）经有关部门认定严重违反劳动法，造成恶劣影响的；或其它因违法经营受到刑事处罚或者责令停产停业、吊销许可证或者执照、较大数额罚款等行政处罚的。</w:t>
      </w:r>
    </w:p>
    <w:p w14:paraId="718EA449">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（4）其它弄虚作假及其他不正当行为。</w:t>
      </w:r>
    </w:p>
    <w:p w14:paraId="1EBE556E">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（5）合同履约期间，乙方法人组织破产，或重组变更法人主体的；</w:t>
      </w:r>
    </w:p>
    <w:p w14:paraId="217CC6E3">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（6）根据招标文件及合同约定，其它终止合同的规定，其它法律规定的终止情形。</w:t>
      </w:r>
    </w:p>
    <w:p w14:paraId="77A22423">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（7）乙方承诺在中标后为此项目在平阳县内设立服务机构，但在中标后1个月内未设置相关服务机构的。</w:t>
      </w:r>
    </w:p>
    <w:p w14:paraId="30ABEA71">
      <w:pPr>
        <w:widowControl w:val="0"/>
        <w:shd w:val="clear" w:color="auto"/>
        <w:snapToGrid w:val="0"/>
        <w:spacing w:line="440" w:lineRule="atLeast"/>
        <w:ind w:firstLine="440" w:firstLineChars="200"/>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（8）由于乙方原因造成甲方经济损失的，所造成的损失由乙方承担；同时甲方有权终止合同。</w:t>
      </w:r>
    </w:p>
    <w:p w14:paraId="5BF93EF4">
      <w:pPr>
        <w:widowControl w:val="0"/>
        <w:shd w:val="clear" w:color="auto"/>
        <w:snapToGrid w:val="0"/>
        <w:spacing w:line="44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十五 本合同一式伍份，双方各执贰份，代理公司执壹份。经双方代表签字盖章后生效。</w:t>
      </w:r>
    </w:p>
    <w:p w14:paraId="3D4B74B1">
      <w:pPr>
        <w:widowControl w:val="0"/>
        <w:shd w:val="clear" w:color="auto"/>
        <w:snapToGrid w:val="0"/>
        <w:spacing w:line="40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甲    方：（印章）                    乙    方：（印章）</w:t>
      </w:r>
    </w:p>
    <w:p w14:paraId="51A7D648">
      <w:pPr>
        <w:widowControl w:val="0"/>
        <w:shd w:val="clear" w:color="auto"/>
        <w:snapToGrid w:val="0"/>
        <w:spacing w:line="40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全权代表：（签字）                    全权代表：（签字）</w:t>
      </w:r>
    </w:p>
    <w:p w14:paraId="0E157A4E">
      <w:pPr>
        <w:widowControl w:val="0"/>
        <w:shd w:val="clear" w:color="auto"/>
        <w:snapToGrid w:val="0"/>
        <w:spacing w:line="40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地    址：                            地    址：</w:t>
      </w:r>
    </w:p>
    <w:p w14:paraId="7A37B76E">
      <w:pPr>
        <w:widowControl w:val="0"/>
        <w:shd w:val="clear" w:color="auto"/>
        <w:snapToGrid w:val="0"/>
        <w:spacing w:line="40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邮政编码：                            邮政编码：</w:t>
      </w:r>
    </w:p>
    <w:p w14:paraId="592D560C">
      <w:pPr>
        <w:widowControl w:val="0"/>
        <w:shd w:val="clear" w:color="auto"/>
        <w:snapToGrid w:val="0"/>
        <w:spacing w:line="40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电    话：                            电    话：</w:t>
      </w:r>
    </w:p>
    <w:p w14:paraId="78673CDE">
      <w:pPr>
        <w:widowControl w:val="0"/>
        <w:shd w:val="clear" w:color="auto"/>
        <w:snapToGrid w:val="0"/>
        <w:spacing w:line="40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传    真：                            传    真：</w:t>
      </w:r>
    </w:p>
    <w:p w14:paraId="6079746C">
      <w:pPr>
        <w:widowControl w:val="0"/>
        <w:shd w:val="clear" w:color="auto"/>
        <w:snapToGrid w:val="0"/>
        <w:spacing w:line="40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开户银行：                            开户银行：</w:t>
      </w:r>
    </w:p>
    <w:p w14:paraId="33059C55">
      <w:pPr>
        <w:widowControl w:val="0"/>
        <w:shd w:val="clear" w:color="auto"/>
        <w:snapToGrid w:val="0"/>
        <w:spacing w:line="400" w:lineRule="atLeast"/>
        <w:ind w:firstLine="482"/>
        <w:jc w:val="both"/>
        <w:rPr>
          <w:rFonts w:hint="eastAsia" w:ascii="宋体" w:hAnsi="宋体" w:eastAsia="宋体" w:cs="宋体"/>
          <w:b w:val="0"/>
          <w:bCs/>
          <w:color w:val="auto"/>
          <w:sz w:val="22"/>
          <w:szCs w:val="22"/>
          <w:highlight w:val="none"/>
          <w:lang w:val="en-US" w:eastAsia="zh-CN" w:bidi="ar-SA"/>
        </w:rPr>
      </w:pPr>
      <w:r>
        <w:rPr>
          <w:rFonts w:hint="eastAsia" w:ascii="宋体" w:hAnsi="宋体" w:eastAsia="宋体" w:cs="宋体"/>
          <w:b w:val="0"/>
          <w:bCs/>
          <w:color w:val="auto"/>
          <w:sz w:val="22"/>
          <w:szCs w:val="22"/>
          <w:highlight w:val="none"/>
          <w:lang w:val="en-US" w:eastAsia="zh-CN" w:bidi="ar-SA"/>
        </w:rPr>
        <w:t>帐    号：                            帐    号：</w:t>
      </w:r>
    </w:p>
    <w:p w14:paraId="26E4BAA3">
      <w:pPr>
        <w:widowControl w:val="0"/>
        <w:shd w:val="clear" w:color="auto"/>
        <w:snapToGrid w:val="0"/>
        <w:spacing w:line="400" w:lineRule="atLeast"/>
        <w:ind w:firstLine="482"/>
        <w:jc w:val="both"/>
        <w:rPr>
          <w:rFonts w:hint="eastAsia" w:ascii="宋体" w:hAnsi="Courier New" w:eastAsia="宋体" w:cs="Times New Roman"/>
          <w:b w:val="0"/>
          <w:bCs/>
          <w:color w:val="auto"/>
          <w:sz w:val="22"/>
          <w:highlight w:val="none"/>
          <w:lang w:val="en-US" w:eastAsia="zh-CN" w:bidi="ar-SA"/>
        </w:rPr>
      </w:pPr>
      <w:r>
        <w:rPr>
          <w:rFonts w:hint="eastAsia" w:ascii="宋体" w:hAnsi="宋体" w:eastAsia="宋体" w:cs="宋体"/>
          <w:b w:val="0"/>
          <w:bCs/>
          <w:color w:val="auto"/>
          <w:sz w:val="22"/>
          <w:szCs w:val="22"/>
          <w:highlight w:val="none"/>
          <w:lang w:val="en-US" w:eastAsia="zh-CN" w:bidi="ar-SA"/>
        </w:rPr>
        <w:t>时    间：                            时    间：</w:t>
      </w:r>
    </w:p>
    <w:p w14:paraId="124D4E58">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2E3B0E14">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5B8196C4">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16027880">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6800FDE4">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2AF51874">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3EFC1414">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73F83947">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3A634769">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71153FA4">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68575EF8">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33DE6405">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5A1B9525">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3D6F5EED">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5F255695">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64D5254F">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35CA0264">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422A459B">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2213FE33">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1FD35980">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08E8348A">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428CD427">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3309FFD2">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2A7E93AE">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6C4531EE">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421B98DF">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1E98404F">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13AEF929">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70D2C858">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p>
    <w:p w14:paraId="515CA113">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lang w:eastAsia="zh-CN"/>
        </w:rPr>
      </w:pPr>
      <w:r>
        <w:rPr>
          <w:rFonts w:hint="eastAsia" w:ascii="仿宋_GB2312" w:hAnsi="仿宋_GB2312" w:eastAsia="宋体" w:cs="Times New Roman"/>
          <w:b/>
          <w:color w:val="auto"/>
          <w:kern w:val="0"/>
          <w:sz w:val="22"/>
          <w:szCs w:val="20"/>
          <w:highlight w:val="none"/>
          <w:lang w:eastAsia="zh-CN"/>
        </w:rPr>
        <w:t>养护等级附表（</w:t>
      </w:r>
      <w:r>
        <w:rPr>
          <w:rFonts w:hint="eastAsia" w:ascii="仿宋_GB2312" w:hAnsi="仿宋_GB2312" w:eastAsia="宋体" w:cs="Times New Roman"/>
          <w:b/>
          <w:color w:val="auto"/>
          <w:kern w:val="0"/>
          <w:sz w:val="22"/>
          <w:szCs w:val="20"/>
          <w:highlight w:val="none"/>
          <w:lang w:val="en-US" w:eastAsia="zh-CN"/>
        </w:rPr>
        <w:t>A、B、C、D、E、F、G</w:t>
      </w:r>
      <w:r>
        <w:rPr>
          <w:rFonts w:hint="eastAsia" w:ascii="仿宋_GB2312" w:hAnsi="仿宋_GB2312" w:eastAsia="宋体" w:cs="Times New Roman"/>
          <w:b/>
          <w:color w:val="auto"/>
          <w:kern w:val="0"/>
          <w:sz w:val="22"/>
          <w:szCs w:val="20"/>
          <w:highlight w:val="none"/>
          <w:lang w:eastAsia="zh-CN"/>
        </w:rPr>
        <w:t>）</w:t>
      </w:r>
    </w:p>
    <w:p w14:paraId="5461B13D">
      <w:pPr>
        <w:shd w:val="clear" w:color="auto"/>
        <w:autoSpaceDE w:val="0"/>
        <w:autoSpaceDN w:val="0"/>
        <w:adjustRightInd w:val="0"/>
        <w:spacing w:line="460" w:lineRule="atLeast"/>
        <w:ind w:firstLine="331" w:firstLineChars="150"/>
        <w:textAlignment w:val="bottom"/>
        <w:rPr>
          <w:rFonts w:hint="eastAsia" w:ascii="仿宋_GB2312" w:hAnsi="仿宋_GB2312" w:eastAsia="宋体" w:cs="Times New Roman"/>
          <w:b/>
          <w:color w:val="auto"/>
          <w:kern w:val="0"/>
          <w:sz w:val="22"/>
          <w:szCs w:val="20"/>
          <w:highlight w:val="none"/>
        </w:rPr>
      </w:pPr>
      <w:r>
        <w:rPr>
          <w:rFonts w:hint="eastAsia" w:ascii="仿宋_GB2312" w:hAnsi="仿宋_GB2312" w:eastAsia="宋体" w:cs="Times New Roman"/>
          <w:b/>
          <w:color w:val="auto"/>
          <w:kern w:val="0"/>
          <w:sz w:val="22"/>
          <w:szCs w:val="20"/>
          <w:highlight w:val="none"/>
        </w:rPr>
        <w:t>表A 树木养护质量等级</w:t>
      </w:r>
    </w:p>
    <w:tbl>
      <w:tblPr>
        <w:tblStyle w:val="13"/>
        <w:tblW w:w="9758" w:type="dxa"/>
        <w:tblInd w:w="0" w:type="dxa"/>
        <w:tblLayout w:type="autofit"/>
        <w:tblCellMar>
          <w:top w:w="0" w:type="dxa"/>
          <w:left w:w="0" w:type="dxa"/>
          <w:bottom w:w="0" w:type="dxa"/>
          <w:right w:w="0" w:type="dxa"/>
        </w:tblCellMar>
      </w:tblPr>
      <w:tblGrid>
        <w:gridCol w:w="800"/>
        <w:gridCol w:w="1235"/>
        <w:gridCol w:w="2977"/>
        <w:gridCol w:w="2517"/>
        <w:gridCol w:w="2229"/>
      </w:tblGrid>
      <w:tr w14:paraId="4243B7D4">
        <w:tblPrEx>
          <w:tblCellMar>
            <w:top w:w="0" w:type="dxa"/>
            <w:left w:w="0" w:type="dxa"/>
            <w:bottom w:w="0" w:type="dxa"/>
            <w:right w:w="0" w:type="dxa"/>
          </w:tblCellMar>
        </w:tblPrEx>
        <w:trPr>
          <w:trHeight w:val="502" w:hRule="atLeast"/>
        </w:trPr>
        <w:tc>
          <w:tcPr>
            <w:tcW w:w="800"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5B8F9A9">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序号</w:t>
            </w:r>
          </w:p>
        </w:tc>
        <w:tc>
          <w:tcPr>
            <w:tcW w:w="1235"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5D2E453">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项目</w:t>
            </w:r>
          </w:p>
        </w:tc>
        <w:tc>
          <w:tcPr>
            <w:tcW w:w="7723"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5A8B9D1">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质量要求</w:t>
            </w:r>
          </w:p>
        </w:tc>
      </w:tr>
      <w:tr w14:paraId="01585D42">
        <w:tblPrEx>
          <w:tblCellMar>
            <w:top w:w="0" w:type="dxa"/>
            <w:left w:w="0" w:type="dxa"/>
            <w:bottom w:w="0" w:type="dxa"/>
            <w:right w:w="0" w:type="dxa"/>
          </w:tblCellMar>
        </w:tblPrEx>
        <w:trPr>
          <w:trHeight w:val="497"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7912ED6F">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p>
        </w:tc>
        <w:tc>
          <w:tcPr>
            <w:tcW w:w="1235" w:type="dxa"/>
            <w:vMerge w:val="continue"/>
            <w:tcBorders>
              <w:top w:val="single" w:color="auto" w:sz="8" w:space="0"/>
              <w:left w:val="nil"/>
              <w:bottom w:val="single" w:color="auto" w:sz="8" w:space="0"/>
              <w:right w:val="single" w:color="auto" w:sz="8" w:space="0"/>
            </w:tcBorders>
            <w:noWrap w:val="0"/>
            <w:vAlign w:val="center"/>
          </w:tcPr>
          <w:p w14:paraId="0578CF93">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439DDBE">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一级</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79DBF2C">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二级</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F2A4F24">
            <w:pPr>
              <w:shd w:val="clear" w:color="auto"/>
              <w:autoSpaceDE w:val="0"/>
              <w:autoSpaceDN w:val="0"/>
              <w:adjustRightInd w:val="0"/>
              <w:spacing w:line="460" w:lineRule="atLeast"/>
              <w:ind w:firstLine="330" w:firstLineChars="150"/>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三级</w:t>
            </w:r>
          </w:p>
        </w:tc>
      </w:tr>
      <w:tr w14:paraId="5A27BFAE">
        <w:tblPrEx>
          <w:tblCellMar>
            <w:top w:w="0" w:type="dxa"/>
            <w:left w:w="0" w:type="dxa"/>
            <w:bottom w:w="0" w:type="dxa"/>
            <w:right w:w="0" w:type="dxa"/>
          </w:tblCellMar>
        </w:tblPrEx>
        <w:trPr>
          <w:trHeight w:val="4831"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8FA23BD">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1</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F754A31">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整体效果</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0EDB0D">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（1）树林、树丛群落结构合理，植株疏密得当，层次分明，林冠线和林缘线清晰饱满；</w:t>
            </w:r>
          </w:p>
          <w:p w14:paraId="0AB985AB">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（2）孤植树树形完美，树冠饱满；</w:t>
            </w:r>
          </w:p>
          <w:p w14:paraId="4CBAAF70">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（3）行道树树冠完整，规格整齐、一致，分支点高度一致，缺株≤3%，树干挺直；</w:t>
            </w:r>
          </w:p>
          <w:p w14:paraId="654FF2D4">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（4）绿篱无缺株，修剪面平整饱满，直线处平直，曲线处弧度圆润。</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19672DC">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（1）树林、树丛群落结构基本合理，林冠线和林缘线基本完整；</w:t>
            </w:r>
          </w:p>
          <w:p w14:paraId="18F8964A">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（2）孤植树树形基本完美，树冠基本饱满；</w:t>
            </w:r>
          </w:p>
          <w:p w14:paraId="01F9FD04">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（3）行道树树冠基本完整，规格基本整齐，无死树，缺株≤5%，树干基本挺直；</w:t>
            </w:r>
          </w:p>
          <w:p w14:paraId="4C9A88A4">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（4）绿篱基本无缺株，修剪面平整饱满，直线处平直，曲线处弧度圆润。</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2A73FD1">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（1）树林、树丛具有基本完整的外貌，有一定的群落结构；</w:t>
            </w:r>
          </w:p>
          <w:p w14:paraId="2C62CDA1">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（2）孤植树树形基本完美，树冠基本饱满；</w:t>
            </w:r>
          </w:p>
          <w:p w14:paraId="675BEAAC">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（3）行道树无死树，缺株≤8%，树冠基本统一，树干基本挺直；</w:t>
            </w:r>
          </w:p>
          <w:p w14:paraId="07E9BD88">
            <w:pPr>
              <w:widowControl/>
              <w:shd w:val="clear" w:color="auto"/>
              <w:spacing w:before="100" w:beforeAutospacing="1" w:after="100" w:afterAutospacing="1"/>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（4）绿篱基本无缺株，修剪面平整饱满，直线处平直，曲线处弧度圆润。</w:t>
            </w:r>
          </w:p>
        </w:tc>
      </w:tr>
      <w:tr w14:paraId="5854E6AA">
        <w:tblPrEx>
          <w:tblCellMar>
            <w:top w:w="0" w:type="dxa"/>
            <w:left w:w="0" w:type="dxa"/>
            <w:bottom w:w="0" w:type="dxa"/>
            <w:right w:w="0" w:type="dxa"/>
          </w:tblCellMar>
        </w:tblPrEx>
        <w:trPr>
          <w:trHeight w:val="1454"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85C3821">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2</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3A53747">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生长势</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18D353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枝叶生长茂盛，观花、观果树种正常开花结果，彩色树种季相特征明显，无枯枝。</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753877B">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枝叶生长正常，观花、观果树种正常开花结果，无明显枯枝。</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0765E0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植株生长量和色泽基本正常，观花、观果树种基本正常开花结果，无大型枯枝。</w:t>
            </w:r>
          </w:p>
        </w:tc>
      </w:tr>
      <w:tr w14:paraId="21C660EB">
        <w:tblPrEx>
          <w:tblCellMar>
            <w:top w:w="0" w:type="dxa"/>
            <w:left w:w="0" w:type="dxa"/>
            <w:bottom w:w="0" w:type="dxa"/>
            <w:right w:w="0" w:type="dxa"/>
          </w:tblCellMar>
        </w:tblPrEx>
        <w:trPr>
          <w:trHeight w:val="1731"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D8D810A">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3</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B629C38">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排灌</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9B9559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（1）暴雨后0.5d内无积水；</w:t>
            </w:r>
          </w:p>
          <w:p w14:paraId="51AF3B74">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（2）植株未出现失水萎蔫和沥涝现象。</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EC781FC">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（1）暴雨后0.5d内无积水；</w:t>
            </w:r>
          </w:p>
          <w:p w14:paraId="553F6478">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（2）植株基本无失水萎蔫和沥涝现象。</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A04F34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（1）暴雨后1d内无积水；</w:t>
            </w:r>
          </w:p>
          <w:p w14:paraId="0292982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（2）植株失水或积水现象1d~2d内消除。</w:t>
            </w:r>
          </w:p>
        </w:tc>
      </w:tr>
      <w:tr w14:paraId="7304726D">
        <w:tblPrEx>
          <w:tblCellMar>
            <w:top w:w="0" w:type="dxa"/>
            <w:left w:w="0" w:type="dxa"/>
            <w:bottom w:w="0" w:type="dxa"/>
            <w:right w:w="0" w:type="dxa"/>
          </w:tblCellMar>
        </w:tblPrEx>
        <w:trPr>
          <w:trHeight w:val="1731"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CC58C4D">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4</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49866D3">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病虫害情况</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7C0533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（1）基本无有害生物危害状；</w:t>
            </w:r>
          </w:p>
          <w:p w14:paraId="18A80CE9">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（2）整体枝叶受害率≤8%，树干受害率≤5%。</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E1AAF6B">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（1）无明显的有害生物危害状；</w:t>
            </w:r>
          </w:p>
          <w:p w14:paraId="7A494639">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（2）整体枝叶受害率≤10%，树干受害率≤8%。</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738B44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（1）无严重有害生物危害状；</w:t>
            </w:r>
          </w:p>
          <w:p w14:paraId="254D834D">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（2）整体枝叶受害率≤15%，树干受害率≤10%。</w:t>
            </w:r>
          </w:p>
        </w:tc>
      </w:tr>
      <w:tr w14:paraId="2951E412">
        <w:tblPrEx>
          <w:tblCellMar>
            <w:top w:w="0" w:type="dxa"/>
            <w:left w:w="0" w:type="dxa"/>
            <w:bottom w:w="0" w:type="dxa"/>
            <w:right w:w="0" w:type="dxa"/>
          </w:tblCellMar>
        </w:tblPrEx>
        <w:trPr>
          <w:trHeight w:val="993" w:hRule="atLeast"/>
        </w:trPr>
        <w:tc>
          <w:tcPr>
            <w:tcW w:w="8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EAF507E">
            <w:pPr>
              <w:shd w:val="clear" w:color="auto"/>
              <w:autoSpaceDE w:val="0"/>
              <w:autoSpaceDN w:val="0"/>
              <w:adjustRightInd w:val="0"/>
              <w:spacing w:line="460" w:lineRule="atLeast"/>
              <w:jc w:val="center"/>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5</w:t>
            </w:r>
          </w:p>
        </w:tc>
        <w:tc>
          <w:tcPr>
            <w:tcW w:w="12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1F37927">
            <w:pPr>
              <w:shd w:val="clear" w:color="auto"/>
              <w:autoSpaceDE w:val="0"/>
              <w:autoSpaceDN w:val="0"/>
              <w:adjustRightInd w:val="0"/>
              <w:spacing w:line="460" w:lineRule="atLeast"/>
              <w:textAlignment w:val="bottom"/>
              <w:rPr>
                <w:rFonts w:hint="eastAsia" w:ascii="仿宋_GB2312" w:hAnsi="仿宋_GB2312" w:eastAsia="宋体" w:cs="Times New Roman"/>
                <w:b w:val="0"/>
                <w:bCs/>
                <w:color w:val="auto"/>
                <w:kern w:val="0"/>
                <w:sz w:val="22"/>
                <w:szCs w:val="20"/>
                <w:highlight w:val="none"/>
              </w:rPr>
            </w:pPr>
            <w:r>
              <w:rPr>
                <w:rFonts w:hint="eastAsia" w:ascii="仿宋_GB2312" w:hAnsi="仿宋_GB2312" w:eastAsia="宋体" w:cs="Times New Roman"/>
                <w:b w:val="0"/>
                <w:bCs/>
                <w:color w:val="auto"/>
                <w:kern w:val="0"/>
                <w:sz w:val="22"/>
                <w:szCs w:val="20"/>
                <w:highlight w:val="none"/>
              </w:rPr>
              <w:t>补植完成时间</w:t>
            </w:r>
          </w:p>
        </w:tc>
        <w:tc>
          <w:tcPr>
            <w:tcW w:w="297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A2DD55">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≤3d</w:t>
            </w:r>
          </w:p>
        </w:tc>
        <w:tc>
          <w:tcPr>
            <w:tcW w:w="25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0787B1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≤7d</w:t>
            </w:r>
          </w:p>
        </w:tc>
        <w:tc>
          <w:tcPr>
            <w:tcW w:w="222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4C0264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≤20d</w:t>
            </w:r>
          </w:p>
        </w:tc>
      </w:tr>
    </w:tbl>
    <w:p w14:paraId="03CE6417">
      <w:pPr>
        <w:shd w:val="clear" w:color="auto"/>
        <w:rPr>
          <w:rFonts w:ascii="仿宋_GB2312" w:hAnsi="仿宋_GB2312"/>
          <w:b/>
          <w:color w:val="auto"/>
          <w:kern w:val="0"/>
          <w:sz w:val="22"/>
          <w:szCs w:val="20"/>
          <w:highlight w:val="none"/>
        </w:rPr>
      </w:pPr>
    </w:p>
    <w:p w14:paraId="3AB37136">
      <w:pPr>
        <w:widowControl/>
        <w:shd w:val="clear" w:color="auto"/>
        <w:snapToGrid w:val="0"/>
        <w:spacing w:before="100" w:beforeAutospacing="1" w:after="100" w:afterAutospacing="1"/>
        <w:jc w:val="left"/>
        <w:rPr>
          <w:rFonts w:ascii="宋体" w:hAnsi="宋体" w:eastAsia="宋体" w:cs="宋体"/>
          <w:color w:val="auto"/>
          <w:kern w:val="0"/>
          <w:sz w:val="20"/>
          <w:szCs w:val="20"/>
          <w:highlight w:val="none"/>
        </w:rPr>
        <w:sectPr>
          <w:footerReference r:id="rId10" w:type="first"/>
          <w:footerReference r:id="rId9" w:type="default"/>
          <w:type w:val="continuous"/>
          <w:pgSz w:w="11906" w:h="16838"/>
          <w:pgMar w:top="1440" w:right="1361" w:bottom="1440" w:left="1361" w:header="720" w:footer="720" w:gutter="0"/>
          <w:pgBorders w:offsetFrom="page">
            <w:top w:val="none" w:sz="0" w:space="0"/>
            <w:left w:val="none" w:sz="0" w:space="0"/>
            <w:bottom w:val="none" w:sz="0" w:space="0"/>
            <w:right w:val="none" w:sz="0" w:space="0"/>
          </w:pgBorders>
          <w:pgNumType w:fmt="decimal"/>
          <w:cols w:space="720" w:num="1"/>
          <w:titlePg/>
          <w:docGrid w:linePitch="286" w:charSpace="-3831"/>
        </w:sectPr>
      </w:pPr>
    </w:p>
    <w:p w14:paraId="0ADC6205">
      <w:pPr>
        <w:widowControl/>
        <w:shd w:val="clear" w:color="auto"/>
        <w:snapToGrid w:val="0"/>
        <w:spacing w:before="100" w:beforeAutospacing="1" w:after="100" w:afterAutospacing="1"/>
        <w:jc w:val="left"/>
        <w:rPr>
          <w:rFonts w:ascii="宋体" w:hAnsi="宋体" w:eastAsia="宋体" w:cs="宋体"/>
          <w:b w:val="0"/>
          <w:bCs w:val="0"/>
          <w:color w:val="auto"/>
          <w:kern w:val="0"/>
          <w:sz w:val="24"/>
          <w:szCs w:val="24"/>
          <w:highlight w:val="none"/>
        </w:rPr>
      </w:pPr>
      <w:r>
        <w:rPr>
          <w:rFonts w:ascii="宋体" w:hAnsi="宋体" w:eastAsia="宋体" w:cs="宋体"/>
          <w:b w:val="0"/>
          <w:bCs w:val="0"/>
          <w:color w:val="auto"/>
          <w:kern w:val="0"/>
          <w:sz w:val="24"/>
          <w:szCs w:val="24"/>
          <w:highlight w:val="none"/>
        </w:rPr>
        <w:t>表B 花卉养护质量等级</w:t>
      </w:r>
    </w:p>
    <w:tbl>
      <w:tblPr>
        <w:tblStyle w:val="13"/>
        <w:tblW w:w="9453" w:type="dxa"/>
        <w:tblInd w:w="-167" w:type="dxa"/>
        <w:tblLayout w:type="autofit"/>
        <w:tblCellMar>
          <w:top w:w="0" w:type="dxa"/>
          <w:left w:w="0" w:type="dxa"/>
          <w:bottom w:w="0" w:type="dxa"/>
          <w:right w:w="0" w:type="dxa"/>
        </w:tblCellMar>
      </w:tblPr>
      <w:tblGrid>
        <w:gridCol w:w="694"/>
        <w:gridCol w:w="1575"/>
        <w:gridCol w:w="2244"/>
        <w:gridCol w:w="2520"/>
        <w:gridCol w:w="2420"/>
      </w:tblGrid>
      <w:tr w14:paraId="4F708178">
        <w:tblPrEx>
          <w:tblCellMar>
            <w:top w:w="0" w:type="dxa"/>
            <w:left w:w="0" w:type="dxa"/>
            <w:bottom w:w="0" w:type="dxa"/>
            <w:right w:w="0" w:type="dxa"/>
          </w:tblCellMar>
        </w:tblPrEx>
        <w:trPr>
          <w:trHeight w:val="465" w:hRule="atLeast"/>
        </w:trPr>
        <w:tc>
          <w:tcPr>
            <w:tcW w:w="694" w:type="dxa"/>
            <w:vMerge w:val="restar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78A615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序号</w:t>
            </w:r>
          </w:p>
        </w:tc>
        <w:tc>
          <w:tcPr>
            <w:tcW w:w="1575" w:type="dxa"/>
            <w:vMerge w:val="restar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29BAE3C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项目</w:t>
            </w:r>
          </w:p>
        </w:tc>
        <w:tc>
          <w:tcPr>
            <w:tcW w:w="7184" w:type="dxa"/>
            <w:gridSpan w:val="3"/>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6057E28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质量要求</w:t>
            </w:r>
          </w:p>
        </w:tc>
      </w:tr>
      <w:tr w14:paraId="2D383A93">
        <w:tblPrEx>
          <w:tblCellMar>
            <w:top w:w="0" w:type="dxa"/>
            <w:left w:w="0" w:type="dxa"/>
            <w:bottom w:w="0" w:type="dxa"/>
            <w:right w:w="0" w:type="dxa"/>
          </w:tblCellMar>
        </w:tblPrEx>
        <w:trPr>
          <w:trHeight w:val="441" w:hRule="atLeast"/>
        </w:trPr>
        <w:tc>
          <w:tcPr>
            <w:tcW w:w="69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F9AA41C">
            <w:pPr>
              <w:widowControl/>
              <w:shd w:val="clear" w:color="auto"/>
              <w:jc w:val="left"/>
              <w:rPr>
                <w:rFonts w:ascii="宋体" w:hAnsi="宋体" w:eastAsia="宋体" w:cs="宋体"/>
                <w:b w:val="0"/>
                <w:bCs w:val="0"/>
                <w:color w:val="auto"/>
                <w:kern w:val="0"/>
                <w:sz w:val="22"/>
                <w:szCs w:val="22"/>
                <w:highlight w:val="none"/>
              </w:rPr>
            </w:pPr>
          </w:p>
        </w:tc>
        <w:tc>
          <w:tcPr>
            <w:tcW w:w="1575" w:type="dxa"/>
            <w:vMerge w:val="continue"/>
            <w:tcBorders>
              <w:top w:val="single" w:color="000000" w:sz="8" w:space="0"/>
              <w:left w:val="nil"/>
              <w:bottom w:val="single" w:color="000000" w:sz="8" w:space="0"/>
              <w:right w:val="single" w:color="000000" w:sz="8" w:space="0"/>
            </w:tcBorders>
            <w:noWrap w:val="0"/>
            <w:vAlign w:val="center"/>
          </w:tcPr>
          <w:p w14:paraId="61461831">
            <w:pPr>
              <w:widowControl/>
              <w:shd w:val="clear" w:color="auto"/>
              <w:jc w:val="left"/>
              <w:rPr>
                <w:rFonts w:ascii="宋体" w:hAnsi="宋体" w:eastAsia="宋体" w:cs="宋体"/>
                <w:b w:val="0"/>
                <w:bCs w:val="0"/>
                <w:color w:val="auto"/>
                <w:kern w:val="0"/>
                <w:sz w:val="22"/>
                <w:szCs w:val="22"/>
                <w:highlight w:val="none"/>
              </w:rPr>
            </w:pP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8B90B5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一级</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CF0258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二级</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F70A7E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三级</w:t>
            </w:r>
          </w:p>
        </w:tc>
      </w:tr>
      <w:tr w14:paraId="7C2151AC">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E00D0E0">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04D8BCB">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整体效果</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731ED3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（1）缺株倒伏的花苗≤3%；</w:t>
            </w:r>
          </w:p>
          <w:p w14:paraId="183B364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（2）基本无枯叶、残花。</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2E64D3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（1）缺株倒伏的花苗≤7%；</w:t>
            </w:r>
          </w:p>
          <w:p w14:paraId="127CF3D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（2）枯叶、残花量≤5%。</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EE473B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（1）缺株倒伏的花苗≤10%；</w:t>
            </w:r>
          </w:p>
          <w:p w14:paraId="432C5B7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（2）枯叶、残花量≤8%。</w:t>
            </w:r>
          </w:p>
        </w:tc>
      </w:tr>
      <w:tr w14:paraId="241AFEB0">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40F5FFF">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2DF2C2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生长势</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0098EE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（1）植株生长健壮；</w:t>
            </w:r>
          </w:p>
          <w:p w14:paraId="690452F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（2）茎干粗壮，基部分枝强健，蓬径饱满；</w:t>
            </w:r>
          </w:p>
          <w:p w14:paraId="68B41DC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（3）花型美观，花色鲜艳，株高一致。</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475A2E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（1）植株生长基本健壮；</w:t>
            </w:r>
          </w:p>
          <w:p w14:paraId="15C4009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（2）茎干粗壮，基部分枝强健，蓬径基本饱满；</w:t>
            </w:r>
          </w:p>
          <w:p w14:paraId="6857858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（3）株高一致。</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7BA0EE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（1）植株生长基本健壮；</w:t>
            </w:r>
          </w:p>
          <w:p w14:paraId="3760AE8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（2）茎干粗壮，基部分枝强健，蓬径基本饱满；</w:t>
            </w:r>
          </w:p>
          <w:p w14:paraId="643576A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（3）株高基本一致。</w:t>
            </w:r>
          </w:p>
        </w:tc>
      </w:tr>
      <w:tr w14:paraId="28E17CA6">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0E60ED">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2821CF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排灌</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9B5E29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（1）暴雨后0.5d内无积水；</w:t>
            </w:r>
          </w:p>
          <w:p w14:paraId="45E01DA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（2）植株未出现失水萎蔫现象。</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5B5E5B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（1）暴雨后0.5d内无积水；</w:t>
            </w:r>
          </w:p>
          <w:p w14:paraId="192F408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（2）植株基本无失水萎蔫现象。</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35D6C4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（1）暴雨后0.5d内无积水；</w:t>
            </w:r>
          </w:p>
          <w:p w14:paraId="20A016C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（2）植株无明显失水萎蔫现象。</w:t>
            </w:r>
          </w:p>
        </w:tc>
      </w:tr>
      <w:tr w14:paraId="4043DFA0">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B3E1020">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4</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33688C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病虫害情况</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8EE7BDB">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（1）基本无有害生物危害状；</w:t>
            </w:r>
          </w:p>
          <w:p w14:paraId="178180E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（2）植株受害率≤5%。</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ED001B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（1）无明显有害生物危害状；</w:t>
            </w:r>
          </w:p>
          <w:p w14:paraId="2714F05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（2）植株受害率≤8%。</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854793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（1）无严重有害生物危害状；</w:t>
            </w:r>
          </w:p>
          <w:p w14:paraId="3EDC1E9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（2）植株受害率≤10%。</w:t>
            </w:r>
          </w:p>
        </w:tc>
      </w:tr>
      <w:tr w14:paraId="26D23B98">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6874645">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5</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156533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杂草覆盖率</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3A19F6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09C656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≤5%</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FBD1BB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≤10%</w:t>
            </w:r>
          </w:p>
        </w:tc>
      </w:tr>
      <w:tr w14:paraId="557530D6">
        <w:tblPrEx>
          <w:tblCellMar>
            <w:top w:w="0" w:type="dxa"/>
            <w:left w:w="0" w:type="dxa"/>
            <w:bottom w:w="0" w:type="dxa"/>
            <w:right w:w="0" w:type="dxa"/>
          </w:tblCellMar>
        </w:tblPrEx>
        <w:tc>
          <w:tcPr>
            <w:tcW w:w="69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3E92B02">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6</w:t>
            </w:r>
          </w:p>
        </w:tc>
        <w:tc>
          <w:tcPr>
            <w:tcW w:w="1575"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416224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补植完成时间</w:t>
            </w:r>
          </w:p>
        </w:tc>
        <w:tc>
          <w:tcPr>
            <w:tcW w:w="224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D97CCA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≤3d </w:t>
            </w:r>
          </w:p>
        </w:tc>
        <w:tc>
          <w:tcPr>
            <w:tcW w:w="252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F2EDF5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≤7d</w:t>
            </w:r>
          </w:p>
        </w:tc>
        <w:tc>
          <w:tcPr>
            <w:tcW w:w="242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DDBEDE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≤10d </w:t>
            </w:r>
          </w:p>
        </w:tc>
      </w:tr>
    </w:tbl>
    <w:p w14:paraId="488E58F2">
      <w:pPr>
        <w:shd w:val="clear" w:color="auto"/>
        <w:rPr>
          <w:rFonts w:hint="eastAsia" w:ascii="仿宋_GB2312" w:hAnsi="仿宋_GB2312"/>
          <w:b/>
          <w:color w:val="auto"/>
          <w:kern w:val="0"/>
          <w:sz w:val="22"/>
          <w:szCs w:val="20"/>
          <w:highlight w:val="none"/>
        </w:rPr>
      </w:pPr>
    </w:p>
    <w:p w14:paraId="37BDA943">
      <w:pPr>
        <w:shd w:val="clear" w:color="auto"/>
        <w:rPr>
          <w:rFonts w:hint="eastAsia"/>
          <w:color w:val="auto"/>
          <w:highlight w:val="none"/>
        </w:rPr>
        <w:sectPr>
          <w:pgSz w:w="11906" w:h="16838"/>
          <w:pgMar w:top="1440" w:right="1361" w:bottom="1440" w:left="1361" w:header="720" w:footer="720" w:gutter="0"/>
          <w:pgBorders w:offsetFrom="page">
            <w:top w:val="none" w:sz="0" w:space="0"/>
            <w:left w:val="none" w:sz="0" w:space="0"/>
            <w:bottom w:val="none" w:sz="0" w:space="0"/>
            <w:right w:val="none" w:sz="0" w:space="0"/>
          </w:pgBorders>
          <w:pgNumType w:fmt="decimal"/>
          <w:cols w:space="720" w:num="1"/>
          <w:titlePg/>
          <w:docGrid w:linePitch="286" w:charSpace="-3831"/>
        </w:sectPr>
      </w:pPr>
    </w:p>
    <w:p w14:paraId="534E8E23">
      <w:pPr>
        <w:widowControl/>
        <w:shd w:val="clear" w:color="auto"/>
        <w:snapToGrid w:val="0"/>
        <w:spacing w:before="100" w:beforeAutospacing="1" w:after="100" w:afterAutospacing="1"/>
        <w:jc w:val="left"/>
        <w:rPr>
          <w:rFonts w:ascii="宋体" w:hAnsi="宋体" w:eastAsia="宋体" w:cs="宋体"/>
          <w:b w:val="0"/>
          <w:bCs w:val="0"/>
          <w:color w:val="auto"/>
          <w:kern w:val="0"/>
          <w:sz w:val="24"/>
          <w:szCs w:val="24"/>
          <w:highlight w:val="none"/>
        </w:rPr>
      </w:pPr>
      <w:r>
        <w:rPr>
          <w:rFonts w:ascii="宋体" w:hAnsi="宋体" w:eastAsia="宋体" w:cs="宋体"/>
          <w:b w:val="0"/>
          <w:bCs w:val="0"/>
          <w:color w:val="auto"/>
          <w:kern w:val="0"/>
          <w:sz w:val="24"/>
          <w:szCs w:val="24"/>
          <w:highlight w:val="none"/>
        </w:rPr>
        <w:t>表C  草坪养护质量等级</w:t>
      </w:r>
    </w:p>
    <w:tbl>
      <w:tblPr>
        <w:tblStyle w:val="13"/>
        <w:tblW w:w="9362" w:type="dxa"/>
        <w:tblInd w:w="-137" w:type="dxa"/>
        <w:tblLayout w:type="autofit"/>
        <w:tblCellMar>
          <w:top w:w="0" w:type="dxa"/>
          <w:left w:w="0" w:type="dxa"/>
          <w:bottom w:w="0" w:type="dxa"/>
          <w:right w:w="0" w:type="dxa"/>
        </w:tblCellMar>
      </w:tblPr>
      <w:tblGrid>
        <w:gridCol w:w="769"/>
        <w:gridCol w:w="1276"/>
        <w:gridCol w:w="2550"/>
        <w:gridCol w:w="2246"/>
        <w:gridCol w:w="2521"/>
      </w:tblGrid>
      <w:tr w14:paraId="3A8365B0">
        <w:trPr>
          <w:trHeight w:val="449" w:hRule="atLeast"/>
        </w:trPr>
        <w:tc>
          <w:tcPr>
            <w:tcW w:w="769" w:type="dxa"/>
            <w:vMerge w:val="restar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80FB2F8">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序号</w:t>
            </w:r>
          </w:p>
        </w:tc>
        <w:tc>
          <w:tcPr>
            <w:tcW w:w="1276" w:type="dxa"/>
            <w:vMerge w:val="restar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17E7544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项目</w:t>
            </w:r>
          </w:p>
        </w:tc>
        <w:tc>
          <w:tcPr>
            <w:tcW w:w="7317" w:type="dxa"/>
            <w:gridSpan w:val="3"/>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5E74F23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质量要求</w:t>
            </w:r>
          </w:p>
        </w:tc>
      </w:tr>
      <w:tr w14:paraId="61C7CB2E">
        <w:tblPrEx>
          <w:tblCellMar>
            <w:top w:w="0" w:type="dxa"/>
            <w:left w:w="0" w:type="dxa"/>
            <w:bottom w:w="0" w:type="dxa"/>
            <w:right w:w="0" w:type="dxa"/>
          </w:tblCellMar>
        </w:tblPrEx>
        <w:trPr>
          <w:trHeight w:val="452" w:hRule="atLeast"/>
        </w:trPr>
        <w:tc>
          <w:tcPr>
            <w:tcW w:w="769" w:type="dxa"/>
            <w:vMerge w:val="continue"/>
            <w:tcBorders>
              <w:top w:val="single" w:color="000000" w:sz="8" w:space="0"/>
              <w:left w:val="single" w:color="000000" w:sz="8" w:space="0"/>
              <w:bottom w:val="single" w:color="000000" w:sz="8" w:space="0"/>
              <w:right w:val="single" w:color="000000" w:sz="8" w:space="0"/>
            </w:tcBorders>
            <w:noWrap w:val="0"/>
            <w:vAlign w:val="center"/>
          </w:tcPr>
          <w:p w14:paraId="460B56D4">
            <w:pPr>
              <w:widowControl/>
              <w:shd w:val="clear" w:color="auto"/>
              <w:jc w:val="center"/>
              <w:rPr>
                <w:rFonts w:ascii="宋体" w:hAnsi="宋体" w:eastAsia="宋体" w:cs="宋体"/>
                <w:b w:val="0"/>
                <w:bCs w:val="0"/>
                <w:color w:val="auto"/>
                <w:kern w:val="0"/>
                <w:sz w:val="22"/>
                <w:szCs w:val="22"/>
                <w:highlight w:val="none"/>
              </w:rPr>
            </w:pPr>
          </w:p>
        </w:tc>
        <w:tc>
          <w:tcPr>
            <w:tcW w:w="1276" w:type="dxa"/>
            <w:vMerge w:val="continue"/>
            <w:tcBorders>
              <w:top w:val="single" w:color="000000" w:sz="8" w:space="0"/>
              <w:left w:val="nil"/>
              <w:bottom w:val="single" w:color="000000" w:sz="8" w:space="0"/>
              <w:right w:val="single" w:color="000000" w:sz="8" w:space="0"/>
            </w:tcBorders>
            <w:noWrap w:val="0"/>
            <w:vAlign w:val="center"/>
          </w:tcPr>
          <w:p w14:paraId="44621191">
            <w:pPr>
              <w:widowControl/>
              <w:shd w:val="clear" w:color="auto"/>
              <w:jc w:val="left"/>
              <w:rPr>
                <w:rFonts w:ascii="宋体" w:hAnsi="宋体" w:eastAsia="宋体" w:cs="宋体"/>
                <w:b w:val="0"/>
                <w:bCs w:val="0"/>
                <w:color w:val="auto"/>
                <w:kern w:val="0"/>
                <w:sz w:val="22"/>
                <w:szCs w:val="22"/>
                <w:highlight w:val="none"/>
              </w:rPr>
            </w:pP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596BF7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一级</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D52EDE9">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二级</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EAC5BD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三级</w:t>
            </w:r>
          </w:p>
        </w:tc>
      </w:tr>
      <w:tr w14:paraId="0E367D84">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D10BA72">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D61A7D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整体效果</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657E72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（1）成坪高度应符合 现行国家标准《主要花卉产品等级 第7部分：草坪》GB/T 18247.7中开放型绿地草坪一级的标准要求；</w:t>
            </w:r>
          </w:p>
          <w:p w14:paraId="3F76C77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（2）修剪后无残留草屑，剪口无焦枯、撕裂现象。</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A5594C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（1）成坪高度应符合 现行国家标准《主要花卉产品等级 第7部分：草坪》GB/T 18247.7中开放型绿地草坪二级的标准要求；（2）修剪后基本无残留草屑，剪口基本无撕裂现象。</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BAD79F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（1）成坪高度应符合 现行国家标准《主要花卉产品等级 第7部分：草坪》GB/T 18247.7中开放型绿地草坪三级的标准要求；</w:t>
            </w:r>
          </w:p>
          <w:p w14:paraId="0D198BD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（2）修剪后无明显残留草屑，剪口无明显撕裂现象。</w:t>
            </w:r>
          </w:p>
        </w:tc>
      </w:tr>
      <w:tr w14:paraId="7E78AC63">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092E895">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FF13ED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生长势</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535FE8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生长茂盛</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E480C1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生长良好</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765CB4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生长基本正常</w:t>
            </w:r>
          </w:p>
        </w:tc>
      </w:tr>
      <w:tr w14:paraId="0704BCEC">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6A6D52">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71D271B">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排灌</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F060C6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（1）暴雨后0.5d内无积水；</w:t>
            </w:r>
          </w:p>
          <w:p w14:paraId="68E3FDF7">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（2）草坪无失水萎蔫现象。</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2157BE4">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（1）暴雨后0.5d内积水；</w:t>
            </w:r>
          </w:p>
          <w:p w14:paraId="3AC7A6C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（2）草坪基本无失水萎蔫现象。</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C557EE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（1）暴雨后1d内无积水；</w:t>
            </w:r>
          </w:p>
          <w:p w14:paraId="5F9BC30B">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（2）草坪无明显失水萎蔫现象。</w:t>
            </w:r>
          </w:p>
        </w:tc>
      </w:tr>
      <w:tr w14:paraId="787829E0">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2B22762">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4</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445B09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有病虫害情况</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F93CF1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（1）草坪草受害度应符合现行国家标准 《主要花卉产品等级 第7部分：草坪》GB/T 18247.7中开放型绿地草坪一级标准的要求；</w:t>
            </w:r>
          </w:p>
          <w:p w14:paraId="79C3C5D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（2）杂草率应符合现行国家标准 《主要花卉产品等级 第7部分：草坪》 GB/T 18247.7中开放型绿地草坪一级标准的要求。</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61A748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（1）草坪草受害度应符合现行国家标准 《主要花卉产品等级 第7部分：草坪》GB/T 18247.7中开放型绿地草坪二级标准的要求；</w:t>
            </w:r>
          </w:p>
          <w:p w14:paraId="37AB1CB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（2）杂草率应符合现行国家标准 《主要花卉产品等级 第7部分：草坪》 GB/T 18247.7中开放型绿地草坪二级标准的要求。</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25E1FC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（1）草坪草受害度应符合现行国家标准 《主要花卉产品等级 第7部分：草坪》GB/T 18247.7中开放型绿地草坪三级标准的要求；</w:t>
            </w:r>
          </w:p>
          <w:p w14:paraId="5E8ECA05">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（2）杂草率应符合现行国家标准 《主要花卉产品等级 第7部分：草坪》 GB/T 18247.7中开放型绿地草坪三级标准的要求。</w:t>
            </w:r>
          </w:p>
        </w:tc>
      </w:tr>
      <w:tr w14:paraId="04E8C7AC">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7ECC4D2">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5</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10FFA12">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覆盖度</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F39BEF6">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应符合现行国家标准 《主要花卉产品等级 第7部分：草坪》GB/T 18247.7中开放型绿地草坪一级标准的要求</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132151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应符合现行国家标准 《主要花卉产品等级 第7部分：草坪》GB/T 18247.7中开放型绿地草坪二级标准的要求</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3847961">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应符合现行国家标准 《主要花卉产品等级 第7部分：草坪》GB/T 18247.7中开放型绿地草坪三级标准的要求</w:t>
            </w:r>
          </w:p>
        </w:tc>
      </w:tr>
      <w:tr w14:paraId="410726B6">
        <w:tblPrEx>
          <w:tblCellMar>
            <w:top w:w="0" w:type="dxa"/>
            <w:left w:w="0" w:type="dxa"/>
            <w:bottom w:w="0" w:type="dxa"/>
            <w:right w:w="0" w:type="dxa"/>
          </w:tblCellMar>
        </w:tblPrEx>
        <w:tc>
          <w:tcPr>
            <w:tcW w:w="76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2FEE04C">
            <w:pPr>
              <w:widowControl/>
              <w:shd w:val="clear" w:color="auto"/>
              <w:spacing w:before="100" w:beforeAutospacing="1" w:after="100" w:afterAutospacing="1"/>
              <w:jc w:val="center"/>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6</w:t>
            </w:r>
          </w:p>
        </w:tc>
        <w:tc>
          <w:tcPr>
            <w:tcW w:w="127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2B461E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补植完成时间</w:t>
            </w:r>
          </w:p>
        </w:tc>
        <w:tc>
          <w:tcPr>
            <w:tcW w:w="255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765D19B">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≤3d </w:t>
            </w:r>
          </w:p>
        </w:tc>
        <w:tc>
          <w:tcPr>
            <w:tcW w:w="224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6147B13">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≤7d</w:t>
            </w:r>
          </w:p>
        </w:tc>
        <w:tc>
          <w:tcPr>
            <w:tcW w:w="2521"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2DD274F">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≤20d </w:t>
            </w:r>
          </w:p>
        </w:tc>
      </w:tr>
    </w:tbl>
    <w:p w14:paraId="7474A2D8">
      <w:pPr>
        <w:widowControl/>
        <w:shd w:val="clear" w:color="auto"/>
        <w:snapToGrid w:val="0"/>
        <w:spacing w:before="100" w:beforeAutospacing="1" w:after="100" w:afterAutospacing="1"/>
        <w:jc w:val="left"/>
        <w:rPr>
          <w:rFonts w:ascii="宋体" w:hAnsi="宋体" w:eastAsia="宋体" w:cs="宋体"/>
          <w:b w:val="0"/>
          <w:bCs w:val="0"/>
          <w:color w:val="auto"/>
          <w:kern w:val="0"/>
          <w:sz w:val="24"/>
          <w:szCs w:val="24"/>
          <w:highlight w:val="none"/>
        </w:rPr>
        <w:sectPr>
          <w:pgSz w:w="11906" w:h="16838"/>
          <w:pgMar w:top="1440" w:right="1361" w:bottom="1440" w:left="1361" w:header="720" w:footer="720" w:gutter="0"/>
          <w:pgBorders w:offsetFrom="page">
            <w:top w:val="none" w:sz="0" w:space="0"/>
            <w:left w:val="none" w:sz="0" w:space="0"/>
            <w:bottom w:val="none" w:sz="0" w:space="0"/>
            <w:right w:val="none" w:sz="0" w:space="0"/>
          </w:pgBorders>
          <w:pgNumType w:fmt="decimal"/>
          <w:cols w:space="720" w:num="1"/>
          <w:titlePg/>
          <w:docGrid w:linePitch="286" w:charSpace="-3831"/>
        </w:sectPr>
      </w:pPr>
    </w:p>
    <w:p w14:paraId="1EC2EE99">
      <w:pPr>
        <w:widowControl/>
        <w:shd w:val="clear" w:color="auto"/>
        <w:snapToGrid w:val="0"/>
        <w:spacing w:before="100" w:beforeAutospacing="1" w:after="100" w:afterAutospacing="1"/>
        <w:jc w:val="left"/>
        <w:rPr>
          <w:rFonts w:ascii="宋体" w:hAnsi="宋体" w:eastAsia="宋体" w:cs="宋体"/>
          <w:b w:val="0"/>
          <w:bCs w:val="0"/>
          <w:color w:val="auto"/>
          <w:kern w:val="0"/>
          <w:sz w:val="24"/>
          <w:szCs w:val="24"/>
          <w:highlight w:val="none"/>
        </w:rPr>
      </w:pPr>
      <w:r>
        <w:rPr>
          <w:rFonts w:ascii="宋体" w:hAnsi="宋体" w:eastAsia="宋体" w:cs="宋体"/>
          <w:b w:val="0"/>
          <w:bCs w:val="0"/>
          <w:color w:val="auto"/>
          <w:kern w:val="0"/>
          <w:sz w:val="24"/>
          <w:szCs w:val="24"/>
          <w:highlight w:val="none"/>
        </w:rPr>
        <w:t>表D  地被养护质量等级</w:t>
      </w:r>
    </w:p>
    <w:tbl>
      <w:tblPr>
        <w:tblStyle w:val="13"/>
        <w:tblpPr w:leftFromText="180" w:rightFromText="180" w:vertAnchor="text" w:tblpX="-177"/>
        <w:tblW w:w="0" w:type="auto"/>
        <w:tblInd w:w="0" w:type="dxa"/>
        <w:tblLayout w:type="autofit"/>
        <w:tblCellMar>
          <w:top w:w="0" w:type="dxa"/>
          <w:left w:w="0" w:type="dxa"/>
          <w:bottom w:w="0" w:type="dxa"/>
          <w:right w:w="0" w:type="dxa"/>
        </w:tblCellMar>
      </w:tblPr>
      <w:tblGrid>
        <w:gridCol w:w="712"/>
        <w:gridCol w:w="1296"/>
        <w:gridCol w:w="2200"/>
        <w:gridCol w:w="2305"/>
        <w:gridCol w:w="2009"/>
      </w:tblGrid>
      <w:tr w14:paraId="5173B5FB">
        <w:tblPrEx>
          <w:tblCellMar>
            <w:top w:w="0" w:type="dxa"/>
            <w:left w:w="0" w:type="dxa"/>
            <w:bottom w:w="0" w:type="dxa"/>
            <w:right w:w="0" w:type="dxa"/>
          </w:tblCellMar>
        </w:tblPrEx>
        <w:trPr>
          <w:trHeight w:val="454" w:hRule="atLeast"/>
        </w:trPr>
        <w:tc>
          <w:tcPr>
            <w:tcW w:w="765"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F02C4CC">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序</w:t>
            </w:r>
          </w:p>
          <w:p w14:paraId="188F844A">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号</w:t>
            </w:r>
          </w:p>
        </w:tc>
        <w:tc>
          <w:tcPr>
            <w:tcW w:w="1461"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7554A5E">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项目</w:t>
            </w:r>
          </w:p>
        </w:tc>
        <w:tc>
          <w:tcPr>
            <w:tcW w:w="7197"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084A42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质量要求</w:t>
            </w:r>
          </w:p>
        </w:tc>
      </w:tr>
      <w:tr w14:paraId="33FDB0A3">
        <w:tblPrEx>
          <w:tblCellMar>
            <w:top w:w="0" w:type="dxa"/>
            <w:left w:w="0" w:type="dxa"/>
            <w:bottom w:w="0" w:type="dxa"/>
            <w:right w:w="0" w:type="dxa"/>
          </w:tblCellMar>
        </w:tblPrEx>
        <w:trPr>
          <w:trHeight w:val="460" w:hRule="atLeast"/>
        </w:trPr>
        <w:tc>
          <w:tcPr>
            <w:tcW w:w="765" w:type="dxa"/>
            <w:vMerge w:val="continue"/>
            <w:tcBorders>
              <w:top w:val="single" w:color="auto" w:sz="8" w:space="0"/>
              <w:left w:val="single" w:color="auto" w:sz="8" w:space="0"/>
              <w:bottom w:val="single" w:color="auto" w:sz="8" w:space="0"/>
              <w:right w:val="single" w:color="auto" w:sz="8" w:space="0"/>
            </w:tcBorders>
            <w:noWrap w:val="0"/>
            <w:vAlign w:val="center"/>
          </w:tcPr>
          <w:p w14:paraId="4AA8D5D2">
            <w:pPr>
              <w:widowControl/>
              <w:shd w:val="clear" w:color="auto"/>
              <w:jc w:val="left"/>
              <w:rPr>
                <w:rFonts w:ascii="宋体" w:hAnsi="宋体" w:eastAsia="宋体" w:cs="宋体"/>
                <w:b w:val="0"/>
                <w:bCs w:val="0"/>
                <w:color w:val="auto"/>
                <w:kern w:val="0"/>
                <w:sz w:val="22"/>
                <w:szCs w:val="22"/>
                <w:highlight w:val="none"/>
              </w:rPr>
            </w:pPr>
          </w:p>
        </w:tc>
        <w:tc>
          <w:tcPr>
            <w:tcW w:w="1461" w:type="dxa"/>
            <w:vMerge w:val="continue"/>
            <w:tcBorders>
              <w:top w:val="single" w:color="auto" w:sz="8" w:space="0"/>
              <w:left w:val="nil"/>
              <w:bottom w:val="single" w:color="auto" w:sz="8" w:space="0"/>
              <w:right w:val="single" w:color="auto" w:sz="8" w:space="0"/>
            </w:tcBorders>
            <w:noWrap w:val="0"/>
            <w:vAlign w:val="center"/>
          </w:tcPr>
          <w:p w14:paraId="5D255F16">
            <w:pPr>
              <w:widowControl/>
              <w:shd w:val="clear" w:color="auto"/>
              <w:jc w:val="left"/>
              <w:rPr>
                <w:rFonts w:ascii="宋体" w:hAnsi="宋体" w:eastAsia="宋体" w:cs="宋体"/>
                <w:b w:val="0"/>
                <w:bCs w:val="0"/>
                <w:color w:val="auto"/>
                <w:kern w:val="0"/>
                <w:sz w:val="22"/>
                <w:szCs w:val="22"/>
                <w:highlight w:val="none"/>
              </w:rPr>
            </w:pP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D1CC4AD">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一级</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E89ED10">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二级</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7470898">
            <w:pPr>
              <w:widowControl/>
              <w:shd w:val="clear" w:color="auto"/>
              <w:spacing w:before="100" w:beforeAutospacing="1" w:after="100" w:afterAutospacing="1"/>
              <w:jc w:val="left"/>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三级</w:t>
            </w:r>
          </w:p>
        </w:tc>
      </w:tr>
      <w:tr w14:paraId="0FA96DA7">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85F7CB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9ABA56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整体效果</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5D62780">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（1）植株规格一致；</w:t>
            </w:r>
          </w:p>
          <w:p w14:paraId="23276F9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（2）无死株，群体景观效果好。</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6384903">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（1）植株规格基本一致；</w:t>
            </w:r>
          </w:p>
          <w:p w14:paraId="596E881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（2）基本无死株，群体景观效果较好。</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5CDC73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群体景观效果较好</w:t>
            </w:r>
          </w:p>
        </w:tc>
      </w:tr>
      <w:tr w14:paraId="6C9E0A07">
        <w:tblPrEx>
          <w:tblCellMar>
            <w:top w:w="0" w:type="dxa"/>
            <w:left w:w="0" w:type="dxa"/>
            <w:bottom w:w="0" w:type="dxa"/>
            <w:right w:w="0" w:type="dxa"/>
          </w:tblCellMar>
        </w:tblPrEx>
        <w:trPr>
          <w:trHeight w:val="465" w:hRule="atLeast"/>
        </w:trPr>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01CC73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FC09A53">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生长势</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DD91F3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生长茂盛</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3E61CB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生长良好</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F7A747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生长基本良好</w:t>
            </w:r>
          </w:p>
        </w:tc>
      </w:tr>
      <w:tr w14:paraId="298718AD">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7BF9AD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676464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排灌</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06B28C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（1）木本地被暴雨后0.5d内无积水；草本地被雨后1h无积水；</w:t>
            </w:r>
          </w:p>
          <w:p w14:paraId="4D6C521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（2）植株无失水萎蔫现象。</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75ED99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（1）木本地被暴雨后0.5d 内无积水；草本地被雨后4h无积水；</w:t>
            </w:r>
          </w:p>
          <w:p w14:paraId="5CEAF3B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（2）植株基本无失水萎蔫现象。</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EADC9A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（1）木本地被暴雨后1d 内无积水；草本地被雨后6h无积水；</w:t>
            </w:r>
          </w:p>
          <w:p w14:paraId="2288701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（2）植株无明显失水萎蔫现象。</w:t>
            </w:r>
          </w:p>
        </w:tc>
      </w:tr>
      <w:tr w14:paraId="0A461C60">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200CF9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4</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2D26AC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病虫害情况</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D82C21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（1）基本无有害生物危害状；</w:t>
            </w:r>
          </w:p>
          <w:p w14:paraId="004CF42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（2）受害率≤10%；</w:t>
            </w:r>
          </w:p>
          <w:p w14:paraId="10B5C2C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（3）无影响景观杂草。</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FF340B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（1）无明显有害生物危害状；</w:t>
            </w:r>
          </w:p>
          <w:p w14:paraId="2614144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（2）受害率≤15%；</w:t>
            </w:r>
          </w:p>
          <w:p w14:paraId="6D2C2E7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（3）基本无影响景观杂草。</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C5F875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（1）无严重有害生物危害状；</w:t>
            </w:r>
          </w:p>
          <w:p w14:paraId="1DB118E1">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（2）受害率≤20%；</w:t>
            </w:r>
          </w:p>
          <w:p w14:paraId="1700E17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（3）无明显影响景观杂草。</w:t>
            </w:r>
          </w:p>
        </w:tc>
      </w:tr>
      <w:tr w14:paraId="3181F462">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63EF2B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5</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46B2D4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覆盖率</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4D0E57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≥95%</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A5DBC5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≥90%</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D29B52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≥85%</w:t>
            </w:r>
          </w:p>
        </w:tc>
      </w:tr>
      <w:tr w14:paraId="165CEEDE">
        <w:tblPrEx>
          <w:tblCellMar>
            <w:top w:w="0" w:type="dxa"/>
            <w:left w:w="0" w:type="dxa"/>
            <w:bottom w:w="0" w:type="dxa"/>
            <w:right w:w="0" w:type="dxa"/>
          </w:tblCellMar>
        </w:tblPrEx>
        <w:tc>
          <w:tcPr>
            <w:tcW w:w="76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0D5946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6</w:t>
            </w:r>
          </w:p>
        </w:tc>
        <w:tc>
          <w:tcPr>
            <w:tcW w:w="14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F6A82E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补植完成时间</w:t>
            </w:r>
          </w:p>
        </w:tc>
        <w:tc>
          <w:tcPr>
            <w:tcW w:w="243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B7951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≤3d</w:t>
            </w:r>
          </w:p>
        </w:tc>
        <w:tc>
          <w:tcPr>
            <w:tcW w:w="25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85D6F4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≤7d</w:t>
            </w:r>
          </w:p>
        </w:tc>
        <w:tc>
          <w:tcPr>
            <w:tcW w:w="2206"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E73A12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val="0"/>
                <w:color w:val="auto"/>
                <w:kern w:val="0"/>
                <w:sz w:val="22"/>
                <w:szCs w:val="22"/>
                <w:highlight w:val="none"/>
              </w:rPr>
            </w:pPr>
            <w:r>
              <w:rPr>
                <w:rFonts w:ascii="宋体" w:hAnsi="宋体" w:eastAsia="宋体" w:cs="宋体"/>
                <w:b w:val="0"/>
                <w:bCs w:val="0"/>
                <w:color w:val="auto"/>
                <w:kern w:val="0"/>
                <w:sz w:val="22"/>
                <w:szCs w:val="22"/>
                <w:highlight w:val="none"/>
              </w:rPr>
              <w:t xml:space="preserve">≤20d </w:t>
            </w:r>
          </w:p>
        </w:tc>
      </w:tr>
    </w:tbl>
    <w:p w14:paraId="411F6A4A">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68E21607">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7B0339C0">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21CEC5A3">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358ABEFC">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12400BD1">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296A9EC9">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123DA51D">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5530BAC6">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66048F6D">
      <w:pPr>
        <w:widowControl/>
        <w:shd w:val="clear" w:color="auto"/>
        <w:snapToGrid w:val="0"/>
        <w:spacing w:before="100" w:beforeAutospacing="1" w:after="100" w:afterAutospacing="1"/>
        <w:ind w:firstLine="360"/>
        <w:jc w:val="left"/>
        <w:rPr>
          <w:rFonts w:hint="eastAsia" w:ascii="宋体" w:hAnsi="宋体" w:eastAsia="宋体" w:cs="宋体"/>
          <w:b/>
          <w:color w:val="auto"/>
          <w:kern w:val="0"/>
          <w:sz w:val="18"/>
          <w:szCs w:val="18"/>
          <w:highlight w:val="none"/>
        </w:rPr>
      </w:pPr>
    </w:p>
    <w:p w14:paraId="5914B8EB">
      <w:pPr>
        <w:widowControl/>
        <w:shd w:val="clear" w:color="auto"/>
        <w:snapToGrid w:val="0"/>
        <w:spacing w:before="100" w:beforeAutospacing="1" w:after="100" w:afterAutospacing="1"/>
        <w:jc w:val="left"/>
        <w:rPr>
          <w:rFonts w:hint="eastAsia" w:ascii="仿宋_GB2312" w:hAnsi="仿宋_GB2312"/>
          <w:b/>
          <w:color w:val="auto"/>
          <w:kern w:val="0"/>
          <w:sz w:val="22"/>
          <w:szCs w:val="20"/>
          <w:highlight w:val="none"/>
        </w:rPr>
      </w:pPr>
      <w:r>
        <w:rPr>
          <w:rFonts w:hint="eastAsia" w:ascii="宋体" w:hAnsi="宋体" w:eastAsia="宋体" w:cs="宋体"/>
          <w:b w:val="0"/>
          <w:bCs w:val="0"/>
          <w:color w:val="auto"/>
          <w:kern w:val="0"/>
          <w:sz w:val="24"/>
          <w:szCs w:val="24"/>
          <w:highlight w:val="none"/>
        </w:rPr>
        <w:t>表E  水生植物养护质量等级</w:t>
      </w:r>
    </w:p>
    <w:tbl>
      <w:tblPr>
        <w:tblStyle w:val="13"/>
        <w:tblW w:w="9538" w:type="dxa"/>
        <w:tblInd w:w="0" w:type="dxa"/>
        <w:tblLayout w:type="autofit"/>
        <w:tblCellMar>
          <w:top w:w="0" w:type="dxa"/>
          <w:left w:w="0" w:type="dxa"/>
          <w:bottom w:w="0" w:type="dxa"/>
          <w:right w:w="0" w:type="dxa"/>
        </w:tblCellMar>
      </w:tblPr>
      <w:tblGrid>
        <w:gridCol w:w="1107"/>
        <w:gridCol w:w="1391"/>
        <w:gridCol w:w="2283"/>
        <w:gridCol w:w="2387"/>
        <w:gridCol w:w="2370"/>
      </w:tblGrid>
      <w:tr w14:paraId="47B4352A">
        <w:tblPrEx>
          <w:tblCellMar>
            <w:top w:w="0" w:type="dxa"/>
            <w:left w:w="0" w:type="dxa"/>
            <w:bottom w:w="0" w:type="dxa"/>
            <w:right w:w="0" w:type="dxa"/>
          </w:tblCellMar>
        </w:tblPrEx>
        <w:trPr>
          <w:trHeight w:val="476" w:hRule="atLeast"/>
        </w:trPr>
        <w:tc>
          <w:tcPr>
            <w:tcW w:w="1107"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75D6F9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序号</w:t>
            </w:r>
          </w:p>
        </w:tc>
        <w:tc>
          <w:tcPr>
            <w:tcW w:w="1391"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C57DF2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项目</w:t>
            </w:r>
          </w:p>
        </w:tc>
        <w:tc>
          <w:tcPr>
            <w:tcW w:w="7040"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E35C14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质量要求</w:t>
            </w:r>
          </w:p>
        </w:tc>
      </w:tr>
      <w:tr w14:paraId="619871A6">
        <w:tblPrEx>
          <w:tblCellMar>
            <w:top w:w="0" w:type="dxa"/>
            <w:left w:w="0" w:type="dxa"/>
            <w:bottom w:w="0" w:type="dxa"/>
            <w:right w:w="0" w:type="dxa"/>
          </w:tblCellMar>
        </w:tblPrEx>
        <w:trPr>
          <w:trHeight w:val="482" w:hRule="atLeast"/>
        </w:trPr>
        <w:tc>
          <w:tcPr>
            <w:tcW w:w="1107" w:type="dxa"/>
            <w:vMerge w:val="continue"/>
            <w:tcBorders>
              <w:top w:val="single" w:color="auto" w:sz="8" w:space="0"/>
              <w:left w:val="single" w:color="auto" w:sz="8" w:space="0"/>
              <w:bottom w:val="single" w:color="auto" w:sz="8" w:space="0"/>
              <w:right w:val="single" w:color="auto" w:sz="8" w:space="0"/>
            </w:tcBorders>
            <w:noWrap w:val="0"/>
            <w:vAlign w:val="center"/>
          </w:tcPr>
          <w:p w14:paraId="67EEB0D0">
            <w:pPr>
              <w:keepNext w:val="0"/>
              <w:keepLines w:val="0"/>
              <w:pageBreakBefore w:val="0"/>
              <w:widowControl/>
              <w:shd w:val="clear" w:color="auto"/>
              <w:kinsoku/>
              <w:wordWrap/>
              <w:overflowPunct/>
              <w:topLinePunct w:val="0"/>
              <w:autoSpaceDE/>
              <w:autoSpaceDN/>
              <w:bidi w:val="0"/>
              <w:adjustRightInd/>
              <w:snapToGrid/>
              <w:spacing w:line="280" w:lineRule="exact"/>
              <w:jc w:val="center"/>
              <w:textAlignment w:val="auto"/>
              <w:rPr>
                <w:rFonts w:ascii="宋体" w:hAnsi="宋体" w:eastAsia="宋体" w:cs="宋体"/>
                <w:b w:val="0"/>
                <w:bCs/>
                <w:color w:val="auto"/>
                <w:kern w:val="0"/>
                <w:sz w:val="22"/>
                <w:szCs w:val="22"/>
                <w:highlight w:val="none"/>
              </w:rPr>
            </w:pPr>
          </w:p>
        </w:tc>
        <w:tc>
          <w:tcPr>
            <w:tcW w:w="1391" w:type="dxa"/>
            <w:vMerge w:val="continue"/>
            <w:tcBorders>
              <w:top w:val="single" w:color="auto" w:sz="8" w:space="0"/>
              <w:left w:val="nil"/>
              <w:bottom w:val="single" w:color="auto" w:sz="8" w:space="0"/>
              <w:right w:val="single" w:color="auto" w:sz="8" w:space="0"/>
            </w:tcBorders>
            <w:noWrap w:val="0"/>
            <w:vAlign w:val="center"/>
          </w:tcPr>
          <w:p w14:paraId="13B5106A">
            <w:pPr>
              <w:keepNext w:val="0"/>
              <w:keepLines w:val="0"/>
              <w:pageBreakBefore w:val="0"/>
              <w:widowControl/>
              <w:shd w:val="clear" w:color="auto"/>
              <w:kinsoku/>
              <w:wordWrap/>
              <w:overflowPunct/>
              <w:topLinePunct w:val="0"/>
              <w:autoSpaceDE/>
              <w:autoSpaceDN/>
              <w:bidi w:val="0"/>
              <w:adjustRightInd/>
              <w:snapToGrid/>
              <w:spacing w:line="280" w:lineRule="exact"/>
              <w:jc w:val="left"/>
              <w:textAlignment w:val="auto"/>
              <w:rPr>
                <w:rFonts w:ascii="宋体" w:hAnsi="宋体" w:eastAsia="宋体" w:cs="宋体"/>
                <w:b w:val="0"/>
                <w:bCs/>
                <w:color w:val="auto"/>
                <w:kern w:val="0"/>
                <w:sz w:val="22"/>
                <w:szCs w:val="22"/>
                <w:highlight w:val="none"/>
              </w:rPr>
            </w:pP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44427B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一级</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AC15E1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二级</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0A9DBA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三级</w:t>
            </w:r>
          </w:p>
        </w:tc>
      </w:tr>
      <w:tr w14:paraId="208B0B06">
        <w:tblPrEx>
          <w:tblCellMar>
            <w:top w:w="0" w:type="dxa"/>
            <w:left w:w="0" w:type="dxa"/>
            <w:bottom w:w="0" w:type="dxa"/>
            <w:right w:w="0" w:type="dxa"/>
          </w:tblCellMar>
        </w:tblPrEx>
        <w:trPr>
          <w:trHeight w:val="578"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8A7591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A69D593">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整体效果</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3A37E6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景观效果美观。无残花败叶漂浮。</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4B1CB0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景观效果明显。基本无残花败叶漂浮。</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CFC902F">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景观效果明显。</w:t>
            </w:r>
          </w:p>
        </w:tc>
      </w:tr>
      <w:tr w14:paraId="6B78D5EE">
        <w:tblPrEx>
          <w:tblCellMar>
            <w:top w:w="0" w:type="dxa"/>
            <w:left w:w="0" w:type="dxa"/>
            <w:bottom w:w="0" w:type="dxa"/>
            <w:right w:w="0" w:type="dxa"/>
          </w:tblCellMar>
        </w:tblPrEx>
        <w:trPr>
          <w:trHeight w:val="2249"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B8F87F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1E89DE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生长势</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DCC9A61">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（1）植株生长健壮。</w:t>
            </w:r>
          </w:p>
          <w:p w14:paraId="093FECA7">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 xml:space="preserve">（2）叶色正常；观花、观果植株正常开花结果； </w:t>
            </w:r>
          </w:p>
          <w:p w14:paraId="3543538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（3）枯死植株≤5%。</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748301B">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（1）植株生长良好。</w:t>
            </w:r>
          </w:p>
          <w:p w14:paraId="5B9384B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 xml:space="preserve">（2）叶色正常；观花、观果植株正常开花结果； </w:t>
            </w:r>
          </w:p>
          <w:p w14:paraId="507CFB7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（3）枯死植株小于≤10%。</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28BD6D5">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（1）植株生长基本正常。</w:t>
            </w:r>
          </w:p>
          <w:p w14:paraId="79B58A1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（2）观花、观果植株正常开花结果；</w:t>
            </w:r>
          </w:p>
          <w:p w14:paraId="0923807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（3）枯死植株小于≤15%。</w:t>
            </w:r>
          </w:p>
        </w:tc>
      </w:tr>
      <w:tr w14:paraId="6CBB57FA">
        <w:tblPrEx>
          <w:tblCellMar>
            <w:top w:w="0" w:type="dxa"/>
            <w:left w:w="0" w:type="dxa"/>
            <w:bottom w:w="0" w:type="dxa"/>
            <w:right w:w="0" w:type="dxa"/>
          </w:tblCellMar>
        </w:tblPrEx>
        <w:trPr>
          <w:trHeight w:val="578"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FC6F32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A0AEF2F">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排灌</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9D8EF1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暴雨后4h 恢复常水位。</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934B2E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暴雨后20h恢复常水位。</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E38692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暴雨后48h恢复常水位。</w:t>
            </w:r>
          </w:p>
        </w:tc>
      </w:tr>
      <w:tr w14:paraId="09BFB0B2">
        <w:tblPrEx>
          <w:tblCellMar>
            <w:top w:w="0" w:type="dxa"/>
            <w:left w:w="0" w:type="dxa"/>
            <w:bottom w:w="0" w:type="dxa"/>
            <w:right w:w="0" w:type="dxa"/>
          </w:tblCellMar>
        </w:tblPrEx>
        <w:trPr>
          <w:trHeight w:val="578"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586670F">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4</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6370BC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病虫害情况</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BED8512">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基本无有害生物危害状，无杂草。</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36EABDA">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无明显有害生物危害状，无杂草。</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C8EBC9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无严重有害生物危害状。</w:t>
            </w:r>
          </w:p>
        </w:tc>
      </w:tr>
      <w:tr w14:paraId="66BEDB28">
        <w:tblPrEx>
          <w:tblCellMar>
            <w:top w:w="0" w:type="dxa"/>
            <w:left w:w="0" w:type="dxa"/>
            <w:bottom w:w="0" w:type="dxa"/>
            <w:right w:w="0" w:type="dxa"/>
          </w:tblCellMar>
        </w:tblPrEx>
        <w:trPr>
          <w:trHeight w:val="299"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5CCABC8">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5</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3559704">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覆盖率</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D87B6E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≥95%</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1C56AA6">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≥90%</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154A67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≥85%</w:t>
            </w:r>
          </w:p>
        </w:tc>
      </w:tr>
      <w:tr w14:paraId="086D00D2">
        <w:tblPrEx>
          <w:tblCellMar>
            <w:top w:w="0" w:type="dxa"/>
            <w:left w:w="0" w:type="dxa"/>
            <w:bottom w:w="0" w:type="dxa"/>
            <w:right w:w="0" w:type="dxa"/>
          </w:tblCellMar>
        </w:tblPrEx>
        <w:trPr>
          <w:trHeight w:val="597" w:hRule="atLeast"/>
        </w:trPr>
        <w:tc>
          <w:tcPr>
            <w:tcW w:w="110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5E37A9E">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center"/>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6</w:t>
            </w:r>
          </w:p>
        </w:tc>
        <w:tc>
          <w:tcPr>
            <w:tcW w:w="139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FD785A9">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补植完成时间</w:t>
            </w:r>
          </w:p>
        </w:tc>
        <w:tc>
          <w:tcPr>
            <w:tcW w:w="228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463EA9D">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 xml:space="preserve">≤3d </w:t>
            </w:r>
          </w:p>
        </w:tc>
        <w:tc>
          <w:tcPr>
            <w:tcW w:w="238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7901DBC">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≤7d</w:t>
            </w:r>
          </w:p>
        </w:tc>
        <w:tc>
          <w:tcPr>
            <w:tcW w:w="237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C576B91">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280" w:lineRule="exact"/>
              <w:jc w:val="left"/>
              <w:textAlignment w:val="auto"/>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≤10d</w:t>
            </w:r>
          </w:p>
        </w:tc>
      </w:tr>
    </w:tbl>
    <w:p w14:paraId="2EC33C94">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3167D5AB">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63ED7307">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02F0AA73">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49B45CE0">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2560CB93">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5CF920C1">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2CF53B50">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2C979E41">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p>
    <w:p w14:paraId="7BD113BD">
      <w:pPr>
        <w:widowControl w:val="0"/>
        <w:shd w:val="clear" w:color="auto"/>
        <w:autoSpaceDE/>
        <w:autoSpaceDN/>
        <w:adjustRightInd/>
        <w:spacing w:after="120" w:afterAutospacing="0"/>
        <w:ind w:firstLine="420"/>
        <w:jc w:val="both"/>
        <w:rPr>
          <w:rFonts w:hint="eastAsia" w:ascii="宋体" w:hAnsi="宋体" w:eastAsia="宋体" w:cs="宋体"/>
          <w:b w:val="0"/>
          <w:bCs w:val="0"/>
          <w:color w:val="auto"/>
          <w:kern w:val="0"/>
          <w:sz w:val="24"/>
          <w:szCs w:val="24"/>
          <w:highlight w:val="none"/>
          <w:lang w:val="en-US" w:eastAsia="zh-CN" w:bidi="ar-SA"/>
        </w:rPr>
      </w:pPr>
    </w:p>
    <w:p w14:paraId="31FAD80B">
      <w:pPr>
        <w:widowControl w:val="0"/>
        <w:shd w:val="clear" w:color="auto"/>
        <w:ind w:left="2100" w:leftChars="1000"/>
        <w:jc w:val="both"/>
        <w:rPr>
          <w:rFonts w:hint="eastAsia" w:ascii="宋体" w:hAnsi="宋体" w:eastAsia="宋体" w:cs="宋体"/>
          <w:b w:val="0"/>
          <w:bCs w:val="0"/>
          <w:color w:val="auto"/>
          <w:kern w:val="0"/>
          <w:sz w:val="24"/>
          <w:szCs w:val="24"/>
          <w:highlight w:val="none"/>
          <w:lang w:val="en-US" w:eastAsia="zh-CN" w:bidi="ar-SA"/>
        </w:rPr>
      </w:pPr>
    </w:p>
    <w:p w14:paraId="6ABC3DA0">
      <w:pPr>
        <w:shd w:val="clear" w:color="auto"/>
        <w:rPr>
          <w:rFonts w:hint="eastAsia" w:ascii="宋体" w:hAnsi="宋体" w:eastAsia="宋体" w:cs="宋体"/>
          <w:b w:val="0"/>
          <w:bCs w:val="0"/>
          <w:color w:val="auto"/>
          <w:kern w:val="0"/>
          <w:sz w:val="24"/>
          <w:szCs w:val="24"/>
          <w:highlight w:val="none"/>
        </w:rPr>
      </w:pPr>
    </w:p>
    <w:p w14:paraId="12ACFAEF">
      <w:pPr>
        <w:widowControl w:val="0"/>
        <w:shd w:val="clear" w:color="auto"/>
        <w:autoSpaceDE/>
        <w:autoSpaceDN/>
        <w:adjustRightInd/>
        <w:spacing w:after="120" w:afterAutospacing="0"/>
        <w:ind w:firstLine="420"/>
        <w:jc w:val="both"/>
        <w:rPr>
          <w:rFonts w:hint="eastAsia" w:ascii="Times New Roman" w:hAnsi="Times New Roman" w:eastAsia="宋体" w:cs="Times New Roman"/>
          <w:b w:val="0"/>
          <w:color w:val="auto"/>
          <w:kern w:val="2"/>
          <w:sz w:val="21"/>
          <w:szCs w:val="24"/>
          <w:highlight w:val="none"/>
          <w:lang w:val="en-US" w:eastAsia="zh-CN" w:bidi="ar-SA"/>
        </w:rPr>
      </w:pPr>
    </w:p>
    <w:p w14:paraId="46CE89EC">
      <w:pPr>
        <w:widowControl/>
        <w:shd w:val="clear" w:color="auto"/>
        <w:snapToGrid w:val="0"/>
        <w:spacing w:before="100" w:beforeAutospacing="1" w:after="100" w:afterAutospacing="1"/>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表F  竹类养护质量等级</w:t>
      </w:r>
    </w:p>
    <w:tbl>
      <w:tblPr>
        <w:tblStyle w:val="13"/>
        <w:tblpPr w:leftFromText="180" w:rightFromText="180" w:vertAnchor="text" w:tblpX="-185"/>
        <w:tblW w:w="9484" w:type="dxa"/>
        <w:tblInd w:w="0" w:type="dxa"/>
        <w:tblLayout w:type="autofit"/>
        <w:tblCellMar>
          <w:top w:w="0" w:type="dxa"/>
          <w:left w:w="0" w:type="dxa"/>
          <w:bottom w:w="0" w:type="dxa"/>
          <w:right w:w="0" w:type="dxa"/>
        </w:tblCellMar>
      </w:tblPr>
      <w:tblGrid>
        <w:gridCol w:w="772"/>
        <w:gridCol w:w="1353"/>
        <w:gridCol w:w="2453"/>
        <w:gridCol w:w="2453"/>
        <w:gridCol w:w="2453"/>
      </w:tblGrid>
      <w:tr w14:paraId="0A8FEDFE">
        <w:tblPrEx>
          <w:tblCellMar>
            <w:top w:w="0" w:type="dxa"/>
            <w:left w:w="0" w:type="dxa"/>
            <w:bottom w:w="0" w:type="dxa"/>
            <w:right w:w="0" w:type="dxa"/>
          </w:tblCellMar>
        </w:tblPrEx>
        <w:trPr>
          <w:trHeight w:val="458" w:hRule="atLeast"/>
        </w:trPr>
        <w:tc>
          <w:tcPr>
            <w:tcW w:w="772"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5F651F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序号</w:t>
            </w:r>
          </w:p>
        </w:tc>
        <w:tc>
          <w:tcPr>
            <w:tcW w:w="1353"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E6AAF7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项目</w:t>
            </w:r>
          </w:p>
        </w:tc>
        <w:tc>
          <w:tcPr>
            <w:tcW w:w="7359"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7FE5149">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质量要求</w:t>
            </w:r>
          </w:p>
        </w:tc>
      </w:tr>
      <w:tr w14:paraId="5969FE2A">
        <w:tblPrEx>
          <w:tblCellMar>
            <w:top w:w="0" w:type="dxa"/>
            <w:left w:w="0" w:type="dxa"/>
            <w:bottom w:w="0" w:type="dxa"/>
            <w:right w:w="0" w:type="dxa"/>
          </w:tblCellMar>
        </w:tblPrEx>
        <w:trPr>
          <w:trHeight w:val="464" w:hRule="atLeast"/>
        </w:trPr>
        <w:tc>
          <w:tcPr>
            <w:tcW w:w="772" w:type="dxa"/>
            <w:vMerge w:val="continue"/>
            <w:tcBorders>
              <w:top w:val="single" w:color="auto" w:sz="8" w:space="0"/>
              <w:left w:val="single" w:color="auto" w:sz="8" w:space="0"/>
              <w:bottom w:val="single" w:color="auto" w:sz="8" w:space="0"/>
              <w:right w:val="single" w:color="auto" w:sz="8" w:space="0"/>
            </w:tcBorders>
            <w:noWrap w:val="0"/>
            <w:vAlign w:val="center"/>
          </w:tcPr>
          <w:p w14:paraId="0ECB59B3">
            <w:pPr>
              <w:widowControl/>
              <w:shd w:val="clear" w:color="auto"/>
              <w:jc w:val="left"/>
              <w:rPr>
                <w:rFonts w:ascii="宋体" w:hAnsi="宋体" w:eastAsia="宋体" w:cs="宋体"/>
                <w:b w:val="0"/>
                <w:bCs/>
                <w:color w:val="auto"/>
                <w:kern w:val="0"/>
                <w:sz w:val="22"/>
                <w:szCs w:val="22"/>
                <w:highlight w:val="none"/>
              </w:rPr>
            </w:pPr>
          </w:p>
        </w:tc>
        <w:tc>
          <w:tcPr>
            <w:tcW w:w="1353" w:type="dxa"/>
            <w:vMerge w:val="continue"/>
            <w:tcBorders>
              <w:top w:val="single" w:color="auto" w:sz="8" w:space="0"/>
              <w:left w:val="nil"/>
              <w:bottom w:val="single" w:color="auto" w:sz="8" w:space="0"/>
              <w:right w:val="single" w:color="auto" w:sz="8" w:space="0"/>
            </w:tcBorders>
            <w:noWrap w:val="0"/>
            <w:vAlign w:val="center"/>
          </w:tcPr>
          <w:p w14:paraId="78C5D64A">
            <w:pPr>
              <w:widowControl/>
              <w:shd w:val="clear" w:color="auto"/>
              <w:jc w:val="left"/>
              <w:rPr>
                <w:rFonts w:ascii="宋体" w:hAnsi="宋体" w:eastAsia="宋体" w:cs="宋体"/>
                <w:b w:val="0"/>
                <w:bCs/>
                <w:color w:val="auto"/>
                <w:kern w:val="0"/>
                <w:sz w:val="22"/>
                <w:szCs w:val="22"/>
                <w:highlight w:val="none"/>
              </w:rPr>
            </w:pP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9406A3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一级</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36CBE18">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二级</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84EDA79">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三级</w:t>
            </w:r>
          </w:p>
        </w:tc>
      </w:tr>
      <w:tr w14:paraId="7C27F15E">
        <w:tblPrEx>
          <w:tblCellMar>
            <w:top w:w="0" w:type="dxa"/>
            <w:left w:w="0" w:type="dxa"/>
            <w:bottom w:w="0" w:type="dxa"/>
            <w:right w:w="0" w:type="dxa"/>
          </w:tblCellMar>
        </w:tblPrEx>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D2C78D4">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02506C8">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整体效果</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5C4DDEB">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（1）死竹、枯竹、破损竹≤3%；</w:t>
            </w:r>
          </w:p>
          <w:p w14:paraId="5B3723F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（2）有完整的林相。</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1250CB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（1）死竹、枯竹、破损竹≤7%；</w:t>
            </w:r>
          </w:p>
          <w:p w14:paraId="3E6C7F3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（2）有完整的林相。</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F010013">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（1）死竹、枯竹、破损竹≤10%；</w:t>
            </w:r>
          </w:p>
          <w:p w14:paraId="456F607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（2）林相基本完整。</w:t>
            </w:r>
          </w:p>
        </w:tc>
      </w:tr>
      <w:tr w14:paraId="33AA976F">
        <w:tblPrEx>
          <w:tblCellMar>
            <w:top w:w="0" w:type="dxa"/>
            <w:left w:w="0" w:type="dxa"/>
            <w:bottom w:w="0" w:type="dxa"/>
            <w:right w:w="0" w:type="dxa"/>
          </w:tblCellMar>
        </w:tblPrEx>
        <w:trPr>
          <w:trHeight w:val="465" w:hRule="atLeast"/>
        </w:trPr>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C1A4BB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79C9DB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生长势</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4374BB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（1）竹丛通风透光，植株生长健壮；</w:t>
            </w:r>
          </w:p>
          <w:p w14:paraId="684DB493">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（2）新、老竹生长比例适当；</w:t>
            </w:r>
          </w:p>
          <w:p w14:paraId="0BB1825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（3）竹鞭无裸露。</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D864EC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（1）竹丛通风透光，植株生长良好；</w:t>
            </w:r>
          </w:p>
          <w:p w14:paraId="760E3E21">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（2）新、老竹生长比例基本适当；</w:t>
            </w:r>
          </w:p>
          <w:p w14:paraId="7AA5FEB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（3）竹鞭基本无裸露。</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FAF9A8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（1）植株生长良好；</w:t>
            </w:r>
          </w:p>
          <w:p w14:paraId="7DA5BB8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（2）竹鞭无明显裸露。</w:t>
            </w:r>
          </w:p>
        </w:tc>
      </w:tr>
      <w:tr w14:paraId="7AFC6951">
        <w:tblPrEx>
          <w:tblCellMar>
            <w:top w:w="0" w:type="dxa"/>
            <w:left w:w="0" w:type="dxa"/>
            <w:bottom w:w="0" w:type="dxa"/>
            <w:right w:w="0" w:type="dxa"/>
          </w:tblCellMar>
        </w:tblPrEx>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E2735C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3ADA4CB">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排灌</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2E63659">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（1）暴雨后0.5d内无积水；</w:t>
            </w:r>
          </w:p>
          <w:p w14:paraId="415585A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（2）植株无失水萎蔫现象。</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D00DDE8">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（1）暴雨后0.5d 内无积水；</w:t>
            </w:r>
          </w:p>
          <w:p w14:paraId="73BDBE2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（2）植株基本无失水萎蔫现象。</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BD28FA3">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（1）暴雨后2d 内无积水；</w:t>
            </w:r>
          </w:p>
          <w:p w14:paraId="464DD2F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（2）植株失水萎蔫现象1d~2d内消除。</w:t>
            </w:r>
          </w:p>
        </w:tc>
      </w:tr>
      <w:tr w14:paraId="7E85C350">
        <w:tblPrEx>
          <w:tblCellMar>
            <w:top w:w="0" w:type="dxa"/>
            <w:left w:w="0" w:type="dxa"/>
            <w:bottom w:w="0" w:type="dxa"/>
            <w:right w:w="0" w:type="dxa"/>
          </w:tblCellMar>
        </w:tblPrEx>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1CC8569">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4</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E721372">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病虫害情况</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0756804">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（1）基本无有害生物危害状；</w:t>
            </w:r>
          </w:p>
          <w:p w14:paraId="0B952597">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（2）竹叶受害率≤8%以下；</w:t>
            </w:r>
          </w:p>
          <w:p w14:paraId="7FDAC8BE">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（3）竹梢、竹秆受害率≤5%。</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390C45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（1）无明显有害生物危害状；</w:t>
            </w:r>
          </w:p>
          <w:p w14:paraId="4C769D04">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（2）竹叶受害率≤10%；</w:t>
            </w:r>
          </w:p>
          <w:p w14:paraId="1135B863">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（3）竹梢、竹秆受害率≤8%。</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62A3A75">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（1）无严重有害生物危害状；</w:t>
            </w:r>
          </w:p>
          <w:p w14:paraId="6B40C1D4">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（2）竹叶受害率≤15%；</w:t>
            </w:r>
          </w:p>
          <w:p w14:paraId="71052F90">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（3）竹梢、竹秆受害率≤10%。</w:t>
            </w:r>
          </w:p>
        </w:tc>
      </w:tr>
      <w:tr w14:paraId="06A4BFF2">
        <w:tblPrEx>
          <w:tblCellMar>
            <w:top w:w="0" w:type="dxa"/>
            <w:left w:w="0" w:type="dxa"/>
            <w:bottom w:w="0" w:type="dxa"/>
            <w:right w:w="0" w:type="dxa"/>
          </w:tblCellMar>
        </w:tblPrEx>
        <w:tc>
          <w:tcPr>
            <w:tcW w:w="77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34D63F6">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5</w:t>
            </w:r>
          </w:p>
        </w:tc>
        <w:tc>
          <w:tcPr>
            <w:tcW w:w="13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4FC161A">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补植完成时间</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7ECADCC">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≤3d</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3E52D4F">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≤7d</w:t>
            </w:r>
          </w:p>
        </w:tc>
        <w:tc>
          <w:tcPr>
            <w:tcW w:w="24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F35D895">
            <w:pPr>
              <w:widowControl/>
              <w:shd w:val="clear" w:color="auto"/>
              <w:spacing w:before="100" w:beforeAutospacing="1" w:after="100" w:afterAutospacing="1"/>
              <w:jc w:val="left"/>
              <w:rPr>
                <w:rFonts w:ascii="宋体" w:hAnsi="宋体" w:eastAsia="宋体" w:cs="宋体"/>
                <w:b w:val="0"/>
                <w:bCs/>
                <w:color w:val="auto"/>
                <w:kern w:val="0"/>
                <w:sz w:val="22"/>
                <w:szCs w:val="22"/>
                <w:highlight w:val="none"/>
              </w:rPr>
            </w:pPr>
            <w:r>
              <w:rPr>
                <w:rFonts w:ascii="宋体" w:hAnsi="宋体" w:eastAsia="宋体" w:cs="宋体"/>
                <w:b w:val="0"/>
                <w:bCs/>
                <w:color w:val="auto"/>
                <w:kern w:val="0"/>
                <w:sz w:val="22"/>
                <w:szCs w:val="22"/>
                <w:highlight w:val="none"/>
              </w:rPr>
              <w:t>≤10d</w:t>
            </w:r>
          </w:p>
        </w:tc>
      </w:tr>
    </w:tbl>
    <w:p w14:paraId="763667E6">
      <w:pPr>
        <w:shd w:val="clear" w:color="auto"/>
        <w:rPr>
          <w:rFonts w:hint="eastAsia" w:ascii="仿宋_GB2312" w:hAnsi="仿宋_GB2312"/>
          <w:b/>
          <w:color w:val="auto"/>
          <w:kern w:val="0"/>
          <w:sz w:val="22"/>
          <w:szCs w:val="20"/>
          <w:highlight w:val="none"/>
          <w:lang w:val="en-US" w:eastAsia="zh-CN"/>
        </w:rPr>
      </w:pPr>
    </w:p>
    <w:p w14:paraId="0B57635D">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1DB8517C">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17413F83">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51A2CA7F">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6035161A">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443DA1BF">
      <w:pPr>
        <w:widowControl w:val="0"/>
        <w:shd w:val="clear" w:color="auto"/>
        <w:spacing w:before="240" w:after="60"/>
        <w:jc w:val="center"/>
        <w:outlineLvl w:val="0"/>
        <w:rPr>
          <w:rFonts w:hint="eastAsia" w:ascii="宋体" w:hAnsi="宋体" w:eastAsia="宋体" w:cs="宋体"/>
          <w:b w:val="0"/>
          <w:bCs/>
          <w:color w:val="auto"/>
          <w:sz w:val="32"/>
          <w:szCs w:val="32"/>
          <w:highlight w:val="none"/>
          <w:lang w:val="zh-CN" w:eastAsia="zh-CN" w:bidi="ar-SA"/>
        </w:rPr>
      </w:pPr>
    </w:p>
    <w:p w14:paraId="36DF4C19">
      <w:pPr>
        <w:shd w:val="clear" w:color="auto"/>
        <w:rPr>
          <w:rFonts w:hint="eastAsia" w:ascii="宋体" w:hAnsi="宋体" w:eastAsia="宋体" w:cs="宋体"/>
          <w:b w:val="0"/>
          <w:color w:val="auto"/>
          <w:kern w:val="0"/>
          <w:sz w:val="22"/>
          <w:szCs w:val="20"/>
          <w:highlight w:val="none"/>
          <w:lang w:val="zh-CN"/>
        </w:rPr>
      </w:pPr>
    </w:p>
    <w:p w14:paraId="071D070D">
      <w:pPr>
        <w:widowControl/>
        <w:shd w:val="clear" w:color="auto"/>
        <w:spacing w:line="600" w:lineRule="exact"/>
        <w:jc w:val="center"/>
        <w:rPr>
          <w:rFonts w:hint="eastAsia" w:ascii="宋体" w:hAnsi="宋体" w:eastAsia="宋体" w:cs="宋体"/>
          <w:b/>
          <w:bCs/>
          <w:color w:val="auto"/>
          <w:kern w:val="0"/>
          <w:sz w:val="36"/>
          <w:szCs w:val="36"/>
          <w:highlight w:val="none"/>
          <w:lang w:eastAsia="zh-CN"/>
        </w:rPr>
      </w:pPr>
      <w:r>
        <w:rPr>
          <w:rFonts w:hint="eastAsia" w:ascii="宋体" w:hAnsi="宋体" w:eastAsia="宋体" w:cs="宋体"/>
          <w:b/>
          <w:bCs/>
          <w:color w:val="auto"/>
          <w:kern w:val="0"/>
          <w:sz w:val="36"/>
          <w:szCs w:val="36"/>
          <w:highlight w:val="none"/>
        </w:rPr>
        <w:t>鳌江镇绿化养护实施细则</w:t>
      </w:r>
      <w:r>
        <w:rPr>
          <w:rFonts w:hint="eastAsia" w:ascii="宋体" w:hAnsi="宋体" w:eastAsia="宋体" w:cs="宋体"/>
          <w:b/>
          <w:bCs/>
          <w:color w:val="auto"/>
          <w:kern w:val="0"/>
          <w:sz w:val="36"/>
          <w:szCs w:val="36"/>
          <w:highlight w:val="none"/>
          <w:lang w:eastAsia="zh-CN"/>
        </w:rPr>
        <w:t>（</w:t>
      </w:r>
      <w:r>
        <w:rPr>
          <w:rFonts w:hint="eastAsia" w:ascii="宋体" w:hAnsi="宋体" w:eastAsia="宋体" w:cs="宋体"/>
          <w:b/>
          <w:bCs/>
          <w:color w:val="auto"/>
          <w:kern w:val="0"/>
          <w:sz w:val="36"/>
          <w:szCs w:val="36"/>
          <w:highlight w:val="none"/>
          <w:lang w:val="en-US" w:eastAsia="zh-CN"/>
        </w:rPr>
        <w:t>标项一、标项二</w:t>
      </w:r>
      <w:r>
        <w:rPr>
          <w:rFonts w:hint="eastAsia" w:ascii="宋体" w:hAnsi="宋体" w:eastAsia="宋体" w:cs="宋体"/>
          <w:b/>
          <w:bCs/>
          <w:color w:val="auto"/>
          <w:kern w:val="0"/>
          <w:sz w:val="36"/>
          <w:szCs w:val="36"/>
          <w:highlight w:val="none"/>
          <w:lang w:eastAsia="zh-CN"/>
        </w:rPr>
        <w:t>）</w:t>
      </w:r>
    </w:p>
    <w:p w14:paraId="13CAD65A">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一、鳌江镇道路绿化作业考核办法 </w:t>
      </w:r>
    </w:p>
    <w:p w14:paraId="71457417">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第一章  总则 </w:t>
      </w:r>
    </w:p>
    <w:p w14:paraId="01D9F567">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第一条  为规范鳌江镇园林绿化管护工作，正确评价及绿化管护作业单位工作推进绿化管护市场化，实施长效精细化管护，结合我镇园林绿化实际情况制定本办法。 </w:t>
      </w:r>
    </w:p>
    <w:p w14:paraId="760AF7FE">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第二条  鳌江镇建设局是本办法实施的监督、检查、解释、考核的主管部门。 </w:t>
      </w:r>
    </w:p>
    <w:p w14:paraId="39EEC64F">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第三条  本办法适用于在鳌江镇范围内投标进行园林绿化养护作业的园林绿化单位。 </w:t>
      </w:r>
    </w:p>
    <w:p w14:paraId="7866D78C">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第二章  考核范围 </w:t>
      </w:r>
    </w:p>
    <w:p w14:paraId="503460F3">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鳌江范围内的所有街道、花坛、行道树、隔离带、交通环岛、绿地等一切公共绿地。 </w:t>
      </w:r>
    </w:p>
    <w:p w14:paraId="48798B76">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第三章  鳌江镇园林绿化养护质量标准 </w:t>
      </w:r>
    </w:p>
    <w:p w14:paraId="3448A009">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一、总则 </w:t>
      </w:r>
    </w:p>
    <w:p w14:paraId="797D34AB">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1、为了适应鳌江镇园林绿化发展的需要，保护园林绿化成果，提高园林绿化养护管理质量和水平，园林植物养护管理技术从节约型园林绿化的理念出发，特制定本技术标准。 </w:t>
      </w:r>
    </w:p>
    <w:p w14:paraId="431954C0">
      <w:pPr>
        <w:widowControl/>
        <w:shd w:val="clear" w:color="auto"/>
        <w:spacing w:line="460" w:lineRule="exact"/>
        <w:ind w:left="-38" w:leftChars="-18" w:firstLine="466" w:firstLineChars="212"/>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2、本标准适用于鳌江镇范围内除生产绿地以外的各类园林绿化。</w:t>
      </w:r>
    </w:p>
    <w:p w14:paraId="0731D2DE">
      <w:pPr>
        <w:widowControl/>
        <w:shd w:val="clear" w:color="auto"/>
        <w:spacing w:line="460" w:lineRule="exact"/>
        <w:ind w:left="-38" w:leftChars="-18" w:firstLine="466" w:firstLineChars="212"/>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3、生长势植物的生长强弱，泛指植物生长速度、整齐度、茎叶色泽、植株茁壮程度、分蘖或分枝的繁茂程度等。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4、树冠：树木主干以上集生枝叶的部分。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5、分枝点：乔木主干上开始出现分枝的部位。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6、整形修剪</w:t>
      </w:r>
    </w:p>
    <w:p w14:paraId="4536653D">
      <w:pPr>
        <w:widowControl/>
        <w:shd w:val="clear" w:color="auto"/>
        <w:spacing w:line="460" w:lineRule="exact"/>
        <w:ind w:left="-38" w:leftChars="-18"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用剪、锯、捆、绑、扎、牵引等手段摘除植株部分枝叶及使用绳、铁丝使枝条弯曲以保证树木长成特定形状的技术措施。 </w:t>
      </w:r>
    </w:p>
    <w:p w14:paraId="753588BE">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7、短截</w:t>
      </w:r>
    </w:p>
    <w:p w14:paraId="6309B2D4">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根据需要在枝条上选留几个合适的芽后将枝条剪短达到减少枝条、刺激侧芽萌发新梢的目的。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8、黄土不露</w:t>
      </w:r>
    </w:p>
    <w:p w14:paraId="5996BCC4">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利用草坪、地被植物或树皮等其他材料对绿地内和树冠下的裸露土地进行覆盖以期达到绿化、美化、抑尘和保墒的目的。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9、测土施肥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通过测定土壤养分状况，有针对性地对园林植物进行施肥。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10、公园、游园绿地 </w:t>
      </w:r>
    </w:p>
    <w:p w14:paraId="4A20AF63">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向公众开放以游憩为主要功能，兼具生态、美化、防灾等作用的城市绿地。 </w:t>
      </w:r>
    </w:p>
    <w:p w14:paraId="6004B27D">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11、街旁绿地 </w:t>
      </w:r>
    </w:p>
    <w:p w14:paraId="4AC2D07D">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位于城市道路用地之外，相对独立成片的绿地，包括街道广场绿地、小型沿街绿化用地等。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12、道路绿地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城市道路广场用地内的绿地。包括行道树绿带、分车绿带、交通岛绿地、交通广场和停车场绿地等。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13、居住绿地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城市居住用地内除社区公园之外的绿地。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14、滨河绿地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指沿江、河、湖等水体周围的自然式绿地。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15、分级养护管理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根据园林绿地所处位置的重要程度和养护管理水平的高低而将园林绿地的养护管理分成不同等级。 </w:t>
      </w:r>
      <w:r>
        <w:rPr>
          <w:rFonts w:hint="eastAsia" w:ascii="宋体" w:hAnsi="宋体" w:eastAsia="宋体" w:cs="宋体"/>
          <w:b w:val="0"/>
          <w:bCs/>
          <w:color w:val="auto"/>
          <w:kern w:val="0"/>
          <w:sz w:val="22"/>
          <w:szCs w:val="22"/>
          <w:highlight w:val="none"/>
        </w:rPr>
        <w:cr/>
      </w:r>
      <w:r>
        <w:rPr>
          <w:rFonts w:hint="eastAsia" w:ascii="宋体" w:hAnsi="宋体" w:eastAsia="宋体" w:cs="宋体"/>
          <w:b/>
          <w:bCs w:val="0"/>
          <w:color w:val="auto"/>
          <w:kern w:val="0"/>
          <w:sz w:val="22"/>
          <w:szCs w:val="22"/>
          <w:highlight w:val="none"/>
        </w:rPr>
        <w:t xml:space="preserve">二、城市园林绿化养护质量标准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1、城市园林绿化养护管理质量总体标准。</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1.1绿化养护技术措施完善，适时科学地实施养护植物及植物景观，基本达到设计要求，黄土不露天。资料档案管理科学有序。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 园林植物 </w:t>
      </w:r>
    </w:p>
    <w:p w14:paraId="762F41C9">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2.1 乔木 </w:t>
      </w:r>
    </w:p>
    <w:p w14:paraId="578B321F">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2.1.1 树冠完整美观，分支点合适，基本无枯枝败叶。主侧枝分布匀称形成最佳的叶镶嵌效果，内膛枝不乱。叶片大小、颜色正常，常绿乔木基本无黄叶，落叶乔木应及时清理落叶。开花乔木花朵繁茂色泽艳丽，不同品种乔木的生物习性得到展现。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2.1.2 应依据园林绿化功能的需要和设计的要求充分考虑乔木与生长环境的关系、调整树形、均衡树势。每年必须根据树龄及生长势强弱进行修剪，调整乔木的通风、透光、促使乔木的生长。乔木的修剪应以自然树形为主。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2.1.3 孤植乔木应形态突出，树形完美、树冠饱满，符合观赏要求树穴覆盖完整。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2.1.4古树、大树、名树和珍稀树应有档案和养护技术措施并按计划实施养护。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 行道树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2.2.1 冠形完整无缺株，应保持线路上乔木的整体形态和植物层次含器皿栽种绿地内无枯死株。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2.2.2 修枝及时排危修枝不得超出24小时，补栽及清理现场不得超出48小时，与架空线间距基本合理，长势旺盛树圈内无积水，树圈完好率90%以上。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 行道树中乔木的修剪除应按一般乔木要求操作外还应注意以下规定：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2.2.3.1 行道树的树型、冠幅、分枝点高度及冠下缘线应基本一致，高度应符合行道树的有关标准。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2.2.3.2 树木与架空线有矛盾时，应修剪树枝，使其与架空线保持安全距离。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2.2.3.3 交通路口和指示牌的树冠应符合交通管理部门的有关规定。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2.2.3.4 路灯和变压设备附近的树枝应与其保留出足够的安全距离。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2.3 灌木 </w:t>
      </w:r>
    </w:p>
    <w:p w14:paraId="4780E60E">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2.3.1树冠完整不缺向枝叶茂密生长健壮叶色正常。花灌木：株形丰满、正常开花、着花率高、开花繁茂、花色艳丽。色块灌木：丰满无残缺株、色块分明、层次突出、线条清晰流畅。自然式灌木无论片植、孤植、丛植和线性栽植均应在疏密、品种、高低错落及群体、线性、株及丛的整体与个体形态体现设计意图。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2.3.2 灌木的修剪应以自然树形为主。 </w:t>
      </w:r>
    </w:p>
    <w:p w14:paraId="12122DD9">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2.4 木本花卉修剪 </w:t>
      </w:r>
    </w:p>
    <w:p w14:paraId="3FA9679E">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2.4.1当年生枝条开花的在休眠期修剪。为控制树形及高度对生长健壮的枝条因树制宜的短截促发新枝。 </w:t>
      </w:r>
    </w:p>
    <w:p w14:paraId="2CE8EA18">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2.4.2 一年多次开花的，花落后应及时剪去残花，促使再次开花。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2.4.3 隔年生枝条开花的休眠期因树适当整形修剪。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2.4.4 多年生枝条开花应注意培育和保护老枝。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2.5 一、二年生草本花卉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花朵分布均匀花朵大小和数量正常生长健壮符合该品种的特点。维护株形并及时剪除残花、枯叶、残株。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2.6 多年生宿根、球根花卉生长健壮叶色、冠幅正常花朵大小、色泽正常花后休眠期按品种科学处理。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2.7草坪、草地 草种纯。草坪生长茂盛、叶色正常、平坦整洁修剪后无残留草屑剪口无明显撕裂现象。基本无秃斑、枯草层、杂草覆盖度达95%以上。及时更换补植被破坏或其他原因引起死亡的草坪草。草地无大型、恶性、缠绕性杂草、无明显影响景观面貌的杂草。 </w:t>
      </w:r>
    </w:p>
    <w:p w14:paraId="5747C39A">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2.8地被植物 </w:t>
      </w:r>
    </w:p>
    <w:p w14:paraId="417124AA">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2.8.1单植地被</w:t>
      </w:r>
    </w:p>
    <w:p w14:paraId="18601AD0">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无死株、群体景观效果好、季相变化明显。生长茂盛覆盖率为90%以上无空秃。无大型、恶性、缠绕性杂草，无明显影响景观面貌的杂草。有害生物受害率控制在10%以下。 </w:t>
      </w:r>
    </w:p>
    <w:p w14:paraId="66A66248">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2.8.2 混植地被 </w:t>
      </w:r>
    </w:p>
    <w:p w14:paraId="0E30EBC6">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无死株和残存枯花。生长茂盛，符合生态要求，覆盖率为90%以上无空秃。无大型、恶性、缠绕性杂草、无明显影响景观面貌的杂草、有害生物受害率控制在10%以下。 </w:t>
      </w:r>
    </w:p>
    <w:p w14:paraId="57289927">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2.9 藤蔓植物 </w:t>
      </w:r>
    </w:p>
    <w:p w14:paraId="2971C231">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2.9.1 根据其形态特征及生长习性合理立架建栅满足功能合乎要求。 </w:t>
      </w:r>
    </w:p>
    <w:p w14:paraId="212A0EDD">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2.9.2藤蔓植物修剪 </w:t>
      </w:r>
    </w:p>
    <w:p w14:paraId="4F46B852">
      <w:pPr>
        <w:widowControl/>
        <w:shd w:val="clear" w:color="auto"/>
        <w:spacing w:line="460" w:lineRule="exact"/>
        <w:ind w:firstLine="389" w:firstLineChars="177"/>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2.9.2.1吸附类藤木应在生长期或休眠期剪去未能吸附墙体而下垂的枝条。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2.9.2.2缠绕、依附类藤木根据生长势进行修剪，可适当疏剪过密枝条、清除枯死枝。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2.9.2.3生长于棚架的藤木在休眠期应疏剪影响通风透光的过密枝条、清除枯死枝。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 整形植物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2.10.1模纹图案植物轮廓清晰、色彩、层次明快、整齐美观全株枝叶丰满、满足业主要求，无残缺植株。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2.10.2自然式整形植物根据其形态特征及植物生理特性进行养护，其景观效果满足业主要求。枝叶茂密、生长健壮、形体美观基本无亮角、缺株。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2.10.3绿篱植物轮廓清楚、线条整齐、顶面平整、高度一致、整齐美观。开花植物开花期一致，修剪保持自然丰满。不露空缺、不露枝干、不露捆扎物。无缺株、无枯枝残花。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2.10.4 造型植物枝叶茂密、生长健壮、形体美观、轮廓清楚。表面平整、圆滑。不露空缺、不露枝干、不露捆扎物。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2.11花坛、花带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植物生长健壮、蓬径饱满、株高基本相等、色彩艳丽、层次分明、图案清晰、不露土、植株无缺株倒伏、基本无枯枝残花。开花期一致确保重大节日有花。与草坪交界处应边缘清晰线条流畅美观。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2.12花境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植株生长正常、枝叶茂盛、不露土。高低错落有序、季相变化明显基本无枯枝残花。花色彩鲜艳、观赏期长、观花花卉适时开花、观叶植物叶色正常。无明显有害生物危害，植物受害率控制在10%以下，无大型、恶性、缠绕性杂草无影响景观面貌的杂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2.13盆栽植物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容器完整清洁、容器外形、规格、色彩与植株协调。植株生长正常、健壮、枝叶繁茂、适时开花无枯枝残花、叶片清洁。基本无有害生物危害症状、无杂草。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 园林护坡植物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2.14.1草本类园林护坡植物养护管理参照草坪和多年生宿根花卉的养护管理要求。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2.14.2木本类园林护坡植物还应注意以下规定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2.14.2.1灌木类园林护坡植物的修剪应根据其生长特点，适当重剪使其树冠增加。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2.14.2.2藤蔓类园林护坡植物的修剪，悬垂类园林护坡植物应注意剪除影响美观的多余枝条，吸附类园林植物应及时剪除未能吸附墙体的枝条。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2.15 立交桥、高架桥等构筑物下园林植物。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2.15.1草本类园林植物养护管理参照草坪和多年生宿根花卉的养护管理要求。 </w:t>
      </w:r>
    </w:p>
    <w:p w14:paraId="3371F4B6">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2.15.2 木本类园林植物养护管理参照灌木的养护管理要求。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2.15.3 根据需要适时定期浇水。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 古树名木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2.16.1保持古树及周围环境的清洁。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2.16.2加强古树的病虫害防治工作。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2.16.3 因地制宜地设置围栏保护古树。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2.16.4 在古树根系分布范围内，严禁厨房或厕所等有污染气体、液体的设施和排放污水的渗沟。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2.16.5 严禁在树下设置临时设施、堆放污染古树根系、土壤的物品。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2.16.6 严禁在树体上钉钉子、绕铁丝、挂杂物或作为施工的支撑点。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2.16.7 严禁攀折、刮蹭和刻划树皮等伤害古树的行为。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2.16.8 有纪念意义和特殊观赏价值的古树，应保留其原貌对枯枝采取防腐处理。需修剪的应制定修剪方案，报主管部门批准。古树树体上的伤疤或空洞应及时填充修补防止进水。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2.16.9 古树树体及大枝有倾倒、劈裂或折断的可能时，应及时采取加固或支撑等保护措施。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2.16.10 如业主要求对高大树体安装避雷装置，以防雷击，则施工方必须服从，费用由业主方负责。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2.16.11古树复壮事先应制定严格的方案，报请主管部门审查经批准后方可实施。 </w:t>
      </w:r>
    </w:p>
    <w:p w14:paraId="271CCD0F">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2.16.12 古树移植工程必须事先制定施工技术方案，报请主管部门审查，经批准后由具有二级或二级以上的园林绿化施工资质的企业承担，并在园林监查部门监督下实施。移后要落实养护管理责任制及时制定养护方案，并进行跟踪管理，确保质量。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3、有害生物的防治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3.1 防治园林植物有害生物应贯彻“预防为主、综合防治”的方针。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3.2 无明显虫屎、虫网、园林树木有蛀干害虫为害的株树。</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不超过1%，园林树木的主干、主枝无明显的虫卵，每株虫食叶片不超过5%。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3.3  及时清理带病虫的落叶、杂草等，消灭病源、虫源，防止病、虫、草等扩散、蔓延。 </w:t>
      </w:r>
    </w:p>
    <w:p w14:paraId="5FF42177">
      <w:pPr>
        <w:widowControl/>
        <w:shd w:val="clear" w:color="auto"/>
        <w:spacing w:line="460" w:lineRule="exact"/>
        <w:ind w:firstLine="330" w:firstLineChars="1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4.  园林设施完整、安全，维护及时。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5.  绿地内环境整洁，无堆物、堆料、无明显杂草、植物残渣、落叶清理及时，无垃圾。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三、养护标准：</w:t>
      </w:r>
    </w:p>
    <w:p w14:paraId="540C04C0">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（1）公园、绿地绿化养管质量标准：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植物生长健壮、无缺株、枯死株，必须严格保护树木，花坛、地被植物生长茂盛。乔灌木、绿篱、木本地被植物修剪符合观花、观果、观叶、塑形要求。浇水、施肥、改土等措施效果良好，做到无杂草，及时采取措施防御各种自然灾害的影响，花坛、花带齐全，环境达到“整洁清新、花木繁茂、景色优美、意境深邃”的效果。</w:t>
      </w:r>
    </w:p>
    <w:p w14:paraId="0A6A4C88">
      <w:pPr>
        <w:widowControl/>
        <w:shd w:val="clear" w:color="auto"/>
        <w:spacing w:line="460" w:lineRule="exact"/>
        <w:ind w:firstLine="550" w:firstLineChars="2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病虫控制：以防为主、综合防治，已经发生的病虫害必须及时治理。 </w:t>
      </w:r>
    </w:p>
    <w:p w14:paraId="69D74A25">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（2）道路绿地绿化养管质量标准： </w:t>
      </w:r>
    </w:p>
    <w:p w14:paraId="1787DA84">
      <w:pPr>
        <w:widowControl/>
        <w:shd w:val="clear" w:color="auto"/>
        <w:tabs>
          <w:tab w:val="left" w:pos="540"/>
        </w:tabs>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树木长势良好、适时修剪、疏密得当，有较好的观赏效果。以乔木为主的树坛，其下应有灌木或地被植物，黄土不露天。树木种间株间生长空间与层次处理得当，整体观赏效果好。及时补栽死株、枯株。针叶树应保持明显的顶端优势，花灌木按时开花结果，整形树必须按观赏要求养护成一定形态。无大型野草、无缠绕性、攀援性杂草。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病虫控制：预防为主、综合防治。无明显病虫害。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(3)行道树养管质量标准：</w:t>
      </w:r>
    </w:p>
    <w:p w14:paraId="24A3DF18">
      <w:pPr>
        <w:widowControl/>
        <w:shd w:val="clear" w:color="auto"/>
        <w:tabs>
          <w:tab w:val="left" w:pos="540"/>
        </w:tabs>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树木生长正常无死树无缺株，枝下高、树高、冠幅应一致，整形修剪应符合要求，采取较完善的管护措施，树体无绑缚和钉物经常保持无树挂树穴内无杂草、无杂物，新补植树木根据需要设支护或护栏。</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病虫控制:预防为主、综合防治。无明显病虫害。 </w:t>
      </w:r>
    </w:p>
    <w:p w14:paraId="224C53D5">
      <w:pPr>
        <w:widowControl/>
        <w:shd w:val="clear" w:color="auto"/>
        <w:tabs>
          <w:tab w:val="left" w:pos="540"/>
        </w:tabs>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(4)居住绿地绿化养管质量标准：</w:t>
      </w:r>
    </w:p>
    <w:p w14:paraId="74E74264">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植物生长良好、无枯死株。草坪养管精细、基本无杂草。乔灌木、绿篱修剪合理。管护措施及时有效。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病虫控制：预防为主、综合防治。无明显病虫害。 </w:t>
      </w:r>
    </w:p>
    <w:p w14:paraId="06409FAF">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(5)滨河绿化养管质量标准： </w:t>
      </w:r>
    </w:p>
    <w:p w14:paraId="6A197CFB">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植物生长健壮、无缺株、枯死株。浇水、施肥、改土等措施效果良好及时采取措施防御各种自然灾害的影响。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病虫控制：以防为主、综合防治。已经发生的病虫害必须及时治理。 </w:t>
      </w:r>
    </w:p>
    <w:p w14:paraId="1B812306">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第一章 作业时间：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一、花坛保洁时间：全天候保洁。 </w:t>
      </w:r>
    </w:p>
    <w:p w14:paraId="436B1C75">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二、尘污冲洗时间每周三次及以上冲洗植物叶面尘污。</w:t>
      </w:r>
    </w:p>
    <w:p w14:paraId="6E793AD3">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三、病虫害防治打药和植物施肥时间根据病虫害发生规律和肥料类别确定避开行人车辆出行高峰，选在晴天进行。</w:t>
      </w:r>
    </w:p>
    <w:p w14:paraId="3252DF3B">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四、加强巡逻，市民自行砍伐树木、花坛种植蔬菜等毁绿行为，乙方要马上制止，处理后形成书面材料报建设局。</w:t>
      </w:r>
    </w:p>
    <w:p w14:paraId="7DB778E3">
      <w:pPr>
        <w:widowControl/>
        <w:shd w:val="clear" w:color="auto"/>
        <w:spacing w:line="460" w:lineRule="exact"/>
        <w:ind w:left="110" w:hanging="110" w:hangingChars="5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第二章 自然灾害和紧急任务的应急措施：</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一、随时做好管护范围的巡查工作，及时发现安全隐患。掌握天气变化情况，如遇特殊自然天气状况，大风5级以上、暴雨山洪、强降温降雨及霜冻，应提前作好防备工作。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二、人员保持24小时通讯畅通，接到险情通报后半小时内必须赶到现场开展抢险工作。 </w:t>
      </w:r>
    </w:p>
    <w:p w14:paraId="5CE2A998">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三、接到业主紧急任务、紧急事故的通知后，管护作业单位必须在规定时间组织人员赶赴现场开展并完成工作，不得以任何借口推脱或迟到，并无条件服从业主的工作安排。 </w:t>
      </w:r>
    </w:p>
    <w:p w14:paraId="237B78E4">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四、因树木倒伏、枝条断裂，影响到车辆行人安全通行的情况主干道1小时内，次干道2小时内必须完成抢险处置。清理出的弃渣堆放规顺，不得妨碍车辆行人的安全通行。主干道当日内清离现场，次干道最迟第二日内清离现场。 </w:t>
      </w:r>
    </w:p>
    <w:p w14:paraId="3EFD0DD5">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五、树木修剪：包含高空修剪，高枝剪等设备由施工方负责。</w:t>
      </w:r>
    </w:p>
    <w:p w14:paraId="1FB96DB0">
      <w:pPr>
        <w:widowControl/>
        <w:shd w:val="clear" w:color="auto"/>
        <w:tabs>
          <w:tab w:val="left" w:pos="540"/>
        </w:tabs>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第三章 安全作业及文明生产：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一、管护单位必须为作业工人统一配备醒目安全工作服，所有作业人员必须着工作服上班，并负责作业工人安全。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二、作业人员作业时应将作业工具摆放在安全的位置不能妨碍车辆行驶和行人安全。 </w:t>
      </w:r>
    </w:p>
    <w:p w14:paraId="4D9C87BB">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三、公路沿线作业必须在来车方向摆放警示标志，作业人员应注意来往车辆，确保人身安全。</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四、园林机具必须按照要求正确使用，避免因操作不当引起意外事故的发生。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五、对植物进行浇灌、喷施药物、肥料，应避免伤害行人。 </w:t>
      </w:r>
    </w:p>
    <w:p w14:paraId="1C154310">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六、作业时间内应讲礼貌、文明用语、不能同行人发生语言上的争吵。严禁酒后、穿拖鞋、赤膊上班。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七、因管护作业及抢险产生的弃渣堆放要符合不影响车辆、行人安全通行和不影响市容的原则。</w:t>
      </w:r>
    </w:p>
    <w:p w14:paraId="56F38E2E">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八、加强管护责任片区内所有设施，如堡坎、护坡等、植物特别是高大乔木的巡视、巡查工作。及时发现、汇报、处置、跟踪安全隐患，杜绝安全事故发生。 </w:t>
      </w:r>
      <w:r>
        <w:rPr>
          <w:rFonts w:hint="eastAsia" w:ascii="宋体" w:hAnsi="宋体" w:eastAsia="宋体" w:cs="宋体"/>
          <w:b w:val="0"/>
          <w:bCs/>
          <w:color w:val="auto"/>
          <w:kern w:val="0"/>
          <w:sz w:val="22"/>
          <w:szCs w:val="22"/>
          <w:highlight w:val="none"/>
        </w:rPr>
        <w:cr/>
      </w:r>
      <w:r>
        <w:rPr>
          <w:rFonts w:hint="eastAsia" w:ascii="宋体" w:hAnsi="宋体" w:eastAsia="宋体" w:cs="宋体"/>
          <w:b w:val="0"/>
          <w:bCs/>
          <w:color w:val="auto"/>
          <w:kern w:val="0"/>
          <w:sz w:val="22"/>
          <w:szCs w:val="22"/>
          <w:highlight w:val="none"/>
        </w:rPr>
        <w:t xml:space="preserve">    九、工作及时、高效、社会反映良好，不得因管理工作不到位引发上级问责、媒体曝光事件。</w:t>
      </w:r>
    </w:p>
    <w:p w14:paraId="7894CC88">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十、施工方负责安全事故全部责任，与业主无涉。</w:t>
      </w:r>
    </w:p>
    <w:p w14:paraId="081C476E">
      <w:pPr>
        <w:widowControl/>
        <w:shd w:val="clear" w:color="auto"/>
        <w:spacing w:line="460" w:lineRule="exact"/>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第四章 基础资料完整、详实： </w:t>
      </w:r>
    </w:p>
    <w:p w14:paraId="33F14E55">
      <w:pPr>
        <w:widowControl/>
        <w:shd w:val="clear" w:color="auto"/>
        <w:spacing w:line="460" w:lineRule="exact"/>
        <w:ind w:firstLine="440" w:firstLineChars="20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管护作业单位应做好管护工作记录、巡查记录及资料保管工作</w:t>
      </w:r>
      <w:r>
        <w:rPr>
          <w:rFonts w:hint="eastAsia" w:ascii="宋体" w:hAnsi="宋体" w:eastAsia="宋体" w:cs="宋体"/>
          <w:b w:val="0"/>
          <w:bCs/>
          <w:color w:val="auto"/>
          <w:kern w:val="0"/>
          <w:sz w:val="22"/>
          <w:szCs w:val="22"/>
          <w:highlight w:val="none"/>
          <w:lang w:eastAsia="zh-CN"/>
        </w:rPr>
        <w:t>，</w:t>
      </w:r>
      <w:r>
        <w:rPr>
          <w:rFonts w:hint="eastAsia" w:ascii="宋体" w:hAnsi="宋体" w:eastAsia="宋体" w:cs="宋体"/>
          <w:b w:val="0"/>
          <w:bCs/>
          <w:color w:val="auto"/>
          <w:kern w:val="0"/>
          <w:sz w:val="22"/>
          <w:szCs w:val="22"/>
          <w:highlight w:val="none"/>
        </w:rPr>
        <w:t xml:space="preserve">保证每项工作有据可查，保证管护工作有条不紊、落实到位。 </w:t>
      </w:r>
    </w:p>
    <w:p w14:paraId="35055C05">
      <w:pPr>
        <w:widowControl/>
        <w:shd w:val="clear" w:color="auto"/>
        <w:tabs>
          <w:tab w:val="left" w:pos="5520"/>
        </w:tabs>
        <w:spacing w:line="460" w:lineRule="exact"/>
        <w:ind w:right="56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本细则自        年        起实施。</w:t>
      </w:r>
    </w:p>
    <w:p w14:paraId="4A15E8E6">
      <w:pPr>
        <w:widowControl/>
        <w:shd w:val="clear" w:color="auto"/>
        <w:tabs>
          <w:tab w:val="left" w:pos="5520"/>
        </w:tabs>
        <w:spacing w:line="460" w:lineRule="exact"/>
        <w:ind w:right="560"/>
        <w:jc w:val="left"/>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 xml:space="preserve">        操作过程中依据实际情况进行的修改招标人以书面形式通知中标人。 </w:t>
      </w:r>
    </w:p>
    <w:p w14:paraId="090AC497">
      <w:pPr>
        <w:shd w:val="clear"/>
        <w:spacing w:line="360" w:lineRule="auto"/>
        <w:jc w:val="left"/>
        <w:rPr>
          <w:color w:val="auto"/>
          <w:highlight w:val="none"/>
        </w:rPr>
      </w:pPr>
    </w:p>
    <w:p w14:paraId="7476C9FA">
      <w:pPr>
        <w:shd w:val="clear"/>
        <w:autoSpaceDE w:val="0"/>
        <w:autoSpaceDN w:val="0"/>
        <w:snapToGrid w:val="0"/>
        <w:spacing w:line="420" w:lineRule="exact"/>
        <w:jc w:val="center"/>
        <w:rPr>
          <w:rFonts w:hint="eastAsia" w:hAnsi="宋体"/>
          <w:color w:val="auto"/>
          <w:sz w:val="36"/>
          <w:szCs w:val="36"/>
          <w:highlight w:val="none"/>
        </w:rPr>
      </w:pPr>
      <w:r>
        <w:rPr>
          <w:rFonts w:hint="eastAsia" w:hAnsi="宋体"/>
          <w:color w:val="auto"/>
          <w:sz w:val="36"/>
          <w:szCs w:val="36"/>
          <w:highlight w:val="none"/>
        </w:rPr>
        <w:t>第六部分    附件—投标文件格式</w:t>
      </w:r>
    </w:p>
    <w:p w14:paraId="5BDE1432">
      <w:pPr>
        <w:pStyle w:val="31"/>
        <w:shd w:val="clear"/>
        <w:snapToGrid w:val="0"/>
        <w:spacing w:line="500" w:lineRule="exact"/>
        <w:rPr>
          <w:rFonts w:hAnsi="宋体"/>
          <w:color w:val="auto"/>
          <w:sz w:val="30"/>
          <w:highlight w:val="none"/>
        </w:rPr>
      </w:pPr>
    </w:p>
    <w:p w14:paraId="0BBDB7DB">
      <w:pPr>
        <w:shd w:val="clear"/>
        <w:snapToGrid w:val="0"/>
        <w:spacing w:line="460" w:lineRule="atLeast"/>
        <w:jc w:val="center"/>
        <w:rPr>
          <w:rFonts w:hint="eastAsia"/>
          <w:color w:val="auto"/>
          <w:sz w:val="36"/>
          <w:highlight w:val="none"/>
        </w:rPr>
      </w:pPr>
      <w:r>
        <w:rPr>
          <w:rFonts w:hint="eastAsia"/>
          <w:color w:val="auto"/>
          <w:sz w:val="36"/>
          <w:highlight w:val="none"/>
        </w:rPr>
        <w:t>（未提供格式的由供应商自拟）</w:t>
      </w:r>
    </w:p>
    <w:p w14:paraId="6A83655E">
      <w:pPr>
        <w:shd w:val="clear"/>
        <w:spacing w:line="360" w:lineRule="auto"/>
        <w:ind w:firstLine="424" w:firstLineChars="151"/>
        <w:rPr>
          <w:rFonts w:ascii="仿宋" w:hAnsi="仿宋" w:eastAsia="仿宋"/>
          <w:b/>
          <w:color w:val="auto"/>
          <w:sz w:val="28"/>
          <w:szCs w:val="22"/>
          <w:highlight w:val="none"/>
        </w:rPr>
      </w:pPr>
    </w:p>
    <w:p w14:paraId="5E2E1C27">
      <w:pPr>
        <w:shd w:val="clear"/>
        <w:spacing w:line="360" w:lineRule="auto"/>
        <w:ind w:firstLine="424" w:firstLineChars="151"/>
        <w:rPr>
          <w:rFonts w:ascii="仿宋" w:hAnsi="仿宋" w:eastAsia="仿宋"/>
          <w:b/>
          <w:color w:val="auto"/>
          <w:sz w:val="28"/>
          <w:szCs w:val="22"/>
          <w:highlight w:val="none"/>
        </w:rPr>
      </w:pPr>
    </w:p>
    <w:p w14:paraId="21E1D803">
      <w:pPr>
        <w:shd w:val="clear"/>
        <w:spacing w:line="360" w:lineRule="auto"/>
        <w:ind w:firstLine="424" w:firstLineChars="151"/>
        <w:rPr>
          <w:rFonts w:ascii="仿宋" w:hAnsi="仿宋" w:eastAsia="仿宋"/>
          <w:b/>
          <w:color w:val="auto"/>
          <w:sz w:val="28"/>
          <w:szCs w:val="22"/>
          <w:highlight w:val="none"/>
        </w:rPr>
      </w:pPr>
      <w:r>
        <w:rPr>
          <w:rFonts w:ascii="仿宋" w:hAnsi="仿宋" w:eastAsia="仿宋"/>
          <w:b/>
          <w:color w:val="auto"/>
          <w:sz w:val="28"/>
          <w:szCs w:val="22"/>
          <w:highlight w:val="none"/>
        </w:rPr>
        <w:t>重要提示：</w:t>
      </w:r>
    </w:p>
    <w:p w14:paraId="00562C44">
      <w:pPr>
        <w:shd w:val="clea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（1）</w:t>
      </w:r>
      <w:r>
        <w:rPr>
          <w:rFonts w:hint="eastAsia" w:ascii="仿宋" w:hAnsi="仿宋" w:eastAsia="仿宋"/>
          <w:b/>
          <w:color w:val="auto"/>
          <w:sz w:val="28"/>
          <w:szCs w:val="28"/>
          <w:highlight w:val="none"/>
          <w:u w:val="single"/>
        </w:rPr>
        <w:t>本章节中有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14:paraId="04C02FD2">
      <w:pPr>
        <w:shd w:val="clea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（2）</w:t>
      </w:r>
      <w:r>
        <w:rPr>
          <w:rFonts w:hint="eastAsia" w:ascii="仿宋" w:hAnsi="仿宋" w:eastAsia="仿宋"/>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p>
    <w:p w14:paraId="7D7F9269">
      <w:pPr>
        <w:pStyle w:val="18"/>
        <w:shd w:val="clear"/>
        <w:rPr>
          <w:color w:val="auto"/>
          <w:highlight w:val="none"/>
        </w:rPr>
      </w:pPr>
      <w:bookmarkStart w:id="18" w:name="_Toc30408914"/>
      <w:bookmarkStart w:id="19" w:name="_Toc24550049"/>
    </w:p>
    <w:p w14:paraId="657CA870">
      <w:pPr>
        <w:pStyle w:val="18"/>
        <w:shd w:val="clear"/>
        <w:rPr>
          <w:color w:val="auto"/>
          <w:highlight w:val="none"/>
        </w:rPr>
      </w:pPr>
    </w:p>
    <w:p w14:paraId="2695FD1D">
      <w:pPr>
        <w:pStyle w:val="18"/>
        <w:shd w:val="clear"/>
        <w:rPr>
          <w:color w:val="auto"/>
          <w:highlight w:val="none"/>
        </w:rPr>
      </w:pPr>
    </w:p>
    <w:p w14:paraId="23CBDBF7">
      <w:pPr>
        <w:pStyle w:val="18"/>
        <w:shd w:val="clear"/>
        <w:rPr>
          <w:color w:val="auto"/>
          <w:highlight w:val="none"/>
        </w:rPr>
      </w:pPr>
    </w:p>
    <w:p w14:paraId="4633A155">
      <w:pPr>
        <w:pStyle w:val="18"/>
        <w:shd w:val="clear"/>
        <w:rPr>
          <w:color w:val="auto"/>
          <w:highlight w:val="none"/>
        </w:rPr>
      </w:pPr>
    </w:p>
    <w:p w14:paraId="32BB20A9">
      <w:pPr>
        <w:shd w:val="clear"/>
        <w:rPr>
          <w:color w:val="auto"/>
          <w:highlight w:val="none"/>
        </w:rPr>
      </w:pPr>
    </w:p>
    <w:p w14:paraId="0DD943FE">
      <w:pPr>
        <w:pStyle w:val="15"/>
        <w:shd w:val="clear"/>
        <w:rPr>
          <w:color w:val="auto"/>
          <w:highlight w:val="none"/>
        </w:rPr>
      </w:pPr>
    </w:p>
    <w:p w14:paraId="63E7CEF0">
      <w:pPr>
        <w:pStyle w:val="24"/>
        <w:shd w:val="clear"/>
        <w:rPr>
          <w:color w:val="auto"/>
          <w:highlight w:val="none"/>
        </w:rPr>
      </w:pPr>
    </w:p>
    <w:bookmarkEnd w:id="18"/>
    <w:bookmarkEnd w:id="19"/>
    <w:p w14:paraId="1713D25F">
      <w:pPr>
        <w:pStyle w:val="18"/>
        <w:shd w:val="clear"/>
        <w:rPr>
          <w:rFonts w:hint="eastAsia"/>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p>
    <w:p w14:paraId="29D6F8B7">
      <w:pPr>
        <w:pStyle w:val="19"/>
        <w:shd w:val="clear"/>
        <w:rPr>
          <w:rFonts w:hint="eastAsia"/>
          <w:color w:val="auto"/>
          <w:highlight w:val="none"/>
        </w:rPr>
      </w:pPr>
      <w:r>
        <w:rPr>
          <w:rFonts w:hint="eastAsia"/>
          <w:color w:val="auto"/>
          <w:highlight w:val="none"/>
        </w:rPr>
        <w:t>1.1 “资格文件”封面</w:t>
      </w:r>
    </w:p>
    <w:p w14:paraId="35842B40">
      <w:pPr>
        <w:shd w:val="clear"/>
        <w:spacing w:line="360" w:lineRule="auto"/>
        <w:jc w:val="right"/>
        <w:rPr>
          <w:rFonts w:ascii="Arial" w:hAnsi="Arial" w:eastAsia="新宋体"/>
          <w:b/>
          <w:color w:val="auto"/>
          <w:sz w:val="32"/>
          <w:szCs w:val="22"/>
          <w:highlight w:val="none"/>
        </w:rPr>
      </w:pPr>
    </w:p>
    <w:p w14:paraId="5862B66B">
      <w:pPr>
        <w:pStyle w:val="15"/>
        <w:shd w:val="clear"/>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2025年度鳌江镇苗木养护、补植、绿地修复项目</w:t>
      </w:r>
    </w:p>
    <w:p w14:paraId="63379421">
      <w:pPr>
        <w:shd w:val="clear"/>
        <w:spacing w:line="360" w:lineRule="auto"/>
        <w:jc w:val="center"/>
        <w:rPr>
          <w:rFonts w:ascii="Arial" w:hAnsi="Arial" w:eastAsia="新宋体"/>
          <w:b/>
          <w:color w:val="auto"/>
          <w:sz w:val="52"/>
          <w:szCs w:val="22"/>
          <w:highlight w:val="none"/>
        </w:rPr>
      </w:pPr>
    </w:p>
    <w:p w14:paraId="01882064">
      <w:pPr>
        <w:shd w:val="clea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6D711499">
      <w:pPr>
        <w:shd w:val="clea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（资格文件）</w:t>
      </w:r>
    </w:p>
    <w:p w14:paraId="688D058E">
      <w:pPr>
        <w:shd w:val="clear"/>
        <w:spacing w:line="360" w:lineRule="auto"/>
        <w:jc w:val="center"/>
        <w:rPr>
          <w:rFonts w:ascii="华文中宋" w:hAnsi="华文中宋" w:eastAsia="华文中宋"/>
          <w:b/>
          <w:color w:val="auto"/>
          <w:sz w:val="52"/>
          <w:szCs w:val="22"/>
          <w:highlight w:val="none"/>
        </w:rPr>
      </w:pPr>
    </w:p>
    <w:tbl>
      <w:tblPr>
        <w:tblStyle w:val="13"/>
        <w:tblW w:w="0" w:type="auto"/>
        <w:tblInd w:w="142" w:type="dxa"/>
        <w:tblLayout w:type="fixed"/>
        <w:tblCellMar>
          <w:top w:w="0" w:type="dxa"/>
          <w:left w:w="108" w:type="dxa"/>
          <w:bottom w:w="0" w:type="dxa"/>
          <w:right w:w="108" w:type="dxa"/>
        </w:tblCellMar>
      </w:tblPr>
      <w:tblGrid>
        <w:gridCol w:w="8789"/>
      </w:tblGrid>
      <w:tr w14:paraId="221BD9DA">
        <w:tblPrEx>
          <w:tblCellMar>
            <w:top w:w="0" w:type="dxa"/>
            <w:left w:w="108" w:type="dxa"/>
            <w:bottom w:w="0" w:type="dxa"/>
            <w:right w:w="108" w:type="dxa"/>
          </w:tblCellMar>
        </w:tblPrEx>
        <w:trPr>
          <w:trHeight w:val="680" w:hRule="atLeast"/>
        </w:trPr>
        <w:tc>
          <w:tcPr>
            <w:tcW w:w="8789" w:type="dxa"/>
            <w:vAlign w:val="center"/>
          </w:tcPr>
          <w:p w14:paraId="0B6528DE">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689F4E95">
        <w:tblPrEx>
          <w:tblCellMar>
            <w:top w:w="0" w:type="dxa"/>
            <w:left w:w="108" w:type="dxa"/>
            <w:bottom w:w="0" w:type="dxa"/>
            <w:right w:w="108" w:type="dxa"/>
          </w:tblCellMar>
        </w:tblPrEx>
        <w:trPr>
          <w:trHeight w:val="680" w:hRule="atLeast"/>
        </w:trPr>
        <w:tc>
          <w:tcPr>
            <w:tcW w:w="8789" w:type="dxa"/>
            <w:vAlign w:val="center"/>
          </w:tcPr>
          <w:p w14:paraId="673755DF">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76C9A524">
        <w:tblPrEx>
          <w:tblCellMar>
            <w:top w:w="0" w:type="dxa"/>
            <w:left w:w="108" w:type="dxa"/>
            <w:bottom w:w="0" w:type="dxa"/>
            <w:right w:w="108" w:type="dxa"/>
          </w:tblCellMar>
        </w:tblPrEx>
        <w:trPr>
          <w:trHeight w:val="680" w:hRule="atLeast"/>
        </w:trPr>
        <w:tc>
          <w:tcPr>
            <w:tcW w:w="8789" w:type="dxa"/>
            <w:vAlign w:val="center"/>
          </w:tcPr>
          <w:p w14:paraId="5FCE6ADB">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50D55FB8">
        <w:tblPrEx>
          <w:tblCellMar>
            <w:top w:w="0" w:type="dxa"/>
            <w:left w:w="108" w:type="dxa"/>
            <w:bottom w:w="0" w:type="dxa"/>
            <w:right w:w="108" w:type="dxa"/>
          </w:tblCellMar>
        </w:tblPrEx>
        <w:trPr>
          <w:trHeight w:val="680" w:hRule="atLeast"/>
        </w:trPr>
        <w:tc>
          <w:tcPr>
            <w:tcW w:w="8789" w:type="dxa"/>
            <w:vAlign w:val="center"/>
          </w:tcPr>
          <w:p w14:paraId="2A2591F2">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762C1C49">
        <w:tblPrEx>
          <w:tblCellMar>
            <w:top w:w="0" w:type="dxa"/>
            <w:left w:w="108" w:type="dxa"/>
            <w:bottom w:w="0" w:type="dxa"/>
            <w:right w:w="108" w:type="dxa"/>
          </w:tblCellMar>
        </w:tblPrEx>
        <w:trPr>
          <w:trHeight w:val="680" w:hRule="atLeast"/>
        </w:trPr>
        <w:tc>
          <w:tcPr>
            <w:tcW w:w="8789" w:type="dxa"/>
            <w:vAlign w:val="center"/>
          </w:tcPr>
          <w:p w14:paraId="2996ABBB">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bl>
    <w:p w14:paraId="7021BAF4">
      <w:pPr>
        <w:pStyle w:val="19"/>
        <w:shd w:val="clear"/>
        <w:rPr>
          <w:rFonts w:ascii="Times New Roman" w:hAnsi="Times New Roman"/>
          <w:color w:val="auto"/>
          <w:highlight w:val="none"/>
        </w:rPr>
      </w:pPr>
      <w:r>
        <w:rPr>
          <w:rFonts w:ascii="Times New Roman" w:hAnsi="Times New Roman"/>
          <w:color w:val="auto"/>
          <w:highlight w:val="none"/>
        </w:rPr>
        <w:br w:type="page"/>
      </w:r>
      <w:r>
        <w:rPr>
          <w:rFonts w:hint="eastAsia"/>
          <w:color w:val="auto"/>
          <w:highlight w:val="none"/>
        </w:rPr>
        <w:t>1.2供应商资格审查声明函</w:t>
      </w:r>
    </w:p>
    <w:p w14:paraId="23B8434F">
      <w:pPr>
        <w:shd w:val="clear"/>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供应商资格审查声明函</w:t>
      </w:r>
    </w:p>
    <w:p w14:paraId="0FF8F274">
      <w:pPr>
        <w:shd w:val="clear"/>
        <w:spacing w:line="360" w:lineRule="auto"/>
        <w:rPr>
          <w:rFonts w:hint="eastAsia" w:ascii="仿宋" w:hAnsi="仿宋" w:eastAsia="仿宋"/>
          <w:b/>
          <w:color w:val="auto"/>
          <w:sz w:val="32"/>
          <w:szCs w:val="28"/>
          <w:highlight w:val="none"/>
          <w:u w:val="single"/>
          <w:lang w:eastAsia="zh-CN"/>
        </w:rPr>
      </w:pPr>
      <w:r>
        <w:rPr>
          <w:rFonts w:hint="eastAsia" w:ascii="仿宋" w:hAnsi="仿宋" w:eastAsia="仿宋"/>
          <w:b/>
          <w:color w:val="auto"/>
          <w:sz w:val="32"/>
          <w:szCs w:val="28"/>
          <w:highlight w:val="none"/>
          <w:u w:val="single"/>
          <w:lang w:eastAsia="zh-CN"/>
        </w:rPr>
        <w:t>平阳县新鳌城市建设有限公司</w:t>
      </w:r>
      <w:r>
        <w:rPr>
          <w:rFonts w:hint="eastAsia" w:ascii="仿宋" w:hAnsi="仿宋" w:eastAsia="仿宋"/>
          <w:b/>
          <w:color w:val="auto"/>
          <w:sz w:val="32"/>
          <w:szCs w:val="28"/>
          <w:highlight w:val="none"/>
          <w:u w:val="single"/>
        </w:rPr>
        <w:t xml:space="preserve"> </w:t>
      </w:r>
      <w:r>
        <w:rPr>
          <w:rFonts w:hint="eastAsia" w:ascii="仿宋" w:hAnsi="仿宋" w:eastAsia="仿宋"/>
          <w:b/>
          <w:color w:val="auto"/>
          <w:w w:val="90"/>
          <w:sz w:val="28"/>
          <w:szCs w:val="22"/>
          <w:highlight w:val="none"/>
          <w:u w:val="single"/>
        </w:rPr>
        <w:t>：</w:t>
      </w:r>
    </w:p>
    <w:p w14:paraId="23E2857D">
      <w:pPr>
        <w:pStyle w:val="41"/>
        <w:keepNext w:val="0"/>
        <w:keepLines w:val="0"/>
        <w:pageBreakBefore w:val="0"/>
        <w:shd w:val="clear" w:color="auto"/>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（供应商名称）</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参与</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 xml:space="preserve">  （项目名称）   </w:t>
      </w:r>
      <w:r>
        <w:rPr>
          <w:rFonts w:hint="eastAsia" w:ascii="宋体" w:hAnsi="宋体" w:eastAsia="宋体"/>
          <w:color w:val="auto"/>
          <w:sz w:val="22"/>
          <w:szCs w:val="22"/>
          <w:highlight w:val="none"/>
        </w:rPr>
        <w:t>政府采购活动，针对</w:t>
      </w:r>
      <w:r>
        <w:rPr>
          <w:rFonts w:hint="eastAsia" w:ascii="宋体" w:hAnsi="宋体"/>
          <w:color w:val="auto"/>
          <w:sz w:val="22"/>
          <w:szCs w:val="22"/>
          <w:highlight w:val="none"/>
        </w:rPr>
        <w:t>《平阳县县属国有企业采购管理办法（试行）》第十四条</w:t>
      </w:r>
      <w:r>
        <w:rPr>
          <w:rFonts w:hint="eastAsia" w:ascii="宋体" w:hAnsi="宋体" w:eastAsia="宋体"/>
          <w:color w:val="auto"/>
          <w:sz w:val="22"/>
          <w:szCs w:val="22"/>
          <w:highlight w:val="none"/>
        </w:rPr>
        <w:t>所述条件做如下承诺：</w:t>
      </w:r>
    </w:p>
    <w:p w14:paraId="33251D8F">
      <w:pPr>
        <w:pStyle w:val="41"/>
        <w:keepNext w:val="0"/>
        <w:keepLines w:val="0"/>
        <w:pageBreakBefore w:val="0"/>
        <w:numPr>
          <w:ilvl w:val="0"/>
          <w:numId w:val="12"/>
        </w:numPr>
        <w:shd w:val="clear" w:color="auto"/>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我方</w:t>
      </w:r>
      <w:r>
        <w:rPr>
          <w:rFonts w:hint="eastAsia" w:ascii="宋体" w:hAnsi="宋体" w:eastAsia="宋体"/>
          <w:color w:val="auto"/>
          <w:sz w:val="22"/>
          <w:szCs w:val="22"/>
          <w:highlight w:val="none"/>
        </w:rPr>
        <w:t>具有独立承担民事责任的能力；</w:t>
      </w:r>
    </w:p>
    <w:p w14:paraId="2CF06604">
      <w:pPr>
        <w:pStyle w:val="41"/>
        <w:keepNext w:val="0"/>
        <w:keepLines w:val="0"/>
        <w:pageBreakBefore w:val="0"/>
        <w:numPr>
          <w:ilvl w:val="0"/>
          <w:numId w:val="12"/>
        </w:numPr>
        <w:shd w:val="clear" w:color="auto"/>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我方具有良好的商业信誉和健全的财务会计制度；</w:t>
      </w:r>
    </w:p>
    <w:p w14:paraId="0E51B057">
      <w:pPr>
        <w:pStyle w:val="41"/>
        <w:keepNext w:val="0"/>
        <w:keepLines w:val="0"/>
        <w:pageBreakBefore w:val="0"/>
        <w:numPr>
          <w:ilvl w:val="0"/>
          <w:numId w:val="12"/>
        </w:numPr>
        <w:shd w:val="clear" w:color="auto"/>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我方具有履行合同所必需的设备和专业技术、售后保障等能力；</w:t>
      </w:r>
    </w:p>
    <w:p w14:paraId="1DF50AE0">
      <w:pPr>
        <w:pStyle w:val="41"/>
        <w:keepNext w:val="0"/>
        <w:keepLines w:val="0"/>
        <w:pageBreakBefore w:val="0"/>
        <w:numPr>
          <w:ilvl w:val="0"/>
          <w:numId w:val="12"/>
        </w:numPr>
        <w:shd w:val="clear" w:color="auto"/>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我方有依法缴纳税收和社会保障资金的良好记录；</w:t>
      </w:r>
    </w:p>
    <w:p w14:paraId="4D9787FC">
      <w:pPr>
        <w:pStyle w:val="41"/>
        <w:keepNext w:val="0"/>
        <w:keepLines w:val="0"/>
        <w:pageBreakBefore w:val="0"/>
        <w:numPr>
          <w:ilvl w:val="0"/>
          <w:numId w:val="12"/>
        </w:numPr>
        <w:shd w:val="clear" w:color="auto"/>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r>
        <w:rPr>
          <w:rFonts w:hint="eastAsia" w:ascii="宋体" w:hAnsi="宋体" w:eastAsia="宋体"/>
          <w:color w:val="auto"/>
          <w:sz w:val="22"/>
          <w:szCs w:val="22"/>
          <w:highlight w:val="none"/>
          <w:lang w:eastAsia="zh-CN"/>
        </w:rPr>
        <w:t>。</w:t>
      </w:r>
    </w:p>
    <w:p w14:paraId="7EBE6F30">
      <w:pPr>
        <w:pStyle w:val="41"/>
        <w:keepNext w:val="0"/>
        <w:keepLines w:val="0"/>
        <w:pageBreakBefore w:val="0"/>
        <w:numPr>
          <w:ilvl w:val="0"/>
          <w:numId w:val="12"/>
        </w:numPr>
        <w:shd w:val="clear" w:color="auto"/>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我方与参加本次项目同一合同项下政府采购活动的其他供应商不存在单位负责人为同一人或者直接控股、管理关系</w:t>
      </w:r>
      <w:r>
        <w:rPr>
          <w:rFonts w:hint="eastAsia" w:ascii="宋体" w:hAnsi="宋体" w:eastAsia="宋体"/>
          <w:color w:val="auto"/>
          <w:sz w:val="22"/>
          <w:szCs w:val="22"/>
          <w:highlight w:val="none"/>
          <w:lang w:eastAsia="zh-CN"/>
        </w:rPr>
        <w:t>。</w:t>
      </w:r>
    </w:p>
    <w:p w14:paraId="79711B4B">
      <w:pPr>
        <w:pStyle w:val="41"/>
        <w:keepNext w:val="0"/>
        <w:keepLines w:val="0"/>
        <w:pageBreakBefore w:val="0"/>
        <w:numPr>
          <w:ilvl w:val="0"/>
          <w:numId w:val="12"/>
        </w:numPr>
        <w:shd w:val="clear" w:color="auto"/>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我方未被“信用中国”（www.creditchina.gov.cn）、中国政府采购网（www.ccgp.gov.cn）列入失信被执行人名单、重大税收违法案件当事人名单、政府采购严重违法失信行为记录名单</w:t>
      </w:r>
    </w:p>
    <w:p w14:paraId="7263197C">
      <w:pPr>
        <w:pStyle w:val="41"/>
        <w:keepNext w:val="0"/>
        <w:keepLines w:val="0"/>
        <w:pageBreakBefore w:val="0"/>
        <w:shd w:val="clear"/>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我方对上述承诺内容的真实性负责。我公司郑重声明，我公司参加</w:t>
      </w:r>
      <w:r>
        <w:rPr>
          <w:rFonts w:hint="eastAsia" w:ascii="宋体" w:hAnsi="宋体" w:eastAsia="宋体"/>
          <w:color w:val="auto"/>
          <w:sz w:val="22"/>
          <w:szCs w:val="22"/>
          <w:highlight w:val="none"/>
          <w:u w:val="none"/>
          <w:lang w:eastAsia="zh-CN"/>
        </w:rPr>
        <w:t>本次</w:t>
      </w:r>
      <w:r>
        <w:rPr>
          <w:rFonts w:hint="eastAsia" w:ascii="宋体" w:hAnsi="宋体" w:eastAsia="宋体"/>
          <w:color w:val="auto"/>
          <w:sz w:val="22"/>
          <w:szCs w:val="22"/>
          <w:highlight w:val="none"/>
        </w:rPr>
        <w:t>政府采购活动中所提交的《资格文件》所有内容真实、有效，不存在提供虚假材料的行为。如有违反，愿承担一切责任。如有虚假，将依法承担相应责任。</w:t>
      </w:r>
    </w:p>
    <w:p w14:paraId="76220F44">
      <w:pPr>
        <w:keepNext w:val="0"/>
        <w:keepLines w:val="0"/>
        <w:pageBreakBefore w:val="0"/>
        <w:shd w:val="clear"/>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供应商名称（盖章）：</w:t>
      </w:r>
      <w:r>
        <w:rPr>
          <w:rFonts w:hint="eastAsia" w:ascii="宋体" w:hAnsi="宋体" w:eastAsia="宋体"/>
          <w:color w:val="auto"/>
          <w:w w:val="90"/>
          <w:sz w:val="22"/>
          <w:szCs w:val="22"/>
          <w:highlight w:val="none"/>
        </w:rPr>
        <w:t>__________________________________________</w:t>
      </w:r>
    </w:p>
    <w:p w14:paraId="7073B695">
      <w:pPr>
        <w:keepNext w:val="0"/>
        <w:keepLines w:val="0"/>
        <w:pageBreakBefore w:val="0"/>
        <w:shd w:val="clear"/>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法定代表人或其授权代表（签字或签章）：</w:t>
      </w:r>
      <w:r>
        <w:rPr>
          <w:rFonts w:hint="eastAsia" w:ascii="宋体" w:hAnsi="宋体" w:eastAsia="宋体"/>
          <w:color w:val="auto"/>
          <w:w w:val="90"/>
          <w:sz w:val="22"/>
          <w:szCs w:val="22"/>
          <w:highlight w:val="none"/>
        </w:rPr>
        <w:t>______________________</w:t>
      </w:r>
    </w:p>
    <w:p w14:paraId="7002019E">
      <w:pPr>
        <w:pStyle w:val="19"/>
        <w:shd w:val="clea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日期：</w:t>
      </w:r>
      <w:r>
        <w:rPr>
          <w:rFonts w:hint="eastAsia" w:ascii="宋体" w:hAnsi="宋体" w:eastAsia="宋体"/>
          <w:color w:val="auto"/>
          <w:w w:val="90"/>
          <w:sz w:val="22"/>
          <w:szCs w:val="22"/>
          <w:highlight w:val="none"/>
        </w:rPr>
        <w:t>________年____月____日</w:t>
      </w:r>
      <w:r>
        <w:rPr>
          <w:rFonts w:hint="eastAsia" w:ascii="宋体" w:hAnsi="宋体"/>
          <w:color w:val="auto"/>
          <w:highlight w:val="none"/>
        </w:rPr>
        <w:br w:type="page"/>
      </w:r>
      <w:r>
        <w:rPr>
          <w:rFonts w:hint="eastAsia"/>
          <w:color w:val="auto"/>
          <w:highlight w:val="none"/>
        </w:rPr>
        <w:t>1.3具有独立承担民事责任能力的证明材料</w:t>
      </w:r>
    </w:p>
    <w:p w14:paraId="70E5FF34">
      <w:pPr>
        <w:shd w:val="clear"/>
        <w:spacing w:line="360" w:lineRule="auto"/>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13"/>
        <w:tblW w:w="0" w:type="auto"/>
        <w:tblInd w:w="-108"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9145"/>
      </w:tblGrid>
      <w:tr w14:paraId="378A82BB">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10874" w:hRule="atLeast"/>
        </w:trPr>
        <w:tc>
          <w:tcPr>
            <w:tcW w:w="9145" w:type="dxa"/>
            <w:vAlign w:val="center"/>
          </w:tcPr>
          <w:p w14:paraId="2D42E02E">
            <w:pPr>
              <w:shd w:val="clea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资格要求：具有独立承担民事责任能力</w:t>
            </w:r>
          </w:p>
          <w:p w14:paraId="07BCBC77">
            <w:pPr>
              <w:shd w:val="clear"/>
              <w:spacing w:line="276" w:lineRule="auto"/>
              <w:rPr>
                <w:rFonts w:ascii="仿宋" w:hAnsi="仿宋" w:eastAsia="仿宋"/>
                <w:b/>
                <w:color w:val="auto"/>
                <w:sz w:val="22"/>
                <w:szCs w:val="28"/>
                <w:highlight w:val="none"/>
              </w:rPr>
            </w:pPr>
          </w:p>
          <w:p w14:paraId="13681FA7">
            <w:pPr>
              <w:shd w:val="clea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u w:val="single"/>
              </w:rPr>
              <w:t>企业营业执照</w:t>
            </w:r>
            <w:r>
              <w:rPr>
                <w:rFonts w:hint="eastAsia" w:ascii="仿宋" w:hAnsi="仿宋" w:eastAsia="仿宋"/>
                <w:color w:val="auto"/>
                <w:sz w:val="22"/>
                <w:szCs w:val="28"/>
                <w:highlight w:val="none"/>
              </w:rPr>
              <w:t>（提供复制件加盖供应商公章）或</w:t>
            </w:r>
            <w:r>
              <w:rPr>
                <w:rFonts w:hint="eastAsia" w:ascii="仿宋" w:hAnsi="仿宋" w:eastAsia="仿宋"/>
                <w:b/>
                <w:color w:val="auto"/>
                <w:sz w:val="22"/>
                <w:szCs w:val="28"/>
                <w:highlight w:val="none"/>
                <w:u w:val="single"/>
              </w:rPr>
              <w:t>供应商为依法允许经营的事业单位的，应提交事业单位法人证书</w:t>
            </w:r>
            <w:r>
              <w:rPr>
                <w:rFonts w:hint="eastAsia" w:ascii="仿宋" w:hAnsi="仿宋" w:eastAsia="仿宋"/>
                <w:color w:val="auto"/>
                <w:sz w:val="22"/>
                <w:szCs w:val="28"/>
                <w:highlight w:val="none"/>
              </w:rPr>
              <w:t>（提供复制件加盖供应商公章）</w:t>
            </w:r>
          </w:p>
          <w:p w14:paraId="163DB677">
            <w:pPr>
              <w:shd w:val="clear"/>
              <w:spacing w:line="276" w:lineRule="auto"/>
              <w:rPr>
                <w:rFonts w:ascii="仿宋" w:hAnsi="仿宋" w:eastAsia="仿宋"/>
                <w:color w:val="auto"/>
                <w:sz w:val="22"/>
                <w:szCs w:val="28"/>
                <w:highlight w:val="none"/>
              </w:rPr>
            </w:pPr>
          </w:p>
          <w:p w14:paraId="4C60BE2A">
            <w:pPr>
              <w:shd w:val="clear"/>
              <w:spacing w:line="360" w:lineRule="auto"/>
              <w:rPr>
                <w:rFonts w:hint="eastAsia" w:ascii="仿宋" w:hAnsi="仿宋" w:eastAsia="仿宋"/>
                <w:color w:val="auto"/>
                <w:sz w:val="22"/>
                <w:szCs w:val="28"/>
                <w:highlight w:val="none"/>
              </w:rPr>
            </w:pPr>
            <w:r>
              <w:rPr>
                <w:rFonts w:hint="eastAsia" w:ascii="仿宋" w:hAnsi="仿宋" w:eastAsia="仿宋"/>
                <w:color w:val="auto"/>
                <w:sz w:val="22"/>
                <w:szCs w:val="28"/>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r>
    </w:tbl>
    <w:p w14:paraId="4DAB8243">
      <w:pPr>
        <w:shd w:val="clear"/>
        <w:spacing w:line="360" w:lineRule="auto"/>
        <w:rPr>
          <w:rFonts w:ascii="Arial" w:hAnsi="Arial" w:eastAsia="新宋体"/>
          <w:i/>
          <w:color w:val="auto"/>
          <w:sz w:val="22"/>
          <w:szCs w:val="22"/>
          <w:highlight w:val="none"/>
        </w:rPr>
      </w:pPr>
    </w:p>
    <w:p w14:paraId="16D42459">
      <w:pPr>
        <w:shd w:val="clear"/>
        <w:rPr>
          <w:color w:val="auto"/>
          <w:highlight w:val="none"/>
        </w:rPr>
      </w:pPr>
    </w:p>
    <w:p w14:paraId="3DCE09B8">
      <w:pPr>
        <w:shd w:val="clear" w:color="auto"/>
        <w:snapToGrid w:val="0"/>
        <w:spacing w:line="360" w:lineRule="auto"/>
        <w:jc w:val="both"/>
        <w:rPr>
          <w:rFonts w:ascii="Arial" w:hAnsi="新宋体" w:eastAsia="新宋体"/>
          <w:color w:val="auto"/>
          <w:sz w:val="22"/>
          <w:szCs w:val="22"/>
          <w:highlight w:val="none"/>
        </w:rPr>
      </w:pPr>
      <w:r>
        <w:rPr>
          <w:rFonts w:ascii="Arial" w:hAnsi="新宋体" w:eastAsia="新宋体"/>
          <w:color w:val="auto"/>
          <w:sz w:val="22"/>
          <w:szCs w:val="22"/>
          <w:highlight w:val="none"/>
        </w:rPr>
        <w:br w:type="page"/>
      </w:r>
      <w:r>
        <w:rPr>
          <w:rFonts w:hint="eastAsia"/>
          <w:b/>
          <w:bCs/>
          <w:color w:val="auto"/>
          <w:sz w:val="28"/>
          <w:szCs w:val="36"/>
          <w:highlight w:val="none"/>
        </w:rPr>
        <w:t>二、“报价文件</w:t>
      </w:r>
      <w:r>
        <w:rPr>
          <w:b/>
          <w:bCs/>
          <w:color w:val="auto"/>
          <w:sz w:val="28"/>
          <w:szCs w:val="36"/>
          <w:highlight w:val="none"/>
        </w:rPr>
        <w:t>”</w:t>
      </w:r>
      <w:r>
        <w:rPr>
          <w:rFonts w:hint="eastAsia"/>
          <w:b/>
          <w:bCs/>
          <w:color w:val="auto"/>
          <w:sz w:val="28"/>
          <w:szCs w:val="36"/>
          <w:highlight w:val="none"/>
        </w:rPr>
        <w:t>格式</w:t>
      </w:r>
    </w:p>
    <w:p w14:paraId="5118E423">
      <w:pPr>
        <w:pStyle w:val="20"/>
        <w:shd w:val="clear"/>
        <w:rPr>
          <w:rFonts w:hint="eastAsia"/>
          <w:color w:val="auto"/>
          <w:highlight w:val="none"/>
        </w:rPr>
      </w:pPr>
      <w:r>
        <w:rPr>
          <w:rFonts w:hint="eastAsia"/>
          <w:color w:val="auto"/>
          <w:highlight w:val="none"/>
        </w:rPr>
        <w:t>2.1 “报价文件”封面</w:t>
      </w:r>
    </w:p>
    <w:p w14:paraId="3082E100">
      <w:pPr>
        <w:shd w:val="clea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2025年度鳌江镇苗木养护、补植、绿地修复项目（</w:t>
      </w:r>
      <w:r>
        <w:rPr>
          <w:rFonts w:hint="eastAsia" w:ascii="华文中宋" w:hAnsi="华文中宋" w:eastAsia="华文中宋"/>
          <w:color w:val="auto"/>
          <w:sz w:val="52"/>
          <w:szCs w:val="18"/>
          <w:highlight w:val="none"/>
          <w:lang w:val="en-US" w:eastAsia="zh-CN"/>
        </w:rPr>
        <w:t xml:space="preserve">标项    </w:t>
      </w:r>
      <w:r>
        <w:rPr>
          <w:rFonts w:hint="eastAsia" w:ascii="华文中宋" w:hAnsi="华文中宋" w:eastAsia="华文中宋"/>
          <w:color w:val="auto"/>
          <w:sz w:val="52"/>
          <w:szCs w:val="18"/>
          <w:highlight w:val="none"/>
          <w:lang w:eastAsia="zh-CN"/>
        </w:rPr>
        <w:t>）</w:t>
      </w:r>
    </w:p>
    <w:p w14:paraId="5DC4B4B7">
      <w:pPr>
        <w:pStyle w:val="63"/>
        <w:shd w:val="clear"/>
        <w:rPr>
          <w:color w:val="auto"/>
          <w:highlight w:val="none"/>
        </w:rPr>
      </w:pPr>
    </w:p>
    <w:p w14:paraId="4C249E9B">
      <w:pPr>
        <w:shd w:val="clea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682CB597">
      <w:pPr>
        <w:shd w:val="clea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（报价文件）</w:t>
      </w:r>
    </w:p>
    <w:p w14:paraId="24EE37AD">
      <w:pPr>
        <w:shd w:val="clear"/>
        <w:spacing w:line="360" w:lineRule="auto"/>
        <w:jc w:val="center"/>
        <w:rPr>
          <w:rFonts w:ascii="华文中宋" w:hAnsi="华文中宋" w:eastAsia="华文中宋"/>
          <w:b/>
          <w:color w:val="auto"/>
          <w:sz w:val="52"/>
          <w:szCs w:val="22"/>
          <w:highlight w:val="none"/>
        </w:rPr>
      </w:pPr>
    </w:p>
    <w:tbl>
      <w:tblPr>
        <w:tblStyle w:val="13"/>
        <w:tblW w:w="0" w:type="auto"/>
        <w:tblInd w:w="142" w:type="dxa"/>
        <w:tblLayout w:type="fixed"/>
        <w:tblCellMar>
          <w:top w:w="0" w:type="dxa"/>
          <w:left w:w="108" w:type="dxa"/>
          <w:bottom w:w="0" w:type="dxa"/>
          <w:right w:w="108" w:type="dxa"/>
        </w:tblCellMar>
      </w:tblPr>
      <w:tblGrid>
        <w:gridCol w:w="8789"/>
      </w:tblGrid>
      <w:tr w14:paraId="2B5B0FEC">
        <w:tblPrEx>
          <w:tblCellMar>
            <w:top w:w="0" w:type="dxa"/>
            <w:left w:w="108" w:type="dxa"/>
            <w:bottom w:w="0" w:type="dxa"/>
            <w:right w:w="108" w:type="dxa"/>
          </w:tblCellMar>
        </w:tblPrEx>
        <w:trPr>
          <w:trHeight w:val="680" w:hRule="atLeast"/>
        </w:trPr>
        <w:tc>
          <w:tcPr>
            <w:tcW w:w="8789" w:type="dxa"/>
            <w:vAlign w:val="center"/>
          </w:tcPr>
          <w:p w14:paraId="5AB24561">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248FD6C3">
        <w:tblPrEx>
          <w:tblCellMar>
            <w:top w:w="0" w:type="dxa"/>
            <w:left w:w="108" w:type="dxa"/>
            <w:bottom w:w="0" w:type="dxa"/>
            <w:right w:w="108" w:type="dxa"/>
          </w:tblCellMar>
        </w:tblPrEx>
        <w:trPr>
          <w:trHeight w:val="680" w:hRule="atLeast"/>
        </w:trPr>
        <w:tc>
          <w:tcPr>
            <w:tcW w:w="8789" w:type="dxa"/>
            <w:vAlign w:val="center"/>
          </w:tcPr>
          <w:p w14:paraId="37A87EC8">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19F4DD9E">
        <w:tblPrEx>
          <w:tblCellMar>
            <w:top w:w="0" w:type="dxa"/>
            <w:left w:w="108" w:type="dxa"/>
            <w:bottom w:w="0" w:type="dxa"/>
            <w:right w:w="108" w:type="dxa"/>
          </w:tblCellMar>
        </w:tblPrEx>
        <w:trPr>
          <w:trHeight w:val="680" w:hRule="atLeast"/>
        </w:trPr>
        <w:tc>
          <w:tcPr>
            <w:tcW w:w="8789" w:type="dxa"/>
            <w:vAlign w:val="center"/>
          </w:tcPr>
          <w:p w14:paraId="775015BE">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37123889">
        <w:tblPrEx>
          <w:tblCellMar>
            <w:top w:w="0" w:type="dxa"/>
            <w:left w:w="108" w:type="dxa"/>
            <w:bottom w:w="0" w:type="dxa"/>
            <w:right w:w="108" w:type="dxa"/>
          </w:tblCellMar>
        </w:tblPrEx>
        <w:trPr>
          <w:trHeight w:val="680" w:hRule="atLeast"/>
        </w:trPr>
        <w:tc>
          <w:tcPr>
            <w:tcW w:w="8789" w:type="dxa"/>
            <w:vAlign w:val="center"/>
          </w:tcPr>
          <w:p w14:paraId="36A95E6E">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08D3583D">
        <w:tblPrEx>
          <w:tblCellMar>
            <w:top w:w="0" w:type="dxa"/>
            <w:left w:w="108" w:type="dxa"/>
            <w:bottom w:w="0" w:type="dxa"/>
            <w:right w:w="108" w:type="dxa"/>
          </w:tblCellMar>
        </w:tblPrEx>
        <w:trPr>
          <w:trHeight w:val="680" w:hRule="atLeast"/>
        </w:trPr>
        <w:tc>
          <w:tcPr>
            <w:tcW w:w="8789" w:type="dxa"/>
            <w:vAlign w:val="center"/>
          </w:tcPr>
          <w:p w14:paraId="3C468C66">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5DD56537">
        <w:tblPrEx>
          <w:tblCellMar>
            <w:top w:w="0" w:type="dxa"/>
            <w:left w:w="108" w:type="dxa"/>
            <w:bottom w:w="0" w:type="dxa"/>
            <w:right w:w="108" w:type="dxa"/>
          </w:tblCellMar>
        </w:tblPrEx>
        <w:trPr>
          <w:trHeight w:val="335" w:hRule="atLeast"/>
        </w:trPr>
        <w:tc>
          <w:tcPr>
            <w:tcW w:w="8789" w:type="dxa"/>
            <w:vAlign w:val="center"/>
          </w:tcPr>
          <w:p w14:paraId="003129D3">
            <w:pPr>
              <w:shd w:val="clear"/>
              <w:rPr>
                <w:rFonts w:ascii="仿宋" w:hAnsi="仿宋" w:eastAsia="仿宋"/>
                <w:color w:val="auto"/>
                <w:sz w:val="28"/>
                <w:szCs w:val="28"/>
                <w:highlight w:val="none"/>
              </w:rPr>
            </w:pPr>
          </w:p>
        </w:tc>
      </w:tr>
      <w:tr w14:paraId="7651CD4F">
        <w:tblPrEx>
          <w:tblCellMar>
            <w:top w:w="0" w:type="dxa"/>
            <w:left w:w="108" w:type="dxa"/>
            <w:bottom w:w="0" w:type="dxa"/>
            <w:right w:w="108" w:type="dxa"/>
          </w:tblCellMar>
        </w:tblPrEx>
        <w:trPr>
          <w:trHeight w:val="680" w:hRule="atLeast"/>
        </w:trPr>
        <w:tc>
          <w:tcPr>
            <w:tcW w:w="8789" w:type="dxa"/>
            <w:vAlign w:val="center"/>
          </w:tcPr>
          <w:p w14:paraId="3F2DFDC8">
            <w:pPr>
              <w:shd w:val="clear"/>
              <w:jc w:val="cente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14:paraId="23930006">
      <w:pPr>
        <w:shd w:val="clear"/>
        <w:autoSpaceDE w:val="0"/>
        <w:autoSpaceDN w:val="0"/>
        <w:snapToGrid w:val="0"/>
        <w:spacing w:line="360" w:lineRule="atLeast"/>
        <w:rPr>
          <w:color w:val="auto"/>
          <w:highlight w:val="none"/>
        </w:rPr>
        <w:sectPr>
          <w:headerReference r:id="rId12" w:type="first"/>
          <w:footerReference r:id="rId14" w:type="first"/>
          <w:headerReference r:id="rId11" w:type="default"/>
          <w:footerReference r:id="rId13" w:type="default"/>
          <w:pgSz w:w="11906" w:h="16838"/>
          <w:pgMar w:top="1440" w:right="1800" w:bottom="1440" w:left="1800" w:header="720" w:footer="720" w:gutter="0"/>
          <w:pgBorders>
            <w:top w:val="none" w:sz="0" w:space="0"/>
            <w:left w:val="none" w:sz="0" w:space="0"/>
            <w:bottom w:val="none" w:sz="0" w:space="0"/>
            <w:right w:val="none" w:sz="0" w:space="0"/>
          </w:pgBorders>
          <w:pgNumType w:fmt="decimal"/>
          <w:cols w:space="720" w:num="1"/>
          <w:titlePg/>
          <w:docGrid w:linePitch="286" w:charSpace="-3831"/>
        </w:sectPr>
      </w:pPr>
    </w:p>
    <w:p w14:paraId="77C1ED80">
      <w:pPr>
        <w:pStyle w:val="31"/>
        <w:shd w:val="clear"/>
        <w:snapToGrid w:val="0"/>
        <w:spacing w:line="400" w:lineRule="exact"/>
        <w:rPr>
          <w:rFonts w:hint="eastAsia" w:hAnsi="宋体"/>
          <w:color w:val="auto"/>
          <w:sz w:val="36"/>
          <w:szCs w:val="36"/>
          <w:highlight w:val="none"/>
        </w:rPr>
      </w:pPr>
      <w:r>
        <w:rPr>
          <w:rFonts w:hint="eastAsia" w:hAnsi="宋体"/>
          <w:color w:val="auto"/>
          <w:sz w:val="36"/>
          <w:szCs w:val="36"/>
          <w:highlight w:val="none"/>
        </w:rPr>
        <w:t xml:space="preserve">2.2开标一览表   </w:t>
      </w:r>
    </w:p>
    <w:p w14:paraId="3EA1DFCB">
      <w:pPr>
        <w:pStyle w:val="31"/>
        <w:shd w:val="clear"/>
        <w:snapToGrid w:val="0"/>
        <w:spacing w:line="400" w:lineRule="exact"/>
        <w:jc w:val="center"/>
        <w:rPr>
          <w:rFonts w:hint="eastAsia" w:hAnsi="宋体"/>
          <w:color w:val="auto"/>
          <w:sz w:val="36"/>
          <w:szCs w:val="36"/>
          <w:highlight w:val="none"/>
        </w:rPr>
      </w:pPr>
      <w:r>
        <w:rPr>
          <w:rFonts w:hint="eastAsia" w:hAnsi="宋体"/>
          <w:color w:val="auto"/>
          <w:sz w:val="36"/>
          <w:szCs w:val="36"/>
          <w:highlight w:val="none"/>
        </w:rPr>
        <w:t>开标一览表</w:t>
      </w:r>
    </w:p>
    <w:p w14:paraId="1B2926D3">
      <w:pPr>
        <w:pStyle w:val="31"/>
        <w:shd w:val="clear"/>
        <w:snapToGrid w:val="0"/>
        <w:spacing w:line="400" w:lineRule="exact"/>
        <w:rPr>
          <w:rFonts w:hAnsi="宋体"/>
          <w:color w:val="auto"/>
          <w:sz w:val="36"/>
          <w:szCs w:val="36"/>
          <w:highlight w:val="none"/>
        </w:rPr>
      </w:pPr>
    </w:p>
    <w:p w14:paraId="3ACD4912">
      <w:pPr>
        <w:shd w:val="clear" w:color="auto"/>
        <w:overflowPunct w:val="0"/>
        <w:spacing w:line="400" w:lineRule="exact"/>
        <w:rPr>
          <w:rFonts w:hint="eastAsia" w:ascii="新宋体" w:hAnsi="新宋体" w:eastAsia="新宋体"/>
          <w:color w:val="auto"/>
          <w:highlight w:val="none"/>
        </w:rPr>
      </w:pPr>
      <w:r>
        <w:rPr>
          <w:rFonts w:hint="eastAsia" w:ascii="新宋体" w:hAnsi="新宋体" w:eastAsia="新宋体"/>
          <w:b/>
          <w:color w:val="auto"/>
          <w:highlight w:val="none"/>
        </w:rPr>
        <w:t>项目名称：                    招标编号</w:t>
      </w:r>
      <w:r>
        <w:rPr>
          <w:rFonts w:hint="eastAsia" w:ascii="新宋体" w:hAnsi="新宋体" w:eastAsia="新宋体"/>
          <w:b/>
          <w:color w:val="auto"/>
          <w:sz w:val="28"/>
          <w:szCs w:val="28"/>
          <w:highlight w:val="none"/>
        </w:rPr>
        <w:t xml:space="preserve">：            </w:t>
      </w:r>
      <w:r>
        <w:rPr>
          <w:rFonts w:hint="eastAsia" w:ascii="新宋体" w:hAnsi="新宋体" w:eastAsia="新宋体"/>
          <w:color w:val="auto"/>
          <w:highlight w:val="none"/>
        </w:rPr>
        <w:t>【价格单位：</w:t>
      </w:r>
      <w:r>
        <w:rPr>
          <w:rFonts w:hint="eastAsia"/>
          <w:b/>
          <w:bCs/>
          <w:color w:val="auto"/>
          <w:sz w:val="22"/>
          <w:szCs w:val="22"/>
          <w:highlight w:val="none"/>
          <w:lang w:val="en-US" w:eastAsia="zh-CN"/>
        </w:rPr>
        <w:t>%</w:t>
      </w:r>
      <w:r>
        <w:rPr>
          <w:rFonts w:hint="eastAsia" w:ascii="新宋体" w:hAnsi="新宋体" w:eastAsia="新宋体"/>
          <w:color w:val="auto"/>
          <w:highlight w:val="none"/>
        </w:rPr>
        <w:t>】</w:t>
      </w:r>
    </w:p>
    <w:tbl>
      <w:tblPr>
        <w:tblStyle w:val="13"/>
        <w:tblW w:w="9663" w:type="dxa"/>
        <w:tblInd w:w="0" w:type="dxa"/>
        <w:tblLayout w:type="fixed"/>
        <w:tblCellMar>
          <w:top w:w="0" w:type="dxa"/>
          <w:left w:w="0" w:type="dxa"/>
          <w:bottom w:w="0" w:type="dxa"/>
          <w:right w:w="0" w:type="dxa"/>
        </w:tblCellMar>
      </w:tblPr>
      <w:tblGrid>
        <w:gridCol w:w="1793"/>
        <w:gridCol w:w="1067"/>
        <w:gridCol w:w="1489"/>
        <w:gridCol w:w="2755"/>
        <w:gridCol w:w="1288"/>
        <w:gridCol w:w="1271"/>
      </w:tblGrid>
      <w:tr w14:paraId="7142DCDF">
        <w:tblPrEx>
          <w:tblCellMar>
            <w:top w:w="0" w:type="dxa"/>
            <w:left w:w="0" w:type="dxa"/>
            <w:bottom w:w="0" w:type="dxa"/>
            <w:right w:w="0" w:type="dxa"/>
          </w:tblCellMar>
        </w:tblPrEx>
        <w:trPr>
          <w:trHeight w:val="1122" w:hRule="atLeast"/>
        </w:trPr>
        <w:tc>
          <w:tcPr>
            <w:tcW w:w="1793" w:type="dxa"/>
            <w:tcBorders>
              <w:top w:val="single" w:color="auto" w:sz="4" w:space="0"/>
              <w:left w:val="single" w:color="auto" w:sz="4" w:space="0"/>
              <w:bottom w:val="single" w:color="auto" w:sz="4" w:space="0"/>
              <w:right w:val="single" w:color="000000" w:sz="4" w:space="0"/>
            </w:tcBorders>
            <w:noWrap w:val="0"/>
            <w:tcMar>
              <w:top w:w="0" w:type="dxa"/>
              <w:left w:w="108" w:type="dxa"/>
              <w:bottom w:w="0" w:type="dxa"/>
              <w:right w:w="108" w:type="dxa"/>
            </w:tcMar>
            <w:vAlign w:val="center"/>
          </w:tcPr>
          <w:p w14:paraId="57B892B5">
            <w:pPr>
              <w:shd w:val="clear" w:color="auto"/>
              <w:snapToGrid w:val="0"/>
              <w:jc w:val="center"/>
              <w:rPr>
                <w:b/>
                <w:bCs/>
                <w:color w:val="auto"/>
                <w:sz w:val="22"/>
                <w:szCs w:val="22"/>
                <w:highlight w:val="none"/>
              </w:rPr>
            </w:pPr>
            <w:r>
              <w:rPr>
                <w:b/>
                <w:bCs/>
                <w:color w:val="auto"/>
                <w:sz w:val="22"/>
                <w:szCs w:val="22"/>
                <w:highlight w:val="none"/>
              </w:rPr>
              <w:t>项目名称</w:t>
            </w:r>
          </w:p>
        </w:tc>
        <w:tc>
          <w:tcPr>
            <w:tcW w:w="1067" w:type="dxa"/>
            <w:tcBorders>
              <w:top w:val="single" w:color="auto" w:sz="4" w:space="0"/>
              <w:left w:val="single" w:color="000000" w:sz="4" w:space="0"/>
              <w:bottom w:val="single" w:color="auto" w:sz="4" w:space="0"/>
              <w:right w:val="single" w:color="auto" w:sz="4" w:space="0"/>
            </w:tcBorders>
            <w:noWrap w:val="0"/>
            <w:tcMar>
              <w:top w:w="0" w:type="dxa"/>
              <w:left w:w="108" w:type="dxa"/>
              <w:bottom w:w="0" w:type="dxa"/>
              <w:right w:w="108" w:type="dxa"/>
            </w:tcMar>
            <w:vAlign w:val="center"/>
          </w:tcPr>
          <w:p w14:paraId="5259C26C">
            <w:pPr>
              <w:shd w:val="clear" w:color="auto"/>
              <w:snapToGrid w:val="0"/>
              <w:jc w:val="center"/>
              <w:rPr>
                <w:rFonts w:hint="default" w:eastAsia="宋体"/>
                <w:b/>
                <w:bCs/>
                <w:color w:val="auto"/>
                <w:sz w:val="22"/>
                <w:szCs w:val="22"/>
                <w:highlight w:val="none"/>
                <w:lang w:val="en-US" w:eastAsia="zh-CN"/>
              </w:rPr>
            </w:pPr>
            <w:r>
              <w:rPr>
                <w:rFonts w:hint="eastAsia" w:eastAsia="宋体"/>
                <w:b/>
                <w:bCs/>
                <w:color w:val="auto"/>
                <w:sz w:val="22"/>
                <w:szCs w:val="22"/>
                <w:highlight w:val="none"/>
                <w:lang w:val="en-US" w:eastAsia="zh-CN"/>
              </w:rPr>
              <w:t>标项</w:t>
            </w:r>
          </w:p>
        </w:tc>
        <w:tc>
          <w:tcPr>
            <w:tcW w:w="1489" w:type="dxa"/>
            <w:tcBorders>
              <w:top w:val="single" w:color="auto" w:sz="4" w:space="0"/>
              <w:left w:val="single" w:color="auto" w:sz="4" w:space="0"/>
              <w:bottom w:val="single" w:color="auto" w:sz="4" w:space="0"/>
              <w:right w:val="single" w:color="000000" w:sz="8" w:space="0"/>
            </w:tcBorders>
            <w:noWrap w:val="0"/>
            <w:vAlign w:val="center"/>
          </w:tcPr>
          <w:p w14:paraId="65005D90">
            <w:pPr>
              <w:shd w:val="clear" w:color="auto"/>
              <w:snapToGrid w:val="0"/>
              <w:jc w:val="center"/>
              <w:rPr>
                <w:rFonts w:hint="eastAsia"/>
                <w:b/>
                <w:bCs/>
                <w:color w:val="auto"/>
                <w:sz w:val="22"/>
                <w:szCs w:val="22"/>
                <w:highlight w:val="none"/>
              </w:rPr>
            </w:pPr>
            <w:r>
              <w:rPr>
                <w:rFonts w:hint="eastAsia"/>
                <w:b/>
                <w:bCs/>
                <w:color w:val="auto"/>
                <w:sz w:val="22"/>
                <w:szCs w:val="22"/>
                <w:highlight w:val="none"/>
                <w:lang w:val="en-US" w:eastAsia="zh-CN"/>
              </w:rPr>
              <w:t>标项</w:t>
            </w:r>
            <w:r>
              <w:rPr>
                <w:rFonts w:hint="eastAsia"/>
                <w:b/>
                <w:bCs/>
                <w:color w:val="auto"/>
                <w:sz w:val="22"/>
                <w:szCs w:val="22"/>
                <w:highlight w:val="none"/>
              </w:rPr>
              <w:t>名称</w:t>
            </w:r>
          </w:p>
        </w:tc>
        <w:tc>
          <w:tcPr>
            <w:tcW w:w="2755" w:type="dxa"/>
            <w:tcBorders>
              <w:top w:val="single" w:color="auto" w:sz="4" w:space="0"/>
              <w:left w:val="single" w:color="auto" w:sz="4" w:space="0"/>
              <w:bottom w:val="single" w:color="auto" w:sz="4" w:space="0"/>
              <w:right w:val="single" w:color="000000" w:sz="8" w:space="0"/>
            </w:tcBorders>
            <w:noWrap w:val="0"/>
            <w:vAlign w:val="center"/>
          </w:tcPr>
          <w:p w14:paraId="77436921">
            <w:pPr>
              <w:shd w:val="clear" w:color="auto"/>
              <w:snapToGrid w:val="0"/>
              <w:jc w:val="center"/>
              <w:rPr>
                <w:b/>
                <w:bCs/>
                <w:color w:val="auto"/>
                <w:sz w:val="22"/>
                <w:szCs w:val="22"/>
                <w:highlight w:val="none"/>
              </w:rPr>
            </w:pPr>
            <w:r>
              <w:rPr>
                <w:rFonts w:hint="eastAsia"/>
                <w:b/>
                <w:bCs/>
                <w:color w:val="auto"/>
                <w:sz w:val="22"/>
                <w:szCs w:val="22"/>
                <w:highlight w:val="none"/>
              </w:rPr>
              <w:t>投标</w:t>
            </w:r>
            <w:r>
              <w:rPr>
                <w:rFonts w:hint="eastAsia"/>
                <w:b/>
                <w:bCs/>
                <w:color w:val="auto"/>
                <w:sz w:val="22"/>
                <w:szCs w:val="22"/>
                <w:highlight w:val="none"/>
                <w:lang w:val="en-US" w:eastAsia="zh-CN"/>
              </w:rPr>
              <w:t>折扣率</w:t>
            </w:r>
            <w:r>
              <w:rPr>
                <w:rFonts w:hint="eastAsia"/>
                <w:b/>
                <w:bCs/>
                <w:color w:val="auto"/>
                <w:sz w:val="22"/>
                <w:szCs w:val="22"/>
                <w:highlight w:val="none"/>
              </w:rPr>
              <w:t>（</w:t>
            </w:r>
            <w:r>
              <w:rPr>
                <w:rFonts w:hint="eastAsia"/>
                <w:b/>
                <w:bCs/>
                <w:color w:val="auto"/>
                <w:sz w:val="22"/>
                <w:szCs w:val="22"/>
                <w:highlight w:val="none"/>
                <w:lang w:val="en-US" w:eastAsia="zh-CN"/>
              </w:rPr>
              <w:t>%</w:t>
            </w:r>
            <w:r>
              <w:rPr>
                <w:rFonts w:hint="eastAsia"/>
                <w:b/>
                <w:bCs/>
                <w:color w:val="auto"/>
                <w:sz w:val="22"/>
                <w:szCs w:val="22"/>
                <w:highlight w:val="none"/>
              </w:rPr>
              <w:t>）</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08E58465">
            <w:pPr>
              <w:shd w:val="clear" w:color="auto"/>
              <w:snapToGrid w:val="0"/>
              <w:jc w:val="center"/>
              <w:rPr>
                <w:rFonts w:hint="eastAsia" w:eastAsia="宋体"/>
                <w:b/>
                <w:color w:val="auto"/>
                <w:sz w:val="22"/>
                <w:szCs w:val="22"/>
                <w:highlight w:val="none"/>
                <w:lang w:eastAsia="zh-CN"/>
              </w:rPr>
            </w:pPr>
            <w:r>
              <w:rPr>
                <w:rFonts w:hint="eastAsia"/>
                <w:b/>
                <w:color w:val="auto"/>
                <w:sz w:val="22"/>
                <w:szCs w:val="22"/>
                <w:highlight w:val="none"/>
                <w:lang w:eastAsia="zh-CN"/>
              </w:rPr>
              <w:t>项目负责人</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45844346">
            <w:pPr>
              <w:shd w:val="clear" w:color="auto"/>
              <w:snapToGrid w:val="0"/>
              <w:jc w:val="center"/>
              <w:rPr>
                <w:rFonts w:hint="eastAsia"/>
                <w:b/>
                <w:color w:val="auto"/>
                <w:sz w:val="22"/>
                <w:szCs w:val="22"/>
                <w:highlight w:val="none"/>
                <w:lang w:eastAsia="zh-CN"/>
              </w:rPr>
            </w:pPr>
            <w:r>
              <w:rPr>
                <w:rFonts w:hint="eastAsia"/>
                <w:b/>
                <w:color w:val="auto"/>
                <w:sz w:val="22"/>
                <w:szCs w:val="22"/>
                <w:highlight w:val="none"/>
                <w:lang w:val="en-US" w:eastAsia="zh-CN"/>
              </w:rPr>
              <w:t>备注</w:t>
            </w:r>
          </w:p>
        </w:tc>
      </w:tr>
      <w:tr w14:paraId="2ED2B434">
        <w:tblPrEx>
          <w:tblCellMar>
            <w:top w:w="0" w:type="dxa"/>
            <w:left w:w="0" w:type="dxa"/>
            <w:bottom w:w="0" w:type="dxa"/>
            <w:right w:w="0" w:type="dxa"/>
          </w:tblCellMar>
        </w:tblPrEx>
        <w:trPr>
          <w:trHeight w:val="1648" w:hRule="atLeast"/>
        </w:trPr>
        <w:tc>
          <w:tcPr>
            <w:tcW w:w="1793" w:type="dxa"/>
            <w:tcBorders>
              <w:top w:val="single" w:color="auto" w:sz="4" w:space="0"/>
              <w:left w:val="single" w:color="auto" w:sz="4" w:space="0"/>
              <w:bottom w:val="single" w:color="auto" w:sz="4" w:space="0"/>
              <w:right w:val="single" w:color="000000" w:sz="4" w:space="0"/>
            </w:tcBorders>
            <w:noWrap w:val="0"/>
            <w:tcMar>
              <w:top w:w="0" w:type="dxa"/>
              <w:left w:w="108" w:type="dxa"/>
              <w:bottom w:w="0" w:type="dxa"/>
              <w:right w:w="108" w:type="dxa"/>
            </w:tcMar>
            <w:vAlign w:val="center"/>
          </w:tcPr>
          <w:p w14:paraId="22A5CF1A">
            <w:pPr>
              <w:shd w:val="clear" w:color="auto"/>
              <w:snapToGrid w:val="0"/>
              <w:jc w:val="center"/>
              <w:rPr>
                <w:rFonts w:hint="default"/>
                <w:color w:val="auto"/>
                <w:sz w:val="22"/>
                <w:szCs w:val="22"/>
                <w:highlight w:val="none"/>
                <w:lang w:val="en-US"/>
              </w:rPr>
            </w:pPr>
            <w:r>
              <w:rPr>
                <w:rFonts w:hint="eastAsia"/>
                <w:color w:val="auto"/>
                <w:sz w:val="22"/>
                <w:szCs w:val="22"/>
                <w:highlight w:val="none"/>
                <w:lang w:eastAsia="zh-CN"/>
              </w:rPr>
              <w:t>2025年度鳌江镇苗木养护、补植、绿地修复项目</w:t>
            </w:r>
          </w:p>
        </w:tc>
        <w:tc>
          <w:tcPr>
            <w:tcW w:w="1067" w:type="dxa"/>
            <w:tcBorders>
              <w:top w:val="single" w:color="auto" w:sz="4" w:space="0"/>
              <w:left w:val="single" w:color="000000" w:sz="4" w:space="0"/>
              <w:bottom w:val="single" w:color="auto" w:sz="4" w:space="0"/>
              <w:right w:val="single" w:color="auto" w:sz="4" w:space="0"/>
            </w:tcBorders>
            <w:noWrap w:val="0"/>
            <w:tcMar>
              <w:top w:w="0" w:type="dxa"/>
              <w:left w:w="108" w:type="dxa"/>
              <w:bottom w:w="0" w:type="dxa"/>
              <w:right w:w="108" w:type="dxa"/>
            </w:tcMar>
            <w:vAlign w:val="center"/>
          </w:tcPr>
          <w:p w14:paraId="4C4EAC80">
            <w:pPr>
              <w:shd w:val="clear" w:color="auto"/>
              <w:snapToGrid w:val="0"/>
              <w:jc w:val="center"/>
              <w:rPr>
                <w:color w:val="auto"/>
                <w:sz w:val="22"/>
                <w:szCs w:val="22"/>
                <w:highlight w:val="none"/>
              </w:rPr>
            </w:pPr>
          </w:p>
        </w:tc>
        <w:tc>
          <w:tcPr>
            <w:tcW w:w="1489" w:type="dxa"/>
            <w:tcBorders>
              <w:top w:val="single" w:color="auto" w:sz="4" w:space="0"/>
              <w:left w:val="single" w:color="auto" w:sz="4" w:space="0"/>
              <w:bottom w:val="single" w:color="auto" w:sz="4" w:space="0"/>
              <w:right w:val="single" w:color="auto" w:sz="4" w:space="0"/>
            </w:tcBorders>
            <w:noWrap w:val="0"/>
            <w:vAlign w:val="center"/>
          </w:tcPr>
          <w:p w14:paraId="27961AF4">
            <w:pPr>
              <w:shd w:val="clear" w:color="auto"/>
              <w:snapToGrid w:val="0"/>
              <w:rPr>
                <w:rFonts w:hint="eastAsia" w:eastAsia="宋体"/>
                <w:color w:val="auto"/>
                <w:sz w:val="22"/>
                <w:szCs w:val="22"/>
                <w:highlight w:val="none"/>
                <w:lang w:eastAsia="zh-CN"/>
              </w:rPr>
            </w:pPr>
          </w:p>
        </w:tc>
        <w:tc>
          <w:tcPr>
            <w:tcW w:w="2755" w:type="dxa"/>
            <w:tcBorders>
              <w:top w:val="single" w:color="auto" w:sz="4" w:space="0"/>
              <w:left w:val="single" w:color="auto" w:sz="4" w:space="0"/>
              <w:bottom w:val="single" w:color="auto" w:sz="4" w:space="0"/>
              <w:right w:val="single" w:color="auto" w:sz="4" w:space="0"/>
            </w:tcBorders>
            <w:noWrap w:val="0"/>
            <w:vAlign w:val="center"/>
          </w:tcPr>
          <w:p w14:paraId="1BDFD1EB">
            <w:pPr>
              <w:shd w:val="clear" w:color="auto"/>
              <w:snapToGrid w:val="0"/>
              <w:rPr>
                <w:color w:val="auto"/>
                <w:sz w:val="22"/>
                <w:szCs w:val="22"/>
                <w:highlight w:val="none"/>
              </w:rPr>
            </w:pPr>
            <w:r>
              <w:rPr>
                <w:color w:val="auto"/>
                <w:sz w:val="22"/>
                <w:szCs w:val="22"/>
                <w:highlight w:val="none"/>
              </w:rPr>
              <w:t>大写：</w:t>
            </w:r>
          </w:p>
          <w:p w14:paraId="084209ED">
            <w:pPr>
              <w:shd w:val="clear" w:color="auto"/>
              <w:snapToGrid w:val="0"/>
              <w:rPr>
                <w:color w:val="auto"/>
                <w:sz w:val="22"/>
                <w:szCs w:val="22"/>
                <w:highlight w:val="none"/>
              </w:rPr>
            </w:pPr>
            <w:r>
              <w:rPr>
                <w:color w:val="auto"/>
                <w:sz w:val="22"/>
                <w:szCs w:val="22"/>
                <w:highlight w:val="none"/>
              </w:rPr>
              <w:t>小写</w:t>
            </w:r>
            <w:r>
              <w:rPr>
                <w:rFonts w:hint="eastAsia"/>
                <w:color w:val="auto"/>
                <w:sz w:val="22"/>
                <w:szCs w:val="22"/>
                <w:highlight w:val="none"/>
              </w:rPr>
              <w:t>：</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5A134975">
            <w:pPr>
              <w:shd w:val="clear" w:color="auto"/>
              <w:snapToGrid w:val="0"/>
              <w:rPr>
                <w:color w:val="auto"/>
                <w:sz w:val="22"/>
                <w:szCs w:val="22"/>
                <w:highlight w:val="none"/>
              </w:rPr>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588A5FA">
            <w:pPr>
              <w:shd w:val="clear" w:color="auto"/>
              <w:snapToGrid w:val="0"/>
              <w:jc w:val="center"/>
              <w:rPr>
                <w:rFonts w:hint="default" w:eastAsia="宋体"/>
                <w:color w:val="auto"/>
                <w:sz w:val="22"/>
                <w:szCs w:val="22"/>
                <w:highlight w:val="none"/>
                <w:lang w:val="en-US" w:eastAsia="zh-CN"/>
              </w:rPr>
            </w:pPr>
          </w:p>
        </w:tc>
      </w:tr>
    </w:tbl>
    <w:p w14:paraId="572BA90F">
      <w:pPr>
        <w:shd w:val="clear" w:color="auto"/>
        <w:spacing w:line="430" w:lineRule="atLeast"/>
        <w:rPr>
          <w:rFonts w:hint="eastAsia" w:ascii="宋体" w:hAnsi="宋体" w:cs="宋体"/>
          <w:bCs/>
          <w:color w:val="auto"/>
          <w:sz w:val="22"/>
          <w:szCs w:val="22"/>
          <w:highlight w:val="none"/>
          <w:u w:val="single"/>
        </w:rPr>
      </w:pPr>
      <w:r>
        <w:rPr>
          <w:rFonts w:hint="eastAsia" w:hAnsi="宋体"/>
          <w:color w:val="auto"/>
          <w:sz w:val="22"/>
          <w:szCs w:val="22"/>
          <w:highlight w:val="none"/>
          <w:lang w:val="en-US" w:eastAsia="zh-CN"/>
        </w:rPr>
        <w:t>1、</w:t>
      </w:r>
      <w:r>
        <w:rPr>
          <w:rFonts w:hint="eastAsia" w:ascii="宋体" w:hAnsi="宋体" w:cs="宋体"/>
          <w:bCs/>
          <w:color w:val="auto"/>
          <w:sz w:val="22"/>
          <w:szCs w:val="22"/>
          <w:highlight w:val="none"/>
          <w:u w:val="single"/>
        </w:rPr>
        <w:t>▲开标一览表中投标价为符合招标文件要求的项目总价，同时包括整个项目实施过程中所有费用，招标代理费及其它需要的费用。</w:t>
      </w:r>
    </w:p>
    <w:p w14:paraId="25D34BCE">
      <w:pPr>
        <w:shd w:val="clear" w:color="auto"/>
        <w:autoSpaceDE w:val="0"/>
        <w:autoSpaceDN w:val="0"/>
        <w:adjustRightInd w:val="0"/>
        <w:spacing w:line="440" w:lineRule="atLeast"/>
        <w:rPr>
          <w:rFonts w:hint="eastAsia" w:cs="仿宋_GB2312"/>
          <w:color w:val="auto"/>
          <w:sz w:val="22"/>
          <w:szCs w:val="22"/>
          <w:highlight w:val="none"/>
          <w:u w:val="none"/>
          <w:lang w:val="en-US" w:eastAsia="zh-CN"/>
        </w:rPr>
      </w:pPr>
      <w:r>
        <w:rPr>
          <w:rFonts w:hint="eastAsia" w:cs="宋体"/>
          <w:bCs/>
          <w:color w:val="auto"/>
          <w:sz w:val="22"/>
          <w:szCs w:val="22"/>
          <w:highlight w:val="none"/>
          <w:u w:val="none"/>
          <w:lang w:val="en-US" w:eastAsia="zh-CN"/>
        </w:rPr>
        <w:t>2、</w:t>
      </w:r>
      <w:r>
        <w:rPr>
          <w:rFonts w:hint="eastAsia" w:ascii="宋体" w:hAnsi="宋体" w:cs="宋体"/>
          <w:bCs/>
          <w:color w:val="auto"/>
          <w:sz w:val="22"/>
          <w:szCs w:val="22"/>
          <w:highlight w:val="none"/>
          <w:u w:val="none"/>
        </w:rPr>
        <w:t>▲不提供此表格的将视为没有实质性响应招标文件。</w:t>
      </w:r>
      <w:r>
        <w:rPr>
          <w:rFonts w:hint="eastAsia" w:cs="仿宋_GB2312"/>
          <w:color w:val="auto"/>
          <w:sz w:val="22"/>
          <w:szCs w:val="22"/>
          <w:highlight w:val="none"/>
          <w:u w:val="none"/>
          <w:lang w:val="en-US" w:eastAsia="zh-CN"/>
        </w:rPr>
        <w:t>此表不得自行增减内容。</w:t>
      </w:r>
    </w:p>
    <w:p w14:paraId="68B55203">
      <w:pPr>
        <w:shd w:val="clear" w:color="auto"/>
        <w:autoSpaceDE w:val="0"/>
        <w:autoSpaceDN w:val="0"/>
        <w:adjustRightInd w:val="0"/>
        <w:spacing w:line="440" w:lineRule="atLeast"/>
        <w:rPr>
          <w:rFonts w:hint="eastAsia"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u w:val="none"/>
          <w:lang w:val="en-US" w:eastAsia="zh-CN"/>
        </w:rPr>
        <w:t>3、后期实际结算金额按照各分项单价最高限价*实际养护数量*中标折扣率进行结算。</w:t>
      </w:r>
    </w:p>
    <w:p w14:paraId="57A17FA3">
      <w:pPr>
        <w:shd w:val="clear"/>
        <w:autoSpaceDE w:val="0"/>
        <w:autoSpaceDN w:val="0"/>
        <w:spacing w:line="440" w:lineRule="atLeast"/>
        <w:rPr>
          <w:rFonts w:hint="eastAsia" w:ascii="宋体" w:hAnsi="宋体" w:eastAsia="宋体"/>
          <w:color w:val="auto"/>
          <w:sz w:val="22"/>
          <w:szCs w:val="22"/>
          <w:highlight w:val="none"/>
          <w:lang w:val="zh-CN"/>
        </w:rPr>
      </w:pPr>
    </w:p>
    <w:p w14:paraId="2EFEDD75">
      <w:pPr>
        <w:shd w:val="clear"/>
        <w:autoSpaceDE w:val="0"/>
        <w:autoSpaceDN w:val="0"/>
        <w:spacing w:line="440" w:lineRule="atLeast"/>
        <w:rPr>
          <w:rFonts w:hint="eastAsia" w:ascii="宋体" w:hAnsi="宋体" w:eastAsia="宋体"/>
          <w:color w:val="auto"/>
          <w:sz w:val="22"/>
          <w:szCs w:val="22"/>
          <w:highlight w:val="none"/>
          <w:lang w:val="zh-CN"/>
        </w:rPr>
      </w:pPr>
    </w:p>
    <w:p w14:paraId="093ABEDF">
      <w:pPr>
        <w:shd w:val="clea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供应商名称（盖章）：</w:t>
      </w:r>
    </w:p>
    <w:p w14:paraId="49F8D007">
      <w:pPr>
        <w:shd w:val="clea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法定代表人或授权代表（签字或签章）：</w:t>
      </w:r>
    </w:p>
    <w:p w14:paraId="2AFDBB40">
      <w:pPr>
        <w:shd w:val="clea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日期：</w:t>
      </w:r>
    </w:p>
    <w:p w14:paraId="21C38678">
      <w:pPr>
        <w:pStyle w:val="31"/>
        <w:shd w:val="clear"/>
        <w:snapToGrid w:val="0"/>
        <w:spacing w:line="400" w:lineRule="exact"/>
        <w:jc w:val="left"/>
        <w:rPr>
          <w:rFonts w:hint="eastAsia" w:ascii="宋体" w:hAnsi="宋体" w:eastAsia="宋体"/>
          <w:color w:val="auto"/>
          <w:sz w:val="24"/>
          <w:szCs w:val="24"/>
          <w:highlight w:val="none"/>
        </w:rPr>
      </w:pPr>
    </w:p>
    <w:p w14:paraId="31A3F0D8">
      <w:pPr>
        <w:shd w:val="clear"/>
        <w:rPr>
          <w:rFonts w:hint="eastAsia" w:ascii="宋体" w:hAnsi="宋体" w:eastAsia="宋体"/>
          <w:color w:val="auto"/>
          <w:sz w:val="24"/>
          <w:highlight w:val="none"/>
          <w:lang w:eastAsia="zh-CN"/>
        </w:rPr>
      </w:pPr>
    </w:p>
    <w:p w14:paraId="3B99AD96">
      <w:pPr>
        <w:pStyle w:val="31"/>
        <w:shd w:val="clear"/>
        <w:snapToGrid w:val="0"/>
        <w:spacing w:line="460" w:lineRule="atLeast"/>
        <w:rPr>
          <w:rFonts w:hAnsi="宋体"/>
          <w:color w:val="auto"/>
          <w:sz w:val="30"/>
          <w:highlight w:val="none"/>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25B9AA7D">
      <w:pPr>
        <w:pStyle w:val="16"/>
        <w:shd w:val="clear"/>
        <w:rPr>
          <w:rFonts w:hint="eastAsia"/>
          <w:color w:val="auto"/>
          <w:highlight w:val="none"/>
          <w:lang w:val="en-US" w:eastAsia="zh-CN"/>
        </w:rPr>
      </w:pPr>
    </w:p>
    <w:p w14:paraId="32E7348F">
      <w:pPr>
        <w:shd w:val="clear"/>
        <w:rPr>
          <w:rFonts w:hint="eastAsia" w:ascii="宋体" w:hAnsi="宋体" w:eastAsia="宋体"/>
          <w:color w:val="auto"/>
          <w:sz w:val="36"/>
          <w:szCs w:val="36"/>
          <w:highlight w:val="none"/>
          <w:lang w:val="en-US" w:eastAsia="zh-CN"/>
        </w:rPr>
      </w:pPr>
      <w:r>
        <w:rPr>
          <w:rFonts w:hint="eastAsia" w:ascii="宋体" w:hAnsi="宋体" w:eastAsia="宋体"/>
          <w:color w:val="auto"/>
          <w:sz w:val="36"/>
          <w:szCs w:val="36"/>
          <w:highlight w:val="none"/>
          <w:lang w:val="en-US" w:eastAsia="zh-CN"/>
        </w:rPr>
        <w:t>2.</w:t>
      </w:r>
      <w:r>
        <w:rPr>
          <w:rFonts w:hint="eastAsia" w:ascii="宋体" w:hAnsi="宋体"/>
          <w:color w:val="auto"/>
          <w:sz w:val="36"/>
          <w:szCs w:val="36"/>
          <w:highlight w:val="none"/>
          <w:lang w:val="en-US" w:eastAsia="zh-CN"/>
        </w:rPr>
        <w:t>3</w:t>
      </w:r>
      <w:r>
        <w:rPr>
          <w:rFonts w:hint="eastAsia" w:ascii="宋体" w:hAnsi="宋体" w:eastAsia="宋体"/>
          <w:color w:val="auto"/>
          <w:sz w:val="36"/>
          <w:szCs w:val="36"/>
          <w:highlight w:val="none"/>
        </w:rPr>
        <w:t>中小企业声明函、监狱企业、残疾人福利性单位及其他相关的充分的证明材料</w:t>
      </w:r>
    </w:p>
    <w:p w14:paraId="3D33B420">
      <w:pPr>
        <w:shd w:val="clear"/>
        <w:snapToGrid w:val="0"/>
        <w:spacing w:line="360" w:lineRule="auto"/>
        <w:jc w:val="center"/>
        <w:rPr>
          <w:rFonts w:hint="eastAsia" w:ascii="宋体" w:hAnsi="宋体" w:eastAsia="宋体"/>
          <w:b/>
          <w:color w:val="auto"/>
          <w:sz w:val="28"/>
          <w:szCs w:val="28"/>
          <w:highlight w:val="none"/>
        </w:rPr>
      </w:pPr>
      <w:r>
        <w:rPr>
          <w:rFonts w:hint="eastAsia" w:ascii="宋体" w:hAnsi="宋体" w:eastAsia="宋体"/>
          <w:b/>
          <w:color w:val="auto"/>
          <w:sz w:val="28"/>
          <w:szCs w:val="28"/>
          <w:highlight w:val="none"/>
        </w:rPr>
        <w:t>中小企业声明函及其相关的充分的证明材料中小企业声明函</w:t>
      </w:r>
    </w:p>
    <w:p w14:paraId="74F1535A">
      <w:pPr>
        <w:shd w:val="clea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【不属于中小企业的无需填写、递交】</w:t>
      </w:r>
    </w:p>
    <w:p w14:paraId="7BA34E49">
      <w:pPr>
        <w:shd w:val="clear"/>
        <w:spacing w:line="440" w:lineRule="atLeast"/>
        <w:jc w:val="left"/>
        <w:rPr>
          <w:rFonts w:hint="eastAsia" w:ascii="宋体" w:hAnsi="宋体" w:eastAsia="宋体"/>
          <w:color w:val="auto"/>
          <w:sz w:val="22"/>
          <w:szCs w:val="22"/>
          <w:highlight w:val="none"/>
        </w:rPr>
      </w:pPr>
    </w:p>
    <w:p w14:paraId="6C9A7E1A">
      <w:pPr>
        <w:shd w:val="clear"/>
        <w:jc w:val="center"/>
        <w:rPr>
          <w:rFonts w:hint="eastAsia" w:ascii="宋体" w:hAnsi="宋体" w:eastAsia="宋体"/>
          <w:b/>
          <w:bCs/>
          <w:color w:val="auto"/>
          <w:sz w:val="32"/>
          <w:szCs w:val="32"/>
          <w:highlight w:val="none"/>
        </w:rPr>
      </w:pPr>
      <w:r>
        <w:rPr>
          <w:rFonts w:hint="eastAsia" w:ascii="宋体" w:hAnsi="宋体" w:eastAsia="宋体"/>
          <w:b/>
          <w:bCs/>
          <w:color w:val="auto"/>
          <w:sz w:val="32"/>
          <w:szCs w:val="32"/>
          <w:highlight w:val="none"/>
        </w:rPr>
        <w:t>中小企业声明函（工程、服务）</w:t>
      </w:r>
    </w:p>
    <w:p w14:paraId="43DCD033">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69D36AD8">
      <w:pPr>
        <w:numPr>
          <w:ilvl w:val="0"/>
          <w:numId w:val="0"/>
        </w:numPr>
        <w:shd w:val="clear"/>
        <w:spacing w:line="400" w:lineRule="exact"/>
        <w:ind w:firstLine="440" w:firstLineChars="200"/>
        <w:rPr>
          <w:rFonts w:hint="eastAsia" w:ascii="宋体" w:hAnsi="宋体" w:eastAsia="宋体"/>
          <w:color w:val="auto"/>
          <w:sz w:val="22"/>
          <w:szCs w:val="22"/>
          <w:highlight w:val="none"/>
          <w:u w:val="single"/>
          <w:lang w:val="en-US" w:eastAsia="zh-CN"/>
        </w:rPr>
      </w:pPr>
      <w:r>
        <w:rPr>
          <w:rFonts w:hint="eastAsia" w:ascii="宋体" w:hAnsi="宋体" w:eastAsia="宋体"/>
          <w:color w:val="auto"/>
          <w:sz w:val="22"/>
          <w:szCs w:val="22"/>
          <w:highlight w:val="none"/>
          <w:u w:val="single"/>
          <w:lang w:val="en-US" w:eastAsia="zh-CN"/>
        </w:rPr>
        <w:t>1.</w:t>
      </w: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u w:val="single"/>
          <w:lang w:val="en-US" w:eastAsia="zh-CN"/>
        </w:rPr>
        <w:t>其他未列明行业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77572AA7">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u w:val="single"/>
          <w:lang w:val="en-US" w:eastAsia="zh-CN"/>
        </w:rPr>
        <w:t>其他未列明行业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5D3ADF3E">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48CFEEF5">
      <w:pPr>
        <w:shd w:val="clear"/>
        <w:spacing w:line="400" w:lineRule="exact"/>
        <w:ind w:firstLine="440" w:firstLineChars="200"/>
        <w:rPr>
          <w:rFonts w:hint="eastAsia" w:ascii="宋体" w:hAnsi="宋体" w:eastAsia="宋体"/>
          <w:color w:val="auto"/>
          <w:sz w:val="22"/>
          <w:szCs w:val="22"/>
          <w:highlight w:val="none"/>
        </w:rPr>
      </w:pPr>
    </w:p>
    <w:p w14:paraId="37334DEF">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51E86C93">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1718E3FD">
      <w:pPr>
        <w:pStyle w:val="26"/>
        <w:shd w:val="clear"/>
        <w:rPr>
          <w:rFonts w:hint="eastAsia" w:ascii="宋体" w:hAnsi="宋体" w:eastAsia="宋体"/>
          <w:color w:val="auto"/>
          <w:highlight w:val="none"/>
          <w:lang w:eastAsia="zh-CN"/>
        </w:rPr>
      </w:pPr>
    </w:p>
    <w:p w14:paraId="52ACF3F4">
      <w:pPr>
        <w:shd w:val="clea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6C97CFEE">
      <w:pPr>
        <w:shd w:val="clear"/>
        <w:snapToGrid w:val="0"/>
        <w:spacing w:line="360" w:lineRule="auto"/>
        <w:rPr>
          <w:rFonts w:hint="eastAsia" w:ascii="宋体" w:hAnsi="宋体" w:eastAsia="宋体"/>
          <w:b/>
          <w:bCs/>
          <w:color w:val="auto"/>
          <w:highlight w:val="none"/>
        </w:rPr>
      </w:pPr>
    </w:p>
    <w:p w14:paraId="23630345">
      <w:pPr>
        <w:shd w:val="clea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5A7E6A52">
      <w:pPr>
        <w:shd w:val="clear"/>
        <w:snapToGrid w:val="0"/>
        <w:spacing w:line="360" w:lineRule="auto"/>
        <w:jc w:val="center"/>
        <w:rPr>
          <w:rFonts w:hint="eastAsia" w:ascii="宋体" w:hAnsi="宋体" w:eastAsia="宋体"/>
          <w:b/>
          <w:color w:val="auto"/>
          <w:highlight w:val="none"/>
        </w:rPr>
      </w:pPr>
    </w:p>
    <w:p w14:paraId="46ED281C">
      <w:pPr>
        <w:shd w:val="clear"/>
        <w:snapToGrid w:val="0"/>
        <w:spacing w:line="360" w:lineRule="auto"/>
        <w:jc w:val="center"/>
        <w:rPr>
          <w:rFonts w:hint="eastAsia" w:ascii="宋体" w:hAnsi="宋体" w:eastAsia="宋体"/>
          <w:b/>
          <w:color w:val="auto"/>
          <w:highlight w:val="none"/>
        </w:rPr>
      </w:pPr>
    </w:p>
    <w:p w14:paraId="23F83FB8">
      <w:pPr>
        <w:shd w:val="clear"/>
        <w:snapToGrid w:val="0"/>
        <w:spacing w:line="360" w:lineRule="auto"/>
        <w:jc w:val="center"/>
        <w:rPr>
          <w:rFonts w:hint="eastAsia" w:ascii="宋体" w:hAnsi="宋体" w:eastAsia="宋体"/>
          <w:b/>
          <w:color w:val="auto"/>
          <w:sz w:val="28"/>
          <w:szCs w:val="36"/>
          <w:highlight w:val="none"/>
        </w:rPr>
      </w:pPr>
    </w:p>
    <w:p w14:paraId="44A1AC75">
      <w:pPr>
        <w:shd w:val="clear"/>
        <w:snapToGrid w:val="0"/>
        <w:spacing w:line="360" w:lineRule="auto"/>
        <w:jc w:val="center"/>
        <w:rPr>
          <w:rFonts w:hint="eastAsia" w:ascii="宋体" w:hAnsi="宋体" w:eastAsia="宋体"/>
          <w:b/>
          <w:color w:val="auto"/>
          <w:sz w:val="28"/>
          <w:szCs w:val="36"/>
          <w:highlight w:val="none"/>
        </w:rPr>
      </w:pPr>
    </w:p>
    <w:p w14:paraId="082907C4">
      <w:pPr>
        <w:pStyle w:val="23"/>
        <w:shd w:val="clear"/>
        <w:ind w:left="0" w:leftChars="0" w:firstLine="0" w:firstLineChars="0"/>
        <w:rPr>
          <w:rFonts w:hint="eastAsia"/>
          <w:color w:val="auto"/>
          <w:highlight w:val="none"/>
        </w:rPr>
      </w:pPr>
    </w:p>
    <w:p w14:paraId="187A4D4F">
      <w:pPr>
        <w:shd w:val="clear"/>
        <w:snapToGrid w:val="0"/>
        <w:spacing w:line="360" w:lineRule="auto"/>
        <w:jc w:val="center"/>
        <w:rPr>
          <w:rFonts w:hint="eastAsia" w:ascii="宋体" w:hAnsi="宋体" w:eastAsia="宋体"/>
          <w:b/>
          <w:color w:val="auto"/>
          <w:sz w:val="28"/>
          <w:szCs w:val="36"/>
          <w:highlight w:val="none"/>
        </w:rPr>
      </w:pPr>
    </w:p>
    <w:p w14:paraId="7A63D012">
      <w:pPr>
        <w:shd w:val="clear"/>
        <w:snapToGrid w:val="0"/>
        <w:spacing w:line="360" w:lineRule="auto"/>
        <w:jc w:val="center"/>
        <w:rPr>
          <w:rFonts w:hint="eastAsia" w:ascii="宋体" w:hAnsi="宋体" w:eastAsia="宋体"/>
          <w:b/>
          <w:color w:val="auto"/>
          <w:sz w:val="28"/>
          <w:szCs w:val="36"/>
          <w:highlight w:val="none"/>
        </w:rPr>
      </w:pPr>
    </w:p>
    <w:p w14:paraId="581B8F78">
      <w:pPr>
        <w:shd w:val="clear"/>
        <w:snapToGrid w:val="0"/>
        <w:spacing w:line="360" w:lineRule="auto"/>
        <w:jc w:val="center"/>
        <w:rPr>
          <w:rFonts w:hint="eastAsia" w:ascii="宋体" w:hAnsi="宋体" w:eastAsia="宋体"/>
          <w:b/>
          <w:color w:val="auto"/>
          <w:sz w:val="28"/>
          <w:szCs w:val="36"/>
          <w:highlight w:val="none"/>
        </w:rPr>
      </w:pPr>
      <w:r>
        <w:rPr>
          <w:rFonts w:hint="eastAsia" w:ascii="宋体" w:hAnsi="宋体" w:eastAsia="宋体"/>
          <w:b/>
          <w:color w:val="auto"/>
          <w:sz w:val="28"/>
          <w:szCs w:val="36"/>
          <w:highlight w:val="none"/>
        </w:rPr>
        <w:t>监狱企业声明函</w:t>
      </w:r>
    </w:p>
    <w:p w14:paraId="61C8C3F9">
      <w:pPr>
        <w:shd w:val="clea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【不属于监狱企业的无需填写、递交】</w:t>
      </w:r>
    </w:p>
    <w:p w14:paraId="00BADD31">
      <w:pPr>
        <w:shd w:val="clear"/>
        <w:snapToGrid w:val="0"/>
        <w:spacing w:line="360" w:lineRule="auto"/>
        <w:ind w:firstLine="420" w:firstLineChars="200"/>
        <w:rPr>
          <w:rFonts w:hint="eastAsia" w:ascii="宋体" w:hAnsi="宋体" w:eastAsia="宋体"/>
          <w:color w:val="auto"/>
          <w:highlight w:val="none"/>
        </w:rPr>
      </w:pPr>
    </w:p>
    <w:p w14:paraId="22D59A77">
      <w:pPr>
        <w:shd w:val="clea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本公司郑重声明，根据《关于政府采购支持监狱企业发展有关问题的通知》 （财库[2014]68 号）的规定，本公司为</w:t>
      </w:r>
      <w:r>
        <w:rPr>
          <w:rFonts w:hint="eastAsia" w:ascii="宋体" w:hAnsi="宋体" w:eastAsia="宋体"/>
          <w:color w:val="auto"/>
          <w:highlight w:val="none"/>
          <w:u w:val="single"/>
        </w:rPr>
        <w:t>监狱企业</w:t>
      </w:r>
      <w:r>
        <w:rPr>
          <w:rFonts w:hint="eastAsia" w:ascii="宋体" w:hAnsi="宋体" w:eastAsia="宋体"/>
          <w:color w:val="auto"/>
          <w:highlight w:val="none"/>
        </w:rPr>
        <w:t>。</w:t>
      </w:r>
    </w:p>
    <w:p w14:paraId="3186AF4B">
      <w:pPr>
        <w:shd w:val="clea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根据上述标准，我公司属于监狱企业的理由为：</w:t>
      </w:r>
      <w:r>
        <w:rPr>
          <w:rFonts w:hint="eastAsia" w:ascii="宋体" w:hAnsi="宋体" w:eastAsia="宋体"/>
          <w:color w:val="auto"/>
          <w:highlight w:val="none"/>
          <w:u w:val="single"/>
        </w:rPr>
        <w:t xml:space="preserve">         </w:t>
      </w:r>
      <w:r>
        <w:rPr>
          <w:rFonts w:hint="eastAsia" w:ascii="宋体" w:hAnsi="宋体" w:eastAsia="宋体"/>
          <w:color w:val="auto"/>
          <w:highlight w:val="none"/>
        </w:rPr>
        <w:t>。</w:t>
      </w:r>
    </w:p>
    <w:p w14:paraId="241E71BE">
      <w:pPr>
        <w:shd w:val="clea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本公司为参加（</w:t>
      </w:r>
      <w:r>
        <w:rPr>
          <w:rFonts w:hint="eastAsia" w:ascii="宋体" w:hAnsi="宋体" w:eastAsia="宋体"/>
          <w:color w:val="auto"/>
          <w:highlight w:val="none"/>
          <w:u w:val="single"/>
        </w:rPr>
        <w:t xml:space="preserve">    项目名称    </w:t>
      </w:r>
      <w:r>
        <w:rPr>
          <w:rFonts w:hint="eastAsia" w:ascii="宋体" w:hAnsi="宋体" w:eastAsia="宋体"/>
          <w:color w:val="auto"/>
          <w:highlight w:val="none"/>
        </w:rPr>
        <w:t>） （项目编号：</w:t>
      </w:r>
      <w:r>
        <w:rPr>
          <w:rFonts w:hint="eastAsia" w:ascii="宋体" w:hAnsi="宋体" w:eastAsia="宋体"/>
          <w:color w:val="auto"/>
          <w:highlight w:val="none"/>
          <w:u w:val="single"/>
        </w:rPr>
        <w:t xml:space="preserve">      </w:t>
      </w:r>
      <w:r>
        <w:rPr>
          <w:rFonts w:hint="eastAsia" w:ascii="宋体" w:hAnsi="宋体" w:eastAsia="宋体"/>
          <w:color w:val="auto"/>
          <w:highlight w:val="none"/>
        </w:rPr>
        <w:t>）采购活动提供本企业提供服务。</w:t>
      </w:r>
    </w:p>
    <w:p w14:paraId="2E2DFE8E">
      <w:pPr>
        <w:shd w:val="clea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本公司对上述声明的真实性负责。如有虚假，将依法承担相应责任。</w:t>
      </w:r>
    </w:p>
    <w:p w14:paraId="592A072E">
      <w:pPr>
        <w:shd w:val="clear"/>
        <w:snapToGrid w:val="0"/>
        <w:spacing w:line="360" w:lineRule="auto"/>
        <w:ind w:firstLine="420" w:firstLineChars="200"/>
        <w:rPr>
          <w:rFonts w:hint="eastAsia" w:ascii="宋体" w:hAnsi="宋体" w:eastAsia="宋体"/>
          <w:color w:val="auto"/>
          <w:highlight w:val="none"/>
        </w:rPr>
      </w:pPr>
    </w:p>
    <w:p w14:paraId="4606EB56">
      <w:pPr>
        <w:shd w:val="clea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投标人名称（盖章）：</w:t>
      </w:r>
    </w:p>
    <w:p w14:paraId="4AD087CD">
      <w:pPr>
        <w:shd w:val="clea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日期：    年  月  日</w:t>
      </w:r>
    </w:p>
    <w:p w14:paraId="75B74098">
      <w:pPr>
        <w:shd w:val="clear"/>
        <w:snapToGrid w:val="0"/>
        <w:spacing w:line="360" w:lineRule="auto"/>
        <w:ind w:firstLine="420" w:firstLineChars="200"/>
        <w:rPr>
          <w:rFonts w:hint="eastAsia" w:ascii="宋体" w:hAnsi="宋体" w:eastAsia="宋体"/>
          <w:color w:val="auto"/>
          <w:highlight w:val="none"/>
        </w:rPr>
      </w:pPr>
    </w:p>
    <w:p w14:paraId="36AF1645">
      <w:pPr>
        <w:shd w:val="clear"/>
        <w:snapToGrid w:val="0"/>
        <w:spacing w:line="360" w:lineRule="auto"/>
        <w:ind w:firstLine="420" w:firstLineChars="200"/>
        <w:rPr>
          <w:rFonts w:hint="eastAsia" w:ascii="宋体" w:hAnsi="宋体" w:eastAsia="宋体"/>
          <w:color w:val="auto"/>
          <w:highlight w:val="none"/>
        </w:rPr>
      </w:pPr>
    </w:p>
    <w:p w14:paraId="50F4CB1A">
      <w:pPr>
        <w:shd w:val="clear"/>
        <w:snapToGrid w:val="0"/>
        <w:spacing w:line="360" w:lineRule="auto"/>
        <w:ind w:firstLine="420" w:firstLineChars="200"/>
        <w:rPr>
          <w:rFonts w:hint="eastAsia" w:ascii="宋体" w:hAnsi="宋体" w:eastAsia="宋体"/>
          <w:color w:val="auto"/>
          <w:highlight w:val="none"/>
        </w:rPr>
      </w:pPr>
    </w:p>
    <w:p w14:paraId="01848E8F">
      <w:pPr>
        <w:shd w:val="clear"/>
        <w:snapToGrid w:val="0"/>
        <w:spacing w:line="360" w:lineRule="auto"/>
        <w:ind w:firstLine="420" w:firstLineChars="200"/>
        <w:rPr>
          <w:rFonts w:hint="eastAsia" w:ascii="宋体" w:hAnsi="宋体" w:eastAsia="宋体"/>
          <w:color w:val="auto"/>
          <w:highlight w:val="none"/>
        </w:rPr>
      </w:pPr>
    </w:p>
    <w:p w14:paraId="1447D7B7">
      <w:pPr>
        <w:shd w:val="clear"/>
        <w:snapToGrid w:val="0"/>
        <w:spacing w:line="360" w:lineRule="auto"/>
        <w:ind w:firstLine="420" w:firstLineChars="200"/>
        <w:rPr>
          <w:rFonts w:hint="eastAsia" w:ascii="宋体" w:hAnsi="宋体" w:eastAsia="宋体"/>
          <w:color w:val="auto"/>
          <w:highlight w:val="none"/>
        </w:rPr>
      </w:pPr>
    </w:p>
    <w:p w14:paraId="4B36200F">
      <w:pPr>
        <w:shd w:val="clear"/>
        <w:snapToGrid w:val="0"/>
        <w:spacing w:line="360" w:lineRule="auto"/>
        <w:ind w:firstLine="420" w:firstLineChars="200"/>
        <w:rPr>
          <w:rFonts w:hint="eastAsia" w:ascii="宋体" w:hAnsi="宋体" w:eastAsia="宋体"/>
          <w:color w:val="auto"/>
          <w:highlight w:val="none"/>
        </w:rPr>
      </w:pPr>
    </w:p>
    <w:p w14:paraId="41E7164C">
      <w:pPr>
        <w:shd w:val="clear"/>
        <w:snapToGrid w:val="0"/>
        <w:spacing w:line="360" w:lineRule="auto"/>
        <w:rPr>
          <w:rFonts w:hint="eastAsia" w:ascii="宋体" w:hAnsi="宋体" w:eastAsia="宋体"/>
          <w:b/>
          <w:color w:val="auto"/>
          <w:spacing w:val="6"/>
          <w:highlight w:val="none"/>
        </w:rPr>
      </w:pPr>
    </w:p>
    <w:p w14:paraId="75E244F8">
      <w:pPr>
        <w:shd w:val="clear"/>
        <w:snapToGrid w:val="0"/>
        <w:spacing w:line="360" w:lineRule="auto"/>
        <w:rPr>
          <w:rFonts w:hint="eastAsia" w:ascii="宋体" w:hAnsi="宋体" w:eastAsia="宋体"/>
          <w:b/>
          <w:color w:val="auto"/>
          <w:spacing w:val="6"/>
          <w:highlight w:val="none"/>
        </w:rPr>
      </w:pPr>
    </w:p>
    <w:p w14:paraId="5C4AC603">
      <w:pPr>
        <w:shd w:val="clear"/>
        <w:snapToGrid w:val="0"/>
        <w:spacing w:line="360" w:lineRule="auto"/>
        <w:jc w:val="center"/>
        <w:rPr>
          <w:rFonts w:hint="eastAsia" w:ascii="宋体" w:hAnsi="宋体" w:eastAsia="宋体"/>
          <w:b/>
          <w:color w:val="auto"/>
          <w:spacing w:val="6"/>
          <w:highlight w:val="none"/>
        </w:rPr>
      </w:pPr>
    </w:p>
    <w:p w14:paraId="57D6AF61">
      <w:pPr>
        <w:shd w:val="clear"/>
        <w:snapToGrid w:val="0"/>
        <w:spacing w:line="360" w:lineRule="auto"/>
        <w:jc w:val="center"/>
        <w:rPr>
          <w:rFonts w:hint="eastAsia" w:ascii="宋体" w:hAnsi="宋体" w:eastAsia="宋体"/>
          <w:b/>
          <w:color w:val="auto"/>
          <w:spacing w:val="6"/>
          <w:highlight w:val="none"/>
        </w:rPr>
      </w:pPr>
    </w:p>
    <w:p w14:paraId="7E23973E">
      <w:pPr>
        <w:pageBreakBefore/>
        <w:shd w:val="clear"/>
        <w:snapToGrid w:val="0"/>
        <w:spacing w:line="360" w:lineRule="auto"/>
        <w:jc w:val="center"/>
        <w:rPr>
          <w:rFonts w:hint="eastAsia" w:ascii="宋体" w:hAnsi="宋体" w:eastAsia="宋体"/>
          <w:b/>
          <w:color w:val="auto"/>
          <w:spacing w:val="6"/>
          <w:sz w:val="28"/>
          <w:szCs w:val="36"/>
          <w:highlight w:val="none"/>
        </w:rPr>
      </w:pPr>
      <w:r>
        <w:rPr>
          <w:rFonts w:hint="eastAsia" w:ascii="宋体" w:hAnsi="宋体" w:eastAsia="宋体"/>
          <w:b/>
          <w:color w:val="auto"/>
          <w:spacing w:val="6"/>
          <w:sz w:val="28"/>
          <w:szCs w:val="36"/>
          <w:highlight w:val="none"/>
        </w:rPr>
        <w:t>残疾人福利性单位声明函</w:t>
      </w:r>
    </w:p>
    <w:p w14:paraId="4E098399">
      <w:pPr>
        <w:shd w:val="clear"/>
        <w:snapToGrid w:val="0"/>
        <w:spacing w:line="360" w:lineRule="auto"/>
        <w:ind w:firstLine="420" w:firstLineChars="200"/>
        <w:rPr>
          <w:rFonts w:hint="eastAsia" w:ascii="宋体" w:hAnsi="宋体" w:eastAsia="宋体"/>
          <w:color w:val="auto"/>
          <w:highlight w:val="none"/>
        </w:rPr>
      </w:pPr>
    </w:p>
    <w:p w14:paraId="7AFE7EDF">
      <w:pPr>
        <w:shd w:val="clea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690836C">
      <w:pPr>
        <w:shd w:val="clea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本单位对上述声明的真实性负责。如有虚假，将依法承担相应责任。</w:t>
      </w:r>
    </w:p>
    <w:p w14:paraId="51DF6DEA">
      <w:pPr>
        <w:shd w:val="clear"/>
        <w:snapToGrid w:val="0"/>
        <w:spacing w:line="360" w:lineRule="auto"/>
        <w:ind w:firstLine="420" w:firstLineChars="200"/>
        <w:rPr>
          <w:rFonts w:hint="eastAsia" w:ascii="宋体" w:hAnsi="宋体" w:eastAsia="宋体"/>
          <w:color w:val="auto"/>
          <w:highlight w:val="none"/>
        </w:rPr>
      </w:pPr>
    </w:p>
    <w:p w14:paraId="3AF24E98">
      <w:pPr>
        <w:shd w:val="clear"/>
        <w:snapToGrid w:val="0"/>
        <w:spacing w:line="360" w:lineRule="auto"/>
        <w:ind w:firstLine="420" w:firstLineChars="200"/>
        <w:rPr>
          <w:rFonts w:hint="eastAsia" w:ascii="宋体" w:hAnsi="宋体" w:eastAsia="宋体"/>
          <w:color w:val="auto"/>
          <w:highlight w:val="none"/>
        </w:rPr>
      </w:pPr>
    </w:p>
    <w:p w14:paraId="7987F419">
      <w:pPr>
        <w:shd w:val="clea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单位名称（盖章）：</w:t>
      </w:r>
    </w:p>
    <w:p w14:paraId="181BA8E9">
      <w:pPr>
        <w:shd w:val="clea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日  期：</w:t>
      </w:r>
    </w:p>
    <w:p w14:paraId="51F342D6">
      <w:pPr>
        <w:pStyle w:val="71"/>
        <w:shd w:val="clear"/>
        <w:snapToGrid w:val="0"/>
        <w:spacing w:line="360" w:lineRule="auto"/>
        <w:ind w:left="360" w:firstLine="0" w:firstLineChars="0"/>
        <w:rPr>
          <w:rFonts w:hint="eastAsia" w:ascii="宋体" w:hAnsi="宋体" w:eastAsia="宋体"/>
          <w:color w:val="auto"/>
          <w:highlight w:val="none"/>
        </w:rPr>
      </w:pPr>
      <w:r>
        <w:rPr>
          <w:rFonts w:hint="eastAsia" w:ascii="宋体" w:hAnsi="宋体" w:eastAsia="宋体"/>
          <w:color w:val="auto"/>
          <w:highlight w:val="none"/>
        </w:rPr>
        <w:t>扶持政策说明：</w:t>
      </w:r>
    </w:p>
    <w:p w14:paraId="5259F85C">
      <w:pPr>
        <w:pStyle w:val="71"/>
        <w:shd w:val="clear"/>
        <w:snapToGrid w:val="0"/>
        <w:spacing w:line="360" w:lineRule="auto"/>
        <w:rPr>
          <w:rFonts w:hint="eastAsia" w:ascii="宋体" w:hAnsi="宋体" w:eastAsia="宋体"/>
          <w:color w:val="auto"/>
          <w:highlight w:val="none"/>
        </w:rPr>
      </w:pPr>
      <w:r>
        <w:rPr>
          <w:rFonts w:hint="eastAsia" w:ascii="宋体" w:hAnsi="宋体" w:eastAsia="宋体"/>
          <w:color w:val="auto"/>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08076CDC">
      <w:pPr>
        <w:shd w:val="clear"/>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2、监狱企业视同小微企业，参加本项目投标的，享受小微企业同等的价格扣除。【注：提供《监狱企业声明函》及其相关的充分的证明材料】。</w:t>
      </w:r>
    </w:p>
    <w:p w14:paraId="2B6CC51D">
      <w:pPr>
        <w:pStyle w:val="71"/>
        <w:shd w:val="clear"/>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3、残疾人福利性单位参加投标【提供《残疾人福利性单位声明函》】，视为小型、微型企业，享受小微企业政策扶持。</w:t>
      </w:r>
    </w:p>
    <w:p w14:paraId="62959402">
      <w:pPr>
        <w:pStyle w:val="71"/>
        <w:shd w:val="clear"/>
        <w:snapToGrid w:val="0"/>
        <w:spacing w:line="360" w:lineRule="auto"/>
        <w:ind w:firstLine="210" w:firstLineChars="100"/>
        <w:rPr>
          <w:color w:val="auto"/>
          <w:highlight w:val="none"/>
        </w:rPr>
      </w:pPr>
    </w:p>
    <w:p w14:paraId="79F3DA35">
      <w:pPr>
        <w:pStyle w:val="31"/>
        <w:shd w:val="clear"/>
        <w:snapToGrid w:val="0"/>
        <w:spacing w:line="460" w:lineRule="atLeast"/>
        <w:rPr>
          <w:rFonts w:hAnsi="宋体"/>
          <w:color w:val="auto"/>
          <w:sz w:val="30"/>
          <w:highlight w:val="none"/>
        </w:rPr>
      </w:pPr>
    </w:p>
    <w:p w14:paraId="5F4E579C">
      <w:pPr>
        <w:pStyle w:val="31"/>
        <w:shd w:val="clear"/>
        <w:snapToGrid w:val="0"/>
        <w:spacing w:line="460" w:lineRule="atLeast"/>
        <w:rPr>
          <w:rFonts w:hAnsi="宋体"/>
          <w:color w:val="auto"/>
          <w:sz w:val="30"/>
          <w:highlight w:val="none"/>
        </w:rPr>
      </w:pPr>
    </w:p>
    <w:p w14:paraId="1A62D0B7">
      <w:pPr>
        <w:pStyle w:val="31"/>
        <w:shd w:val="clear"/>
        <w:snapToGrid w:val="0"/>
        <w:spacing w:line="460" w:lineRule="atLeast"/>
        <w:rPr>
          <w:rFonts w:hAnsi="宋体"/>
          <w:color w:val="auto"/>
          <w:sz w:val="30"/>
          <w:highlight w:val="none"/>
        </w:rPr>
      </w:pPr>
    </w:p>
    <w:p w14:paraId="1B04B557">
      <w:pPr>
        <w:pStyle w:val="31"/>
        <w:shd w:val="clear"/>
        <w:snapToGrid w:val="0"/>
        <w:spacing w:line="460" w:lineRule="atLeast"/>
        <w:rPr>
          <w:rFonts w:hAnsi="宋体"/>
          <w:color w:val="auto"/>
          <w:sz w:val="30"/>
          <w:highlight w:val="none"/>
        </w:rPr>
      </w:pPr>
    </w:p>
    <w:p w14:paraId="1E54A824">
      <w:pPr>
        <w:pStyle w:val="31"/>
        <w:shd w:val="clear"/>
        <w:snapToGrid w:val="0"/>
        <w:spacing w:line="460" w:lineRule="atLeast"/>
        <w:rPr>
          <w:rFonts w:hAnsi="宋体"/>
          <w:color w:val="auto"/>
          <w:sz w:val="30"/>
          <w:highlight w:val="none"/>
        </w:rPr>
      </w:pPr>
    </w:p>
    <w:p w14:paraId="5414AA31">
      <w:pPr>
        <w:pStyle w:val="31"/>
        <w:shd w:val="clear"/>
        <w:snapToGrid w:val="0"/>
        <w:spacing w:line="460" w:lineRule="atLeast"/>
        <w:rPr>
          <w:rFonts w:hAnsi="宋体"/>
          <w:color w:val="auto"/>
          <w:sz w:val="30"/>
          <w:highlight w:val="none"/>
        </w:rPr>
      </w:pPr>
    </w:p>
    <w:p w14:paraId="2CDC2222">
      <w:pPr>
        <w:pStyle w:val="31"/>
        <w:shd w:val="clear"/>
        <w:snapToGrid w:val="0"/>
        <w:spacing w:line="460" w:lineRule="atLeast"/>
        <w:rPr>
          <w:rFonts w:hAnsi="宋体"/>
          <w:color w:val="auto"/>
          <w:sz w:val="30"/>
          <w:highlight w:val="none"/>
        </w:rPr>
      </w:pPr>
    </w:p>
    <w:p w14:paraId="4A3D3AF1">
      <w:pPr>
        <w:pStyle w:val="31"/>
        <w:shd w:val="clear"/>
        <w:snapToGrid w:val="0"/>
        <w:spacing w:line="460" w:lineRule="atLeast"/>
        <w:rPr>
          <w:rFonts w:hAnsi="宋体"/>
          <w:color w:val="auto"/>
          <w:sz w:val="30"/>
          <w:highlight w:val="none"/>
        </w:rPr>
      </w:pPr>
    </w:p>
    <w:p w14:paraId="033C30FB">
      <w:pPr>
        <w:pStyle w:val="31"/>
        <w:shd w:val="clear"/>
        <w:snapToGrid w:val="0"/>
        <w:spacing w:line="460" w:lineRule="atLeast"/>
        <w:rPr>
          <w:rFonts w:hAnsi="宋体"/>
          <w:color w:val="auto"/>
          <w:sz w:val="30"/>
          <w:highlight w:val="none"/>
        </w:rPr>
      </w:pPr>
    </w:p>
    <w:p w14:paraId="41CFA2B9">
      <w:pPr>
        <w:pStyle w:val="31"/>
        <w:shd w:val="clear"/>
        <w:snapToGrid w:val="0"/>
        <w:spacing w:line="460" w:lineRule="atLeast"/>
        <w:rPr>
          <w:rFonts w:hAnsi="宋体"/>
          <w:color w:val="auto"/>
          <w:sz w:val="30"/>
          <w:highlight w:val="none"/>
        </w:rPr>
      </w:pPr>
    </w:p>
    <w:p w14:paraId="5C4E1BA5">
      <w:pPr>
        <w:pStyle w:val="31"/>
        <w:shd w:val="clear"/>
        <w:snapToGrid w:val="0"/>
        <w:spacing w:line="460" w:lineRule="atLeast"/>
        <w:rPr>
          <w:rFonts w:hAnsi="宋体"/>
          <w:color w:val="auto"/>
          <w:sz w:val="30"/>
          <w:highlight w:val="none"/>
        </w:rPr>
      </w:pPr>
    </w:p>
    <w:p w14:paraId="51FBA295">
      <w:pPr>
        <w:pStyle w:val="31"/>
        <w:shd w:val="clear"/>
        <w:snapToGrid w:val="0"/>
        <w:spacing w:line="460" w:lineRule="atLeast"/>
        <w:rPr>
          <w:rFonts w:hAnsi="宋体"/>
          <w:color w:val="auto"/>
          <w:sz w:val="30"/>
          <w:highlight w:val="none"/>
        </w:rPr>
      </w:pPr>
    </w:p>
    <w:p w14:paraId="256E116F">
      <w:pPr>
        <w:pStyle w:val="18"/>
        <w:shd w:val="clear"/>
        <w:rPr>
          <w:rFonts w:hint="eastAsia"/>
          <w:color w:val="auto"/>
          <w:highlight w:val="none"/>
        </w:rPr>
      </w:pPr>
      <w:bookmarkStart w:id="20" w:name="_Toc8008423"/>
      <w:bookmarkEnd w:id="20"/>
      <w:bookmarkStart w:id="21" w:name="_Toc440162800"/>
      <w:bookmarkEnd w:id="21"/>
      <w:bookmarkStart w:id="22" w:name="_Toc24550050"/>
      <w:bookmarkEnd w:id="22"/>
      <w:bookmarkStart w:id="23" w:name="_Toc424164168"/>
      <w:bookmarkEnd w:id="23"/>
      <w:bookmarkStart w:id="24" w:name="_Toc30408915"/>
      <w:bookmarkEnd w:id="24"/>
      <w:bookmarkStart w:id="25" w:name="_Toc7988468"/>
      <w:bookmarkEnd w:id="25"/>
      <w:bookmarkStart w:id="26" w:name="_Toc7988414"/>
      <w:bookmarkEnd w:id="26"/>
      <w:r>
        <w:rPr>
          <w:rFonts w:hint="eastAsia"/>
          <w:color w:val="auto"/>
          <w:highlight w:val="none"/>
        </w:rPr>
        <w:t>三、“商务技术文件</w:t>
      </w:r>
      <w:r>
        <w:rPr>
          <w:color w:val="auto"/>
          <w:highlight w:val="none"/>
        </w:rPr>
        <w:t>”</w:t>
      </w:r>
      <w:r>
        <w:rPr>
          <w:rFonts w:hint="eastAsia"/>
          <w:color w:val="auto"/>
          <w:highlight w:val="none"/>
        </w:rPr>
        <w:t>格式</w:t>
      </w:r>
    </w:p>
    <w:p w14:paraId="402094A0">
      <w:pPr>
        <w:pStyle w:val="19"/>
        <w:shd w:val="clear"/>
        <w:rPr>
          <w:rFonts w:hint="eastAsia"/>
          <w:color w:val="auto"/>
          <w:highlight w:val="none"/>
        </w:rPr>
      </w:pPr>
      <w:r>
        <w:rPr>
          <w:rFonts w:hint="eastAsia"/>
          <w:color w:val="auto"/>
          <w:highlight w:val="none"/>
        </w:rPr>
        <w:t>3.1 “商务技术文件”封面</w:t>
      </w:r>
    </w:p>
    <w:p w14:paraId="7D32A648">
      <w:pPr>
        <w:shd w:val="clear" w:color="auto"/>
        <w:spacing w:line="276" w:lineRule="auto"/>
        <w:jc w:val="center"/>
        <w:rPr>
          <w:rFonts w:hint="eastAsia" w:ascii="宋体" w:hAnsi="宋体" w:eastAsia="宋体" w:cs="宋体"/>
          <w:b/>
          <w:color w:val="auto"/>
          <w:w w:val="90"/>
          <w:sz w:val="36"/>
          <w:szCs w:val="20"/>
          <w:highlight w:val="none"/>
          <w:lang w:eastAsia="zh-CN"/>
        </w:rPr>
      </w:pPr>
      <w:r>
        <w:rPr>
          <w:rFonts w:hint="eastAsia" w:ascii="华文中宋" w:hAnsi="华文中宋" w:eastAsia="华文中宋"/>
          <w:color w:val="auto"/>
          <w:sz w:val="52"/>
          <w:szCs w:val="18"/>
          <w:highlight w:val="none"/>
          <w:lang w:eastAsia="zh-CN"/>
        </w:rPr>
        <w:t>2025年度鳌江镇苗木养护、补植、绿地修复项目（标项    ）</w:t>
      </w:r>
    </w:p>
    <w:p w14:paraId="6898647C">
      <w:pPr>
        <w:shd w:val="clear"/>
        <w:spacing w:line="276" w:lineRule="auto"/>
        <w:jc w:val="center"/>
        <w:rPr>
          <w:rFonts w:hint="eastAsia" w:ascii="华文中宋" w:hAnsi="华文中宋" w:eastAsia="华文中宋"/>
          <w:color w:val="auto"/>
          <w:sz w:val="52"/>
          <w:szCs w:val="18"/>
          <w:highlight w:val="none"/>
          <w:lang w:eastAsia="zh-CN"/>
        </w:rPr>
      </w:pPr>
    </w:p>
    <w:p w14:paraId="65AF4E6F">
      <w:pPr>
        <w:pStyle w:val="63"/>
        <w:shd w:val="clear"/>
        <w:rPr>
          <w:color w:val="auto"/>
          <w:highlight w:val="none"/>
        </w:rPr>
      </w:pPr>
    </w:p>
    <w:p w14:paraId="06F90A0F">
      <w:pPr>
        <w:shd w:val="clea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249CBBB4">
      <w:pPr>
        <w:shd w:val="clea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（商务技术文件）</w:t>
      </w:r>
    </w:p>
    <w:p w14:paraId="5EC2FA39">
      <w:pPr>
        <w:shd w:val="clear"/>
        <w:spacing w:line="360" w:lineRule="auto"/>
        <w:jc w:val="center"/>
        <w:rPr>
          <w:rFonts w:ascii="华文中宋" w:hAnsi="华文中宋" w:eastAsia="华文中宋"/>
          <w:b/>
          <w:color w:val="auto"/>
          <w:sz w:val="52"/>
          <w:szCs w:val="22"/>
          <w:highlight w:val="none"/>
        </w:rPr>
      </w:pPr>
    </w:p>
    <w:tbl>
      <w:tblPr>
        <w:tblStyle w:val="13"/>
        <w:tblW w:w="0" w:type="auto"/>
        <w:tblInd w:w="142" w:type="dxa"/>
        <w:tblLayout w:type="fixed"/>
        <w:tblCellMar>
          <w:top w:w="0" w:type="dxa"/>
          <w:left w:w="108" w:type="dxa"/>
          <w:bottom w:w="0" w:type="dxa"/>
          <w:right w:w="108" w:type="dxa"/>
        </w:tblCellMar>
      </w:tblPr>
      <w:tblGrid>
        <w:gridCol w:w="8789"/>
      </w:tblGrid>
      <w:tr w14:paraId="219C167C">
        <w:tblPrEx>
          <w:tblCellMar>
            <w:top w:w="0" w:type="dxa"/>
            <w:left w:w="108" w:type="dxa"/>
            <w:bottom w:w="0" w:type="dxa"/>
            <w:right w:w="108" w:type="dxa"/>
          </w:tblCellMar>
        </w:tblPrEx>
        <w:trPr>
          <w:trHeight w:val="680" w:hRule="atLeast"/>
        </w:trPr>
        <w:tc>
          <w:tcPr>
            <w:tcW w:w="8789" w:type="dxa"/>
            <w:vAlign w:val="center"/>
          </w:tcPr>
          <w:p w14:paraId="7A45BC6D">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r>
              <w:rPr>
                <w:rFonts w:hint="eastAsia" w:ascii="仿宋" w:hAnsi="仿宋" w:eastAsia="仿宋"/>
                <w:b/>
                <w:color w:val="auto"/>
                <w:sz w:val="28"/>
                <w:szCs w:val="28"/>
                <w:highlight w:val="none"/>
                <w:lang w:eastAsia="zh-CN"/>
              </w:rPr>
              <w:t>PYCG241224108</w:t>
            </w:r>
          </w:p>
        </w:tc>
      </w:tr>
      <w:tr w14:paraId="1B0B8A48">
        <w:tblPrEx>
          <w:tblCellMar>
            <w:top w:w="0" w:type="dxa"/>
            <w:left w:w="108" w:type="dxa"/>
            <w:bottom w:w="0" w:type="dxa"/>
            <w:right w:w="108" w:type="dxa"/>
          </w:tblCellMar>
        </w:tblPrEx>
        <w:trPr>
          <w:trHeight w:val="680" w:hRule="atLeast"/>
        </w:trPr>
        <w:tc>
          <w:tcPr>
            <w:tcW w:w="8789" w:type="dxa"/>
            <w:vAlign w:val="center"/>
          </w:tcPr>
          <w:p w14:paraId="05DCA909">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14A4C83B">
        <w:tblPrEx>
          <w:tblCellMar>
            <w:top w:w="0" w:type="dxa"/>
            <w:left w:w="108" w:type="dxa"/>
            <w:bottom w:w="0" w:type="dxa"/>
            <w:right w:w="108" w:type="dxa"/>
          </w:tblCellMar>
        </w:tblPrEx>
        <w:trPr>
          <w:trHeight w:val="680" w:hRule="atLeast"/>
        </w:trPr>
        <w:tc>
          <w:tcPr>
            <w:tcW w:w="8789" w:type="dxa"/>
            <w:vAlign w:val="center"/>
          </w:tcPr>
          <w:p w14:paraId="71630F9B">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38CC5C9F">
        <w:tblPrEx>
          <w:tblCellMar>
            <w:top w:w="0" w:type="dxa"/>
            <w:left w:w="108" w:type="dxa"/>
            <w:bottom w:w="0" w:type="dxa"/>
            <w:right w:w="108" w:type="dxa"/>
          </w:tblCellMar>
        </w:tblPrEx>
        <w:trPr>
          <w:trHeight w:val="680" w:hRule="atLeast"/>
        </w:trPr>
        <w:tc>
          <w:tcPr>
            <w:tcW w:w="8789" w:type="dxa"/>
            <w:vAlign w:val="center"/>
          </w:tcPr>
          <w:p w14:paraId="61C3532A">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b/>
                <w:color w:val="auto"/>
                <w:w w:val="90"/>
                <w:sz w:val="28"/>
                <w:szCs w:val="28"/>
                <w:highlight w:val="none"/>
              </w:rPr>
              <w:t>________________________</w:t>
            </w:r>
          </w:p>
        </w:tc>
      </w:tr>
      <w:tr w14:paraId="468A9D92">
        <w:tblPrEx>
          <w:tblCellMar>
            <w:top w:w="0" w:type="dxa"/>
            <w:left w:w="108" w:type="dxa"/>
            <w:bottom w:w="0" w:type="dxa"/>
            <w:right w:w="108" w:type="dxa"/>
          </w:tblCellMar>
        </w:tblPrEx>
        <w:trPr>
          <w:trHeight w:val="680" w:hRule="atLeast"/>
        </w:trPr>
        <w:tc>
          <w:tcPr>
            <w:tcW w:w="8789" w:type="dxa"/>
            <w:vAlign w:val="center"/>
          </w:tcPr>
          <w:p w14:paraId="6C2B72E2">
            <w:pPr>
              <w:shd w:val="clea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538F22DD">
        <w:tblPrEx>
          <w:tblCellMar>
            <w:top w:w="0" w:type="dxa"/>
            <w:left w:w="108" w:type="dxa"/>
            <w:bottom w:w="0" w:type="dxa"/>
            <w:right w:w="108" w:type="dxa"/>
          </w:tblCellMar>
        </w:tblPrEx>
        <w:trPr>
          <w:trHeight w:val="335" w:hRule="atLeast"/>
        </w:trPr>
        <w:tc>
          <w:tcPr>
            <w:tcW w:w="8789" w:type="dxa"/>
            <w:vAlign w:val="center"/>
          </w:tcPr>
          <w:p w14:paraId="16F62A95">
            <w:pPr>
              <w:shd w:val="clear"/>
              <w:rPr>
                <w:rFonts w:ascii="仿宋" w:hAnsi="仿宋" w:eastAsia="仿宋"/>
                <w:color w:val="auto"/>
                <w:sz w:val="28"/>
                <w:szCs w:val="28"/>
                <w:highlight w:val="none"/>
              </w:rPr>
            </w:pPr>
          </w:p>
        </w:tc>
      </w:tr>
    </w:tbl>
    <w:p w14:paraId="452599AC">
      <w:pPr>
        <w:shd w:val="clear"/>
        <w:rPr>
          <w:color w:val="auto"/>
          <w:highlight w:val="none"/>
        </w:rPr>
      </w:pPr>
    </w:p>
    <w:p w14:paraId="586B1FB0">
      <w:pPr>
        <w:pStyle w:val="19"/>
        <w:shd w:val="clear"/>
        <w:rPr>
          <w:color w:val="auto"/>
          <w:highlight w:val="none"/>
        </w:rPr>
      </w:pPr>
      <w:r>
        <w:rPr>
          <w:color w:val="auto"/>
          <w:highlight w:val="none"/>
        </w:rPr>
        <w:br w:type="page"/>
      </w:r>
      <w:r>
        <w:rPr>
          <w:rFonts w:hint="eastAsia"/>
          <w:color w:val="auto"/>
          <w:highlight w:val="none"/>
        </w:rPr>
        <w:t>3.2供应商自评分指引表</w:t>
      </w:r>
    </w:p>
    <w:tbl>
      <w:tblPr>
        <w:tblStyle w:val="13"/>
        <w:tblW w:w="0" w:type="auto"/>
        <w:tblInd w:w="-108" w:type="dxa"/>
        <w:tblLayout w:type="fixed"/>
        <w:tblCellMar>
          <w:top w:w="0" w:type="dxa"/>
          <w:left w:w="108" w:type="dxa"/>
          <w:bottom w:w="0" w:type="dxa"/>
          <w:right w:w="108" w:type="dxa"/>
        </w:tblCellMar>
      </w:tblPr>
      <w:tblGrid>
        <w:gridCol w:w="1095"/>
        <w:gridCol w:w="7470"/>
        <w:gridCol w:w="1340"/>
      </w:tblGrid>
      <w:tr w14:paraId="0E6675FD">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7D0B41">
            <w:pPr>
              <w:shd w:val="clea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B50665D">
            <w:pPr>
              <w:shd w:val="clea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64DEA3">
            <w:pPr>
              <w:shd w:val="clear"/>
              <w:snapToGrid w:val="0"/>
              <w:jc w:val="center"/>
              <w:rPr>
                <w:color w:val="auto"/>
                <w:sz w:val="22"/>
                <w:highlight w:val="none"/>
              </w:rPr>
            </w:pPr>
            <w:r>
              <w:rPr>
                <w:color w:val="auto"/>
                <w:sz w:val="22"/>
                <w:highlight w:val="none"/>
              </w:rPr>
              <w:t>投标文件索引（页码）</w:t>
            </w:r>
          </w:p>
        </w:tc>
      </w:tr>
      <w:tr w14:paraId="74A66A28">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247300">
            <w:pPr>
              <w:shd w:val="clea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1A667E">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FFE00E2">
            <w:pPr>
              <w:shd w:val="clear"/>
              <w:snapToGrid w:val="0"/>
              <w:jc w:val="center"/>
              <w:rPr>
                <w:color w:val="auto"/>
                <w:sz w:val="22"/>
                <w:highlight w:val="none"/>
              </w:rPr>
            </w:pPr>
          </w:p>
        </w:tc>
      </w:tr>
      <w:tr w14:paraId="47C805F6">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B8AFB1D">
            <w:pPr>
              <w:shd w:val="clea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872925">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382C9DF">
            <w:pPr>
              <w:shd w:val="clear"/>
              <w:snapToGrid w:val="0"/>
              <w:jc w:val="center"/>
              <w:rPr>
                <w:color w:val="auto"/>
                <w:sz w:val="22"/>
                <w:highlight w:val="none"/>
              </w:rPr>
            </w:pPr>
          </w:p>
        </w:tc>
      </w:tr>
      <w:tr w14:paraId="6A408EF2">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AA1D4E">
            <w:pPr>
              <w:shd w:val="clea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FEC56F9">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0D6B0C9">
            <w:pPr>
              <w:shd w:val="clear"/>
              <w:snapToGrid w:val="0"/>
              <w:jc w:val="center"/>
              <w:rPr>
                <w:color w:val="auto"/>
                <w:sz w:val="22"/>
                <w:highlight w:val="none"/>
              </w:rPr>
            </w:pPr>
          </w:p>
        </w:tc>
      </w:tr>
      <w:tr w14:paraId="3394548F">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720650">
            <w:pPr>
              <w:shd w:val="clea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D7B0D0">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4B4089">
            <w:pPr>
              <w:shd w:val="clear"/>
              <w:snapToGrid w:val="0"/>
              <w:jc w:val="center"/>
              <w:rPr>
                <w:color w:val="auto"/>
                <w:sz w:val="22"/>
                <w:highlight w:val="none"/>
              </w:rPr>
            </w:pPr>
          </w:p>
        </w:tc>
      </w:tr>
      <w:tr w14:paraId="168A5849">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EB5891">
            <w:pPr>
              <w:shd w:val="clea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FB9B670">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B0BF48B">
            <w:pPr>
              <w:shd w:val="clear"/>
              <w:snapToGrid w:val="0"/>
              <w:jc w:val="center"/>
              <w:rPr>
                <w:color w:val="auto"/>
                <w:sz w:val="22"/>
                <w:highlight w:val="none"/>
              </w:rPr>
            </w:pPr>
          </w:p>
        </w:tc>
      </w:tr>
      <w:tr w14:paraId="1FB79339">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FEAE49">
            <w:pPr>
              <w:shd w:val="clea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7E3234B">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731458">
            <w:pPr>
              <w:shd w:val="clear"/>
              <w:snapToGrid w:val="0"/>
              <w:jc w:val="center"/>
              <w:rPr>
                <w:color w:val="auto"/>
                <w:sz w:val="22"/>
                <w:highlight w:val="none"/>
              </w:rPr>
            </w:pPr>
          </w:p>
        </w:tc>
      </w:tr>
      <w:tr w14:paraId="6EA2970F">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7C6191">
            <w:pPr>
              <w:shd w:val="clea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FA0920">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509D8FB">
            <w:pPr>
              <w:shd w:val="clear"/>
              <w:snapToGrid w:val="0"/>
              <w:jc w:val="center"/>
              <w:rPr>
                <w:color w:val="auto"/>
                <w:sz w:val="22"/>
                <w:highlight w:val="none"/>
              </w:rPr>
            </w:pPr>
          </w:p>
        </w:tc>
      </w:tr>
      <w:tr w14:paraId="1EE59282">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750D3E">
            <w:pPr>
              <w:shd w:val="clea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DB4D33">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94DEA8C">
            <w:pPr>
              <w:shd w:val="clear"/>
              <w:snapToGrid w:val="0"/>
              <w:jc w:val="center"/>
              <w:rPr>
                <w:color w:val="auto"/>
                <w:sz w:val="22"/>
                <w:highlight w:val="none"/>
              </w:rPr>
            </w:pPr>
          </w:p>
        </w:tc>
      </w:tr>
      <w:tr w14:paraId="765B3A56">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2590109">
            <w:pPr>
              <w:shd w:val="clea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E952C3">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673DD41">
            <w:pPr>
              <w:shd w:val="clear"/>
              <w:snapToGrid w:val="0"/>
              <w:jc w:val="center"/>
              <w:rPr>
                <w:color w:val="auto"/>
                <w:sz w:val="22"/>
                <w:highlight w:val="none"/>
              </w:rPr>
            </w:pPr>
          </w:p>
        </w:tc>
      </w:tr>
      <w:tr w14:paraId="26923AEA">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69C5B5">
            <w:pPr>
              <w:shd w:val="clea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08CFC9">
            <w:pPr>
              <w:shd w:val="clea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A97004">
            <w:pPr>
              <w:shd w:val="clear"/>
              <w:snapToGrid w:val="0"/>
              <w:jc w:val="center"/>
              <w:rPr>
                <w:color w:val="auto"/>
                <w:sz w:val="22"/>
                <w:highlight w:val="none"/>
              </w:rPr>
            </w:pPr>
          </w:p>
        </w:tc>
      </w:tr>
      <w:tr w14:paraId="4430706D">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000674">
            <w:pPr>
              <w:shd w:val="clea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9751949">
            <w:pPr>
              <w:shd w:val="clea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5BCDEA6">
            <w:pPr>
              <w:shd w:val="clear"/>
              <w:snapToGrid w:val="0"/>
              <w:jc w:val="center"/>
              <w:rPr>
                <w:color w:val="auto"/>
                <w:sz w:val="22"/>
                <w:highlight w:val="none"/>
              </w:rPr>
            </w:pPr>
          </w:p>
        </w:tc>
      </w:tr>
      <w:tr w14:paraId="1B9536A2">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BD5DCC6">
            <w:pPr>
              <w:shd w:val="clea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442B4C">
            <w:pPr>
              <w:shd w:val="clea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5E049DC">
            <w:pPr>
              <w:shd w:val="clear"/>
              <w:snapToGrid w:val="0"/>
              <w:jc w:val="center"/>
              <w:rPr>
                <w:color w:val="auto"/>
                <w:sz w:val="22"/>
                <w:highlight w:val="none"/>
              </w:rPr>
            </w:pPr>
          </w:p>
        </w:tc>
      </w:tr>
      <w:tr w14:paraId="009987FD">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459D9E">
            <w:pPr>
              <w:shd w:val="clea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AB787D">
            <w:pPr>
              <w:shd w:val="clea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6CF6A27">
            <w:pPr>
              <w:shd w:val="clear"/>
              <w:snapToGrid w:val="0"/>
              <w:jc w:val="center"/>
              <w:rPr>
                <w:color w:val="auto"/>
                <w:sz w:val="22"/>
                <w:highlight w:val="none"/>
              </w:rPr>
            </w:pPr>
          </w:p>
        </w:tc>
      </w:tr>
    </w:tbl>
    <w:p w14:paraId="4927576B">
      <w:pPr>
        <w:shd w:val="clear"/>
        <w:rPr>
          <w:color w:val="auto"/>
          <w:highlight w:val="none"/>
        </w:rPr>
      </w:pPr>
    </w:p>
    <w:p w14:paraId="530F6F43">
      <w:pPr>
        <w:shd w:val="clear"/>
        <w:rPr>
          <w:color w:val="auto"/>
          <w:sz w:val="32"/>
          <w:highlight w:val="none"/>
        </w:rPr>
      </w:pPr>
    </w:p>
    <w:p w14:paraId="2D6464A3">
      <w:pPr>
        <w:shd w:val="clear"/>
        <w:rPr>
          <w:color w:val="auto"/>
          <w:sz w:val="32"/>
          <w:highlight w:val="none"/>
        </w:rPr>
      </w:pPr>
    </w:p>
    <w:p w14:paraId="46222932">
      <w:pPr>
        <w:shd w:val="clear"/>
        <w:rPr>
          <w:color w:val="auto"/>
          <w:sz w:val="32"/>
          <w:highlight w:val="none"/>
        </w:rPr>
      </w:pPr>
    </w:p>
    <w:p w14:paraId="75C22BC4">
      <w:pPr>
        <w:shd w:val="clear"/>
        <w:rPr>
          <w:color w:val="auto"/>
          <w:sz w:val="32"/>
          <w:highlight w:val="none"/>
        </w:rPr>
      </w:pPr>
    </w:p>
    <w:p w14:paraId="31D189AF">
      <w:pPr>
        <w:shd w:val="clear"/>
        <w:rPr>
          <w:color w:val="auto"/>
          <w:sz w:val="32"/>
          <w:highlight w:val="none"/>
        </w:rPr>
      </w:pPr>
    </w:p>
    <w:p w14:paraId="7AF57423">
      <w:pPr>
        <w:shd w:val="clear"/>
        <w:rPr>
          <w:color w:val="auto"/>
          <w:sz w:val="32"/>
          <w:highlight w:val="none"/>
        </w:rPr>
      </w:pPr>
    </w:p>
    <w:p w14:paraId="0CB9958A">
      <w:pPr>
        <w:shd w:val="clear"/>
        <w:rPr>
          <w:color w:val="auto"/>
          <w:sz w:val="32"/>
          <w:highlight w:val="none"/>
        </w:rPr>
      </w:pPr>
    </w:p>
    <w:p w14:paraId="440F7FBA">
      <w:pPr>
        <w:shd w:val="clear"/>
        <w:rPr>
          <w:color w:val="auto"/>
          <w:sz w:val="32"/>
          <w:highlight w:val="none"/>
        </w:rPr>
      </w:pPr>
    </w:p>
    <w:p w14:paraId="47CFDEF5">
      <w:pPr>
        <w:shd w:val="clear"/>
        <w:rPr>
          <w:color w:val="auto"/>
          <w:sz w:val="32"/>
          <w:highlight w:val="none"/>
        </w:rPr>
      </w:pPr>
    </w:p>
    <w:p w14:paraId="45BB7021">
      <w:pPr>
        <w:shd w:val="clear"/>
        <w:rPr>
          <w:color w:val="auto"/>
          <w:sz w:val="32"/>
          <w:highlight w:val="none"/>
        </w:rPr>
      </w:pPr>
    </w:p>
    <w:p w14:paraId="07B00899">
      <w:pPr>
        <w:shd w:val="clear"/>
        <w:rPr>
          <w:rFonts w:hint="eastAsia"/>
          <w:color w:val="auto"/>
          <w:sz w:val="32"/>
          <w:highlight w:val="none"/>
        </w:rPr>
      </w:pPr>
      <w:r>
        <w:rPr>
          <w:rFonts w:hint="eastAsia"/>
          <w:color w:val="auto"/>
          <w:sz w:val="32"/>
          <w:highlight w:val="none"/>
        </w:rPr>
        <w:t>3.3</w:t>
      </w:r>
      <w:r>
        <w:rPr>
          <w:color w:val="auto"/>
          <w:sz w:val="32"/>
          <w:highlight w:val="none"/>
        </w:rPr>
        <w:t>供应商参与采购活动投标资格声明函</w:t>
      </w:r>
    </w:p>
    <w:p w14:paraId="6FA75444">
      <w:pPr>
        <w:pStyle w:val="15"/>
        <w:shd w:val="clear"/>
        <w:rPr>
          <w:color w:val="auto"/>
          <w:highlight w:val="none"/>
        </w:rPr>
      </w:pPr>
    </w:p>
    <w:p w14:paraId="711C9D09">
      <w:pPr>
        <w:shd w:val="clear"/>
        <w:snapToGrid w:val="0"/>
        <w:spacing w:line="360" w:lineRule="exact"/>
        <w:jc w:val="center"/>
        <w:rPr>
          <w:b/>
          <w:color w:val="auto"/>
          <w:sz w:val="28"/>
          <w:szCs w:val="22"/>
          <w:highlight w:val="none"/>
        </w:rPr>
      </w:pPr>
      <w:r>
        <w:rPr>
          <w:b/>
          <w:color w:val="auto"/>
          <w:sz w:val="28"/>
          <w:szCs w:val="22"/>
          <w:highlight w:val="none"/>
        </w:rPr>
        <w:t>供应商参与采购活动投标资格声明函</w:t>
      </w:r>
    </w:p>
    <w:tbl>
      <w:tblPr>
        <w:tblStyle w:val="13"/>
        <w:tblW w:w="0" w:type="auto"/>
        <w:tblInd w:w="0" w:type="dxa"/>
        <w:tblLayout w:type="fixed"/>
        <w:tblCellMar>
          <w:top w:w="0" w:type="dxa"/>
          <w:left w:w="108" w:type="dxa"/>
          <w:bottom w:w="0" w:type="dxa"/>
          <w:right w:w="108" w:type="dxa"/>
        </w:tblCellMar>
      </w:tblPr>
      <w:tblGrid>
        <w:gridCol w:w="1620"/>
        <w:gridCol w:w="7992"/>
      </w:tblGrid>
      <w:tr w14:paraId="5BABBA8E">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3F3447FF">
            <w:pPr>
              <w:shd w:val="clea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7B690A74">
            <w:pPr>
              <w:shd w:val="clear"/>
              <w:snapToGrid w:val="0"/>
              <w:spacing w:line="400" w:lineRule="exact"/>
              <w:ind w:left="422" w:firstLine="331"/>
              <w:rPr>
                <w:color w:val="auto"/>
                <w:sz w:val="22"/>
                <w:highlight w:val="none"/>
              </w:rPr>
            </w:pPr>
          </w:p>
        </w:tc>
      </w:tr>
      <w:tr w14:paraId="6DBF7D74">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234CF30E">
            <w:pPr>
              <w:shd w:val="clea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03E0B10">
            <w:pPr>
              <w:shd w:val="clear"/>
              <w:snapToGrid w:val="0"/>
              <w:spacing w:line="400" w:lineRule="exact"/>
              <w:rPr>
                <w:rFonts w:hint="eastAsia"/>
                <w:color w:val="auto"/>
                <w:sz w:val="22"/>
                <w:highlight w:val="none"/>
                <w:lang w:eastAsia="zh-CN"/>
              </w:rPr>
            </w:pPr>
            <w:r>
              <w:rPr>
                <w:rFonts w:hint="eastAsia"/>
                <w:color w:val="auto"/>
                <w:sz w:val="22"/>
                <w:highlight w:val="none"/>
                <w:lang w:eastAsia="zh-CN"/>
              </w:rPr>
              <w:t>PYCG241224108</w:t>
            </w:r>
          </w:p>
        </w:tc>
      </w:tr>
      <w:tr w14:paraId="7366EF39">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3C70E80D">
            <w:pPr>
              <w:shd w:val="clea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382CE618">
            <w:pPr>
              <w:shd w:val="clear"/>
              <w:snapToGrid w:val="0"/>
              <w:spacing w:line="400" w:lineRule="exact"/>
              <w:rPr>
                <w:color w:val="auto"/>
                <w:sz w:val="22"/>
                <w:highlight w:val="none"/>
              </w:rPr>
            </w:pPr>
            <w:r>
              <w:rPr>
                <w:color w:val="auto"/>
                <w:sz w:val="22"/>
                <w:highlight w:val="none"/>
              </w:rPr>
              <w:t>投标截止时间：</w:t>
            </w:r>
          </w:p>
        </w:tc>
      </w:tr>
      <w:tr w14:paraId="6F766403">
        <w:tblPrEx>
          <w:tblCellMar>
            <w:top w:w="0" w:type="dxa"/>
            <w:left w:w="108" w:type="dxa"/>
            <w:bottom w:w="0" w:type="dxa"/>
            <w:right w:w="108"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4908E933">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1、根据《平阳县县属国有企业采购管理办法（试行）》第</w:t>
            </w:r>
            <w:r>
              <w:rPr>
                <w:rFonts w:hint="eastAsia"/>
                <w:color w:val="auto"/>
                <w:sz w:val="22"/>
                <w:highlight w:val="none"/>
                <w:lang w:val="en-US" w:eastAsia="zh-CN"/>
              </w:rPr>
              <w:t>十四</w:t>
            </w:r>
            <w:r>
              <w:rPr>
                <w:rFonts w:hint="eastAsia"/>
                <w:color w:val="auto"/>
                <w:sz w:val="22"/>
                <w:highlight w:val="none"/>
              </w:rPr>
              <w:t>条规定，我单位满足以下条件：</w:t>
            </w:r>
          </w:p>
          <w:p w14:paraId="339B34AE">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（一）具有独立承担民事责任的能力；</w:t>
            </w:r>
          </w:p>
          <w:p w14:paraId="48018AAA">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（二）具有良好的商业信誉和健全的财务会计制度；</w:t>
            </w:r>
          </w:p>
          <w:p w14:paraId="1023250B">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（三）具有履行合同所必需的设备和专业技术、售后保障等能力；</w:t>
            </w:r>
          </w:p>
          <w:p w14:paraId="517B6CB7">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（四）有依法缴纳税收和社会保障资金的良好记录；</w:t>
            </w:r>
          </w:p>
          <w:p w14:paraId="24255C85">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（五）参加采购、招投标等活动前三年内，在经营活动中没有重大违法记录、严重失信行为和行贿记录；</w:t>
            </w:r>
          </w:p>
          <w:p w14:paraId="2B526EA9">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（六）法律、行政法规规定的其他条件。</w:t>
            </w:r>
          </w:p>
          <w:p w14:paraId="4203F839">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14:paraId="3C8D1809">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3、我单位承诺没有被各地、各级财政部门限制参加采购活动。</w:t>
            </w:r>
          </w:p>
          <w:p w14:paraId="037AE815">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4、我单位承诺参与本项目采购活动3年内没有其它重大违法记录（重大违法记录，是指供应商因违法经营受到刑事处罚或者责令停产停业、吊销许可证或者执照、较大数额罚款等行政处罚）。</w:t>
            </w:r>
          </w:p>
          <w:p w14:paraId="0675F5E7">
            <w:pPr>
              <w:shd w:val="clear"/>
              <w:tabs>
                <w:tab w:val="center" w:pos="4483"/>
              </w:tabs>
              <w:snapToGrid w:val="0"/>
              <w:spacing w:line="360" w:lineRule="auto"/>
              <w:ind w:firstLine="440"/>
              <w:rPr>
                <w:rFonts w:hint="eastAsia"/>
                <w:color w:val="auto"/>
                <w:sz w:val="22"/>
                <w:highlight w:val="none"/>
              </w:rPr>
            </w:pPr>
            <w:r>
              <w:rPr>
                <w:rFonts w:hint="eastAsia"/>
                <w:color w:val="auto"/>
                <w:sz w:val="22"/>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B6EFD15">
        <w:tblPrEx>
          <w:tblCellMar>
            <w:top w:w="0" w:type="dxa"/>
            <w:left w:w="108" w:type="dxa"/>
            <w:bottom w:w="0" w:type="dxa"/>
            <w:right w:w="108"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3D4FEA">
            <w:pPr>
              <w:shd w:val="clear"/>
              <w:snapToGrid w:val="0"/>
              <w:spacing w:line="400" w:lineRule="exact"/>
              <w:ind w:left="422" w:firstLine="331"/>
              <w:rPr>
                <w:color w:val="auto"/>
                <w:sz w:val="22"/>
                <w:highlight w:val="none"/>
              </w:rPr>
            </w:pPr>
            <w:r>
              <w:rPr>
                <w:color w:val="auto"/>
                <w:sz w:val="22"/>
                <w:highlight w:val="none"/>
              </w:rPr>
              <w:t>供应商名称（</w:t>
            </w:r>
            <w:r>
              <w:rPr>
                <w:rFonts w:hint="eastAsia"/>
                <w:color w:val="auto"/>
                <w:sz w:val="22"/>
                <w:highlight w:val="none"/>
                <w:lang w:eastAsia="zh-CN"/>
              </w:rPr>
              <w:t>加盖公章</w:t>
            </w:r>
            <w:r>
              <w:rPr>
                <w:color w:val="auto"/>
                <w:sz w:val="22"/>
                <w:highlight w:val="none"/>
              </w:rPr>
              <w:t>）：</w:t>
            </w:r>
          </w:p>
        </w:tc>
      </w:tr>
      <w:tr w14:paraId="564C62C1">
        <w:tblPrEx>
          <w:tblCellMar>
            <w:top w:w="0" w:type="dxa"/>
            <w:left w:w="108" w:type="dxa"/>
            <w:bottom w:w="0" w:type="dxa"/>
            <w:right w:w="108"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128F92">
            <w:pPr>
              <w:shd w:val="clear"/>
              <w:snapToGrid w:val="0"/>
              <w:spacing w:line="400" w:lineRule="exact"/>
              <w:ind w:left="422" w:firstLine="316"/>
              <w:rPr>
                <w:color w:val="auto"/>
                <w:sz w:val="22"/>
                <w:highlight w:val="none"/>
              </w:rPr>
            </w:pPr>
            <w:r>
              <w:rPr>
                <w:color w:val="auto"/>
                <w:sz w:val="22"/>
                <w:highlight w:val="none"/>
              </w:rPr>
              <w:t>法定代表人或授权代表（签字或盖章）：</w:t>
            </w:r>
          </w:p>
        </w:tc>
      </w:tr>
      <w:tr w14:paraId="6BBF01BE">
        <w:tblPrEx>
          <w:tblCellMar>
            <w:top w:w="0" w:type="dxa"/>
            <w:left w:w="108" w:type="dxa"/>
            <w:bottom w:w="0" w:type="dxa"/>
            <w:right w:w="108"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A6D3EB">
            <w:pPr>
              <w:shd w:val="clear"/>
              <w:snapToGrid w:val="0"/>
              <w:spacing w:line="400" w:lineRule="exact"/>
              <w:ind w:left="422" w:firstLine="331"/>
              <w:rPr>
                <w:color w:val="auto"/>
                <w:sz w:val="22"/>
                <w:highlight w:val="none"/>
              </w:rPr>
            </w:pPr>
            <w:r>
              <w:rPr>
                <w:color w:val="auto"/>
                <w:sz w:val="22"/>
                <w:highlight w:val="none"/>
              </w:rPr>
              <w:t>签署日期：</w:t>
            </w:r>
          </w:p>
        </w:tc>
      </w:tr>
    </w:tbl>
    <w:p w14:paraId="29D57025">
      <w:pPr>
        <w:shd w:val="clear"/>
        <w:rPr>
          <w:color w:val="auto"/>
          <w:sz w:val="36"/>
          <w:highlight w:val="none"/>
        </w:rPr>
      </w:pPr>
    </w:p>
    <w:p w14:paraId="01D21F16">
      <w:pPr>
        <w:pStyle w:val="31"/>
        <w:shd w:val="clear"/>
        <w:snapToGrid w:val="0"/>
        <w:spacing w:line="500" w:lineRule="exact"/>
        <w:rPr>
          <w:rFonts w:hint="eastAsia" w:hAnsi="宋体"/>
          <w:color w:val="auto"/>
          <w:kern w:val="0"/>
          <w:sz w:val="32"/>
          <w:szCs w:val="24"/>
          <w:highlight w:val="none"/>
        </w:rPr>
      </w:pPr>
      <w:r>
        <w:rPr>
          <w:rFonts w:hint="eastAsia" w:hAnsi="宋体"/>
          <w:color w:val="auto"/>
          <w:kern w:val="0"/>
          <w:sz w:val="32"/>
          <w:szCs w:val="24"/>
          <w:highlight w:val="none"/>
        </w:rPr>
        <w:t>3.4投标函</w:t>
      </w:r>
    </w:p>
    <w:p w14:paraId="3F1DDC87">
      <w:pPr>
        <w:pStyle w:val="31"/>
        <w:shd w:val="clear"/>
        <w:snapToGrid w:val="0"/>
        <w:spacing w:line="500" w:lineRule="exact"/>
        <w:rPr>
          <w:rFonts w:hint="eastAsia" w:hAnsi="宋体"/>
          <w:color w:val="auto"/>
          <w:sz w:val="32"/>
          <w:highlight w:val="none"/>
        </w:rPr>
      </w:pPr>
      <w:r>
        <w:rPr>
          <w:rFonts w:hint="eastAsia" w:hAnsi="宋体"/>
          <w:color w:val="auto"/>
          <w:sz w:val="32"/>
          <w:highlight w:val="none"/>
        </w:rPr>
        <w:t xml:space="preserve">                         </w:t>
      </w:r>
      <w:r>
        <w:rPr>
          <w:rFonts w:hint="eastAsia" w:hAnsi="宋体"/>
          <w:color w:val="auto"/>
          <w:sz w:val="36"/>
          <w:highlight w:val="none"/>
        </w:rPr>
        <w:t>投  标  函</w:t>
      </w:r>
    </w:p>
    <w:p w14:paraId="608F74B2">
      <w:pPr>
        <w:pStyle w:val="31"/>
        <w:shd w:val="clear"/>
        <w:snapToGrid w:val="0"/>
        <w:spacing w:line="360" w:lineRule="atLeast"/>
        <w:ind w:firstLine="450"/>
        <w:rPr>
          <w:rFonts w:hint="eastAsia" w:hAnsi="宋体"/>
          <w:color w:val="auto"/>
          <w:sz w:val="22"/>
          <w:szCs w:val="22"/>
          <w:highlight w:val="none"/>
          <w:u w:val="single"/>
          <w:lang w:eastAsia="zh-CN"/>
        </w:rPr>
      </w:pPr>
      <w:r>
        <w:rPr>
          <w:rFonts w:hint="eastAsia" w:hAnsi="宋体"/>
          <w:color w:val="auto"/>
          <w:sz w:val="22"/>
          <w:szCs w:val="22"/>
          <w:highlight w:val="none"/>
          <w:u w:val="single"/>
          <w:lang w:eastAsia="zh-CN"/>
        </w:rPr>
        <w:t>平阳县新鳌城市建设有限公司</w:t>
      </w:r>
      <w:r>
        <w:rPr>
          <w:rFonts w:hint="eastAsia" w:hAnsi="宋体"/>
          <w:color w:val="auto"/>
          <w:sz w:val="22"/>
          <w:szCs w:val="22"/>
          <w:highlight w:val="none"/>
          <w:u w:val="single"/>
        </w:rPr>
        <w:t xml:space="preserve"> ：</w:t>
      </w:r>
    </w:p>
    <w:p w14:paraId="73BB14EA">
      <w:pPr>
        <w:pStyle w:val="31"/>
        <w:shd w:val="clear"/>
        <w:snapToGrid w:val="0"/>
        <w:spacing w:line="360" w:lineRule="atLeast"/>
        <w:ind w:firstLine="450"/>
        <w:rPr>
          <w:rFonts w:hAnsi="宋体"/>
          <w:color w:val="auto"/>
          <w:sz w:val="22"/>
          <w:szCs w:val="22"/>
          <w:highlight w:val="none"/>
        </w:rPr>
      </w:pPr>
    </w:p>
    <w:p w14:paraId="5823C591">
      <w:pPr>
        <w:shd w:val="clear"/>
        <w:autoSpaceDE w:val="0"/>
        <w:autoSpaceDN w:val="0"/>
        <w:snapToGrid w:val="0"/>
        <w:spacing w:line="360" w:lineRule="atLeast"/>
        <w:rPr>
          <w:rFonts w:hint="eastAsia"/>
          <w:color w:val="auto"/>
          <w:sz w:val="22"/>
          <w:szCs w:val="22"/>
          <w:highlight w:val="none"/>
        </w:rPr>
      </w:pPr>
      <w:r>
        <w:rPr>
          <w:rFonts w:hint="eastAsia"/>
          <w:color w:val="auto"/>
          <w:sz w:val="22"/>
          <w:szCs w:val="22"/>
          <w:highlight w:val="none"/>
        </w:rPr>
        <w:t xml:space="preserve">     </w:t>
      </w:r>
      <w:r>
        <w:rPr>
          <w:color w:val="auto"/>
          <w:sz w:val="22"/>
          <w:szCs w:val="22"/>
          <w:highlight w:val="none"/>
          <w:lang w:val="zh-CN"/>
        </w:rPr>
        <w:t xml:space="preserve"> </w:t>
      </w:r>
      <w:r>
        <w:rPr>
          <w:color w:val="auto"/>
          <w:sz w:val="22"/>
          <w:szCs w:val="22"/>
          <w:highlight w:val="none"/>
          <w:u w:val="single"/>
          <w:lang w:val="zh-CN"/>
        </w:rPr>
        <w:t xml:space="preserve">                    </w:t>
      </w:r>
      <w:r>
        <w:rPr>
          <w:rFonts w:hint="eastAsia"/>
          <w:color w:val="auto"/>
          <w:sz w:val="22"/>
          <w:szCs w:val="22"/>
          <w:highlight w:val="none"/>
          <w:lang w:val="zh-CN"/>
        </w:rPr>
        <w:t>（供应商全称）授权</w:t>
      </w:r>
      <w:r>
        <w:rPr>
          <w:color w:val="auto"/>
          <w:sz w:val="22"/>
          <w:szCs w:val="22"/>
          <w:highlight w:val="none"/>
          <w:u w:val="single"/>
          <w:lang w:val="zh-CN"/>
        </w:rPr>
        <w:t xml:space="preserve">              </w:t>
      </w:r>
      <w:r>
        <w:rPr>
          <w:color w:val="auto"/>
          <w:sz w:val="22"/>
          <w:szCs w:val="22"/>
          <w:highlight w:val="none"/>
          <w:lang w:val="zh-CN"/>
        </w:rPr>
        <w:t xml:space="preserve"> </w:t>
      </w:r>
      <w:r>
        <w:rPr>
          <w:rFonts w:hint="eastAsia"/>
          <w:color w:val="auto"/>
          <w:sz w:val="22"/>
          <w:szCs w:val="22"/>
          <w:highlight w:val="none"/>
          <w:lang w:val="zh-CN"/>
        </w:rPr>
        <w:t>（授权代表名称）</w:t>
      </w:r>
      <w:r>
        <w:rPr>
          <w:color w:val="auto"/>
          <w:sz w:val="22"/>
          <w:szCs w:val="22"/>
          <w:highlight w:val="none"/>
          <w:u w:val="single"/>
          <w:lang w:val="zh-CN"/>
        </w:rPr>
        <w:t xml:space="preserve">         </w:t>
      </w:r>
      <w:r>
        <w:rPr>
          <w:rFonts w:hint="eastAsia"/>
          <w:color w:val="auto"/>
          <w:sz w:val="22"/>
          <w:szCs w:val="22"/>
          <w:highlight w:val="none"/>
          <w:lang w:val="zh-CN"/>
        </w:rPr>
        <w:t>（职务、职称）为授权代表，参加贵方组织的</w:t>
      </w:r>
      <w:r>
        <w:rPr>
          <w:color w:val="auto"/>
          <w:sz w:val="22"/>
          <w:szCs w:val="22"/>
          <w:highlight w:val="none"/>
          <w:u w:val="single"/>
          <w:lang w:val="zh-CN"/>
        </w:rPr>
        <w:t xml:space="preserve">           </w:t>
      </w:r>
      <w:r>
        <w:rPr>
          <w:rFonts w:hint="eastAsia"/>
          <w:color w:val="auto"/>
          <w:sz w:val="22"/>
          <w:szCs w:val="22"/>
          <w:highlight w:val="none"/>
          <w:lang w:val="zh-CN"/>
        </w:rPr>
        <w:t>（招标项目名称）（括号内填投标编号）招标的有关活动，为此：并对</w:t>
      </w:r>
      <w:r>
        <w:rPr>
          <w:rFonts w:hint="eastAsia"/>
          <w:color w:val="auto"/>
          <w:sz w:val="22"/>
          <w:szCs w:val="22"/>
          <w:highlight w:val="none"/>
          <w:u w:val="single"/>
          <w:lang w:val="zh-CN"/>
        </w:rPr>
        <w:t xml:space="preserve">            </w:t>
      </w:r>
      <w:r>
        <w:rPr>
          <w:rFonts w:hint="eastAsia"/>
          <w:color w:val="auto"/>
          <w:sz w:val="22"/>
          <w:szCs w:val="22"/>
          <w:highlight w:val="none"/>
          <w:lang w:val="zh-CN"/>
        </w:rPr>
        <w:t>项目（采购项目名称）进行投标。</w:t>
      </w:r>
      <w:r>
        <w:rPr>
          <w:color w:val="auto"/>
          <w:sz w:val="22"/>
          <w:szCs w:val="22"/>
          <w:highlight w:val="none"/>
          <w:lang w:val="zh-CN"/>
        </w:rPr>
        <w:t xml:space="preserve">   </w:t>
      </w:r>
    </w:p>
    <w:p w14:paraId="13D248EB">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1、提供供应商须知规定的全部投标文件。</w:t>
      </w:r>
    </w:p>
    <w:p w14:paraId="689C3858">
      <w:pPr>
        <w:shd w:val="clear"/>
        <w:autoSpaceDE w:val="0"/>
        <w:autoSpaceDN w:val="0"/>
        <w:snapToGrid w:val="0"/>
        <w:spacing w:line="360" w:lineRule="atLeast"/>
        <w:ind w:left="1" w:firstLine="585" w:firstLineChars="266"/>
        <w:rPr>
          <w:color w:val="auto"/>
          <w:sz w:val="22"/>
          <w:szCs w:val="22"/>
          <w:highlight w:val="none"/>
          <w:lang w:val="zh-CN"/>
        </w:rPr>
      </w:pPr>
      <w:r>
        <w:rPr>
          <w:color w:val="auto"/>
          <w:sz w:val="22"/>
          <w:szCs w:val="22"/>
          <w:highlight w:val="none"/>
          <w:lang w:val="zh-CN"/>
        </w:rPr>
        <w:t>2</w:t>
      </w:r>
      <w:r>
        <w:rPr>
          <w:rFonts w:hint="eastAsia"/>
          <w:color w:val="auto"/>
          <w:sz w:val="22"/>
          <w:szCs w:val="22"/>
          <w:highlight w:val="none"/>
          <w:lang w:val="zh-CN"/>
        </w:rPr>
        <w:t>、保证遵守招标文件中的有关规定和收费标准。</w:t>
      </w:r>
    </w:p>
    <w:p w14:paraId="3BF21A87">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3、保证忠实地执行采购人、中标供应商双方所签的合同，</w:t>
      </w:r>
      <w:r>
        <w:rPr>
          <w:color w:val="auto"/>
          <w:sz w:val="22"/>
          <w:szCs w:val="22"/>
          <w:highlight w:val="none"/>
          <w:lang w:val="zh-CN"/>
        </w:rPr>
        <w:t xml:space="preserve"> </w:t>
      </w:r>
      <w:r>
        <w:rPr>
          <w:rFonts w:hint="eastAsia"/>
          <w:color w:val="auto"/>
          <w:sz w:val="22"/>
          <w:szCs w:val="22"/>
          <w:highlight w:val="none"/>
          <w:lang w:val="zh-CN"/>
        </w:rPr>
        <w:t>并承担合同规定的责任义务。</w:t>
      </w:r>
    </w:p>
    <w:p w14:paraId="5A1A39E6">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4、我方承诺在合同生效后</w:t>
      </w:r>
      <w:r>
        <w:rPr>
          <w:rFonts w:hint="eastAsia"/>
          <w:b w:val="0"/>
          <w:bCs/>
          <w:color w:val="auto"/>
          <w:sz w:val="22"/>
          <w:szCs w:val="22"/>
          <w:highlight w:val="none"/>
          <w:u w:val="none"/>
          <w:lang w:val="zh-CN"/>
        </w:rPr>
        <w:t>按招标文件要求完成本项目</w:t>
      </w:r>
      <w:r>
        <w:rPr>
          <w:rFonts w:hint="eastAsia"/>
          <w:b w:val="0"/>
          <w:bCs/>
          <w:color w:val="auto"/>
          <w:sz w:val="22"/>
          <w:szCs w:val="22"/>
          <w:highlight w:val="none"/>
          <w:u w:val="none"/>
        </w:rPr>
        <w:t>。</w:t>
      </w:r>
    </w:p>
    <w:p w14:paraId="56DADC1A">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5F678AB6">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6、利益冲突：近三年内直至目前，我公司与本项目的采购人、采购机构没有任何的利害关系。</w:t>
      </w:r>
    </w:p>
    <w:p w14:paraId="10325505">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7、我公司近三年内没有行贿受贿记录；我公司符合《平阳县县属国有企业采购管理办法（试行）》第十四条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olor w:val="auto"/>
          <w:sz w:val="22"/>
          <w:szCs w:val="22"/>
          <w:highlight w:val="none"/>
          <w:lang w:val="zh-CN"/>
        </w:rPr>
        <w:t>我公司没有被采购管理部门限制参加投标。</w:t>
      </w:r>
    </w:p>
    <w:p w14:paraId="3E8B030F">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8、愿意向贵方提供任</w:t>
      </w:r>
      <w:r>
        <w:rPr>
          <w:rFonts w:hint="eastAsia" w:ascii="Times New Roman" w:hAnsi="Times New Roman" w:eastAsia="宋体"/>
          <w:color w:val="auto"/>
          <w:sz w:val="22"/>
          <w:szCs w:val="22"/>
          <w:highlight w:val="none"/>
          <w:lang w:val="zh-CN"/>
        </w:rPr>
        <w:t>何与该项投标有关的数据、情况和技术资料，完全理解贵方不一定接受最低价的投标或收到的任何投标。</w:t>
      </w:r>
    </w:p>
    <w:p w14:paraId="7DE36375">
      <w:pPr>
        <w:shd w:val="clear"/>
        <w:autoSpaceDE w:val="0"/>
        <w:autoSpaceDN w:val="0"/>
        <w:snapToGrid w:val="0"/>
        <w:spacing w:line="360" w:lineRule="atLeast"/>
        <w:ind w:left="1" w:firstLine="585" w:firstLineChars="266"/>
        <w:rPr>
          <w:rFonts w:hint="eastAsia"/>
          <w:color w:val="auto"/>
          <w:sz w:val="22"/>
          <w:szCs w:val="22"/>
          <w:highlight w:val="none"/>
          <w:lang w:val="en-US" w:eastAsia="zh-CN"/>
        </w:rPr>
      </w:pPr>
      <w:r>
        <w:rPr>
          <w:rFonts w:hint="eastAsia"/>
          <w:color w:val="auto"/>
          <w:sz w:val="22"/>
          <w:szCs w:val="22"/>
          <w:highlight w:val="none"/>
          <w:lang w:val="en-US" w:eastAsia="zh-CN"/>
        </w:rPr>
        <w:t>9</w:t>
      </w:r>
      <w:r>
        <w:rPr>
          <w:rFonts w:hint="eastAsia"/>
          <w:color w:val="auto"/>
          <w:sz w:val="22"/>
          <w:szCs w:val="22"/>
          <w:highlight w:val="none"/>
          <w:lang w:val="zh-CN"/>
        </w:rPr>
        <w:t>、本投标自开标之日起9</w:t>
      </w:r>
      <w:r>
        <w:rPr>
          <w:color w:val="auto"/>
          <w:sz w:val="22"/>
          <w:szCs w:val="22"/>
          <w:highlight w:val="none"/>
          <w:lang w:val="zh-CN"/>
        </w:rPr>
        <w:t>0</w:t>
      </w:r>
      <w:r>
        <w:rPr>
          <w:rFonts w:hint="eastAsia"/>
          <w:color w:val="auto"/>
          <w:sz w:val="22"/>
          <w:szCs w:val="22"/>
          <w:highlight w:val="none"/>
          <w:lang w:val="zh-CN"/>
        </w:rPr>
        <w:t>天内有效。</w:t>
      </w:r>
    </w:p>
    <w:p w14:paraId="34033A54">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1</w:t>
      </w:r>
      <w:r>
        <w:rPr>
          <w:rFonts w:hint="eastAsia"/>
          <w:color w:val="auto"/>
          <w:sz w:val="22"/>
          <w:szCs w:val="22"/>
          <w:highlight w:val="none"/>
          <w:lang w:val="en-US" w:eastAsia="zh-CN"/>
        </w:rPr>
        <w:t>0</w:t>
      </w:r>
      <w:r>
        <w:rPr>
          <w:rFonts w:hint="eastAsia"/>
          <w:color w:val="auto"/>
          <w:sz w:val="22"/>
          <w:szCs w:val="22"/>
          <w:highlight w:val="none"/>
          <w:lang w:val="zh-CN"/>
        </w:rPr>
        <w:t>、与本投标有关的一切往来通讯请寄：</w:t>
      </w:r>
    </w:p>
    <w:p w14:paraId="0CE649AF">
      <w:pPr>
        <w:shd w:val="clear"/>
        <w:autoSpaceDE w:val="0"/>
        <w:autoSpaceDN w:val="0"/>
        <w:snapToGrid w:val="0"/>
        <w:spacing w:line="360" w:lineRule="atLeast"/>
        <w:ind w:firstLine="585" w:firstLineChars="266"/>
        <w:rPr>
          <w:rFonts w:hint="eastAsia"/>
          <w:color w:val="auto"/>
          <w:sz w:val="22"/>
          <w:szCs w:val="22"/>
          <w:highlight w:val="none"/>
          <w:lang w:val="zh-CN"/>
        </w:rPr>
      </w:pPr>
      <w:r>
        <w:rPr>
          <w:rFonts w:hint="eastAsia"/>
          <w:color w:val="auto"/>
          <w:sz w:val="22"/>
          <w:szCs w:val="22"/>
          <w:highlight w:val="none"/>
          <w:lang w:val="zh-CN"/>
        </w:rPr>
        <w:t>地址：</w:t>
      </w:r>
      <w:r>
        <w:rPr>
          <w:color w:val="auto"/>
          <w:sz w:val="22"/>
          <w:szCs w:val="22"/>
          <w:highlight w:val="none"/>
          <w:u w:val="single"/>
          <w:lang w:val="zh-CN"/>
        </w:rPr>
        <w:t xml:space="preserve">                                 </w:t>
      </w:r>
    </w:p>
    <w:p w14:paraId="3C91E419">
      <w:pPr>
        <w:shd w:val="clear"/>
        <w:autoSpaceDE w:val="0"/>
        <w:autoSpaceDN w:val="0"/>
        <w:snapToGrid w:val="0"/>
        <w:spacing w:line="360" w:lineRule="atLeast"/>
        <w:ind w:firstLine="585" w:firstLineChars="266"/>
        <w:rPr>
          <w:rFonts w:hint="eastAsia"/>
          <w:color w:val="auto"/>
          <w:sz w:val="22"/>
          <w:szCs w:val="22"/>
          <w:highlight w:val="none"/>
          <w:lang w:val="zh-CN"/>
        </w:rPr>
      </w:pPr>
      <w:r>
        <w:rPr>
          <w:rFonts w:hint="eastAsia"/>
          <w:color w:val="auto"/>
          <w:sz w:val="22"/>
          <w:szCs w:val="22"/>
          <w:highlight w:val="none"/>
          <w:lang w:val="zh-CN"/>
        </w:rPr>
        <w:t>邮编：</w:t>
      </w:r>
      <w:r>
        <w:rPr>
          <w:color w:val="auto"/>
          <w:sz w:val="22"/>
          <w:szCs w:val="22"/>
          <w:highlight w:val="none"/>
          <w:u w:val="single"/>
          <w:lang w:val="zh-CN"/>
        </w:rPr>
        <w:t xml:space="preserve">               </w:t>
      </w:r>
      <w:r>
        <w:rPr>
          <w:rFonts w:hint="eastAsia"/>
          <w:color w:val="auto"/>
          <w:sz w:val="22"/>
          <w:szCs w:val="22"/>
          <w:highlight w:val="none"/>
          <w:lang w:val="zh-CN"/>
        </w:rPr>
        <w:t>电话：</w:t>
      </w:r>
      <w:r>
        <w:rPr>
          <w:color w:val="auto"/>
          <w:sz w:val="22"/>
          <w:szCs w:val="22"/>
          <w:highlight w:val="none"/>
          <w:u w:val="single"/>
          <w:lang w:val="zh-CN"/>
        </w:rPr>
        <w:t xml:space="preserve">                 </w:t>
      </w:r>
      <w:r>
        <w:rPr>
          <w:rFonts w:hint="eastAsia"/>
          <w:color w:val="auto"/>
          <w:sz w:val="22"/>
          <w:szCs w:val="22"/>
          <w:highlight w:val="none"/>
          <w:lang w:val="zh-CN"/>
        </w:rPr>
        <w:t>传真：</w:t>
      </w:r>
      <w:r>
        <w:rPr>
          <w:color w:val="auto"/>
          <w:sz w:val="22"/>
          <w:szCs w:val="22"/>
          <w:highlight w:val="none"/>
          <w:u w:val="single"/>
          <w:lang w:val="zh-CN"/>
        </w:rPr>
        <w:t xml:space="preserve">                 </w:t>
      </w:r>
    </w:p>
    <w:p w14:paraId="60EE7E9E">
      <w:pPr>
        <w:shd w:val="clear"/>
        <w:autoSpaceDE w:val="0"/>
        <w:autoSpaceDN w:val="0"/>
        <w:snapToGrid w:val="0"/>
        <w:spacing w:line="360" w:lineRule="atLeast"/>
        <w:ind w:firstLine="26" w:firstLineChars="12"/>
        <w:rPr>
          <w:color w:val="auto"/>
          <w:sz w:val="22"/>
          <w:szCs w:val="22"/>
          <w:highlight w:val="none"/>
          <w:lang w:val="zh-CN"/>
        </w:rPr>
      </w:pPr>
    </w:p>
    <w:p w14:paraId="29D9DA2F">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供应商全称（盖章）：</w:t>
      </w:r>
    </w:p>
    <w:p w14:paraId="29B5BEB7">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法定代表人（负责人）或授权代表（签字或签章）：</w:t>
      </w:r>
    </w:p>
    <w:p w14:paraId="3BDBB2A2">
      <w:pPr>
        <w:shd w:val="clea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日期：</w:t>
      </w:r>
    </w:p>
    <w:p w14:paraId="5680A40F">
      <w:pPr>
        <w:shd w:val="clear"/>
        <w:autoSpaceDE w:val="0"/>
        <w:autoSpaceDN w:val="0"/>
        <w:snapToGrid w:val="0"/>
        <w:spacing w:line="360" w:lineRule="atLeast"/>
        <w:ind w:left="1" w:firstLine="585" w:firstLineChars="266"/>
        <w:rPr>
          <w:color w:val="auto"/>
          <w:sz w:val="22"/>
          <w:szCs w:val="22"/>
          <w:highlight w:val="none"/>
          <w:lang w:val="zh-CN"/>
        </w:rPr>
      </w:pPr>
    </w:p>
    <w:p w14:paraId="2448ABAB">
      <w:pPr>
        <w:shd w:val="clear"/>
        <w:autoSpaceDE w:val="0"/>
        <w:autoSpaceDN w:val="0"/>
        <w:snapToGrid w:val="0"/>
        <w:spacing w:line="360" w:lineRule="atLeast"/>
        <w:ind w:firstLine="601" w:firstLineChars="285"/>
        <w:rPr>
          <w:rFonts w:hint="eastAsia"/>
          <w:b/>
          <w:color w:val="auto"/>
          <w:highlight w:val="none"/>
          <w:u w:val="single"/>
        </w:rPr>
      </w:pPr>
      <w:r>
        <w:rPr>
          <w:rFonts w:hint="eastAsia"/>
          <w:b/>
          <w:color w:val="auto"/>
          <w:highlight w:val="none"/>
          <w:u w:val="single"/>
        </w:rPr>
        <w:t>不提供本函做无效投标处理。</w:t>
      </w:r>
    </w:p>
    <w:p w14:paraId="1DA9CB58">
      <w:pPr>
        <w:pStyle w:val="31"/>
        <w:shd w:val="clear"/>
        <w:spacing w:line="400" w:lineRule="atLeast"/>
        <w:rPr>
          <w:rFonts w:hAnsi="宋体"/>
          <w:b/>
          <w:color w:val="auto"/>
          <w:sz w:val="32"/>
          <w:szCs w:val="32"/>
          <w:highlight w:val="none"/>
        </w:rPr>
      </w:pPr>
    </w:p>
    <w:p w14:paraId="062DE5B0">
      <w:pPr>
        <w:pStyle w:val="31"/>
        <w:shd w:val="clear"/>
        <w:spacing w:line="400" w:lineRule="atLeast"/>
        <w:rPr>
          <w:rFonts w:hAnsi="宋体"/>
          <w:b/>
          <w:color w:val="auto"/>
          <w:sz w:val="32"/>
          <w:szCs w:val="32"/>
          <w:highlight w:val="none"/>
        </w:rPr>
      </w:pPr>
    </w:p>
    <w:p w14:paraId="276C28E9">
      <w:pPr>
        <w:pStyle w:val="31"/>
        <w:shd w:val="clear"/>
        <w:spacing w:line="400" w:lineRule="atLeast"/>
        <w:rPr>
          <w:rFonts w:hAnsi="宋体"/>
          <w:b/>
          <w:color w:val="auto"/>
          <w:sz w:val="32"/>
          <w:szCs w:val="32"/>
          <w:highlight w:val="none"/>
        </w:rPr>
      </w:pPr>
    </w:p>
    <w:p w14:paraId="6FFE6CA8">
      <w:pPr>
        <w:pStyle w:val="31"/>
        <w:shd w:val="clear"/>
        <w:spacing w:line="400" w:lineRule="atLeast"/>
        <w:rPr>
          <w:rFonts w:hAnsi="宋体"/>
          <w:b/>
          <w:color w:val="auto"/>
          <w:sz w:val="32"/>
          <w:szCs w:val="32"/>
          <w:highlight w:val="none"/>
        </w:rPr>
      </w:pPr>
    </w:p>
    <w:p w14:paraId="2FA16FA8">
      <w:pPr>
        <w:pStyle w:val="31"/>
        <w:shd w:val="clear"/>
        <w:spacing w:line="400" w:lineRule="atLeast"/>
        <w:rPr>
          <w:rFonts w:hAnsi="宋体"/>
          <w:b/>
          <w:color w:val="auto"/>
          <w:sz w:val="32"/>
          <w:szCs w:val="32"/>
          <w:highlight w:val="none"/>
        </w:rPr>
      </w:pPr>
    </w:p>
    <w:p w14:paraId="74F87810">
      <w:pPr>
        <w:shd w:val="clear"/>
        <w:tabs>
          <w:tab w:val="left" w:pos="1080"/>
        </w:tabs>
        <w:autoSpaceDE w:val="0"/>
        <w:autoSpaceDN w:val="0"/>
        <w:spacing w:line="440" w:lineRule="atLeast"/>
        <w:outlineLvl w:val="0"/>
        <w:rPr>
          <w:color w:val="auto"/>
          <w:sz w:val="32"/>
          <w:highlight w:val="none"/>
        </w:rPr>
      </w:pPr>
    </w:p>
    <w:p w14:paraId="5715EBBF">
      <w:pPr>
        <w:shd w:val="clear"/>
        <w:tabs>
          <w:tab w:val="left" w:pos="1080"/>
        </w:tabs>
        <w:autoSpaceDE w:val="0"/>
        <w:autoSpaceDN w:val="0"/>
        <w:spacing w:line="440" w:lineRule="atLeast"/>
        <w:outlineLvl w:val="0"/>
        <w:rPr>
          <w:rFonts w:hint="eastAsia"/>
          <w:color w:val="auto"/>
          <w:sz w:val="32"/>
          <w:highlight w:val="none"/>
        </w:rPr>
      </w:pPr>
      <w:r>
        <w:rPr>
          <w:rFonts w:hint="eastAsia"/>
          <w:color w:val="auto"/>
          <w:sz w:val="32"/>
          <w:highlight w:val="none"/>
        </w:rPr>
        <w:t>3.5法定代表人授权书</w:t>
      </w:r>
    </w:p>
    <w:p w14:paraId="2102E67F">
      <w:pPr>
        <w:shd w:val="clear"/>
        <w:tabs>
          <w:tab w:val="left" w:pos="1080"/>
        </w:tabs>
        <w:autoSpaceDE w:val="0"/>
        <w:autoSpaceDN w:val="0"/>
        <w:spacing w:line="440" w:lineRule="atLeast"/>
        <w:jc w:val="center"/>
        <w:outlineLvl w:val="0"/>
        <w:rPr>
          <w:rFonts w:hint="eastAsia"/>
          <w:b/>
          <w:color w:val="auto"/>
          <w:sz w:val="36"/>
          <w:highlight w:val="none"/>
          <w:lang w:val="zh-CN"/>
        </w:rPr>
      </w:pPr>
      <w:r>
        <w:rPr>
          <w:rFonts w:hint="eastAsia"/>
          <w:b/>
          <w:color w:val="auto"/>
          <w:sz w:val="36"/>
          <w:highlight w:val="none"/>
          <w:lang w:val="zh-CN"/>
        </w:rPr>
        <w:t>法定代表人授权书</w:t>
      </w:r>
    </w:p>
    <w:p w14:paraId="5287548D">
      <w:pPr>
        <w:shd w:val="clear"/>
        <w:spacing w:line="360" w:lineRule="auto"/>
        <w:rPr>
          <w:color w:val="auto"/>
          <w:highlight w:val="none"/>
          <w:u w:val="single"/>
        </w:rPr>
      </w:pPr>
    </w:p>
    <w:p w14:paraId="4DC22B9B">
      <w:pPr>
        <w:pStyle w:val="31"/>
        <w:shd w:val="clear"/>
        <w:snapToGrid w:val="0"/>
        <w:spacing w:line="340" w:lineRule="atLeast"/>
        <w:rPr>
          <w:rFonts w:hint="eastAsia" w:hAnsi="宋体"/>
          <w:color w:val="auto"/>
          <w:sz w:val="22"/>
          <w:szCs w:val="22"/>
          <w:highlight w:val="none"/>
          <w:u w:val="single"/>
          <w:lang w:eastAsia="zh-CN"/>
        </w:rPr>
      </w:pPr>
      <w:r>
        <w:rPr>
          <w:rFonts w:hint="eastAsia" w:hAnsi="宋体"/>
          <w:color w:val="auto"/>
          <w:sz w:val="22"/>
          <w:szCs w:val="22"/>
          <w:highlight w:val="none"/>
          <w:u w:val="single"/>
          <w:lang w:eastAsia="zh-CN"/>
        </w:rPr>
        <w:t>平阳县新鳌城市建设有限公司</w:t>
      </w:r>
      <w:r>
        <w:rPr>
          <w:rFonts w:hint="eastAsia" w:hAnsi="宋体"/>
          <w:color w:val="auto"/>
          <w:sz w:val="22"/>
          <w:szCs w:val="22"/>
          <w:highlight w:val="none"/>
          <w:u w:val="single"/>
        </w:rPr>
        <w:t xml:space="preserve"> </w:t>
      </w:r>
      <w:r>
        <w:rPr>
          <w:rFonts w:hint="eastAsia" w:hAnsi="宋体"/>
          <w:color w:val="auto"/>
          <w:sz w:val="22"/>
          <w:szCs w:val="22"/>
          <w:highlight w:val="none"/>
        </w:rPr>
        <w:t>：</w:t>
      </w:r>
    </w:p>
    <w:p w14:paraId="55E4C662">
      <w:pPr>
        <w:pStyle w:val="31"/>
        <w:shd w:val="clear"/>
        <w:snapToGrid w:val="0"/>
        <w:spacing w:line="340" w:lineRule="atLeast"/>
        <w:rPr>
          <w:rFonts w:hAnsi="宋体"/>
          <w:color w:val="auto"/>
          <w:sz w:val="22"/>
          <w:szCs w:val="22"/>
          <w:highlight w:val="none"/>
          <w:u w:val="single"/>
        </w:rPr>
      </w:pPr>
    </w:p>
    <w:p w14:paraId="18E46B64">
      <w:pPr>
        <w:shd w:val="clear"/>
        <w:snapToGrid w:val="0"/>
        <w:spacing w:line="440" w:lineRule="atLeast"/>
        <w:ind w:firstLine="420" w:firstLineChars="200"/>
        <w:rPr>
          <w:rFonts w:hint="eastAsia"/>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14:paraId="2616A7C3">
      <w:pPr>
        <w:shd w:val="clear"/>
        <w:snapToGrid w:val="0"/>
        <w:spacing w:line="440" w:lineRule="atLeast"/>
        <w:ind w:firstLine="420" w:firstLineChars="200"/>
        <w:rPr>
          <w:rFonts w:hint="eastAsia"/>
          <w:color w:val="auto"/>
          <w:highlight w:val="none"/>
        </w:rPr>
      </w:pPr>
      <w:r>
        <w:rPr>
          <w:rFonts w:hint="eastAsia"/>
          <w:color w:val="auto"/>
          <w:highlight w:val="none"/>
        </w:rPr>
        <w:t>授权代表无转授权，特此授权</w:t>
      </w:r>
    </w:p>
    <w:p w14:paraId="4799CB04">
      <w:pPr>
        <w:shd w:val="clear"/>
        <w:snapToGrid w:val="0"/>
        <w:spacing w:line="440" w:lineRule="atLeast"/>
        <w:ind w:left="1260"/>
        <w:rPr>
          <w:color w:val="auto"/>
          <w:highlight w:val="none"/>
        </w:rPr>
      </w:pPr>
    </w:p>
    <w:p w14:paraId="2BA1DE64">
      <w:pPr>
        <w:shd w:val="clear"/>
        <w:snapToGrid w:val="0"/>
        <w:spacing w:line="440" w:lineRule="atLeast"/>
        <w:ind w:left="1902" w:leftChars="247" w:hanging="1383" w:hangingChars="659"/>
        <w:rPr>
          <w:rFonts w:hint="eastAsia"/>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14:paraId="4C9D335A">
      <w:pPr>
        <w:shd w:val="clear"/>
        <w:snapToGrid w:val="0"/>
        <w:spacing w:line="440" w:lineRule="atLeast"/>
        <w:ind w:left="1902" w:leftChars="247" w:hanging="1383" w:hangingChars="659"/>
        <w:rPr>
          <w:rFonts w:hint="eastAsia"/>
          <w:color w:val="auto"/>
          <w:highlight w:val="non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14:paraId="0C8D423E">
      <w:pPr>
        <w:shd w:val="clear"/>
        <w:snapToGrid w:val="0"/>
        <w:spacing w:line="440" w:lineRule="atLeast"/>
        <w:ind w:left="1902" w:leftChars="247" w:hanging="1383" w:hangingChars="659"/>
        <w:rPr>
          <w:rFonts w:hint="eastAsia"/>
          <w:color w:val="auto"/>
          <w:highlight w:val="non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14:paraId="55A11E9D">
      <w:pPr>
        <w:shd w:val="clear"/>
        <w:snapToGrid w:val="0"/>
        <w:spacing w:line="440" w:lineRule="atLeast"/>
        <w:ind w:left="1902" w:leftChars="247" w:hanging="1383" w:hangingChars="659"/>
        <w:rPr>
          <w:rFonts w:hint="eastAsia"/>
          <w:color w:val="auto"/>
          <w:highlight w:val="non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14:paraId="19F657C5">
      <w:pPr>
        <w:shd w:val="clear"/>
        <w:snapToGrid w:val="0"/>
        <w:spacing w:line="440" w:lineRule="atLeast"/>
        <w:ind w:left="1902" w:leftChars="247" w:hanging="1383" w:hangingChars="659"/>
        <w:rPr>
          <w:rFonts w:hint="eastAsia"/>
          <w:color w:val="auto"/>
          <w:highlight w:val="none"/>
        </w:rPr>
      </w:pPr>
      <w:r>
        <w:rPr>
          <w:rFonts w:hint="eastAsia"/>
          <w:color w:val="auto"/>
          <w:highlight w:val="none"/>
        </w:rPr>
        <w:t>供应商：</w:t>
      </w:r>
      <w:r>
        <w:rPr>
          <w:rFonts w:hint="eastAsia"/>
          <w:color w:val="auto"/>
          <w:highlight w:val="none"/>
          <w:u w:val="single"/>
        </w:rPr>
        <w:t xml:space="preserve">                                      （盖章）</w:t>
      </w:r>
    </w:p>
    <w:p w14:paraId="7A19D79D">
      <w:pPr>
        <w:shd w:val="clear"/>
        <w:snapToGrid w:val="0"/>
        <w:spacing w:line="440" w:lineRule="atLeast"/>
        <w:ind w:left="1902" w:leftChars="247" w:hanging="1383" w:hangingChars="659"/>
        <w:rPr>
          <w:rFonts w:hint="eastAsia"/>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14:paraId="67830895">
      <w:pPr>
        <w:shd w:val="clear"/>
        <w:snapToGrid w:val="0"/>
        <w:spacing w:line="440" w:lineRule="atLeast"/>
        <w:ind w:left="2699"/>
        <w:rPr>
          <w:color w:val="auto"/>
          <w:highlight w:val="none"/>
        </w:rPr>
      </w:pPr>
    </w:p>
    <w:p w14:paraId="74F69B2E">
      <w:pPr>
        <w:shd w:val="clear"/>
        <w:snapToGrid w:val="0"/>
        <w:spacing w:line="440" w:lineRule="atLeast"/>
        <w:ind w:left="2833" w:leftChars="1349" w:firstLine="2100" w:firstLineChars="1000"/>
        <w:rPr>
          <w:color w:val="auto"/>
          <w:highlight w:val="none"/>
        </w:rPr>
      </w:pPr>
    </w:p>
    <w:p w14:paraId="1018E048">
      <w:pPr>
        <w:shd w:val="clear"/>
        <w:snapToGrid w:val="0"/>
        <w:spacing w:line="440" w:lineRule="atLeast"/>
        <w:ind w:firstLine="3150" w:firstLineChars="1500"/>
        <w:jc w:val="right"/>
        <w:rPr>
          <w:rFonts w:hint="eastAsia"/>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1E07089E">
      <w:pPr>
        <w:shd w:val="clear"/>
        <w:spacing w:line="360" w:lineRule="auto"/>
        <w:ind w:firstLine="3162" w:firstLineChars="1500"/>
        <w:jc w:val="right"/>
        <w:rPr>
          <w:b/>
          <w:color w:val="auto"/>
          <w:highlight w:val="none"/>
        </w:rPr>
      </w:pP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75"/>
      </w:tblGrid>
      <w:tr w14:paraId="77246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5" w:hRule="atLeast"/>
        </w:trPr>
        <w:tc>
          <w:tcPr>
            <w:tcW w:w="9075" w:type="dxa"/>
            <w:vAlign w:val="top"/>
          </w:tcPr>
          <w:p w14:paraId="59DCCF89">
            <w:pPr>
              <w:pStyle w:val="31"/>
              <w:shd w:val="clear"/>
              <w:snapToGrid w:val="0"/>
              <w:spacing w:line="320" w:lineRule="atLeast"/>
              <w:rPr>
                <w:rFonts w:hAnsi="宋体"/>
                <w:color w:val="auto"/>
                <w:sz w:val="36"/>
                <w:szCs w:val="24"/>
                <w:highlight w:val="none"/>
                <w:u w:val="single"/>
              </w:rPr>
            </w:pPr>
          </w:p>
          <w:p w14:paraId="2C98BA01">
            <w:pPr>
              <w:pStyle w:val="31"/>
              <w:shd w:val="clear"/>
              <w:snapToGrid w:val="0"/>
              <w:spacing w:line="320" w:lineRule="atLeast"/>
              <w:rPr>
                <w:rFonts w:hAnsi="宋体"/>
                <w:color w:val="auto"/>
                <w:sz w:val="36"/>
                <w:szCs w:val="24"/>
                <w:highlight w:val="none"/>
                <w:u w:val="single"/>
              </w:rPr>
            </w:pPr>
          </w:p>
          <w:p w14:paraId="4E2A8E4D">
            <w:pPr>
              <w:pStyle w:val="31"/>
              <w:shd w:val="clear"/>
              <w:snapToGrid w:val="0"/>
              <w:spacing w:line="320" w:lineRule="atLeast"/>
              <w:jc w:val="center"/>
              <w:rPr>
                <w:rFonts w:hint="eastAsia"/>
                <w:b/>
                <w:color w:val="auto"/>
                <w:sz w:val="24"/>
                <w:szCs w:val="24"/>
                <w:highlight w:val="none"/>
              </w:rPr>
            </w:pPr>
            <w:r>
              <w:rPr>
                <w:rFonts w:hint="eastAsia"/>
                <w:b/>
                <w:color w:val="auto"/>
                <w:sz w:val="24"/>
                <w:szCs w:val="24"/>
                <w:highlight w:val="none"/>
              </w:rPr>
              <w:t>（授权代表身份证复印件或影印件）</w:t>
            </w:r>
          </w:p>
        </w:tc>
      </w:tr>
    </w:tbl>
    <w:p w14:paraId="24615D86">
      <w:pPr>
        <w:shd w:val="clear"/>
        <w:spacing w:line="360" w:lineRule="auto"/>
        <w:ind w:firstLine="3162" w:firstLineChars="1500"/>
        <w:jc w:val="right"/>
        <w:rPr>
          <w:b/>
          <w:color w:val="auto"/>
          <w:highlight w:val="none"/>
        </w:rPr>
      </w:pPr>
    </w:p>
    <w:p w14:paraId="7327EFC0">
      <w:pPr>
        <w:pStyle w:val="31"/>
        <w:shd w:val="clear"/>
        <w:snapToGrid w:val="0"/>
        <w:spacing w:line="320" w:lineRule="atLeast"/>
        <w:jc w:val="center"/>
        <w:outlineLvl w:val="0"/>
        <w:rPr>
          <w:rFonts w:hAnsi="宋体"/>
          <w:b/>
          <w:color w:val="auto"/>
          <w:sz w:val="36"/>
          <w:highlight w:val="none"/>
        </w:rPr>
      </w:pPr>
    </w:p>
    <w:p w14:paraId="41C2A4A8">
      <w:pPr>
        <w:pStyle w:val="31"/>
        <w:shd w:val="clear"/>
        <w:snapToGrid w:val="0"/>
        <w:spacing w:line="320" w:lineRule="atLeast"/>
        <w:outlineLvl w:val="0"/>
        <w:rPr>
          <w:rFonts w:hAnsi="宋体"/>
          <w:color w:val="auto"/>
          <w:kern w:val="0"/>
          <w:sz w:val="32"/>
          <w:szCs w:val="24"/>
          <w:highlight w:val="none"/>
        </w:rPr>
      </w:pPr>
    </w:p>
    <w:p w14:paraId="483B3D4A">
      <w:pPr>
        <w:pStyle w:val="31"/>
        <w:shd w:val="clear"/>
        <w:snapToGrid w:val="0"/>
        <w:spacing w:line="320" w:lineRule="atLeast"/>
        <w:outlineLvl w:val="0"/>
        <w:rPr>
          <w:rFonts w:hint="eastAsia" w:hAnsi="宋体"/>
          <w:color w:val="auto"/>
          <w:kern w:val="0"/>
          <w:sz w:val="32"/>
          <w:szCs w:val="24"/>
          <w:highlight w:val="none"/>
        </w:rPr>
      </w:pPr>
      <w:r>
        <w:rPr>
          <w:rFonts w:hint="eastAsia" w:hAnsi="宋体"/>
          <w:color w:val="auto"/>
          <w:kern w:val="0"/>
          <w:sz w:val="32"/>
          <w:szCs w:val="24"/>
          <w:highlight w:val="none"/>
        </w:rPr>
        <w:t>3.</w:t>
      </w:r>
      <w:r>
        <w:rPr>
          <w:rFonts w:hint="eastAsia"/>
          <w:color w:val="auto"/>
          <w:sz w:val="32"/>
          <w:highlight w:val="none"/>
        </w:rPr>
        <w:t>6</w:t>
      </w:r>
      <w:r>
        <w:rPr>
          <w:rFonts w:hint="eastAsia"/>
          <w:color w:val="auto"/>
          <w:sz w:val="32"/>
          <w:highlight w:val="none"/>
          <w:lang w:eastAsia="zh-CN"/>
        </w:rPr>
        <w:t>投标供应商</w:t>
      </w:r>
      <w:r>
        <w:rPr>
          <w:rFonts w:hint="eastAsia"/>
          <w:color w:val="auto"/>
          <w:sz w:val="32"/>
          <w:highlight w:val="none"/>
        </w:rPr>
        <w:t>情况声明</w:t>
      </w:r>
    </w:p>
    <w:p w14:paraId="221C22C1">
      <w:pPr>
        <w:pStyle w:val="31"/>
        <w:shd w:val="clear"/>
        <w:snapToGrid w:val="0"/>
        <w:spacing w:line="320" w:lineRule="atLeast"/>
        <w:jc w:val="center"/>
        <w:outlineLvl w:val="0"/>
        <w:rPr>
          <w:rFonts w:hint="eastAsia" w:hAnsi="宋体"/>
          <w:b/>
          <w:color w:val="auto"/>
          <w:sz w:val="36"/>
          <w:highlight w:val="none"/>
          <w:lang w:eastAsia="zh-CN"/>
        </w:rPr>
      </w:pPr>
      <w:r>
        <w:rPr>
          <w:rFonts w:hint="eastAsia" w:hAnsi="宋体"/>
          <w:b/>
          <w:color w:val="auto"/>
          <w:sz w:val="36"/>
          <w:highlight w:val="none"/>
          <w:lang w:eastAsia="zh-CN"/>
        </w:rPr>
        <w:t>投标供应商</w:t>
      </w:r>
      <w:r>
        <w:rPr>
          <w:rFonts w:hint="eastAsia" w:hAnsi="宋体"/>
          <w:b/>
          <w:color w:val="auto"/>
          <w:sz w:val="36"/>
          <w:highlight w:val="none"/>
        </w:rPr>
        <w:t>情况声明</w:t>
      </w:r>
    </w:p>
    <w:p w14:paraId="09C3E5D8">
      <w:pPr>
        <w:shd w:val="clear"/>
        <w:spacing w:line="400" w:lineRule="exact"/>
        <w:outlineLvl w:val="0"/>
        <w:rPr>
          <w:rFonts w:hint="eastAsia"/>
          <w:color w:val="auto"/>
          <w:sz w:val="22"/>
          <w:highlight w:val="none"/>
        </w:rPr>
      </w:pPr>
      <w:r>
        <w:rPr>
          <w:rFonts w:hint="eastAsia"/>
          <w:color w:val="auto"/>
          <w:sz w:val="22"/>
          <w:highlight w:val="none"/>
        </w:rPr>
        <w:t>1. 名称及概况：</w:t>
      </w:r>
    </w:p>
    <w:p w14:paraId="5F9A6212">
      <w:pPr>
        <w:shd w:val="clear"/>
        <w:spacing w:line="400" w:lineRule="exact"/>
        <w:rPr>
          <w:rFonts w:hint="eastAsia"/>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14:paraId="69D70ED9">
      <w:pPr>
        <w:shd w:val="clear"/>
        <w:spacing w:line="400" w:lineRule="exact"/>
        <w:rPr>
          <w:rFonts w:hint="eastAsia"/>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14:paraId="169FB0B8">
      <w:pPr>
        <w:shd w:val="clear"/>
        <w:spacing w:line="400" w:lineRule="exact"/>
        <w:ind w:firstLine="600"/>
        <w:rPr>
          <w:rFonts w:hint="eastAsia"/>
          <w:color w:val="auto"/>
          <w:sz w:val="22"/>
          <w:highlight w:val="none"/>
        </w:rPr>
      </w:pPr>
      <w:r>
        <w:rPr>
          <w:rFonts w:hint="eastAsia"/>
          <w:color w:val="auto"/>
          <w:sz w:val="22"/>
          <w:highlight w:val="none"/>
        </w:rPr>
        <w:t>传真/电话号码：</w:t>
      </w:r>
      <w:r>
        <w:rPr>
          <w:rFonts w:hint="eastAsia"/>
          <w:color w:val="auto"/>
          <w:sz w:val="22"/>
          <w:highlight w:val="none"/>
          <w:u w:val="single"/>
        </w:rPr>
        <w:t xml:space="preserve">                        </w:t>
      </w:r>
    </w:p>
    <w:p w14:paraId="328322FE">
      <w:pPr>
        <w:shd w:val="clear"/>
        <w:spacing w:line="400" w:lineRule="exact"/>
        <w:rPr>
          <w:rFonts w:hint="eastAsia"/>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14:paraId="152F1D15">
      <w:pPr>
        <w:shd w:val="clear"/>
        <w:spacing w:line="400" w:lineRule="exact"/>
        <w:rPr>
          <w:rFonts w:hint="eastAsia"/>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14:paraId="61EE8606">
      <w:pPr>
        <w:shd w:val="clear"/>
        <w:spacing w:line="400" w:lineRule="exact"/>
        <w:rPr>
          <w:rFonts w:hint="eastAsia"/>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14:paraId="62C0060A">
      <w:pPr>
        <w:shd w:val="clear"/>
        <w:spacing w:line="400" w:lineRule="exact"/>
        <w:rPr>
          <w:rFonts w:hint="eastAsia"/>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14:paraId="4FE4184F">
      <w:pPr>
        <w:shd w:val="clear"/>
        <w:spacing w:line="400" w:lineRule="exact"/>
        <w:rPr>
          <w:rFonts w:hint="eastAsia"/>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14:paraId="305426B6">
      <w:pPr>
        <w:shd w:val="clear"/>
        <w:spacing w:line="400" w:lineRule="exact"/>
        <w:rPr>
          <w:rFonts w:hint="eastAsia"/>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14:paraId="6FE723A1">
      <w:pPr>
        <w:shd w:val="clear"/>
        <w:spacing w:line="400" w:lineRule="exact"/>
        <w:rPr>
          <w:rFonts w:hint="eastAsia"/>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14:paraId="22DA7850">
      <w:pPr>
        <w:shd w:val="clear"/>
        <w:spacing w:line="400" w:lineRule="exact"/>
        <w:rPr>
          <w:rFonts w:hint="eastAsia"/>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14:paraId="2F4EAAA4">
      <w:pPr>
        <w:shd w:val="clear"/>
        <w:spacing w:line="400" w:lineRule="exact"/>
        <w:rPr>
          <w:rFonts w:hint="eastAsia"/>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14:paraId="14391EE6">
      <w:pPr>
        <w:shd w:val="clear"/>
        <w:spacing w:line="400" w:lineRule="exact"/>
        <w:rPr>
          <w:rFonts w:hint="eastAsia"/>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14:paraId="152BFA53">
      <w:pPr>
        <w:shd w:val="clear"/>
        <w:spacing w:line="400" w:lineRule="exact"/>
        <w:rPr>
          <w:rFonts w:hint="eastAsia"/>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14:paraId="45BDD74C">
      <w:pPr>
        <w:shd w:val="clear"/>
        <w:spacing w:line="360" w:lineRule="exact"/>
        <w:ind w:left="660" w:hanging="660" w:hangingChars="300"/>
        <w:rPr>
          <w:rFonts w:hint="eastAsia"/>
          <w:color w:val="auto"/>
          <w:sz w:val="22"/>
          <w:highlight w:val="none"/>
        </w:rPr>
      </w:pPr>
      <w:r>
        <w:rPr>
          <w:rFonts w:hint="eastAsia"/>
          <w:color w:val="auto"/>
          <w:sz w:val="22"/>
          <w:highlight w:val="none"/>
        </w:rPr>
        <w:t>2．企业生产设备及规模：</w:t>
      </w:r>
    </w:p>
    <w:p w14:paraId="734F617B">
      <w:pPr>
        <w:shd w:val="clear"/>
        <w:spacing w:line="360" w:lineRule="exact"/>
        <w:ind w:left="660" w:hanging="660" w:hangingChars="300"/>
        <w:outlineLvl w:val="0"/>
        <w:rPr>
          <w:rFonts w:hint="eastAsia"/>
          <w:color w:val="auto"/>
          <w:sz w:val="22"/>
          <w:highlight w:val="none"/>
        </w:rPr>
      </w:pPr>
      <w:r>
        <w:rPr>
          <w:rFonts w:hint="eastAsia"/>
          <w:color w:val="auto"/>
          <w:sz w:val="22"/>
          <w:highlight w:val="none"/>
        </w:rPr>
        <w:t>3. 企业人员情况：</w:t>
      </w:r>
    </w:p>
    <w:p w14:paraId="613331A5">
      <w:pPr>
        <w:shd w:val="clear"/>
        <w:spacing w:line="400" w:lineRule="exact"/>
        <w:rPr>
          <w:rFonts w:hint="eastAsia"/>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14:paraId="29056C33">
      <w:pPr>
        <w:shd w:val="clear"/>
        <w:spacing w:line="360" w:lineRule="exact"/>
        <w:ind w:left="660" w:hanging="660" w:hangingChars="300"/>
        <w:outlineLvl w:val="0"/>
        <w:rPr>
          <w:rFonts w:hint="eastAsia"/>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14:paraId="18278A64">
      <w:pPr>
        <w:shd w:val="clear"/>
        <w:spacing w:line="400" w:lineRule="exact"/>
        <w:ind w:firstLine="220" w:firstLineChars="100"/>
        <w:rPr>
          <w:rFonts w:hint="eastAsia"/>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14:paraId="3ED36B70">
      <w:pPr>
        <w:shd w:val="clear"/>
        <w:spacing w:line="400" w:lineRule="exact"/>
        <w:rPr>
          <w:color w:val="auto"/>
          <w:sz w:val="22"/>
          <w:highlight w:val="none"/>
        </w:rPr>
      </w:pPr>
    </w:p>
    <w:p w14:paraId="7A9A3B63">
      <w:pPr>
        <w:shd w:val="clear"/>
        <w:spacing w:line="400" w:lineRule="exact"/>
        <w:rPr>
          <w:rFonts w:hint="eastAsia"/>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14:paraId="3DE7224E">
      <w:pPr>
        <w:shd w:val="clear"/>
        <w:spacing w:line="400" w:lineRule="exact"/>
        <w:rPr>
          <w:rFonts w:hint="eastAsia"/>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14:paraId="15842E4D">
      <w:pPr>
        <w:shd w:val="clear"/>
        <w:spacing w:line="400" w:lineRule="exact"/>
        <w:rPr>
          <w:rFonts w:hint="eastAsia"/>
          <w:color w:val="auto"/>
          <w:highlight w:val="none"/>
        </w:rPr>
      </w:pPr>
      <w:r>
        <w:rPr>
          <w:rFonts w:hint="eastAsia"/>
          <w:color w:val="auto"/>
          <w:highlight w:val="none"/>
        </w:rPr>
        <w:t>法定代表人（负责人）或</w:t>
      </w:r>
      <w:r>
        <w:rPr>
          <w:rFonts w:hint="eastAsia"/>
          <w:color w:val="auto"/>
          <w:sz w:val="22"/>
          <w:szCs w:val="22"/>
          <w:highlight w:val="none"/>
          <w:lang w:val="zh-CN"/>
        </w:rPr>
        <w:t>授权代表（签字或签章）</w:t>
      </w:r>
      <w:r>
        <w:rPr>
          <w:rFonts w:hint="eastAsia"/>
          <w:color w:val="auto"/>
          <w:sz w:val="22"/>
          <w:highlight w:val="none"/>
          <w:u w:val="single"/>
        </w:rPr>
        <w:t xml:space="preserve">                           </w:t>
      </w:r>
    </w:p>
    <w:p w14:paraId="263B2F23">
      <w:pPr>
        <w:shd w:val="clear"/>
        <w:spacing w:line="400" w:lineRule="exact"/>
        <w:rPr>
          <w:rFonts w:hint="eastAsia"/>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14:paraId="0BEE94CE">
      <w:pPr>
        <w:shd w:val="clear"/>
        <w:spacing w:line="360" w:lineRule="exact"/>
        <w:rPr>
          <w:rFonts w:hint="eastAsia"/>
          <w:color w:val="auto"/>
          <w:sz w:val="22"/>
          <w:highlight w:val="none"/>
        </w:rPr>
      </w:pPr>
      <w:r>
        <w:rPr>
          <w:rFonts w:hint="eastAsia"/>
          <w:color w:val="auto"/>
          <w:sz w:val="22"/>
          <w:highlight w:val="none"/>
        </w:rPr>
        <w:t>电子邮件</w:t>
      </w:r>
      <w:r>
        <w:rPr>
          <w:rFonts w:hint="eastAsia"/>
          <w:color w:val="auto"/>
          <w:sz w:val="22"/>
          <w:highlight w:val="none"/>
          <w:u w:val="single"/>
        </w:rPr>
        <w:t xml:space="preserve">                                 </w:t>
      </w:r>
    </w:p>
    <w:p w14:paraId="3AA631A0">
      <w:pPr>
        <w:pStyle w:val="31"/>
        <w:shd w:val="clear"/>
        <w:spacing w:line="400" w:lineRule="atLeast"/>
        <w:rPr>
          <w:rFonts w:hAnsi="宋体"/>
          <w:b/>
          <w:color w:val="auto"/>
          <w:sz w:val="32"/>
          <w:szCs w:val="32"/>
          <w:highlight w:val="none"/>
        </w:rPr>
      </w:pPr>
    </w:p>
    <w:p w14:paraId="0E5316B4">
      <w:pPr>
        <w:pStyle w:val="31"/>
        <w:shd w:val="clear"/>
        <w:spacing w:line="400" w:lineRule="atLeast"/>
        <w:rPr>
          <w:rFonts w:hAnsi="宋体"/>
          <w:b/>
          <w:color w:val="auto"/>
          <w:sz w:val="32"/>
          <w:szCs w:val="32"/>
          <w:highlight w:val="none"/>
        </w:rPr>
      </w:pPr>
    </w:p>
    <w:p w14:paraId="60C6B2E9">
      <w:pPr>
        <w:pStyle w:val="31"/>
        <w:shd w:val="clear"/>
        <w:spacing w:line="400" w:lineRule="atLeast"/>
        <w:rPr>
          <w:rFonts w:hAnsi="宋体"/>
          <w:b/>
          <w:color w:val="auto"/>
          <w:sz w:val="32"/>
          <w:szCs w:val="32"/>
          <w:highlight w:val="none"/>
        </w:rPr>
      </w:pPr>
    </w:p>
    <w:p w14:paraId="21C2EBB4">
      <w:pPr>
        <w:shd w:val="clear"/>
        <w:autoSpaceDE w:val="0"/>
        <w:autoSpaceDN w:val="0"/>
        <w:rPr>
          <w:b/>
          <w:color w:val="auto"/>
          <w:sz w:val="32"/>
          <w:highlight w:val="none"/>
          <w:lang w:val="zh-CN"/>
        </w:rPr>
        <w:sectPr>
          <w:headerReference r:id="rId15" w:type="default"/>
          <w:footerReference r:id="rId16" w:type="default"/>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461B01CC">
      <w:pPr>
        <w:pStyle w:val="31"/>
        <w:shd w:val="clear"/>
        <w:snapToGrid w:val="0"/>
        <w:spacing w:line="320" w:lineRule="atLeast"/>
        <w:outlineLvl w:val="0"/>
        <w:rPr>
          <w:rFonts w:hint="eastAsia" w:hAnsi="宋体"/>
          <w:color w:val="auto"/>
          <w:kern w:val="0"/>
          <w:sz w:val="32"/>
          <w:szCs w:val="24"/>
          <w:highlight w:val="none"/>
          <w:lang w:val="zh-CN"/>
        </w:rPr>
      </w:pPr>
      <w:r>
        <w:rPr>
          <w:rFonts w:hint="eastAsia" w:hAnsi="宋体"/>
          <w:color w:val="auto"/>
          <w:kern w:val="0"/>
          <w:sz w:val="32"/>
          <w:szCs w:val="24"/>
          <w:highlight w:val="none"/>
          <w:lang w:val="zh-CN"/>
        </w:rPr>
        <w:t>3.</w:t>
      </w:r>
      <w:r>
        <w:rPr>
          <w:rFonts w:hint="eastAsia" w:hAnsi="宋体"/>
          <w:color w:val="auto"/>
          <w:kern w:val="0"/>
          <w:sz w:val="32"/>
          <w:szCs w:val="24"/>
          <w:highlight w:val="none"/>
        </w:rPr>
        <w:t>7.1 商务响应表</w:t>
      </w:r>
    </w:p>
    <w:p w14:paraId="12A94406">
      <w:pPr>
        <w:shd w:val="clear"/>
        <w:autoSpaceDE w:val="0"/>
        <w:autoSpaceDN w:val="0"/>
        <w:spacing w:line="440" w:lineRule="atLeast"/>
        <w:ind w:firstLine="3413"/>
        <w:outlineLvl w:val="0"/>
        <w:rPr>
          <w:rFonts w:hint="eastAsia"/>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rPr>
        <w:t>响 应</w:t>
      </w:r>
      <w:r>
        <w:rPr>
          <w:b/>
          <w:color w:val="auto"/>
          <w:sz w:val="36"/>
          <w:highlight w:val="none"/>
          <w:lang w:val="zh-CN"/>
        </w:rPr>
        <w:t xml:space="preserve"> </w:t>
      </w:r>
      <w:r>
        <w:rPr>
          <w:rFonts w:hint="eastAsia"/>
          <w:b/>
          <w:color w:val="auto"/>
          <w:sz w:val="36"/>
          <w:highlight w:val="none"/>
          <w:lang w:val="zh-CN"/>
        </w:rPr>
        <w:t>表</w:t>
      </w:r>
    </w:p>
    <w:p w14:paraId="76BFBA0C">
      <w:pPr>
        <w:shd w:val="clear"/>
        <w:autoSpaceDE w:val="0"/>
        <w:autoSpaceDN w:val="0"/>
        <w:spacing w:line="440" w:lineRule="atLeast"/>
        <w:ind w:firstLine="3413"/>
        <w:rPr>
          <w:b/>
          <w:color w:val="auto"/>
          <w:sz w:val="36"/>
          <w:highlight w:val="none"/>
          <w:lang w:val="zh-CN"/>
        </w:rPr>
      </w:pPr>
    </w:p>
    <w:tbl>
      <w:tblPr>
        <w:tblStyle w:val="13"/>
        <w:tblW w:w="0" w:type="auto"/>
        <w:tblInd w:w="-108" w:type="dxa"/>
        <w:tblLayout w:type="fixed"/>
        <w:tblCellMar>
          <w:top w:w="0" w:type="dxa"/>
          <w:left w:w="108" w:type="dxa"/>
          <w:bottom w:w="0" w:type="dxa"/>
          <w:right w:w="108" w:type="dxa"/>
        </w:tblCellMar>
      </w:tblPr>
      <w:tblGrid>
        <w:gridCol w:w="900"/>
        <w:gridCol w:w="1800"/>
        <w:gridCol w:w="2664"/>
        <w:gridCol w:w="2110"/>
        <w:gridCol w:w="2126"/>
      </w:tblGrid>
      <w:tr w14:paraId="0B28FB7C">
        <w:trPr>
          <w:trHeight w:val="936" w:hRule="atLeast"/>
        </w:trPr>
        <w:tc>
          <w:tcPr>
            <w:tcW w:w="900" w:type="dxa"/>
            <w:tcBorders>
              <w:top w:val="single" w:color="000000" w:sz="6" w:space="0"/>
              <w:left w:val="single" w:color="000000" w:sz="6" w:space="0"/>
              <w:bottom w:val="single" w:color="000000" w:sz="6" w:space="0"/>
              <w:right w:val="single" w:color="000000" w:sz="6" w:space="0"/>
            </w:tcBorders>
            <w:vAlign w:val="center"/>
          </w:tcPr>
          <w:p w14:paraId="708E669F">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000000" w:sz="6" w:space="0"/>
              <w:left w:val="single" w:color="000000" w:sz="6" w:space="0"/>
              <w:bottom w:val="single" w:color="000000" w:sz="6" w:space="0"/>
              <w:right w:val="single" w:color="000000" w:sz="6" w:space="0"/>
            </w:tcBorders>
            <w:vAlign w:val="center"/>
          </w:tcPr>
          <w:p w14:paraId="112B808C">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内容</w:t>
            </w:r>
          </w:p>
        </w:tc>
        <w:tc>
          <w:tcPr>
            <w:tcW w:w="2664" w:type="dxa"/>
            <w:tcBorders>
              <w:top w:val="single" w:color="000000" w:sz="6" w:space="0"/>
              <w:left w:val="single" w:color="000000" w:sz="6" w:space="0"/>
              <w:bottom w:val="single" w:color="000000" w:sz="6" w:space="0"/>
              <w:right w:val="single" w:color="000000" w:sz="6" w:space="0"/>
            </w:tcBorders>
            <w:vAlign w:val="center"/>
          </w:tcPr>
          <w:p w14:paraId="20564A8C">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招标文件规范要求</w:t>
            </w:r>
          </w:p>
        </w:tc>
        <w:tc>
          <w:tcPr>
            <w:tcW w:w="2110" w:type="dxa"/>
            <w:tcBorders>
              <w:top w:val="single" w:color="000000" w:sz="6" w:space="0"/>
              <w:left w:val="single" w:color="000000" w:sz="6" w:space="0"/>
              <w:bottom w:val="single" w:color="000000" w:sz="6" w:space="0"/>
              <w:right w:val="single" w:color="000000" w:sz="6" w:space="0"/>
            </w:tcBorders>
            <w:vAlign w:val="center"/>
          </w:tcPr>
          <w:p w14:paraId="74AE4AA3">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投标文件</w:t>
            </w:r>
          </w:p>
          <w:p w14:paraId="5F4C4D72">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对应规范</w:t>
            </w:r>
          </w:p>
        </w:tc>
        <w:tc>
          <w:tcPr>
            <w:tcW w:w="2126" w:type="dxa"/>
            <w:tcBorders>
              <w:top w:val="single" w:color="000000" w:sz="6" w:space="0"/>
              <w:left w:val="single" w:color="000000" w:sz="6" w:space="0"/>
              <w:bottom w:val="single" w:color="000000" w:sz="6" w:space="0"/>
              <w:right w:val="single" w:color="000000" w:sz="6" w:space="0"/>
            </w:tcBorders>
            <w:vAlign w:val="center"/>
          </w:tcPr>
          <w:p w14:paraId="23BB7973">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0631A782">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756D0D8A">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28FEE6AC">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04A9D8E9">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499C5765">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3A3F5E4F">
            <w:pPr>
              <w:shd w:val="clear"/>
              <w:autoSpaceDE w:val="0"/>
              <w:autoSpaceDN w:val="0"/>
              <w:spacing w:line="440" w:lineRule="atLeast"/>
              <w:jc w:val="center"/>
              <w:rPr>
                <w:b/>
                <w:color w:val="auto"/>
                <w:highlight w:val="none"/>
                <w:lang w:val="zh-CN"/>
              </w:rPr>
            </w:pPr>
          </w:p>
        </w:tc>
      </w:tr>
      <w:tr w14:paraId="29E1BF0B">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492FB18A">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641F9273">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7F3270BD">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345C9909">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7907D83A">
            <w:pPr>
              <w:shd w:val="clear"/>
              <w:autoSpaceDE w:val="0"/>
              <w:autoSpaceDN w:val="0"/>
              <w:spacing w:line="440" w:lineRule="atLeast"/>
              <w:jc w:val="center"/>
              <w:rPr>
                <w:b/>
                <w:color w:val="auto"/>
                <w:highlight w:val="none"/>
                <w:lang w:val="zh-CN"/>
              </w:rPr>
            </w:pPr>
          </w:p>
        </w:tc>
      </w:tr>
      <w:tr w14:paraId="1EE2AC6C">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39C69A93">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185755E8">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2787481F">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548FB1E3">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01307286">
            <w:pPr>
              <w:shd w:val="clear"/>
              <w:autoSpaceDE w:val="0"/>
              <w:autoSpaceDN w:val="0"/>
              <w:spacing w:line="440" w:lineRule="atLeast"/>
              <w:jc w:val="center"/>
              <w:rPr>
                <w:b/>
                <w:color w:val="auto"/>
                <w:highlight w:val="none"/>
                <w:lang w:val="zh-CN"/>
              </w:rPr>
            </w:pPr>
          </w:p>
        </w:tc>
      </w:tr>
      <w:tr w14:paraId="7223EC53">
        <w:tblPrEx>
          <w:tblCellMar>
            <w:top w:w="0" w:type="dxa"/>
            <w:left w:w="108" w:type="dxa"/>
            <w:bottom w:w="0" w:type="dxa"/>
            <w:right w:w="108" w:type="dxa"/>
          </w:tblCellMar>
        </w:tblPrEx>
        <w:trPr>
          <w:trHeight w:val="436"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0E460AA2">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3511ECD9">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27CDC32B">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29773D87">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4EBAE857">
            <w:pPr>
              <w:shd w:val="clear"/>
              <w:autoSpaceDE w:val="0"/>
              <w:autoSpaceDN w:val="0"/>
              <w:spacing w:line="440" w:lineRule="atLeast"/>
              <w:jc w:val="center"/>
              <w:rPr>
                <w:b/>
                <w:color w:val="auto"/>
                <w:highlight w:val="none"/>
                <w:lang w:val="zh-CN"/>
              </w:rPr>
            </w:pPr>
          </w:p>
        </w:tc>
      </w:tr>
      <w:tr w14:paraId="3E1632D0">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3D88DFEA">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46B25BE7">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0801E9DB">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54D9A063">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6184FDF9">
            <w:pPr>
              <w:shd w:val="clear"/>
              <w:autoSpaceDE w:val="0"/>
              <w:autoSpaceDN w:val="0"/>
              <w:spacing w:line="440" w:lineRule="atLeast"/>
              <w:jc w:val="center"/>
              <w:rPr>
                <w:b/>
                <w:color w:val="auto"/>
                <w:highlight w:val="none"/>
                <w:lang w:val="zh-CN"/>
              </w:rPr>
            </w:pPr>
          </w:p>
        </w:tc>
      </w:tr>
      <w:tr w14:paraId="03922816">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1A80FA77">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3929A102">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1CB2B8CC">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0FC6A8FB">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3DE1ABDD">
            <w:pPr>
              <w:shd w:val="clear"/>
              <w:autoSpaceDE w:val="0"/>
              <w:autoSpaceDN w:val="0"/>
              <w:spacing w:line="440" w:lineRule="atLeast"/>
              <w:jc w:val="center"/>
              <w:rPr>
                <w:b/>
                <w:color w:val="auto"/>
                <w:highlight w:val="none"/>
                <w:lang w:val="zh-CN"/>
              </w:rPr>
            </w:pPr>
          </w:p>
        </w:tc>
      </w:tr>
      <w:tr w14:paraId="167AE343">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45BD85CD">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1F9A5251">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5C9DF8CC">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0FE4B835">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6DB40963">
            <w:pPr>
              <w:shd w:val="clear"/>
              <w:autoSpaceDE w:val="0"/>
              <w:autoSpaceDN w:val="0"/>
              <w:spacing w:line="440" w:lineRule="atLeast"/>
              <w:jc w:val="center"/>
              <w:rPr>
                <w:b/>
                <w:color w:val="auto"/>
                <w:highlight w:val="none"/>
                <w:lang w:val="zh-CN"/>
              </w:rPr>
            </w:pPr>
          </w:p>
        </w:tc>
      </w:tr>
      <w:tr w14:paraId="1C18ECB8">
        <w:tblPrEx>
          <w:tblCellMar>
            <w:top w:w="0" w:type="dxa"/>
            <w:left w:w="108" w:type="dxa"/>
            <w:bottom w:w="0" w:type="dxa"/>
            <w:right w:w="108" w:type="dxa"/>
          </w:tblCellMar>
        </w:tblPrEx>
        <w:trPr>
          <w:trHeight w:val="436"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0B5977B8">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7A216A22">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16F466D5">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35945819">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6721DF93">
            <w:pPr>
              <w:shd w:val="clear"/>
              <w:autoSpaceDE w:val="0"/>
              <w:autoSpaceDN w:val="0"/>
              <w:spacing w:line="440" w:lineRule="atLeast"/>
              <w:jc w:val="center"/>
              <w:rPr>
                <w:b/>
                <w:color w:val="auto"/>
                <w:highlight w:val="none"/>
                <w:lang w:val="zh-CN"/>
              </w:rPr>
            </w:pPr>
          </w:p>
        </w:tc>
      </w:tr>
      <w:tr w14:paraId="05DF70DA">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18F430F1">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71DB283B">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1A429600">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17A8B3CE">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5C2D738B">
            <w:pPr>
              <w:shd w:val="clear"/>
              <w:autoSpaceDE w:val="0"/>
              <w:autoSpaceDN w:val="0"/>
              <w:spacing w:line="440" w:lineRule="atLeast"/>
              <w:jc w:val="center"/>
              <w:rPr>
                <w:b/>
                <w:color w:val="auto"/>
                <w:highlight w:val="none"/>
                <w:lang w:val="zh-CN"/>
              </w:rPr>
            </w:pPr>
          </w:p>
        </w:tc>
      </w:tr>
      <w:tr w14:paraId="38645419">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291AEFE1">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6EF64326">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35B56B08">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6DD7ACDE">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2D5E9509">
            <w:pPr>
              <w:shd w:val="clear"/>
              <w:autoSpaceDE w:val="0"/>
              <w:autoSpaceDN w:val="0"/>
              <w:spacing w:line="440" w:lineRule="atLeast"/>
              <w:jc w:val="center"/>
              <w:rPr>
                <w:b/>
                <w:color w:val="auto"/>
                <w:highlight w:val="none"/>
                <w:lang w:val="zh-CN"/>
              </w:rPr>
            </w:pPr>
          </w:p>
        </w:tc>
      </w:tr>
      <w:tr w14:paraId="270A2672">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14:paraId="2CE03F99">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368D3EF2">
            <w:pPr>
              <w:shd w:val="clea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14:paraId="48F35C69">
            <w:pPr>
              <w:shd w:val="clea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14:paraId="3848F9E0">
            <w:pPr>
              <w:shd w:val="clea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14:paraId="7860161A">
            <w:pPr>
              <w:shd w:val="clear"/>
              <w:autoSpaceDE w:val="0"/>
              <w:autoSpaceDN w:val="0"/>
              <w:spacing w:line="440" w:lineRule="atLeast"/>
              <w:jc w:val="center"/>
              <w:rPr>
                <w:b/>
                <w:color w:val="auto"/>
                <w:highlight w:val="none"/>
                <w:lang w:val="zh-CN"/>
              </w:rPr>
            </w:pPr>
          </w:p>
        </w:tc>
      </w:tr>
    </w:tbl>
    <w:p w14:paraId="06E11194">
      <w:pPr>
        <w:shd w:val="clear"/>
        <w:autoSpaceDE w:val="0"/>
        <w:autoSpaceDN w:val="0"/>
        <w:spacing w:line="440" w:lineRule="atLeast"/>
        <w:rPr>
          <w:rFonts w:hint="eastAsia"/>
          <w:b/>
          <w:color w:val="auto"/>
          <w:highlight w:val="none"/>
          <w:lang w:val="zh-CN"/>
        </w:rPr>
      </w:pPr>
      <w:r>
        <w:rPr>
          <w:rFonts w:hint="eastAsia"/>
          <w:b/>
          <w:color w:val="auto"/>
          <w:highlight w:val="none"/>
          <w:lang w:val="zh-CN"/>
        </w:rPr>
        <w:t>供应商盖章：</w:t>
      </w:r>
      <w:r>
        <w:rPr>
          <w:rFonts w:hint="eastAsia"/>
          <w:b/>
          <w:color w:val="auto"/>
          <w:highlight w:val="none"/>
          <w:u w:val="single"/>
        </w:rPr>
        <w:t xml:space="preserve">                    </w:t>
      </w:r>
    </w:p>
    <w:p w14:paraId="4F7E99E6">
      <w:pPr>
        <w:shd w:val="clear"/>
        <w:autoSpaceDE w:val="0"/>
        <w:autoSpaceDN w:val="0"/>
        <w:spacing w:line="440" w:lineRule="atLeast"/>
        <w:rPr>
          <w:rFonts w:hint="eastAsia" w:hAnsi="宋体"/>
          <w:color w:val="auto"/>
          <w:spacing w:val="20"/>
          <w:sz w:val="24"/>
          <w:highlight w:val="none"/>
        </w:rPr>
      </w:pPr>
      <w:r>
        <w:rPr>
          <w:rFonts w:hint="eastAsia" w:hAnsi="宋体"/>
          <w:color w:val="auto"/>
          <w:spacing w:val="20"/>
          <w:sz w:val="24"/>
          <w:highlight w:val="none"/>
        </w:rPr>
        <w:t>注：不填写此表，视全部响应招标文件</w:t>
      </w:r>
    </w:p>
    <w:p w14:paraId="06006BB8">
      <w:pPr>
        <w:shd w:val="clear"/>
        <w:autoSpaceDE w:val="0"/>
        <w:autoSpaceDN w:val="0"/>
        <w:spacing w:line="440" w:lineRule="atLeast"/>
        <w:rPr>
          <w:b/>
          <w:color w:val="auto"/>
          <w:sz w:val="32"/>
          <w:highlight w:val="none"/>
          <w:lang w:val="zh-CN"/>
        </w:rPr>
      </w:pPr>
    </w:p>
    <w:p w14:paraId="46D4BC63">
      <w:pPr>
        <w:shd w:val="clear"/>
        <w:autoSpaceDE w:val="0"/>
        <w:autoSpaceDN w:val="0"/>
        <w:spacing w:line="440" w:lineRule="atLeast"/>
        <w:rPr>
          <w:b/>
          <w:color w:val="auto"/>
          <w:sz w:val="32"/>
          <w:highlight w:val="none"/>
          <w:lang w:val="zh-CN"/>
        </w:rPr>
      </w:pPr>
    </w:p>
    <w:p w14:paraId="2FCDA55D">
      <w:pPr>
        <w:shd w:val="clear"/>
        <w:autoSpaceDE w:val="0"/>
        <w:autoSpaceDN w:val="0"/>
        <w:spacing w:line="440" w:lineRule="atLeast"/>
        <w:outlineLvl w:val="0"/>
        <w:rPr>
          <w:b/>
          <w:color w:val="auto"/>
          <w:sz w:val="32"/>
          <w:highlight w:val="none"/>
          <w:lang w:val="zh-CN"/>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19CEB36B">
      <w:pPr>
        <w:pStyle w:val="31"/>
        <w:shd w:val="clear"/>
        <w:snapToGrid w:val="0"/>
        <w:spacing w:line="320" w:lineRule="atLeast"/>
        <w:outlineLvl w:val="0"/>
        <w:rPr>
          <w:rFonts w:hint="eastAsia" w:hAnsi="宋体"/>
          <w:color w:val="auto"/>
          <w:kern w:val="0"/>
          <w:sz w:val="32"/>
          <w:szCs w:val="24"/>
          <w:highlight w:val="none"/>
        </w:rPr>
      </w:pPr>
      <w:r>
        <w:rPr>
          <w:rFonts w:hint="eastAsia" w:hAnsi="宋体"/>
          <w:color w:val="auto"/>
          <w:kern w:val="0"/>
          <w:sz w:val="32"/>
          <w:szCs w:val="24"/>
          <w:highlight w:val="none"/>
        </w:rPr>
        <w:t>3.7.2 技术响应表</w:t>
      </w:r>
    </w:p>
    <w:p w14:paraId="0A188E22">
      <w:pPr>
        <w:shd w:val="clear"/>
        <w:autoSpaceDE w:val="0"/>
        <w:autoSpaceDN w:val="0"/>
        <w:spacing w:line="440" w:lineRule="atLeast"/>
        <w:ind w:firstLine="3614" w:firstLineChars="1000"/>
        <w:outlineLvl w:val="0"/>
        <w:rPr>
          <w:rFonts w:hint="eastAsia"/>
          <w:b/>
          <w:color w:val="auto"/>
          <w:sz w:val="36"/>
          <w:highlight w:val="none"/>
          <w:lang w:val="zh-CN"/>
        </w:rPr>
      </w:pPr>
      <w:r>
        <w:rPr>
          <w:rFonts w:hint="eastAsia"/>
          <w:b/>
          <w:color w:val="auto"/>
          <w:sz w:val="36"/>
          <w:highlight w:val="none"/>
          <w:lang w:val="zh-CN"/>
        </w:rPr>
        <w:t>技</w:t>
      </w:r>
      <w:r>
        <w:rPr>
          <w:rFonts w:hint="eastAsia"/>
          <w:b/>
          <w:color w:val="auto"/>
          <w:sz w:val="36"/>
          <w:highlight w:val="none"/>
        </w:rPr>
        <w:t xml:space="preserve"> </w:t>
      </w:r>
      <w:r>
        <w:rPr>
          <w:rFonts w:hint="eastAsia"/>
          <w:b/>
          <w:color w:val="auto"/>
          <w:sz w:val="36"/>
          <w:highlight w:val="none"/>
          <w:lang w:val="zh-CN"/>
        </w:rPr>
        <w:t>术</w:t>
      </w:r>
      <w:r>
        <w:rPr>
          <w:rFonts w:hint="eastAsia"/>
          <w:b/>
          <w:color w:val="auto"/>
          <w:sz w:val="36"/>
          <w:highlight w:val="none"/>
        </w:rPr>
        <w:t xml:space="preserve"> 响 应 </w:t>
      </w:r>
      <w:r>
        <w:rPr>
          <w:rFonts w:hint="eastAsia"/>
          <w:b/>
          <w:color w:val="auto"/>
          <w:sz w:val="36"/>
          <w:highlight w:val="none"/>
          <w:lang w:val="zh-CN"/>
        </w:rPr>
        <w:t>表</w:t>
      </w:r>
    </w:p>
    <w:tbl>
      <w:tblPr>
        <w:tblStyle w:val="13"/>
        <w:tblW w:w="0" w:type="auto"/>
        <w:tblInd w:w="-300" w:type="dxa"/>
        <w:tblLayout w:type="fixed"/>
        <w:tblCellMar>
          <w:top w:w="0" w:type="dxa"/>
          <w:left w:w="108" w:type="dxa"/>
          <w:bottom w:w="0" w:type="dxa"/>
          <w:right w:w="108" w:type="dxa"/>
        </w:tblCellMar>
      </w:tblPr>
      <w:tblGrid>
        <w:gridCol w:w="900"/>
        <w:gridCol w:w="1800"/>
        <w:gridCol w:w="2300"/>
        <w:gridCol w:w="2000"/>
        <w:gridCol w:w="2800"/>
      </w:tblGrid>
      <w:tr w14:paraId="639105F3">
        <w:tblPrEx>
          <w:tblCellMar>
            <w:top w:w="0" w:type="dxa"/>
            <w:left w:w="108" w:type="dxa"/>
            <w:bottom w:w="0" w:type="dxa"/>
            <w:right w:w="108" w:type="dxa"/>
          </w:tblCellMar>
        </w:tblPrEx>
        <w:trPr>
          <w:trHeight w:val="918" w:hRule="atLeast"/>
        </w:trPr>
        <w:tc>
          <w:tcPr>
            <w:tcW w:w="900" w:type="dxa"/>
            <w:tcBorders>
              <w:top w:val="single" w:color="000000" w:sz="6" w:space="0"/>
              <w:left w:val="single" w:color="000000" w:sz="6" w:space="0"/>
              <w:bottom w:val="single" w:color="000000" w:sz="6" w:space="0"/>
              <w:right w:val="single" w:color="000000" w:sz="6" w:space="0"/>
            </w:tcBorders>
            <w:vAlign w:val="center"/>
          </w:tcPr>
          <w:p w14:paraId="643693C2">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000000" w:sz="6" w:space="0"/>
              <w:left w:val="single" w:color="000000" w:sz="6" w:space="0"/>
              <w:bottom w:val="single" w:color="000000" w:sz="6" w:space="0"/>
              <w:right w:val="single" w:color="000000" w:sz="6" w:space="0"/>
            </w:tcBorders>
            <w:vAlign w:val="center"/>
          </w:tcPr>
          <w:p w14:paraId="32403D02">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内容</w:t>
            </w:r>
          </w:p>
        </w:tc>
        <w:tc>
          <w:tcPr>
            <w:tcW w:w="2300" w:type="dxa"/>
            <w:tcBorders>
              <w:top w:val="single" w:color="000000" w:sz="6" w:space="0"/>
              <w:left w:val="single" w:color="000000" w:sz="6" w:space="0"/>
              <w:bottom w:val="single" w:color="000000" w:sz="6" w:space="0"/>
              <w:right w:val="single" w:color="000000" w:sz="6" w:space="0"/>
            </w:tcBorders>
            <w:vAlign w:val="center"/>
          </w:tcPr>
          <w:p w14:paraId="3070CCE1">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招标文件规范要求</w:t>
            </w:r>
          </w:p>
        </w:tc>
        <w:tc>
          <w:tcPr>
            <w:tcW w:w="2000" w:type="dxa"/>
            <w:tcBorders>
              <w:top w:val="single" w:color="000000" w:sz="6" w:space="0"/>
              <w:left w:val="single" w:color="000000" w:sz="6" w:space="0"/>
              <w:bottom w:val="single" w:color="000000" w:sz="6" w:space="0"/>
              <w:right w:val="single" w:color="000000" w:sz="6" w:space="0"/>
            </w:tcBorders>
            <w:vAlign w:val="center"/>
          </w:tcPr>
          <w:p w14:paraId="20A1D96A">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投标文件</w:t>
            </w:r>
          </w:p>
          <w:p w14:paraId="107E8BCB">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对应规范</w:t>
            </w:r>
          </w:p>
        </w:tc>
        <w:tc>
          <w:tcPr>
            <w:tcW w:w="2800" w:type="dxa"/>
            <w:tcBorders>
              <w:top w:val="single" w:color="000000" w:sz="6" w:space="0"/>
              <w:left w:val="single" w:color="000000" w:sz="6" w:space="0"/>
              <w:bottom w:val="single" w:color="000000" w:sz="6" w:space="0"/>
              <w:right w:val="single" w:color="000000" w:sz="6" w:space="0"/>
            </w:tcBorders>
            <w:vAlign w:val="center"/>
          </w:tcPr>
          <w:p w14:paraId="4876B04A">
            <w:pPr>
              <w:shd w:val="clear"/>
              <w:autoSpaceDE w:val="0"/>
              <w:autoSpaceDN w:val="0"/>
              <w:spacing w:line="440" w:lineRule="atLeast"/>
              <w:jc w:val="center"/>
              <w:rPr>
                <w:rFonts w:hint="eastAsia"/>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39DC5B6A">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6DCF3CDC">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3430DD72">
            <w:pPr>
              <w:shd w:val="clea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12B5E556">
            <w:pPr>
              <w:shd w:val="clea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7762500C">
            <w:pPr>
              <w:shd w:val="clea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0E9F78C0">
            <w:pPr>
              <w:shd w:val="clear"/>
              <w:autoSpaceDE w:val="0"/>
              <w:autoSpaceDN w:val="0"/>
              <w:spacing w:line="440" w:lineRule="atLeast"/>
              <w:jc w:val="center"/>
              <w:rPr>
                <w:b/>
                <w:color w:val="auto"/>
                <w:highlight w:val="none"/>
                <w:lang w:val="zh-CN"/>
              </w:rPr>
            </w:pPr>
          </w:p>
        </w:tc>
      </w:tr>
      <w:tr w14:paraId="5A233E2E">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63FD0B8B">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52FBD0F0">
            <w:pPr>
              <w:shd w:val="clea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5EA24F34">
            <w:pPr>
              <w:shd w:val="clea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54D39723">
            <w:pPr>
              <w:shd w:val="clea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6D12EE3C">
            <w:pPr>
              <w:shd w:val="clear"/>
              <w:autoSpaceDE w:val="0"/>
              <w:autoSpaceDN w:val="0"/>
              <w:spacing w:line="440" w:lineRule="atLeast"/>
              <w:jc w:val="center"/>
              <w:rPr>
                <w:b/>
                <w:color w:val="auto"/>
                <w:highlight w:val="none"/>
                <w:lang w:val="zh-CN"/>
              </w:rPr>
            </w:pPr>
          </w:p>
        </w:tc>
      </w:tr>
      <w:tr w14:paraId="4693FB23">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3040E9B8">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5F785C7F">
            <w:pPr>
              <w:shd w:val="clea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0819D8D1">
            <w:pPr>
              <w:shd w:val="clea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1BEB6F46">
            <w:pPr>
              <w:shd w:val="clea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156364A2">
            <w:pPr>
              <w:shd w:val="clear"/>
              <w:autoSpaceDE w:val="0"/>
              <w:autoSpaceDN w:val="0"/>
              <w:spacing w:line="440" w:lineRule="atLeast"/>
              <w:jc w:val="center"/>
              <w:rPr>
                <w:b/>
                <w:color w:val="auto"/>
                <w:highlight w:val="none"/>
                <w:lang w:val="zh-CN"/>
              </w:rPr>
            </w:pPr>
          </w:p>
        </w:tc>
      </w:tr>
      <w:tr w14:paraId="069FE813">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0DAB19B5">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5F4C9803">
            <w:pPr>
              <w:shd w:val="clea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3E4711B9">
            <w:pPr>
              <w:shd w:val="clea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714512FE">
            <w:pPr>
              <w:shd w:val="clea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1F4A4815">
            <w:pPr>
              <w:shd w:val="clear"/>
              <w:autoSpaceDE w:val="0"/>
              <w:autoSpaceDN w:val="0"/>
              <w:spacing w:line="440" w:lineRule="atLeast"/>
              <w:jc w:val="center"/>
              <w:rPr>
                <w:b/>
                <w:color w:val="auto"/>
                <w:highlight w:val="none"/>
                <w:lang w:val="zh-CN"/>
              </w:rPr>
            </w:pPr>
          </w:p>
        </w:tc>
      </w:tr>
      <w:tr w14:paraId="38F16962">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6D5E8267">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771FE146">
            <w:pPr>
              <w:shd w:val="clea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22388F9E">
            <w:pPr>
              <w:shd w:val="clea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09AAD4C9">
            <w:pPr>
              <w:shd w:val="clea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15D10D2B">
            <w:pPr>
              <w:shd w:val="clear"/>
              <w:autoSpaceDE w:val="0"/>
              <w:autoSpaceDN w:val="0"/>
              <w:spacing w:line="440" w:lineRule="atLeast"/>
              <w:jc w:val="center"/>
              <w:rPr>
                <w:b/>
                <w:color w:val="auto"/>
                <w:highlight w:val="none"/>
                <w:lang w:val="zh-CN"/>
              </w:rPr>
            </w:pPr>
          </w:p>
        </w:tc>
      </w:tr>
      <w:tr w14:paraId="180B7D5F">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14:paraId="333DD951">
            <w:pPr>
              <w:shd w:val="clea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14:paraId="0EA571B1">
            <w:pPr>
              <w:shd w:val="clea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14:paraId="7B487282">
            <w:pPr>
              <w:shd w:val="clea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14:paraId="76887AE2">
            <w:pPr>
              <w:shd w:val="clea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14:paraId="5E2B0B96">
            <w:pPr>
              <w:shd w:val="clear"/>
              <w:autoSpaceDE w:val="0"/>
              <w:autoSpaceDN w:val="0"/>
              <w:spacing w:line="440" w:lineRule="atLeast"/>
              <w:jc w:val="center"/>
              <w:rPr>
                <w:b/>
                <w:color w:val="auto"/>
                <w:highlight w:val="none"/>
                <w:lang w:val="zh-CN"/>
              </w:rPr>
            </w:pPr>
          </w:p>
        </w:tc>
      </w:tr>
    </w:tbl>
    <w:p w14:paraId="29A3FF8D">
      <w:pPr>
        <w:shd w:val="clear"/>
        <w:autoSpaceDE w:val="0"/>
        <w:autoSpaceDN w:val="0"/>
        <w:spacing w:line="440" w:lineRule="atLeast"/>
        <w:rPr>
          <w:b/>
          <w:color w:val="auto"/>
          <w:highlight w:val="none"/>
          <w:lang w:val="zh-CN"/>
        </w:rPr>
      </w:pPr>
    </w:p>
    <w:p w14:paraId="177D9AC1">
      <w:pPr>
        <w:shd w:val="clear"/>
        <w:autoSpaceDE w:val="0"/>
        <w:autoSpaceDN w:val="0"/>
        <w:spacing w:line="440" w:lineRule="atLeast"/>
        <w:rPr>
          <w:rFonts w:hint="eastAsia"/>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14:paraId="4FA595DB">
      <w:pPr>
        <w:pStyle w:val="31"/>
        <w:shd w:val="clear"/>
        <w:snapToGrid w:val="0"/>
        <w:spacing w:line="460" w:lineRule="atLeast"/>
        <w:rPr>
          <w:rFonts w:hAnsi="宋体"/>
          <w:color w:val="auto"/>
          <w:spacing w:val="20"/>
          <w:sz w:val="24"/>
          <w:highlight w:val="none"/>
        </w:rPr>
      </w:pPr>
    </w:p>
    <w:p w14:paraId="56E10385">
      <w:pPr>
        <w:pStyle w:val="31"/>
        <w:shd w:val="clear"/>
        <w:snapToGrid w:val="0"/>
        <w:spacing w:line="460" w:lineRule="atLeast"/>
        <w:rPr>
          <w:rFonts w:hint="eastAsia" w:hAnsi="宋体"/>
          <w:color w:val="auto"/>
          <w:spacing w:val="20"/>
          <w:sz w:val="24"/>
          <w:highlight w:val="none"/>
        </w:rPr>
      </w:pPr>
      <w:r>
        <w:rPr>
          <w:rFonts w:hint="eastAsia" w:hAnsi="宋体"/>
          <w:color w:val="auto"/>
          <w:spacing w:val="20"/>
          <w:sz w:val="24"/>
          <w:highlight w:val="none"/>
        </w:rPr>
        <w:t>注：不填写此表，视全部响应招标文件</w:t>
      </w:r>
    </w:p>
    <w:p w14:paraId="7AA4C42D">
      <w:pPr>
        <w:shd w:val="clear"/>
        <w:autoSpaceDE w:val="0"/>
        <w:autoSpaceDN w:val="0"/>
        <w:rPr>
          <w:b/>
          <w:color w:val="auto"/>
          <w:sz w:val="32"/>
          <w:highlight w:val="none"/>
        </w:rPr>
      </w:pPr>
    </w:p>
    <w:p w14:paraId="20FFFA6F">
      <w:pPr>
        <w:pStyle w:val="30"/>
        <w:shd w:val="clear"/>
        <w:spacing w:before="120" w:after="120"/>
        <w:ind w:left="652" w:hanging="652"/>
        <w:rPr>
          <w:b/>
          <w:color w:val="auto"/>
          <w:sz w:val="32"/>
          <w:highlight w:val="none"/>
        </w:rPr>
      </w:pPr>
    </w:p>
    <w:p w14:paraId="3D4F6BEB">
      <w:pPr>
        <w:pStyle w:val="30"/>
        <w:shd w:val="clear"/>
        <w:spacing w:before="120" w:after="120"/>
        <w:ind w:left="652" w:hanging="652"/>
        <w:rPr>
          <w:b/>
          <w:color w:val="auto"/>
          <w:sz w:val="32"/>
          <w:highlight w:val="none"/>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36C215F7">
      <w:pPr>
        <w:shd w:val="clear"/>
        <w:autoSpaceDE w:val="0"/>
        <w:autoSpaceDN w:val="0"/>
        <w:outlineLvl w:val="0"/>
        <w:rPr>
          <w:rFonts w:hint="eastAsia"/>
          <w:b/>
          <w:color w:val="auto"/>
          <w:sz w:val="32"/>
          <w:highlight w:val="none"/>
          <w:lang w:val="zh-CN"/>
        </w:rPr>
      </w:pPr>
      <w:r>
        <w:rPr>
          <w:rFonts w:hint="eastAsia"/>
          <w:b/>
          <w:color w:val="auto"/>
          <w:sz w:val="32"/>
          <w:highlight w:val="none"/>
          <w:lang w:val="zh-CN"/>
        </w:rPr>
        <w:t>3.</w:t>
      </w:r>
      <w:r>
        <w:rPr>
          <w:rFonts w:hint="eastAsia"/>
          <w:b/>
          <w:color w:val="auto"/>
          <w:sz w:val="32"/>
          <w:highlight w:val="none"/>
        </w:rPr>
        <w:t>8</w:t>
      </w:r>
      <w:r>
        <w:rPr>
          <w:rFonts w:hint="eastAsia"/>
          <w:b/>
          <w:color w:val="auto"/>
          <w:sz w:val="32"/>
          <w:highlight w:val="none"/>
          <w:lang w:val="zh-CN"/>
        </w:rPr>
        <w:t xml:space="preserve"> </w:t>
      </w:r>
      <w:r>
        <w:rPr>
          <w:rFonts w:hint="eastAsia" w:hAnsi="宋体"/>
          <w:b/>
          <w:color w:val="auto"/>
          <w:sz w:val="30"/>
          <w:highlight w:val="none"/>
        </w:rPr>
        <w:t>供应商</w:t>
      </w:r>
      <w:r>
        <w:rPr>
          <w:rFonts w:hint="eastAsia" w:hAnsi="宋体"/>
          <w:b/>
          <w:color w:val="auto"/>
          <w:sz w:val="30"/>
          <w:highlight w:val="none"/>
          <w:lang w:eastAsia="zh-CN"/>
        </w:rPr>
        <w:t>、</w:t>
      </w:r>
      <w:r>
        <w:rPr>
          <w:rFonts w:hint="eastAsia" w:hAnsi="宋体"/>
          <w:b/>
          <w:color w:val="auto"/>
          <w:sz w:val="30"/>
          <w:highlight w:val="none"/>
          <w:lang w:val="en-US" w:eastAsia="zh-CN"/>
        </w:rPr>
        <w:t>人员</w:t>
      </w:r>
      <w:r>
        <w:rPr>
          <w:rFonts w:hint="eastAsia" w:hAnsi="宋体"/>
          <w:b/>
          <w:color w:val="auto"/>
          <w:sz w:val="30"/>
          <w:highlight w:val="none"/>
        </w:rPr>
        <w:t>类似业绩</w:t>
      </w:r>
      <w:r>
        <w:rPr>
          <w:rFonts w:hint="eastAsia"/>
          <w:b/>
          <w:color w:val="auto"/>
          <w:sz w:val="32"/>
          <w:highlight w:val="none"/>
          <w:lang w:val="zh-CN"/>
        </w:rPr>
        <w:t>证明</w:t>
      </w:r>
    </w:p>
    <w:p w14:paraId="18FC4E2B">
      <w:pPr>
        <w:pStyle w:val="31"/>
        <w:shd w:val="clear"/>
        <w:snapToGrid w:val="0"/>
        <w:spacing w:line="324" w:lineRule="auto"/>
        <w:jc w:val="center"/>
        <w:rPr>
          <w:rFonts w:hAnsi="宋体"/>
          <w:b/>
          <w:color w:val="auto"/>
          <w:sz w:val="30"/>
          <w:highlight w:val="none"/>
        </w:rPr>
      </w:pPr>
    </w:p>
    <w:p w14:paraId="1EE59594">
      <w:pPr>
        <w:pStyle w:val="31"/>
        <w:shd w:val="clear"/>
        <w:spacing w:line="400" w:lineRule="exact"/>
        <w:rPr>
          <w:rFonts w:hAnsi="宋体"/>
          <w:b/>
          <w:color w:val="auto"/>
          <w:sz w:val="22"/>
          <w:highlight w:val="none"/>
        </w:rPr>
      </w:pPr>
    </w:p>
    <w:p w14:paraId="3110653F">
      <w:pPr>
        <w:pStyle w:val="31"/>
        <w:shd w:val="clear"/>
        <w:spacing w:line="400" w:lineRule="exact"/>
        <w:rPr>
          <w:rFonts w:hAnsi="宋体"/>
          <w:b/>
          <w:color w:val="auto"/>
          <w:sz w:val="22"/>
          <w:highlight w:val="none"/>
        </w:rPr>
      </w:pPr>
    </w:p>
    <w:p w14:paraId="185D405B">
      <w:pPr>
        <w:pStyle w:val="31"/>
        <w:shd w:val="clear"/>
        <w:spacing w:line="400" w:lineRule="exact"/>
        <w:rPr>
          <w:rFonts w:hAnsi="宋体"/>
          <w:b/>
          <w:color w:val="auto"/>
          <w:sz w:val="22"/>
          <w:highlight w:val="none"/>
        </w:rPr>
      </w:pPr>
    </w:p>
    <w:p w14:paraId="0DFE6B94">
      <w:pPr>
        <w:pStyle w:val="31"/>
        <w:shd w:val="clear"/>
        <w:spacing w:line="400" w:lineRule="exact"/>
        <w:rPr>
          <w:rFonts w:hAnsi="宋体"/>
          <w:b/>
          <w:color w:val="auto"/>
          <w:sz w:val="22"/>
          <w:highlight w:val="none"/>
        </w:rPr>
      </w:pPr>
    </w:p>
    <w:p w14:paraId="08D30D11">
      <w:pPr>
        <w:pStyle w:val="31"/>
        <w:shd w:val="clear"/>
        <w:spacing w:line="400" w:lineRule="exact"/>
        <w:rPr>
          <w:rFonts w:hAnsi="宋体"/>
          <w:b/>
          <w:color w:val="auto"/>
          <w:sz w:val="22"/>
          <w:highlight w:val="none"/>
        </w:rPr>
        <w:sectPr>
          <w:footerReference r:id="rId20" w:type="first"/>
          <w:headerReference r:id="rId17" w:type="default"/>
          <w:footerReference r:id="rId18" w:type="default"/>
          <w:footerReference r:id="rId19" w:type="even"/>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77318D71">
      <w:pPr>
        <w:shd w:val="clear"/>
        <w:jc w:val="both"/>
        <w:rPr>
          <w:rFonts w:hint="eastAsia" w:ascii="Times New Roman" w:hAnsi="Times New Roman" w:eastAsia="宋体"/>
          <w:b/>
          <w:color w:val="auto"/>
          <w:sz w:val="32"/>
          <w:highlight w:val="none"/>
        </w:rPr>
      </w:pPr>
      <w:r>
        <w:rPr>
          <w:rFonts w:hint="eastAsia" w:ascii="Times New Roman" w:hAnsi="Times New Roman" w:eastAsia="宋体"/>
          <w:b/>
          <w:color w:val="auto"/>
          <w:sz w:val="32"/>
          <w:highlight w:val="none"/>
        </w:rPr>
        <w:t xml:space="preserve">3.9 </w:t>
      </w:r>
      <w:r>
        <w:rPr>
          <w:rFonts w:hint="eastAsia" w:ascii="Times New Roman" w:hAnsi="Times New Roman" w:eastAsia="宋体"/>
          <w:b/>
          <w:color w:val="auto"/>
          <w:sz w:val="32"/>
          <w:highlight w:val="none"/>
          <w:lang w:val="en-US" w:eastAsia="zh-CN"/>
        </w:rPr>
        <w:t>产品参数、施工方案</w:t>
      </w:r>
      <w:r>
        <w:rPr>
          <w:rFonts w:hint="eastAsia" w:ascii="Times New Roman" w:hAnsi="Times New Roman" w:eastAsia="宋体"/>
          <w:b/>
          <w:color w:val="auto"/>
          <w:sz w:val="32"/>
          <w:highlight w:val="none"/>
        </w:rPr>
        <w:t>等；</w:t>
      </w:r>
    </w:p>
    <w:p w14:paraId="2BF00199">
      <w:pPr>
        <w:shd w:val="clear"/>
        <w:spacing w:line="460" w:lineRule="exact"/>
        <w:rPr>
          <w:rFonts w:hint="eastAsia" w:ascii="宋体" w:hAnsi="宋体" w:eastAsia="宋体"/>
          <w:b/>
          <w:bCs/>
          <w:color w:val="auto"/>
          <w:sz w:val="28"/>
          <w:szCs w:val="28"/>
          <w:highlight w:val="none"/>
        </w:rPr>
      </w:pPr>
      <w:r>
        <w:rPr>
          <w:rFonts w:hint="eastAsia" w:ascii="宋体" w:hAnsi="宋体" w:eastAsia="宋体"/>
          <w:b/>
          <w:bCs/>
          <w:color w:val="auto"/>
          <w:sz w:val="28"/>
          <w:szCs w:val="28"/>
          <w:highlight w:val="none"/>
        </w:rPr>
        <w:t>以下内容格式自拟</w:t>
      </w:r>
    </w:p>
    <w:p w14:paraId="45C078CB">
      <w:pPr>
        <w:shd w:val="clear"/>
        <w:spacing w:line="460" w:lineRule="exact"/>
        <w:rPr>
          <w:rFonts w:hint="eastAsia" w:ascii="宋体" w:hAnsi="宋体" w:eastAsia="宋体"/>
          <w:b/>
          <w:bCs/>
          <w:color w:val="auto"/>
          <w:sz w:val="30"/>
          <w:szCs w:val="30"/>
          <w:highlight w:val="none"/>
        </w:rPr>
      </w:pPr>
    </w:p>
    <w:p w14:paraId="2D923114">
      <w:pPr>
        <w:shd w:val="clear"/>
        <w:snapToGrid w:val="0"/>
        <w:spacing w:line="360" w:lineRule="auto"/>
        <w:rPr>
          <w:rFonts w:ascii="宋体"/>
          <w:color w:val="auto"/>
          <w:sz w:val="10"/>
          <w:szCs w:val="10"/>
          <w:highlight w:val="none"/>
        </w:rPr>
      </w:pPr>
    </w:p>
    <w:p w14:paraId="6AA9DDD7">
      <w:pPr>
        <w:pStyle w:val="15"/>
        <w:shd w:val="clear"/>
        <w:rPr>
          <w:rFonts w:ascii="宋体"/>
          <w:color w:val="auto"/>
          <w:sz w:val="10"/>
          <w:szCs w:val="10"/>
          <w:highlight w:val="none"/>
        </w:rPr>
      </w:pPr>
    </w:p>
    <w:p w14:paraId="5DC8FD3A">
      <w:pPr>
        <w:pStyle w:val="24"/>
        <w:shd w:val="clear"/>
        <w:rPr>
          <w:rFonts w:ascii="宋体"/>
          <w:color w:val="auto"/>
          <w:sz w:val="10"/>
          <w:szCs w:val="10"/>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778C9E40">
      <w:pPr>
        <w:shd w:val="clear"/>
        <w:rPr>
          <w:rFonts w:hint="eastAsia" w:hAnsi="宋体"/>
          <w:b/>
          <w:color w:val="auto"/>
          <w:sz w:val="30"/>
          <w:highlight w:val="none"/>
          <w:lang w:val="en-US" w:eastAsia="zh-CN"/>
        </w:rPr>
      </w:pPr>
      <w:r>
        <w:rPr>
          <w:rFonts w:hint="eastAsia" w:hAnsi="宋体"/>
          <w:b/>
          <w:color w:val="auto"/>
          <w:sz w:val="30"/>
          <w:highlight w:val="none"/>
          <w:lang w:val="en-US" w:eastAsia="zh-CN"/>
        </w:rPr>
        <w:t>3.10</w:t>
      </w:r>
      <w:r>
        <w:rPr>
          <w:rFonts w:hint="eastAsia" w:hAnsi="宋体"/>
          <w:b/>
          <w:color w:val="auto"/>
          <w:sz w:val="30"/>
          <w:highlight w:val="none"/>
        </w:rPr>
        <w:t>针对本项目拟派人员名单</w:t>
      </w:r>
    </w:p>
    <w:p w14:paraId="49D1643D">
      <w:pPr>
        <w:pStyle w:val="42"/>
        <w:shd w:val="clear"/>
        <w:ind w:firstLine="723"/>
        <w:rPr>
          <w:rFonts w:hint="eastAsia" w:ascii="宋体" w:hAnsi="宋体"/>
          <w:b w:val="0"/>
          <w:color w:val="auto"/>
          <w:sz w:val="36"/>
          <w:szCs w:val="36"/>
          <w:highlight w:val="none"/>
        </w:rPr>
      </w:pPr>
      <w:r>
        <w:rPr>
          <w:rFonts w:hint="eastAsia" w:ascii="宋体" w:hAnsi="宋体"/>
          <w:b w:val="0"/>
          <w:color w:val="auto"/>
          <w:sz w:val="36"/>
          <w:szCs w:val="36"/>
          <w:highlight w:val="none"/>
        </w:rPr>
        <w:t>针对本项目拟派人员名单</w:t>
      </w:r>
    </w:p>
    <w:tbl>
      <w:tblPr>
        <w:tblStyle w:val="13"/>
        <w:tblW w:w="0" w:type="auto"/>
        <w:tblInd w:w="-14"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734"/>
        <w:gridCol w:w="2520"/>
        <w:gridCol w:w="720"/>
        <w:gridCol w:w="720"/>
        <w:gridCol w:w="720"/>
        <w:gridCol w:w="1080"/>
        <w:gridCol w:w="1760"/>
        <w:gridCol w:w="1625"/>
      </w:tblGrid>
      <w:tr w14:paraId="6EE2E04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3AFA7518">
            <w:pPr>
              <w:shd w:val="clear"/>
              <w:jc w:val="center"/>
              <w:rPr>
                <w:b/>
                <w:bCs/>
                <w:color w:val="auto"/>
                <w:highlight w:val="none"/>
              </w:rPr>
            </w:pPr>
            <w:r>
              <w:rPr>
                <w:b/>
                <w:bCs/>
                <w:color w:val="auto"/>
                <w:highlight w:val="none"/>
              </w:rPr>
              <w:t>姓名</w:t>
            </w:r>
          </w:p>
        </w:tc>
        <w:tc>
          <w:tcPr>
            <w:tcW w:w="2520" w:type="dxa"/>
            <w:vAlign w:val="center"/>
          </w:tcPr>
          <w:p w14:paraId="26C61EE8">
            <w:pPr>
              <w:shd w:val="clear"/>
              <w:jc w:val="center"/>
              <w:rPr>
                <w:b/>
                <w:bCs/>
                <w:color w:val="auto"/>
                <w:highlight w:val="none"/>
              </w:rPr>
            </w:pPr>
            <w:r>
              <w:rPr>
                <w:b/>
                <w:bCs/>
                <w:color w:val="auto"/>
                <w:highlight w:val="none"/>
              </w:rPr>
              <w:t>本项目主要工作</w:t>
            </w:r>
          </w:p>
        </w:tc>
        <w:tc>
          <w:tcPr>
            <w:tcW w:w="720" w:type="dxa"/>
            <w:vAlign w:val="center"/>
          </w:tcPr>
          <w:p w14:paraId="1354913F">
            <w:pPr>
              <w:shd w:val="clear"/>
              <w:jc w:val="center"/>
              <w:rPr>
                <w:b/>
                <w:bCs/>
                <w:color w:val="auto"/>
                <w:highlight w:val="none"/>
              </w:rPr>
            </w:pPr>
            <w:r>
              <w:rPr>
                <w:b/>
                <w:bCs/>
                <w:color w:val="auto"/>
                <w:highlight w:val="none"/>
              </w:rPr>
              <w:t>年龄</w:t>
            </w:r>
          </w:p>
        </w:tc>
        <w:tc>
          <w:tcPr>
            <w:tcW w:w="720" w:type="dxa"/>
            <w:vAlign w:val="center"/>
          </w:tcPr>
          <w:p w14:paraId="2FFABD42">
            <w:pPr>
              <w:shd w:val="clear"/>
              <w:jc w:val="center"/>
              <w:rPr>
                <w:b/>
                <w:bCs/>
                <w:color w:val="auto"/>
                <w:highlight w:val="none"/>
              </w:rPr>
            </w:pPr>
            <w:r>
              <w:rPr>
                <w:b/>
                <w:bCs/>
                <w:color w:val="auto"/>
                <w:highlight w:val="none"/>
              </w:rPr>
              <w:t>性别</w:t>
            </w:r>
          </w:p>
        </w:tc>
        <w:tc>
          <w:tcPr>
            <w:tcW w:w="720" w:type="dxa"/>
            <w:vAlign w:val="center"/>
          </w:tcPr>
          <w:p w14:paraId="4B83965C">
            <w:pPr>
              <w:shd w:val="clear"/>
              <w:jc w:val="center"/>
              <w:rPr>
                <w:b/>
                <w:bCs/>
                <w:color w:val="auto"/>
                <w:highlight w:val="none"/>
              </w:rPr>
            </w:pPr>
            <w:r>
              <w:rPr>
                <w:b/>
                <w:bCs/>
                <w:color w:val="auto"/>
                <w:highlight w:val="none"/>
              </w:rPr>
              <w:t>专业</w:t>
            </w:r>
          </w:p>
        </w:tc>
        <w:tc>
          <w:tcPr>
            <w:tcW w:w="1080" w:type="dxa"/>
            <w:vAlign w:val="center"/>
          </w:tcPr>
          <w:p w14:paraId="0F97A110">
            <w:pPr>
              <w:shd w:val="clear"/>
              <w:jc w:val="center"/>
              <w:rPr>
                <w:b/>
                <w:bCs/>
                <w:color w:val="auto"/>
                <w:highlight w:val="none"/>
              </w:rPr>
            </w:pPr>
            <w:r>
              <w:rPr>
                <w:b/>
                <w:bCs/>
                <w:color w:val="auto"/>
                <w:highlight w:val="none"/>
              </w:rPr>
              <w:t>专业</w:t>
            </w:r>
          </w:p>
          <w:p w14:paraId="608D4106">
            <w:pPr>
              <w:shd w:val="clear"/>
              <w:jc w:val="center"/>
              <w:rPr>
                <w:b/>
                <w:bCs/>
                <w:color w:val="auto"/>
                <w:highlight w:val="none"/>
              </w:rPr>
            </w:pPr>
            <w:r>
              <w:rPr>
                <w:b/>
                <w:bCs/>
                <w:color w:val="auto"/>
                <w:highlight w:val="none"/>
              </w:rPr>
              <w:t>年限</w:t>
            </w:r>
          </w:p>
        </w:tc>
        <w:tc>
          <w:tcPr>
            <w:tcW w:w="1760" w:type="dxa"/>
            <w:vAlign w:val="center"/>
          </w:tcPr>
          <w:p w14:paraId="6551EBF4">
            <w:pPr>
              <w:shd w:val="clear"/>
              <w:jc w:val="center"/>
              <w:rPr>
                <w:b/>
                <w:bCs/>
                <w:color w:val="auto"/>
                <w:highlight w:val="none"/>
              </w:rPr>
            </w:pPr>
            <w:r>
              <w:rPr>
                <w:b/>
                <w:bCs/>
                <w:color w:val="auto"/>
                <w:highlight w:val="none"/>
              </w:rPr>
              <w:t>职务</w:t>
            </w:r>
          </w:p>
          <w:p w14:paraId="74D67E5B">
            <w:pPr>
              <w:shd w:val="clear"/>
              <w:jc w:val="center"/>
              <w:rPr>
                <w:b/>
                <w:bCs/>
                <w:color w:val="auto"/>
                <w:highlight w:val="none"/>
              </w:rPr>
            </w:pPr>
            <w:r>
              <w:rPr>
                <w:b/>
                <w:bCs/>
                <w:color w:val="auto"/>
                <w:highlight w:val="none"/>
              </w:rPr>
              <w:t>和职称</w:t>
            </w:r>
          </w:p>
        </w:tc>
        <w:tc>
          <w:tcPr>
            <w:tcW w:w="1625" w:type="dxa"/>
            <w:vAlign w:val="center"/>
          </w:tcPr>
          <w:p w14:paraId="79128BBE">
            <w:pPr>
              <w:shd w:val="clear"/>
              <w:jc w:val="center"/>
              <w:rPr>
                <w:b/>
                <w:bCs/>
                <w:color w:val="auto"/>
                <w:highlight w:val="none"/>
              </w:rPr>
            </w:pPr>
            <w:r>
              <w:rPr>
                <w:b/>
                <w:bCs/>
                <w:color w:val="auto"/>
                <w:highlight w:val="none"/>
              </w:rPr>
              <w:t>联系方式</w:t>
            </w:r>
          </w:p>
        </w:tc>
      </w:tr>
      <w:tr w14:paraId="720ED25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07DE720E">
            <w:pPr>
              <w:shd w:val="clear"/>
              <w:spacing w:line="360" w:lineRule="auto"/>
              <w:jc w:val="center"/>
              <w:rPr>
                <w:color w:val="auto"/>
                <w:highlight w:val="none"/>
              </w:rPr>
            </w:pPr>
          </w:p>
        </w:tc>
        <w:tc>
          <w:tcPr>
            <w:tcW w:w="2520" w:type="dxa"/>
            <w:vAlign w:val="center"/>
          </w:tcPr>
          <w:p w14:paraId="3AC6448F">
            <w:pPr>
              <w:shd w:val="clear"/>
              <w:jc w:val="center"/>
              <w:rPr>
                <w:rFonts w:hint="eastAsia"/>
                <w:b/>
                <w:bCs/>
                <w:color w:val="auto"/>
                <w:highlight w:val="none"/>
              </w:rPr>
            </w:pPr>
            <w:r>
              <w:rPr>
                <w:rFonts w:hint="eastAsia"/>
                <w:b/>
                <w:bCs/>
                <w:color w:val="auto"/>
                <w:highlight w:val="none"/>
              </w:rPr>
              <w:t>项目负责人</w:t>
            </w:r>
          </w:p>
        </w:tc>
        <w:tc>
          <w:tcPr>
            <w:tcW w:w="720" w:type="dxa"/>
            <w:vAlign w:val="center"/>
          </w:tcPr>
          <w:p w14:paraId="3273D5E6">
            <w:pPr>
              <w:shd w:val="clear"/>
              <w:spacing w:line="360" w:lineRule="auto"/>
              <w:jc w:val="center"/>
              <w:rPr>
                <w:color w:val="auto"/>
                <w:highlight w:val="none"/>
              </w:rPr>
            </w:pPr>
          </w:p>
        </w:tc>
        <w:tc>
          <w:tcPr>
            <w:tcW w:w="720" w:type="dxa"/>
            <w:vAlign w:val="center"/>
          </w:tcPr>
          <w:p w14:paraId="3FD7226E">
            <w:pPr>
              <w:shd w:val="clear"/>
              <w:spacing w:line="360" w:lineRule="auto"/>
              <w:jc w:val="center"/>
              <w:rPr>
                <w:color w:val="auto"/>
                <w:highlight w:val="none"/>
              </w:rPr>
            </w:pPr>
          </w:p>
        </w:tc>
        <w:tc>
          <w:tcPr>
            <w:tcW w:w="720" w:type="dxa"/>
            <w:vAlign w:val="center"/>
          </w:tcPr>
          <w:p w14:paraId="3BB50204">
            <w:pPr>
              <w:shd w:val="clear"/>
              <w:spacing w:line="360" w:lineRule="auto"/>
              <w:jc w:val="center"/>
              <w:rPr>
                <w:color w:val="auto"/>
                <w:highlight w:val="none"/>
              </w:rPr>
            </w:pPr>
          </w:p>
        </w:tc>
        <w:tc>
          <w:tcPr>
            <w:tcW w:w="1080" w:type="dxa"/>
            <w:vAlign w:val="center"/>
          </w:tcPr>
          <w:p w14:paraId="02B9FBAA">
            <w:pPr>
              <w:shd w:val="clear"/>
              <w:spacing w:line="360" w:lineRule="auto"/>
              <w:jc w:val="center"/>
              <w:rPr>
                <w:color w:val="auto"/>
                <w:highlight w:val="none"/>
              </w:rPr>
            </w:pPr>
          </w:p>
        </w:tc>
        <w:tc>
          <w:tcPr>
            <w:tcW w:w="1760" w:type="dxa"/>
            <w:vAlign w:val="center"/>
          </w:tcPr>
          <w:p w14:paraId="3A8B3792">
            <w:pPr>
              <w:pStyle w:val="33"/>
              <w:shd w:val="clear"/>
              <w:spacing w:line="360" w:lineRule="auto"/>
              <w:ind w:left="5500"/>
              <w:jc w:val="center"/>
              <w:rPr>
                <w:rFonts w:ascii="Times New Roman" w:hAnsi="Times New Roman"/>
                <w:color w:val="auto"/>
                <w:sz w:val="22"/>
                <w:highlight w:val="none"/>
              </w:rPr>
            </w:pPr>
          </w:p>
        </w:tc>
        <w:tc>
          <w:tcPr>
            <w:tcW w:w="1625" w:type="dxa"/>
            <w:vAlign w:val="center"/>
          </w:tcPr>
          <w:p w14:paraId="423ED5CE">
            <w:pPr>
              <w:shd w:val="clear"/>
              <w:spacing w:line="360" w:lineRule="auto"/>
              <w:jc w:val="center"/>
              <w:rPr>
                <w:color w:val="auto"/>
                <w:highlight w:val="none"/>
              </w:rPr>
            </w:pPr>
          </w:p>
        </w:tc>
      </w:tr>
      <w:tr w14:paraId="01363CA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10975DAF">
            <w:pPr>
              <w:shd w:val="clear"/>
              <w:spacing w:line="360" w:lineRule="auto"/>
              <w:rPr>
                <w:color w:val="auto"/>
                <w:highlight w:val="none"/>
              </w:rPr>
            </w:pPr>
          </w:p>
        </w:tc>
        <w:tc>
          <w:tcPr>
            <w:tcW w:w="2520" w:type="dxa"/>
            <w:vAlign w:val="center"/>
          </w:tcPr>
          <w:p w14:paraId="77F503E6">
            <w:pPr>
              <w:shd w:val="clear"/>
              <w:spacing w:line="360" w:lineRule="auto"/>
              <w:rPr>
                <w:color w:val="auto"/>
                <w:highlight w:val="none"/>
              </w:rPr>
            </w:pPr>
          </w:p>
        </w:tc>
        <w:tc>
          <w:tcPr>
            <w:tcW w:w="720" w:type="dxa"/>
            <w:vAlign w:val="center"/>
          </w:tcPr>
          <w:p w14:paraId="4A7DA6CE">
            <w:pPr>
              <w:shd w:val="clear"/>
              <w:spacing w:line="360" w:lineRule="auto"/>
              <w:rPr>
                <w:color w:val="auto"/>
                <w:highlight w:val="none"/>
              </w:rPr>
            </w:pPr>
          </w:p>
        </w:tc>
        <w:tc>
          <w:tcPr>
            <w:tcW w:w="720" w:type="dxa"/>
            <w:vAlign w:val="center"/>
          </w:tcPr>
          <w:p w14:paraId="3F0E8CF7">
            <w:pPr>
              <w:shd w:val="clear"/>
              <w:spacing w:line="360" w:lineRule="auto"/>
              <w:rPr>
                <w:color w:val="auto"/>
                <w:highlight w:val="none"/>
              </w:rPr>
            </w:pPr>
          </w:p>
        </w:tc>
        <w:tc>
          <w:tcPr>
            <w:tcW w:w="720" w:type="dxa"/>
            <w:vAlign w:val="center"/>
          </w:tcPr>
          <w:p w14:paraId="37451620">
            <w:pPr>
              <w:shd w:val="clear"/>
              <w:spacing w:line="360" w:lineRule="auto"/>
              <w:rPr>
                <w:color w:val="auto"/>
                <w:highlight w:val="none"/>
              </w:rPr>
            </w:pPr>
          </w:p>
        </w:tc>
        <w:tc>
          <w:tcPr>
            <w:tcW w:w="1080" w:type="dxa"/>
            <w:vAlign w:val="center"/>
          </w:tcPr>
          <w:p w14:paraId="7934551B">
            <w:pPr>
              <w:shd w:val="clear"/>
              <w:spacing w:line="360" w:lineRule="auto"/>
              <w:rPr>
                <w:color w:val="auto"/>
                <w:highlight w:val="none"/>
              </w:rPr>
            </w:pPr>
          </w:p>
        </w:tc>
        <w:tc>
          <w:tcPr>
            <w:tcW w:w="1760" w:type="dxa"/>
            <w:vAlign w:val="center"/>
          </w:tcPr>
          <w:p w14:paraId="57E278A3">
            <w:pPr>
              <w:shd w:val="clear"/>
              <w:spacing w:line="360" w:lineRule="auto"/>
              <w:rPr>
                <w:color w:val="auto"/>
                <w:highlight w:val="none"/>
              </w:rPr>
            </w:pPr>
          </w:p>
        </w:tc>
        <w:tc>
          <w:tcPr>
            <w:tcW w:w="1625" w:type="dxa"/>
            <w:vAlign w:val="center"/>
          </w:tcPr>
          <w:p w14:paraId="32FF0300">
            <w:pPr>
              <w:shd w:val="clear"/>
              <w:spacing w:line="360" w:lineRule="auto"/>
              <w:rPr>
                <w:color w:val="auto"/>
                <w:highlight w:val="none"/>
              </w:rPr>
            </w:pPr>
          </w:p>
        </w:tc>
      </w:tr>
      <w:tr w14:paraId="2041D30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16FFECA5">
            <w:pPr>
              <w:shd w:val="clear"/>
              <w:spacing w:line="360" w:lineRule="auto"/>
              <w:rPr>
                <w:color w:val="auto"/>
                <w:highlight w:val="none"/>
              </w:rPr>
            </w:pPr>
          </w:p>
        </w:tc>
        <w:tc>
          <w:tcPr>
            <w:tcW w:w="2520" w:type="dxa"/>
            <w:vAlign w:val="center"/>
          </w:tcPr>
          <w:p w14:paraId="3170C26C">
            <w:pPr>
              <w:shd w:val="clear"/>
              <w:spacing w:line="360" w:lineRule="auto"/>
              <w:rPr>
                <w:color w:val="auto"/>
                <w:highlight w:val="none"/>
              </w:rPr>
            </w:pPr>
          </w:p>
        </w:tc>
        <w:tc>
          <w:tcPr>
            <w:tcW w:w="720" w:type="dxa"/>
            <w:vAlign w:val="center"/>
          </w:tcPr>
          <w:p w14:paraId="7652819E">
            <w:pPr>
              <w:shd w:val="clear"/>
              <w:spacing w:line="360" w:lineRule="auto"/>
              <w:rPr>
                <w:color w:val="auto"/>
                <w:highlight w:val="none"/>
              </w:rPr>
            </w:pPr>
          </w:p>
        </w:tc>
        <w:tc>
          <w:tcPr>
            <w:tcW w:w="720" w:type="dxa"/>
            <w:vAlign w:val="center"/>
          </w:tcPr>
          <w:p w14:paraId="54C29867">
            <w:pPr>
              <w:shd w:val="clear"/>
              <w:spacing w:line="360" w:lineRule="auto"/>
              <w:rPr>
                <w:color w:val="auto"/>
                <w:highlight w:val="none"/>
              </w:rPr>
            </w:pPr>
          </w:p>
        </w:tc>
        <w:tc>
          <w:tcPr>
            <w:tcW w:w="720" w:type="dxa"/>
            <w:vAlign w:val="center"/>
          </w:tcPr>
          <w:p w14:paraId="67EFC31B">
            <w:pPr>
              <w:shd w:val="clear"/>
              <w:spacing w:line="360" w:lineRule="auto"/>
              <w:rPr>
                <w:color w:val="auto"/>
                <w:highlight w:val="none"/>
              </w:rPr>
            </w:pPr>
          </w:p>
        </w:tc>
        <w:tc>
          <w:tcPr>
            <w:tcW w:w="1080" w:type="dxa"/>
            <w:vAlign w:val="center"/>
          </w:tcPr>
          <w:p w14:paraId="5BCD10AC">
            <w:pPr>
              <w:shd w:val="clear"/>
              <w:spacing w:line="360" w:lineRule="auto"/>
              <w:rPr>
                <w:color w:val="auto"/>
                <w:highlight w:val="none"/>
              </w:rPr>
            </w:pPr>
          </w:p>
        </w:tc>
        <w:tc>
          <w:tcPr>
            <w:tcW w:w="1760" w:type="dxa"/>
            <w:vAlign w:val="center"/>
          </w:tcPr>
          <w:p w14:paraId="134D3B33">
            <w:pPr>
              <w:shd w:val="clear"/>
              <w:spacing w:line="360" w:lineRule="auto"/>
              <w:rPr>
                <w:color w:val="auto"/>
                <w:highlight w:val="none"/>
              </w:rPr>
            </w:pPr>
          </w:p>
        </w:tc>
        <w:tc>
          <w:tcPr>
            <w:tcW w:w="1625" w:type="dxa"/>
            <w:vAlign w:val="center"/>
          </w:tcPr>
          <w:p w14:paraId="53FED80A">
            <w:pPr>
              <w:shd w:val="clear"/>
              <w:spacing w:line="360" w:lineRule="auto"/>
              <w:rPr>
                <w:color w:val="auto"/>
                <w:highlight w:val="none"/>
              </w:rPr>
            </w:pPr>
          </w:p>
        </w:tc>
      </w:tr>
      <w:tr w14:paraId="1D548D5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2035E10B">
            <w:pPr>
              <w:shd w:val="clear"/>
              <w:spacing w:line="360" w:lineRule="auto"/>
              <w:rPr>
                <w:color w:val="auto"/>
                <w:highlight w:val="none"/>
              </w:rPr>
            </w:pPr>
          </w:p>
        </w:tc>
        <w:tc>
          <w:tcPr>
            <w:tcW w:w="2520" w:type="dxa"/>
            <w:vAlign w:val="center"/>
          </w:tcPr>
          <w:p w14:paraId="10F08A50">
            <w:pPr>
              <w:shd w:val="clear"/>
              <w:spacing w:line="360" w:lineRule="auto"/>
              <w:rPr>
                <w:color w:val="auto"/>
                <w:highlight w:val="none"/>
              </w:rPr>
            </w:pPr>
          </w:p>
        </w:tc>
        <w:tc>
          <w:tcPr>
            <w:tcW w:w="720" w:type="dxa"/>
            <w:vAlign w:val="center"/>
          </w:tcPr>
          <w:p w14:paraId="4E672032">
            <w:pPr>
              <w:shd w:val="clear"/>
              <w:spacing w:line="360" w:lineRule="auto"/>
              <w:rPr>
                <w:color w:val="auto"/>
                <w:highlight w:val="none"/>
              </w:rPr>
            </w:pPr>
          </w:p>
        </w:tc>
        <w:tc>
          <w:tcPr>
            <w:tcW w:w="720" w:type="dxa"/>
            <w:vAlign w:val="center"/>
          </w:tcPr>
          <w:p w14:paraId="15E4A2D3">
            <w:pPr>
              <w:shd w:val="clear"/>
              <w:spacing w:line="360" w:lineRule="auto"/>
              <w:rPr>
                <w:color w:val="auto"/>
                <w:highlight w:val="none"/>
              </w:rPr>
            </w:pPr>
          </w:p>
        </w:tc>
        <w:tc>
          <w:tcPr>
            <w:tcW w:w="720" w:type="dxa"/>
            <w:vAlign w:val="center"/>
          </w:tcPr>
          <w:p w14:paraId="7CDE58F9">
            <w:pPr>
              <w:shd w:val="clear"/>
              <w:spacing w:line="360" w:lineRule="auto"/>
              <w:rPr>
                <w:color w:val="auto"/>
                <w:highlight w:val="none"/>
              </w:rPr>
            </w:pPr>
          </w:p>
        </w:tc>
        <w:tc>
          <w:tcPr>
            <w:tcW w:w="1080" w:type="dxa"/>
            <w:vAlign w:val="center"/>
          </w:tcPr>
          <w:p w14:paraId="56CF36E3">
            <w:pPr>
              <w:shd w:val="clear"/>
              <w:spacing w:line="360" w:lineRule="auto"/>
              <w:rPr>
                <w:color w:val="auto"/>
                <w:highlight w:val="none"/>
              </w:rPr>
            </w:pPr>
          </w:p>
        </w:tc>
        <w:tc>
          <w:tcPr>
            <w:tcW w:w="1760" w:type="dxa"/>
            <w:vAlign w:val="center"/>
          </w:tcPr>
          <w:p w14:paraId="7C45F355">
            <w:pPr>
              <w:shd w:val="clear"/>
              <w:spacing w:line="360" w:lineRule="auto"/>
              <w:rPr>
                <w:color w:val="auto"/>
                <w:highlight w:val="none"/>
              </w:rPr>
            </w:pPr>
          </w:p>
        </w:tc>
        <w:tc>
          <w:tcPr>
            <w:tcW w:w="1625" w:type="dxa"/>
            <w:vAlign w:val="center"/>
          </w:tcPr>
          <w:p w14:paraId="4A833A15">
            <w:pPr>
              <w:shd w:val="clear"/>
              <w:spacing w:line="360" w:lineRule="auto"/>
              <w:rPr>
                <w:color w:val="auto"/>
                <w:highlight w:val="none"/>
              </w:rPr>
            </w:pPr>
          </w:p>
        </w:tc>
      </w:tr>
      <w:tr w14:paraId="4CC6A12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0E12A791">
            <w:pPr>
              <w:shd w:val="clear"/>
              <w:spacing w:line="360" w:lineRule="auto"/>
              <w:rPr>
                <w:color w:val="auto"/>
                <w:highlight w:val="none"/>
              </w:rPr>
            </w:pPr>
          </w:p>
        </w:tc>
        <w:tc>
          <w:tcPr>
            <w:tcW w:w="2520" w:type="dxa"/>
            <w:vAlign w:val="center"/>
          </w:tcPr>
          <w:p w14:paraId="046FA690">
            <w:pPr>
              <w:shd w:val="clear"/>
              <w:spacing w:line="360" w:lineRule="auto"/>
              <w:rPr>
                <w:color w:val="auto"/>
                <w:highlight w:val="none"/>
              </w:rPr>
            </w:pPr>
          </w:p>
        </w:tc>
        <w:tc>
          <w:tcPr>
            <w:tcW w:w="720" w:type="dxa"/>
            <w:vAlign w:val="center"/>
          </w:tcPr>
          <w:p w14:paraId="16566E65">
            <w:pPr>
              <w:shd w:val="clear"/>
              <w:spacing w:line="360" w:lineRule="auto"/>
              <w:rPr>
                <w:color w:val="auto"/>
                <w:highlight w:val="none"/>
              </w:rPr>
            </w:pPr>
          </w:p>
        </w:tc>
        <w:tc>
          <w:tcPr>
            <w:tcW w:w="720" w:type="dxa"/>
            <w:vAlign w:val="center"/>
          </w:tcPr>
          <w:p w14:paraId="2ACDAE39">
            <w:pPr>
              <w:shd w:val="clear"/>
              <w:spacing w:line="360" w:lineRule="auto"/>
              <w:rPr>
                <w:color w:val="auto"/>
                <w:highlight w:val="none"/>
              </w:rPr>
            </w:pPr>
          </w:p>
        </w:tc>
        <w:tc>
          <w:tcPr>
            <w:tcW w:w="720" w:type="dxa"/>
            <w:vAlign w:val="center"/>
          </w:tcPr>
          <w:p w14:paraId="7341C325">
            <w:pPr>
              <w:shd w:val="clear"/>
              <w:spacing w:line="360" w:lineRule="auto"/>
              <w:rPr>
                <w:color w:val="auto"/>
                <w:highlight w:val="none"/>
              </w:rPr>
            </w:pPr>
          </w:p>
        </w:tc>
        <w:tc>
          <w:tcPr>
            <w:tcW w:w="1080" w:type="dxa"/>
            <w:vAlign w:val="center"/>
          </w:tcPr>
          <w:p w14:paraId="53B5BAE8">
            <w:pPr>
              <w:shd w:val="clear"/>
              <w:spacing w:line="360" w:lineRule="auto"/>
              <w:rPr>
                <w:color w:val="auto"/>
                <w:highlight w:val="none"/>
              </w:rPr>
            </w:pPr>
          </w:p>
        </w:tc>
        <w:tc>
          <w:tcPr>
            <w:tcW w:w="1760" w:type="dxa"/>
            <w:vAlign w:val="center"/>
          </w:tcPr>
          <w:p w14:paraId="72FFEEC3">
            <w:pPr>
              <w:shd w:val="clear"/>
              <w:spacing w:line="360" w:lineRule="auto"/>
              <w:rPr>
                <w:color w:val="auto"/>
                <w:highlight w:val="none"/>
              </w:rPr>
            </w:pPr>
          </w:p>
        </w:tc>
        <w:tc>
          <w:tcPr>
            <w:tcW w:w="1625" w:type="dxa"/>
            <w:vAlign w:val="center"/>
          </w:tcPr>
          <w:p w14:paraId="797BC152">
            <w:pPr>
              <w:shd w:val="clear"/>
              <w:spacing w:line="360" w:lineRule="auto"/>
              <w:rPr>
                <w:color w:val="auto"/>
                <w:highlight w:val="none"/>
              </w:rPr>
            </w:pPr>
          </w:p>
        </w:tc>
      </w:tr>
      <w:tr w14:paraId="01B10E9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7C02DB8E">
            <w:pPr>
              <w:shd w:val="clear"/>
              <w:spacing w:line="360" w:lineRule="auto"/>
              <w:rPr>
                <w:color w:val="auto"/>
                <w:highlight w:val="none"/>
              </w:rPr>
            </w:pPr>
          </w:p>
        </w:tc>
        <w:tc>
          <w:tcPr>
            <w:tcW w:w="2520" w:type="dxa"/>
            <w:vAlign w:val="center"/>
          </w:tcPr>
          <w:p w14:paraId="43667E94">
            <w:pPr>
              <w:shd w:val="clear"/>
              <w:spacing w:line="360" w:lineRule="auto"/>
              <w:rPr>
                <w:color w:val="auto"/>
                <w:highlight w:val="none"/>
              </w:rPr>
            </w:pPr>
          </w:p>
        </w:tc>
        <w:tc>
          <w:tcPr>
            <w:tcW w:w="720" w:type="dxa"/>
            <w:vAlign w:val="center"/>
          </w:tcPr>
          <w:p w14:paraId="2D294F26">
            <w:pPr>
              <w:shd w:val="clear"/>
              <w:spacing w:line="360" w:lineRule="auto"/>
              <w:rPr>
                <w:color w:val="auto"/>
                <w:highlight w:val="none"/>
              </w:rPr>
            </w:pPr>
          </w:p>
        </w:tc>
        <w:tc>
          <w:tcPr>
            <w:tcW w:w="720" w:type="dxa"/>
            <w:vAlign w:val="center"/>
          </w:tcPr>
          <w:p w14:paraId="5AB5440D">
            <w:pPr>
              <w:shd w:val="clear"/>
              <w:spacing w:line="360" w:lineRule="auto"/>
              <w:rPr>
                <w:color w:val="auto"/>
                <w:highlight w:val="none"/>
              </w:rPr>
            </w:pPr>
          </w:p>
        </w:tc>
        <w:tc>
          <w:tcPr>
            <w:tcW w:w="720" w:type="dxa"/>
            <w:vAlign w:val="center"/>
          </w:tcPr>
          <w:p w14:paraId="6ABD3232">
            <w:pPr>
              <w:shd w:val="clear"/>
              <w:spacing w:line="360" w:lineRule="auto"/>
              <w:rPr>
                <w:color w:val="auto"/>
                <w:highlight w:val="none"/>
              </w:rPr>
            </w:pPr>
          </w:p>
        </w:tc>
        <w:tc>
          <w:tcPr>
            <w:tcW w:w="1080" w:type="dxa"/>
            <w:vAlign w:val="center"/>
          </w:tcPr>
          <w:p w14:paraId="1DF8131E">
            <w:pPr>
              <w:shd w:val="clear"/>
              <w:spacing w:line="360" w:lineRule="auto"/>
              <w:rPr>
                <w:color w:val="auto"/>
                <w:highlight w:val="none"/>
              </w:rPr>
            </w:pPr>
          </w:p>
        </w:tc>
        <w:tc>
          <w:tcPr>
            <w:tcW w:w="1760" w:type="dxa"/>
            <w:vAlign w:val="center"/>
          </w:tcPr>
          <w:p w14:paraId="6A0DCA5F">
            <w:pPr>
              <w:shd w:val="clear"/>
              <w:spacing w:line="360" w:lineRule="auto"/>
              <w:rPr>
                <w:color w:val="auto"/>
                <w:highlight w:val="none"/>
              </w:rPr>
            </w:pPr>
          </w:p>
        </w:tc>
        <w:tc>
          <w:tcPr>
            <w:tcW w:w="1625" w:type="dxa"/>
            <w:vAlign w:val="center"/>
          </w:tcPr>
          <w:p w14:paraId="75C7730A">
            <w:pPr>
              <w:shd w:val="clear"/>
              <w:spacing w:line="360" w:lineRule="auto"/>
              <w:rPr>
                <w:color w:val="auto"/>
                <w:highlight w:val="none"/>
              </w:rPr>
            </w:pPr>
          </w:p>
        </w:tc>
      </w:tr>
      <w:tr w14:paraId="6852EB4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15C42861">
            <w:pPr>
              <w:shd w:val="clear"/>
              <w:spacing w:line="360" w:lineRule="auto"/>
              <w:rPr>
                <w:color w:val="auto"/>
                <w:highlight w:val="none"/>
              </w:rPr>
            </w:pPr>
          </w:p>
        </w:tc>
        <w:tc>
          <w:tcPr>
            <w:tcW w:w="2520" w:type="dxa"/>
            <w:vAlign w:val="center"/>
          </w:tcPr>
          <w:p w14:paraId="1302E059">
            <w:pPr>
              <w:shd w:val="clear"/>
              <w:spacing w:line="360" w:lineRule="auto"/>
              <w:rPr>
                <w:color w:val="auto"/>
                <w:highlight w:val="none"/>
              </w:rPr>
            </w:pPr>
          </w:p>
        </w:tc>
        <w:tc>
          <w:tcPr>
            <w:tcW w:w="720" w:type="dxa"/>
            <w:vAlign w:val="center"/>
          </w:tcPr>
          <w:p w14:paraId="38BB8D58">
            <w:pPr>
              <w:shd w:val="clear"/>
              <w:spacing w:line="360" w:lineRule="auto"/>
              <w:rPr>
                <w:color w:val="auto"/>
                <w:highlight w:val="none"/>
              </w:rPr>
            </w:pPr>
          </w:p>
        </w:tc>
        <w:tc>
          <w:tcPr>
            <w:tcW w:w="720" w:type="dxa"/>
            <w:vAlign w:val="center"/>
          </w:tcPr>
          <w:p w14:paraId="4C397E9A">
            <w:pPr>
              <w:shd w:val="clear"/>
              <w:spacing w:line="360" w:lineRule="auto"/>
              <w:rPr>
                <w:color w:val="auto"/>
                <w:highlight w:val="none"/>
              </w:rPr>
            </w:pPr>
          </w:p>
        </w:tc>
        <w:tc>
          <w:tcPr>
            <w:tcW w:w="720" w:type="dxa"/>
            <w:vAlign w:val="center"/>
          </w:tcPr>
          <w:p w14:paraId="5B47D61C">
            <w:pPr>
              <w:shd w:val="clear"/>
              <w:spacing w:line="360" w:lineRule="auto"/>
              <w:rPr>
                <w:color w:val="auto"/>
                <w:highlight w:val="none"/>
              </w:rPr>
            </w:pPr>
          </w:p>
        </w:tc>
        <w:tc>
          <w:tcPr>
            <w:tcW w:w="1080" w:type="dxa"/>
            <w:vAlign w:val="center"/>
          </w:tcPr>
          <w:p w14:paraId="321BC7C1">
            <w:pPr>
              <w:shd w:val="clear"/>
              <w:spacing w:line="360" w:lineRule="auto"/>
              <w:rPr>
                <w:color w:val="auto"/>
                <w:highlight w:val="none"/>
              </w:rPr>
            </w:pPr>
          </w:p>
        </w:tc>
        <w:tc>
          <w:tcPr>
            <w:tcW w:w="1760" w:type="dxa"/>
            <w:vAlign w:val="center"/>
          </w:tcPr>
          <w:p w14:paraId="6E2AA006">
            <w:pPr>
              <w:shd w:val="clear"/>
              <w:spacing w:line="360" w:lineRule="auto"/>
              <w:rPr>
                <w:color w:val="auto"/>
                <w:highlight w:val="none"/>
              </w:rPr>
            </w:pPr>
          </w:p>
        </w:tc>
        <w:tc>
          <w:tcPr>
            <w:tcW w:w="1625" w:type="dxa"/>
            <w:vAlign w:val="center"/>
          </w:tcPr>
          <w:p w14:paraId="06CF4284">
            <w:pPr>
              <w:shd w:val="clear"/>
              <w:spacing w:line="360" w:lineRule="auto"/>
              <w:rPr>
                <w:color w:val="auto"/>
                <w:highlight w:val="none"/>
              </w:rPr>
            </w:pPr>
          </w:p>
        </w:tc>
      </w:tr>
      <w:tr w14:paraId="61DAF0C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7FAC6D5E">
            <w:pPr>
              <w:shd w:val="clear"/>
              <w:spacing w:line="360" w:lineRule="auto"/>
              <w:rPr>
                <w:color w:val="auto"/>
                <w:highlight w:val="none"/>
              </w:rPr>
            </w:pPr>
          </w:p>
        </w:tc>
        <w:tc>
          <w:tcPr>
            <w:tcW w:w="2520" w:type="dxa"/>
            <w:vAlign w:val="center"/>
          </w:tcPr>
          <w:p w14:paraId="61D07FDD">
            <w:pPr>
              <w:shd w:val="clear"/>
              <w:spacing w:line="360" w:lineRule="auto"/>
              <w:rPr>
                <w:color w:val="auto"/>
                <w:highlight w:val="none"/>
              </w:rPr>
            </w:pPr>
          </w:p>
        </w:tc>
        <w:tc>
          <w:tcPr>
            <w:tcW w:w="720" w:type="dxa"/>
            <w:vAlign w:val="center"/>
          </w:tcPr>
          <w:p w14:paraId="019292B4">
            <w:pPr>
              <w:shd w:val="clear"/>
              <w:spacing w:line="360" w:lineRule="auto"/>
              <w:rPr>
                <w:color w:val="auto"/>
                <w:highlight w:val="none"/>
              </w:rPr>
            </w:pPr>
          </w:p>
        </w:tc>
        <w:tc>
          <w:tcPr>
            <w:tcW w:w="720" w:type="dxa"/>
            <w:vAlign w:val="center"/>
          </w:tcPr>
          <w:p w14:paraId="31A427B6">
            <w:pPr>
              <w:shd w:val="clear"/>
              <w:spacing w:line="360" w:lineRule="auto"/>
              <w:rPr>
                <w:color w:val="auto"/>
                <w:highlight w:val="none"/>
              </w:rPr>
            </w:pPr>
          </w:p>
        </w:tc>
        <w:tc>
          <w:tcPr>
            <w:tcW w:w="720" w:type="dxa"/>
            <w:vAlign w:val="center"/>
          </w:tcPr>
          <w:p w14:paraId="29646213">
            <w:pPr>
              <w:shd w:val="clear"/>
              <w:spacing w:line="360" w:lineRule="auto"/>
              <w:rPr>
                <w:color w:val="auto"/>
                <w:highlight w:val="none"/>
              </w:rPr>
            </w:pPr>
          </w:p>
        </w:tc>
        <w:tc>
          <w:tcPr>
            <w:tcW w:w="1080" w:type="dxa"/>
            <w:vAlign w:val="center"/>
          </w:tcPr>
          <w:p w14:paraId="42942F92">
            <w:pPr>
              <w:shd w:val="clear"/>
              <w:spacing w:line="360" w:lineRule="auto"/>
              <w:rPr>
                <w:color w:val="auto"/>
                <w:highlight w:val="none"/>
              </w:rPr>
            </w:pPr>
          </w:p>
        </w:tc>
        <w:tc>
          <w:tcPr>
            <w:tcW w:w="1760" w:type="dxa"/>
            <w:vAlign w:val="center"/>
          </w:tcPr>
          <w:p w14:paraId="2ABDA103">
            <w:pPr>
              <w:shd w:val="clear"/>
              <w:spacing w:line="360" w:lineRule="auto"/>
              <w:rPr>
                <w:color w:val="auto"/>
                <w:highlight w:val="none"/>
              </w:rPr>
            </w:pPr>
          </w:p>
        </w:tc>
        <w:tc>
          <w:tcPr>
            <w:tcW w:w="1625" w:type="dxa"/>
            <w:vAlign w:val="center"/>
          </w:tcPr>
          <w:p w14:paraId="6DF90924">
            <w:pPr>
              <w:shd w:val="clear"/>
              <w:spacing w:line="360" w:lineRule="auto"/>
              <w:rPr>
                <w:color w:val="auto"/>
                <w:highlight w:val="none"/>
              </w:rPr>
            </w:pPr>
          </w:p>
        </w:tc>
      </w:tr>
      <w:tr w14:paraId="5467B79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7B00E295">
            <w:pPr>
              <w:shd w:val="clear"/>
              <w:spacing w:line="360" w:lineRule="auto"/>
              <w:rPr>
                <w:color w:val="auto"/>
                <w:highlight w:val="none"/>
              </w:rPr>
            </w:pPr>
          </w:p>
        </w:tc>
        <w:tc>
          <w:tcPr>
            <w:tcW w:w="2520" w:type="dxa"/>
            <w:vAlign w:val="center"/>
          </w:tcPr>
          <w:p w14:paraId="6927C57A">
            <w:pPr>
              <w:shd w:val="clear"/>
              <w:spacing w:line="360" w:lineRule="auto"/>
              <w:rPr>
                <w:color w:val="auto"/>
                <w:highlight w:val="none"/>
              </w:rPr>
            </w:pPr>
          </w:p>
        </w:tc>
        <w:tc>
          <w:tcPr>
            <w:tcW w:w="720" w:type="dxa"/>
            <w:vAlign w:val="center"/>
          </w:tcPr>
          <w:p w14:paraId="39DB102D">
            <w:pPr>
              <w:shd w:val="clear"/>
              <w:spacing w:line="360" w:lineRule="auto"/>
              <w:rPr>
                <w:color w:val="auto"/>
                <w:highlight w:val="none"/>
              </w:rPr>
            </w:pPr>
          </w:p>
        </w:tc>
        <w:tc>
          <w:tcPr>
            <w:tcW w:w="720" w:type="dxa"/>
            <w:vAlign w:val="center"/>
          </w:tcPr>
          <w:p w14:paraId="17B6BD0E">
            <w:pPr>
              <w:shd w:val="clear"/>
              <w:spacing w:line="360" w:lineRule="auto"/>
              <w:rPr>
                <w:color w:val="auto"/>
                <w:highlight w:val="none"/>
              </w:rPr>
            </w:pPr>
          </w:p>
        </w:tc>
        <w:tc>
          <w:tcPr>
            <w:tcW w:w="720" w:type="dxa"/>
            <w:vAlign w:val="center"/>
          </w:tcPr>
          <w:p w14:paraId="60EA1497">
            <w:pPr>
              <w:shd w:val="clear"/>
              <w:spacing w:line="360" w:lineRule="auto"/>
              <w:rPr>
                <w:color w:val="auto"/>
                <w:highlight w:val="none"/>
              </w:rPr>
            </w:pPr>
          </w:p>
        </w:tc>
        <w:tc>
          <w:tcPr>
            <w:tcW w:w="1080" w:type="dxa"/>
            <w:vAlign w:val="center"/>
          </w:tcPr>
          <w:p w14:paraId="26892308">
            <w:pPr>
              <w:shd w:val="clear"/>
              <w:spacing w:line="360" w:lineRule="auto"/>
              <w:rPr>
                <w:color w:val="auto"/>
                <w:highlight w:val="none"/>
              </w:rPr>
            </w:pPr>
          </w:p>
        </w:tc>
        <w:tc>
          <w:tcPr>
            <w:tcW w:w="1760" w:type="dxa"/>
            <w:vAlign w:val="center"/>
          </w:tcPr>
          <w:p w14:paraId="50631608">
            <w:pPr>
              <w:shd w:val="clear"/>
              <w:spacing w:line="360" w:lineRule="auto"/>
              <w:rPr>
                <w:color w:val="auto"/>
                <w:highlight w:val="none"/>
              </w:rPr>
            </w:pPr>
          </w:p>
        </w:tc>
        <w:tc>
          <w:tcPr>
            <w:tcW w:w="1625" w:type="dxa"/>
            <w:vAlign w:val="center"/>
          </w:tcPr>
          <w:p w14:paraId="5F316C65">
            <w:pPr>
              <w:shd w:val="clear"/>
              <w:spacing w:line="360" w:lineRule="auto"/>
              <w:rPr>
                <w:color w:val="auto"/>
                <w:highlight w:val="none"/>
              </w:rPr>
            </w:pPr>
          </w:p>
        </w:tc>
      </w:tr>
      <w:tr w14:paraId="5AD8B96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4D3D413A">
            <w:pPr>
              <w:shd w:val="clear"/>
              <w:spacing w:line="360" w:lineRule="auto"/>
              <w:rPr>
                <w:color w:val="auto"/>
                <w:highlight w:val="none"/>
              </w:rPr>
            </w:pPr>
          </w:p>
        </w:tc>
        <w:tc>
          <w:tcPr>
            <w:tcW w:w="2520" w:type="dxa"/>
            <w:vAlign w:val="center"/>
          </w:tcPr>
          <w:p w14:paraId="119B29BA">
            <w:pPr>
              <w:shd w:val="clear"/>
              <w:spacing w:line="360" w:lineRule="auto"/>
              <w:rPr>
                <w:color w:val="auto"/>
                <w:highlight w:val="none"/>
              </w:rPr>
            </w:pPr>
          </w:p>
        </w:tc>
        <w:tc>
          <w:tcPr>
            <w:tcW w:w="720" w:type="dxa"/>
            <w:vAlign w:val="center"/>
          </w:tcPr>
          <w:p w14:paraId="543E4EAE">
            <w:pPr>
              <w:shd w:val="clear"/>
              <w:spacing w:line="360" w:lineRule="auto"/>
              <w:rPr>
                <w:color w:val="auto"/>
                <w:highlight w:val="none"/>
              </w:rPr>
            </w:pPr>
          </w:p>
        </w:tc>
        <w:tc>
          <w:tcPr>
            <w:tcW w:w="720" w:type="dxa"/>
            <w:vAlign w:val="center"/>
          </w:tcPr>
          <w:p w14:paraId="0C171455">
            <w:pPr>
              <w:shd w:val="clear"/>
              <w:spacing w:line="360" w:lineRule="auto"/>
              <w:rPr>
                <w:color w:val="auto"/>
                <w:highlight w:val="none"/>
              </w:rPr>
            </w:pPr>
          </w:p>
        </w:tc>
        <w:tc>
          <w:tcPr>
            <w:tcW w:w="720" w:type="dxa"/>
            <w:vAlign w:val="center"/>
          </w:tcPr>
          <w:p w14:paraId="6B59F77B">
            <w:pPr>
              <w:shd w:val="clear"/>
              <w:spacing w:line="360" w:lineRule="auto"/>
              <w:rPr>
                <w:color w:val="auto"/>
                <w:highlight w:val="none"/>
              </w:rPr>
            </w:pPr>
          </w:p>
        </w:tc>
        <w:tc>
          <w:tcPr>
            <w:tcW w:w="1080" w:type="dxa"/>
            <w:vAlign w:val="center"/>
          </w:tcPr>
          <w:p w14:paraId="79D3C37D">
            <w:pPr>
              <w:shd w:val="clear"/>
              <w:spacing w:line="360" w:lineRule="auto"/>
              <w:rPr>
                <w:color w:val="auto"/>
                <w:highlight w:val="none"/>
              </w:rPr>
            </w:pPr>
          </w:p>
        </w:tc>
        <w:tc>
          <w:tcPr>
            <w:tcW w:w="1760" w:type="dxa"/>
            <w:vAlign w:val="center"/>
          </w:tcPr>
          <w:p w14:paraId="73134120">
            <w:pPr>
              <w:shd w:val="clear"/>
              <w:spacing w:line="360" w:lineRule="auto"/>
              <w:rPr>
                <w:color w:val="auto"/>
                <w:highlight w:val="none"/>
              </w:rPr>
            </w:pPr>
          </w:p>
        </w:tc>
        <w:tc>
          <w:tcPr>
            <w:tcW w:w="1625" w:type="dxa"/>
            <w:vAlign w:val="center"/>
          </w:tcPr>
          <w:p w14:paraId="194B4555">
            <w:pPr>
              <w:shd w:val="clear"/>
              <w:spacing w:line="360" w:lineRule="auto"/>
              <w:rPr>
                <w:color w:val="auto"/>
                <w:highlight w:val="none"/>
              </w:rPr>
            </w:pPr>
          </w:p>
        </w:tc>
      </w:tr>
      <w:tr w14:paraId="1F12A6E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56C06B1B">
            <w:pPr>
              <w:shd w:val="clear"/>
              <w:spacing w:line="360" w:lineRule="auto"/>
              <w:rPr>
                <w:color w:val="auto"/>
                <w:highlight w:val="none"/>
              </w:rPr>
            </w:pPr>
          </w:p>
        </w:tc>
        <w:tc>
          <w:tcPr>
            <w:tcW w:w="2520" w:type="dxa"/>
            <w:vAlign w:val="center"/>
          </w:tcPr>
          <w:p w14:paraId="6A1F5418">
            <w:pPr>
              <w:shd w:val="clear"/>
              <w:spacing w:line="360" w:lineRule="auto"/>
              <w:rPr>
                <w:color w:val="auto"/>
                <w:highlight w:val="none"/>
              </w:rPr>
            </w:pPr>
          </w:p>
        </w:tc>
        <w:tc>
          <w:tcPr>
            <w:tcW w:w="720" w:type="dxa"/>
            <w:vAlign w:val="center"/>
          </w:tcPr>
          <w:p w14:paraId="64B5CF30">
            <w:pPr>
              <w:shd w:val="clear"/>
              <w:spacing w:line="360" w:lineRule="auto"/>
              <w:rPr>
                <w:color w:val="auto"/>
                <w:highlight w:val="none"/>
              </w:rPr>
            </w:pPr>
          </w:p>
        </w:tc>
        <w:tc>
          <w:tcPr>
            <w:tcW w:w="720" w:type="dxa"/>
            <w:vAlign w:val="center"/>
          </w:tcPr>
          <w:p w14:paraId="703E6FDD">
            <w:pPr>
              <w:shd w:val="clear"/>
              <w:spacing w:line="360" w:lineRule="auto"/>
              <w:rPr>
                <w:color w:val="auto"/>
                <w:highlight w:val="none"/>
              </w:rPr>
            </w:pPr>
          </w:p>
        </w:tc>
        <w:tc>
          <w:tcPr>
            <w:tcW w:w="720" w:type="dxa"/>
            <w:vAlign w:val="center"/>
          </w:tcPr>
          <w:p w14:paraId="415F9F4F">
            <w:pPr>
              <w:shd w:val="clear"/>
              <w:spacing w:line="360" w:lineRule="auto"/>
              <w:rPr>
                <w:color w:val="auto"/>
                <w:highlight w:val="none"/>
              </w:rPr>
            </w:pPr>
          </w:p>
        </w:tc>
        <w:tc>
          <w:tcPr>
            <w:tcW w:w="1080" w:type="dxa"/>
            <w:vAlign w:val="center"/>
          </w:tcPr>
          <w:p w14:paraId="70CC62C2">
            <w:pPr>
              <w:shd w:val="clear"/>
              <w:spacing w:line="360" w:lineRule="auto"/>
              <w:rPr>
                <w:color w:val="auto"/>
                <w:highlight w:val="none"/>
              </w:rPr>
            </w:pPr>
          </w:p>
        </w:tc>
        <w:tc>
          <w:tcPr>
            <w:tcW w:w="1760" w:type="dxa"/>
            <w:vAlign w:val="center"/>
          </w:tcPr>
          <w:p w14:paraId="08CE76FA">
            <w:pPr>
              <w:shd w:val="clear"/>
              <w:spacing w:line="360" w:lineRule="auto"/>
              <w:rPr>
                <w:color w:val="auto"/>
                <w:highlight w:val="none"/>
              </w:rPr>
            </w:pPr>
          </w:p>
        </w:tc>
        <w:tc>
          <w:tcPr>
            <w:tcW w:w="1625" w:type="dxa"/>
            <w:vAlign w:val="center"/>
          </w:tcPr>
          <w:p w14:paraId="7383E6E1">
            <w:pPr>
              <w:shd w:val="clear"/>
              <w:spacing w:line="360" w:lineRule="auto"/>
              <w:rPr>
                <w:color w:val="auto"/>
                <w:highlight w:val="none"/>
              </w:rPr>
            </w:pPr>
          </w:p>
        </w:tc>
      </w:tr>
      <w:tr w14:paraId="53F5C7C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39F5A7A7">
            <w:pPr>
              <w:shd w:val="clear"/>
              <w:spacing w:line="360" w:lineRule="auto"/>
              <w:rPr>
                <w:color w:val="auto"/>
                <w:highlight w:val="none"/>
              </w:rPr>
            </w:pPr>
          </w:p>
        </w:tc>
        <w:tc>
          <w:tcPr>
            <w:tcW w:w="2520" w:type="dxa"/>
            <w:vAlign w:val="center"/>
          </w:tcPr>
          <w:p w14:paraId="7A029ED8">
            <w:pPr>
              <w:shd w:val="clear"/>
              <w:spacing w:line="360" w:lineRule="auto"/>
              <w:rPr>
                <w:color w:val="auto"/>
                <w:highlight w:val="none"/>
              </w:rPr>
            </w:pPr>
          </w:p>
        </w:tc>
        <w:tc>
          <w:tcPr>
            <w:tcW w:w="720" w:type="dxa"/>
            <w:vAlign w:val="center"/>
          </w:tcPr>
          <w:p w14:paraId="1A197FF4">
            <w:pPr>
              <w:shd w:val="clear"/>
              <w:spacing w:line="360" w:lineRule="auto"/>
              <w:rPr>
                <w:color w:val="auto"/>
                <w:highlight w:val="none"/>
              </w:rPr>
            </w:pPr>
          </w:p>
        </w:tc>
        <w:tc>
          <w:tcPr>
            <w:tcW w:w="720" w:type="dxa"/>
            <w:vAlign w:val="center"/>
          </w:tcPr>
          <w:p w14:paraId="107D3A0B">
            <w:pPr>
              <w:shd w:val="clear"/>
              <w:spacing w:line="360" w:lineRule="auto"/>
              <w:rPr>
                <w:color w:val="auto"/>
                <w:highlight w:val="none"/>
              </w:rPr>
            </w:pPr>
          </w:p>
        </w:tc>
        <w:tc>
          <w:tcPr>
            <w:tcW w:w="720" w:type="dxa"/>
            <w:vAlign w:val="center"/>
          </w:tcPr>
          <w:p w14:paraId="5F05494C">
            <w:pPr>
              <w:shd w:val="clear"/>
              <w:spacing w:line="360" w:lineRule="auto"/>
              <w:rPr>
                <w:color w:val="auto"/>
                <w:highlight w:val="none"/>
              </w:rPr>
            </w:pPr>
          </w:p>
        </w:tc>
        <w:tc>
          <w:tcPr>
            <w:tcW w:w="1080" w:type="dxa"/>
            <w:vAlign w:val="center"/>
          </w:tcPr>
          <w:p w14:paraId="1BA9F1BD">
            <w:pPr>
              <w:shd w:val="clear"/>
              <w:spacing w:line="360" w:lineRule="auto"/>
              <w:rPr>
                <w:color w:val="auto"/>
                <w:highlight w:val="none"/>
              </w:rPr>
            </w:pPr>
          </w:p>
        </w:tc>
        <w:tc>
          <w:tcPr>
            <w:tcW w:w="1760" w:type="dxa"/>
            <w:vAlign w:val="center"/>
          </w:tcPr>
          <w:p w14:paraId="4A8C47C9">
            <w:pPr>
              <w:shd w:val="clear"/>
              <w:spacing w:line="360" w:lineRule="auto"/>
              <w:rPr>
                <w:color w:val="auto"/>
                <w:highlight w:val="none"/>
              </w:rPr>
            </w:pPr>
          </w:p>
        </w:tc>
        <w:tc>
          <w:tcPr>
            <w:tcW w:w="1625" w:type="dxa"/>
            <w:vAlign w:val="center"/>
          </w:tcPr>
          <w:p w14:paraId="487D20DA">
            <w:pPr>
              <w:shd w:val="clear"/>
              <w:spacing w:line="360" w:lineRule="auto"/>
              <w:rPr>
                <w:color w:val="auto"/>
                <w:highlight w:val="none"/>
              </w:rPr>
            </w:pPr>
          </w:p>
        </w:tc>
      </w:tr>
      <w:tr w14:paraId="5635041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38A352E8">
            <w:pPr>
              <w:shd w:val="clear"/>
              <w:spacing w:line="360" w:lineRule="auto"/>
              <w:rPr>
                <w:color w:val="auto"/>
                <w:highlight w:val="none"/>
              </w:rPr>
            </w:pPr>
          </w:p>
        </w:tc>
        <w:tc>
          <w:tcPr>
            <w:tcW w:w="2520" w:type="dxa"/>
            <w:vAlign w:val="center"/>
          </w:tcPr>
          <w:p w14:paraId="10A3DC2E">
            <w:pPr>
              <w:shd w:val="clear"/>
              <w:spacing w:line="360" w:lineRule="auto"/>
              <w:rPr>
                <w:color w:val="auto"/>
                <w:highlight w:val="none"/>
              </w:rPr>
            </w:pPr>
          </w:p>
        </w:tc>
        <w:tc>
          <w:tcPr>
            <w:tcW w:w="720" w:type="dxa"/>
            <w:vAlign w:val="center"/>
          </w:tcPr>
          <w:p w14:paraId="4943341E">
            <w:pPr>
              <w:shd w:val="clear"/>
              <w:spacing w:line="360" w:lineRule="auto"/>
              <w:rPr>
                <w:color w:val="auto"/>
                <w:highlight w:val="none"/>
              </w:rPr>
            </w:pPr>
          </w:p>
        </w:tc>
        <w:tc>
          <w:tcPr>
            <w:tcW w:w="720" w:type="dxa"/>
            <w:vAlign w:val="center"/>
          </w:tcPr>
          <w:p w14:paraId="348E8921">
            <w:pPr>
              <w:shd w:val="clear"/>
              <w:spacing w:line="360" w:lineRule="auto"/>
              <w:rPr>
                <w:color w:val="auto"/>
                <w:highlight w:val="none"/>
              </w:rPr>
            </w:pPr>
          </w:p>
        </w:tc>
        <w:tc>
          <w:tcPr>
            <w:tcW w:w="720" w:type="dxa"/>
            <w:vAlign w:val="center"/>
          </w:tcPr>
          <w:p w14:paraId="36B60F73">
            <w:pPr>
              <w:shd w:val="clear"/>
              <w:spacing w:line="360" w:lineRule="auto"/>
              <w:rPr>
                <w:color w:val="auto"/>
                <w:highlight w:val="none"/>
              </w:rPr>
            </w:pPr>
          </w:p>
        </w:tc>
        <w:tc>
          <w:tcPr>
            <w:tcW w:w="1080" w:type="dxa"/>
            <w:vAlign w:val="center"/>
          </w:tcPr>
          <w:p w14:paraId="10A2442F">
            <w:pPr>
              <w:shd w:val="clear"/>
              <w:spacing w:line="360" w:lineRule="auto"/>
              <w:rPr>
                <w:color w:val="auto"/>
                <w:highlight w:val="none"/>
              </w:rPr>
            </w:pPr>
          </w:p>
        </w:tc>
        <w:tc>
          <w:tcPr>
            <w:tcW w:w="1760" w:type="dxa"/>
            <w:vAlign w:val="center"/>
          </w:tcPr>
          <w:p w14:paraId="717DE608">
            <w:pPr>
              <w:shd w:val="clear"/>
              <w:spacing w:line="360" w:lineRule="auto"/>
              <w:rPr>
                <w:color w:val="auto"/>
                <w:highlight w:val="none"/>
              </w:rPr>
            </w:pPr>
          </w:p>
        </w:tc>
        <w:tc>
          <w:tcPr>
            <w:tcW w:w="1625" w:type="dxa"/>
            <w:vAlign w:val="center"/>
          </w:tcPr>
          <w:p w14:paraId="099076AD">
            <w:pPr>
              <w:shd w:val="clear"/>
              <w:spacing w:line="360" w:lineRule="auto"/>
              <w:rPr>
                <w:color w:val="auto"/>
                <w:highlight w:val="none"/>
              </w:rPr>
            </w:pPr>
          </w:p>
        </w:tc>
      </w:tr>
      <w:tr w14:paraId="5E49C1A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630DBAE8">
            <w:pPr>
              <w:shd w:val="clear"/>
              <w:spacing w:line="360" w:lineRule="auto"/>
              <w:rPr>
                <w:color w:val="auto"/>
                <w:highlight w:val="none"/>
              </w:rPr>
            </w:pPr>
          </w:p>
        </w:tc>
        <w:tc>
          <w:tcPr>
            <w:tcW w:w="2520" w:type="dxa"/>
            <w:vAlign w:val="center"/>
          </w:tcPr>
          <w:p w14:paraId="1C8DE7CE">
            <w:pPr>
              <w:shd w:val="clear"/>
              <w:spacing w:line="360" w:lineRule="auto"/>
              <w:rPr>
                <w:color w:val="auto"/>
                <w:highlight w:val="none"/>
              </w:rPr>
            </w:pPr>
          </w:p>
        </w:tc>
        <w:tc>
          <w:tcPr>
            <w:tcW w:w="720" w:type="dxa"/>
            <w:vAlign w:val="center"/>
          </w:tcPr>
          <w:p w14:paraId="26D7F5B1">
            <w:pPr>
              <w:shd w:val="clear"/>
              <w:spacing w:line="360" w:lineRule="auto"/>
              <w:rPr>
                <w:color w:val="auto"/>
                <w:highlight w:val="none"/>
              </w:rPr>
            </w:pPr>
          </w:p>
        </w:tc>
        <w:tc>
          <w:tcPr>
            <w:tcW w:w="720" w:type="dxa"/>
            <w:vAlign w:val="center"/>
          </w:tcPr>
          <w:p w14:paraId="0227D418">
            <w:pPr>
              <w:shd w:val="clear"/>
              <w:spacing w:line="360" w:lineRule="auto"/>
              <w:rPr>
                <w:color w:val="auto"/>
                <w:highlight w:val="none"/>
              </w:rPr>
            </w:pPr>
          </w:p>
        </w:tc>
        <w:tc>
          <w:tcPr>
            <w:tcW w:w="720" w:type="dxa"/>
            <w:vAlign w:val="center"/>
          </w:tcPr>
          <w:p w14:paraId="3B0679C5">
            <w:pPr>
              <w:shd w:val="clear"/>
              <w:spacing w:line="360" w:lineRule="auto"/>
              <w:rPr>
                <w:color w:val="auto"/>
                <w:highlight w:val="none"/>
              </w:rPr>
            </w:pPr>
          </w:p>
        </w:tc>
        <w:tc>
          <w:tcPr>
            <w:tcW w:w="1080" w:type="dxa"/>
            <w:vAlign w:val="center"/>
          </w:tcPr>
          <w:p w14:paraId="246ABFDB">
            <w:pPr>
              <w:shd w:val="clear"/>
              <w:spacing w:line="360" w:lineRule="auto"/>
              <w:rPr>
                <w:color w:val="auto"/>
                <w:highlight w:val="none"/>
              </w:rPr>
            </w:pPr>
          </w:p>
        </w:tc>
        <w:tc>
          <w:tcPr>
            <w:tcW w:w="1760" w:type="dxa"/>
            <w:vAlign w:val="center"/>
          </w:tcPr>
          <w:p w14:paraId="619A02F1">
            <w:pPr>
              <w:shd w:val="clear"/>
              <w:spacing w:line="360" w:lineRule="auto"/>
              <w:rPr>
                <w:color w:val="auto"/>
                <w:highlight w:val="none"/>
              </w:rPr>
            </w:pPr>
          </w:p>
        </w:tc>
        <w:tc>
          <w:tcPr>
            <w:tcW w:w="1625" w:type="dxa"/>
            <w:vAlign w:val="center"/>
          </w:tcPr>
          <w:p w14:paraId="4B6F4269">
            <w:pPr>
              <w:shd w:val="clear"/>
              <w:spacing w:line="360" w:lineRule="auto"/>
              <w:rPr>
                <w:color w:val="auto"/>
                <w:highlight w:val="none"/>
              </w:rPr>
            </w:pPr>
          </w:p>
        </w:tc>
      </w:tr>
      <w:tr w14:paraId="6AA050D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45A975C6">
            <w:pPr>
              <w:shd w:val="clear"/>
              <w:spacing w:line="360" w:lineRule="auto"/>
              <w:rPr>
                <w:color w:val="auto"/>
                <w:highlight w:val="none"/>
              </w:rPr>
            </w:pPr>
          </w:p>
        </w:tc>
        <w:tc>
          <w:tcPr>
            <w:tcW w:w="2520" w:type="dxa"/>
            <w:vAlign w:val="center"/>
          </w:tcPr>
          <w:p w14:paraId="6AAA918F">
            <w:pPr>
              <w:shd w:val="clear"/>
              <w:spacing w:line="360" w:lineRule="auto"/>
              <w:rPr>
                <w:color w:val="auto"/>
                <w:highlight w:val="none"/>
              </w:rPr>
            </w:pPr>
          </w:p>
        </w:tc>
        <w:tc>
          <w:tcPr>
            <w:tcW w:w="720" w:type="dxa"/>
            <w:vAlign w:val="center"/>
          </w:tcPr>
          <w:p w14:paraId="6387DAB3">
            <w:pPr>
              <w:shd w:val="clear"/>
              <w:spacing w:line="360" w:lineRule="auto"/>
              <w:rPr>
                <w:color w:val="auto"/>
                <w:highlight w:val="none"/>
              </w:rPr>
            </w:pPr>
          </w:p>
        </w:tc>
        <w:tc>
          <w:tcPr>
            <w:tcW w:w="720" w:type="dxa"/>
            <w:vAlign w:val="center"/>
          </w:tcPr>
          <w:p w14:paraId="658E7C4F">
            <w:pPr>
              <w:shd w:val="clear"/>
              <w:spacing w:line="360" w:lineRule="auto"/>
              <w:rPr>
                <w:color w:val="auto"/>
                <w:highlight w:val="none"/>
              </w:rPr>
            </w:pPr>
          </w:p>
        </w:tc>
        <w:tc>
          <w:tcPr>
            <w:tcW w:w="720" w:type="dxa"/>
            <w:vAlign w:val="center"/>
          </w:tcPr>
          <w:p w14:paraId="2664ECD1">
            <w:pPr>
              <w:shd w:val="clear"/>
              <w:spacing w:line="360" w:lineRule="auto"/>
              <w:rPr>
                <w:color w:val="auto"/>
                <w:highlight w:val="none"/>
              </w:rPr>
            </w:pPr>
          </w:p>
        </w:tc>
        <w:tc>
          <w:tcPr>
            <w:tcW w:w="1080" w:type="dxa"/>
            <w:vAlign w:val="center"/>
          </w:tcPr>
          <w:p w14:paraId="55CE70C8">
            <w:pPr>
              <w:shd w:val="clear"/>
              <w:spacing w:line="360" w:lineRule="auto"/>
              <w:rPr>
                <w:color w:val="auto"/>
                <w:highlight w:val="none"/>
              </w:rPr>
            </w:pPr>
          </w:p>
        </w:tc>
        <w:tc>
          <w:tcPr>
            <w:tcW w:w="1760" w:type="dxa"/>
            <w:vAlign w:val="center"/>
          </w:tcPr>
          <w:p w14:paraId="7084A0E0">
            <w:pPr>
              <w:shd w:val="clear"/>
              <w:spacing w:line="360" w:lineRule="auto"/>
              <w:rPr>
                <w:color w:val="auto"/>
                <w:highlight w:val="none"/>
              </w:rPr>
            </w:pPr>
          </w:p>
        </w:tc>
        <w:tc>
          <w:tcPr>
            <w:tcW w:w="1625" w:type="dxa"/>
            <w:vAlign w:val="center"/>
          </w:tcPr>
          <w:p w14:paraId="7CCB7B35">
            <w:pPr>
              <w:shd w:val="clear"/>
              <w:spacing w:line="360" w:lineRule="auto"/>
              <w:rPr>
                <w:color w:val="auto"/>
                <w:highlight w:val="none"/>
              </w:rPr>
            </w:pPr>
          </w:p>
        </w:tc>
      </w:tr>
      <w:tr w14:paraId="45BBC4D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14:paraId="2DB31D58">
            <w:pPr>
              <w:shd w:val="clear"/>
              <w:spacing w:line="360" w:lineRule="auto"/>
              <w:rPr>
                <w:color w:val="auto"/>
                <w:highlight w:val="none"/>
              </w:rPr>
            </w:pPr>
          </w:p>
        </w:tc>
        <w:tc>
          <w:tcPr>
            <w:tcW w:w="2520" w:type="dxa"/>
            <w:vAlign w:val="center"/>
          </w:tcPr>
          <w:p w14:paraId="7E00195E">
            <w:pPr>
              <w:shd w:val="clear"/>
              <w:spacing w:line="360" w:lineRule="auto"/>
              <w:rPr>
                <w:color w:val="auto"/>
                <w:highlight w:val="none"/>
              </w:rPr>
            </w:pPr>
          </w:p>
        </w:tc>
        <w:tc>
          <w:tcPr>
            <w:tcW w:w="720" w:type="dxa"/>
            <w:vAlign w:val="center"/>
          </w:tcPr>
          <w:p w14:paraId="0DC46EA1">
            <w:pPr>
              <w:shd w:val="clear"/>
              <w:spacing w:line="360" w:lineRule="auto"/>
              <w:rPr>
                <w:color w:val="auto"/>
                <w:highlight w:val="none"/>
              </w:rPr>
            </w:pPr>
          </w:p>
        </w:tc>
        <w:tc>
          <w:tcPr>
            <w:tcW w:w="720" w:type="dxa"/>
            <w:vAlign w:val="center"/>
          </w:tcPr>
          <w:p w14:paraId="41E6C4F1">
            <w:pPr>
              <w:shd w:val="clear"/>
              <w:spacing w:line="360" w:lineRule="auto"/>
              <w:rPr>
                <w:color w:val="auto"/>
                <w:highlight w:val="none"/>
              </w:rPr>
            </w:pPr>
          </w:p>
        </w:tc>
        <w:tc>
          <w:tcPr>
            <w:tcW w:w="720" w:type="dxa"/>
            <w:vAlign w:val="center"/>
          </w:tcPr>
          <w:p w14:paraId="2CB45755">
            <w:pPr>
              <w:shd w:val="clear"/>
              <w:spacing w:line="360" w:lineRule="auto"/>
              <w:rPr>
                <w:color w:val="auto"/>
                <w:highlight w:val="none"/>
              </w:rPr>
            </w:pPr>
          </w:p>
        </w:tc>
        <w:tc>
          <w:tcPr>
            <w:tcW w:w="1080" w:type="dxa"/>
            <w:vAlign w:val="center"/>
          </w:tcPr>
          <w:p w14:paraId="312487C4">
            <w:pPr>
              <w:shd w:val="clear"/>
              <w:spacing w:line="360" w:lineRule="auto"/>
              <w:rPr>
                <w:color w:val="auto"/>
                <w:highlight w:val="none"/>
              </w:rPr>
            </w:pPr>
          </w:p>
        </w:tc>
        <w:tc>
          <w:tcPr>
            <w:tcW w:w="1760" w:type="dxa"/>
            <w:vAlign w:val="center"/>
          </w:tcPr>
          <w:p w14:paraId="61F6F162">
            <w:pPr>
              <w:shd w:val="clear"/>
              <w:spacing w:line="360" w:lineRule="auto"/>
              <w:rPr>
                <w:color w:val="auto"/>
                <w:highlight w:val="none"/>
              </w:rPr>
            </w:pPr>
          </w:p>
        </w:tc>
        <w:tc>
          <w:tcPr>
            <w:tcW w:w="1625" w:type="dxa"/>
            <w:vAlign w:val="center"/>
          </w:tcPr>
          <w:p w14:paraId="1C2B1FFC">
            <w:pPr>
              <w:shd w:val="clear"/>
              <w:spacing w:line="360" w:lineRule="auto"/>
              <w:rPr>
                <w:color w:val="auto"/>
                <w:highlight w:val="none"/>
              </w:rPr>
            </w:pPr>
          </w:p>
        </w:tc>
      </w:tr>
    </w:tbl>
    <w:p w14:paraId="23D48BD8">
      <w:pPr>
        <w:shd w:val="clear"/>
        <w:snapToGrid w:val="0"/>
        <w:spacing w:line="460" w:lineRule="atLeast"/>
        <w:rPr>
          <w:color w:val="auto"/>
          <w:szCs w:val="22"/>
          <w:highlight w:val="none"/>
        </w:rPr>
      </w:pPr>
      <w:r>
        <w:rPr>
          <w:color w:val="auto"/>
          <w:szCs w:val="22"/>
          <w:highlight w:val="none"/>
        </w:rPr>
        <w:t>注：</w:t>
      </w:r>
      <w:r>
        <w:rPr>
          <w:rFonts w:hint="eastAsia"/>
          <w:color w:val="auto"/>
          <w:szCs w:val="22"/>
          <w:highlight w:val="none"/>
        </w:rPr>
        <w:t xml:space="preserve"> </w:t>
      </w:r>
      <w:r>
        <w:rPr>
          <w:color w:val="auto"/>
          <w:szCs w:val="22"/>
          <w:highlight w:val="none"/>
        </w:rPr>
        <w:t>1、本表人员有</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证书的应随表提交</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证书复印件加盖公章。</w:t>
      </w:r>
    </w:p>
    <w:p w14:paraId="29918BB9">
      <w:pPr>
        <w:shd w:val="clear"/>
        <w:snapToGrid w:val="0"/>
        <w:spacing w:line="460" w:lineRule="atLeast"/>
        <w:ind w:firstLine="525" w:firstLineChars="250"/>
        <w:rPr>
          <w:rFonts w:hint="eastAsia"/>
          <w:color w:val="auto"/>
          <w:szCs w:val="22"/>
          <w:highlight w:val="none"/>
        </w:rPr>
      </w:pPr>
      <w:r>
        <w:rPr>
          <w:rFonts w:hint="eastAsia"/>
          <w:color w:val="auto"/>
          <w:szCs w:val="22"/>
          <w:highlight w:val="none"/>
        </w:rPr>
        <w:t>2</w:t>
      </w:r>
      <w:r>
        <w:rPr>
          <w:color w:val="auto"/>
          <w:szCs w:val="22"/>
          <w:highlight w:val="none"/>
        </w:rPr>
        <w:t>、列入本表人员如要更换，需经</w:t>
      </w:r>
      <w:r>
        <w:rPr>
          <w:rFonts w:hint="eastAsia"/>
          <w:color w:val="auto"/>
          <w:szCs w:val="22"/>
          <w:highlight w:val="none"/>
        </w:rPr>
        <w:t>采购</w:t>
      </w:r>
      <w:r>
        <w:rPr>
          <w:color w:val="auto"/>
          <w:szCs w:val="22"/>
          <w:highlight w:val="none"/>
        </w:rPr>
        <w:t>人同意</w:t>
      </w:r>
      <w:r>
        <w:rPr>
          <w:rFonts w:hint="eastAsia"/>
          <w:color w:val="auto"/>
          <w:szCs w:val="22"/>
          <w:highlight w:val="none"/>
        </w:rPr>
        <w:t>，</w:t>
      </w:r>
      <w:r>
        <w:rPr>
          <w:color w:val="auto"/>
          <w:szCs w:val="22"/>
          <w:highlight w:val="none"/>
        </w:rPr>
        <w:t>擅自更换或不到位属违约行为。</w:t>
      </w:r>
    </w:p>
    <w:p w14:paraId="096E2AF2">
      <w:pPr>
        <w:shd w:val="clear"/>
        <w:snapToGrid w:val="0"/>
        <w:spacing w:line="460" w:lineRule="atLeast"/>
        <w:ind w:firstLine="525" w:firstLineChars="250"/>
        <w:rPr>
          <w:rFonts w:hint="eastAsia"/>
          <w:color w:val="auto"/>
          <w:szCs w:val="22"/>
          <w:highlight w:val="none"/>
        </w:rPr>
      </w:pPr>
      <w:r>
        <w:rPr>
          <w:rFonts w:hint="eastAsia"/>
          <w:color w:val="auto"/>
          <w:szCs w:val="22"/>
          <w:highlight w:val="none"/>
        </w:rPr>
        <w:t>3、表格可以延续</w:t>
      </w:r>
      <w:r>
        <w:rPr>
          <w:color w:val="auto"/>
          <w:szCs w:val="22"/>
          <w:highlight w:val="none"/>
        </w:rPr>
        <w:t>。</w:t>
      </w:r>
    </w:p>
    <w:p w14:paraId="210A09F5">
      <w:pPr>
        <w:shd w:val="clear"/>
        <w:spacing w:line="460" w:lineRule="atLeast"/>
        <w:ind w:firstLine="480"/>
        <w:rPr>
          <w:color w:val="auto"/>
          <w:spacing w:val="20"/>
          <w:szCs w:val="22"/>
          <w:highlight w:val="none"/>
        </w:rPr>
      </w:pPr>
    </w:p>
    <w:p w14:paraId="2C9E8501">
      <w:pPr>
        <w:shd w:val="clear"/>
        <w:autoSpaceDE w:val="0"/>
        <w:autoSpaceDN w:val="0"/>
        <w:spacing w:line="460" w:lineRule="atLeast"/>
        <w:rPr>
          <w:rFonts w:hint="eastAsia"/>
          <w:color w:val="auto"/>
          <w:highlight w:val="none"/>
          <w:lang w:val="zh-CN"/>
        </w:rPr>
      </w:pPr>
      <w:r>
        <w:rPr>
          <w:rFonts w:hint="eastAsia"/>
          <w:color w:val="auto"/>
          <w:highlight w:val="none"/>
          <w:lang w:val="zh-CN"/>
        </w:rPr>
        <w:t>供应商盖章：</w:t>
      </w:r>
    </w:p>
    <w:p w14:paraId="3229AC22">
      <w:pPr>
        <w:shd w:val="clear"/>
        <w:autoSpaceDE w:val="0"/>
        <w:autoSpaceDN w:val="0"/>
        <w:spacing w:line="460" w:lineRule="atLeast"/>
        <w:rPr>
          <w:rFonts w:hint="eastAsia"/>
          <w:color w:val="auto"/>
          <w:highlight w:val="none"/>
          <w:lang w:val="zh-CN"/>
        </w:rPr>
      </w:pPr>
      <w:r>
        <w:rPr>
          <w:rFonts w:hint="eastAsia"/>
          <w:color w:val="auto"/>
          <w:highlight w:val="none"/>
          <w:lang w:val="zh-CN"/>
        </w:rPr>
        <w:t>法定代表人或授权代表（签字或盖章）：</w:t>
      </w:r>
      <w:r>
        <w:rPr>
          <w:color w:val="auto"/>
          <w:highlight w:val="none"/>
          <w:lang w:val="zh-CN"/>
        </w:rPr>
        <w:t xml:space="preserve">            </w:t>
      </w:r>
    </w:p>
    <w:p w14:paraId="50A944C6">
      <w:pPr>
        <w:shd w:val="clear"/>
        <w:autoSpaceDE w:val="0"/>
        <w:autoSpaceDN w:val="0"/>
        <w:spacing w:line="460" w:lineRule="atLeast"/>
        <w:rPr>
          <w:rFonts w:hint="eastAsia"/>
          <w:color w:val="auto"/>
          <w:highlight w:val="none"/>
          <w:lang w:val="zh-CN"/>
        </w:rPr>
      </w:pPr>
      <w:r>
        <w:rPr>
          <w:rFonts w:hint="eastAsia"/>
          <w:color w:val="auto"/>
          <w:highlight w:val="none"/>
          <w:lang w:val="zh-CN"/>
        </w:rPr>
        <w:t>日期：</w:t>
      </w:r>
    </w:p>
    <w:p w14:paraId="2B2C66F3">
      <w:pPr>
        <w:shd w:val="clear"/>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rPr>
        <w:br w:type="page"/>
      </w:r>
    </w:p>
    <w:p w14:paraId="2AB18F19">
      <w:pPr>
        <w:shd w:val="clear"/>
        <w:spacing w:line="360" w:lineRule="auto"/>
        <w:rPr>
          <w:rFonts w:hint="eastAsia" w:ascii="新宋体" w:hAnsi="新宋体" w:eastAsia="新宋体"/>
          <w:b/>
          <w:color w:val="auto"/>
          <w:sz w:val="28"/>
          <w:szCs w:val="28"/>
          <w:highlight w:val="none"/>
          <w:lang w:val="en-US" w:eastAsia="zh-CN"/>
        </w:rPr>
      </w:pPr>
      <w:r>
        <w:rPr>
          <w:rFonts w:hint="eastAsia" w:ascii="新宋体" w:hAnsi="新宋体" w:eastAsia="新宋体"/>
          <w:b/>
          <w:color w:val="auto"/>
          <w:sz w:val="28"/>
          <w:szCs w:val="28"/>
          <w:highlight w:val="none"/>
          <w:lang w:val="en-US" w:eastAsia="zh-CN"/>
        </w:rPr>
        <w:t>3.11</w:t>
      </w:r>
      <w:r>
        <w:rPr>
          <w:rFonts w:hint="eastAsia" w:ascii="新宋体" w:hAnsi="新宋体" w:eastAsia="新宋体"/>
          <w:b/>
          <w:color w:val="auto"/>
          <w:sz w:val="28"/>
          <w:szCs w:val="28"/>
          <w:highlight w:val="none"/>
        </w:rPr>
        <w:t>质量服务承诺书、诚信投标承诺书</w:t>
      </w:r>
    </w:p>
    <w:p w14:paraId="3F337FFE">
      <w:pPr>
        <w:pStyle w:val="24"/>
        <w:shd w:val="clear"/>
        <w:rPr>
          <w:rFonts w:eastAsia="新宋体"/>
          <w:b/>
          <w:color w:val="auto"/>
          <w:sz w:val="36"/>
          <w:szCs w:val="36"/>
          <w:highlight w:val="none"/>
        </w:rPr>
      </w:pPr>
    </w:p>
    <w:p w14:paraId="28DC982B">
      <w:pPr>
        <w:shd w:val="clear"/>
        <w:tabs>
          <w:tab w:val="left" w:pos="1575"/>
        </w:tabs>
        <w:snapToGrid w:val="0"/>
        <w:spacing w:line="360" w:lineRule="auto"/>
        <w:jc w:val="center"/>
        <w:rPr>
          <w:rFonts w:hint="eastAsia" w:eastAsia="新宋体"/>
          <w:b/>
          <w:color w:val="auto"/>
          <w:sz w:val="36"/>
          <w:szCs w:val="36"/>
          <w:highlight w:val="none"/>
        </w:rPr>
      </w:pPr>
      <w:r>
        <w:rPr>
          <w:rFonts w:hint="eastAsia" w:eastAsia="新宋体"/>
          <w:b/>
          <w:color w:val="auto"/>
          <w:sz w:val="36"/>
          <w:szCs w:val="36"/>
          <w:highlight w:val="none"/>
        </w:rPr>
        <w:t>质量服务承诺书</w:t>
      </w:r>
    </w:p>
    <w:p w14:paraId="1046BC4B">
      <w:pPr>
        <w:shd w:val="clear"/>
        <w:spacing w:line="360" w:lineRule="auto"/>
        <w:rPr>
          <w:rFonts w:hint="eastAsia" w:hAnsi="新宋体"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14:paraId="793BEB38">
      <w:pPr>
        <w:shd w:val="clea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14:paraId="51841752">
      <w:pPr>
        <w:shd w:val="clear"/>
        <w:spacing w:line="360" w:lineRule="auto"/>
        <w:rPr>
          <w:rFonts w:hint="eastAsia" w:hAnsi="新宋体"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w:t>
      </w:r>
      <w:r>
        <w:rPr>
          <w:rFonts w:hint="eastAsia" w:hAnsi="新宋体" w:eastAsia="新宋体"/>
          <w:color w:val="auto"/>
          <w:highlight w:val="none"/>
          <w:lang w:eastAsia="zh-CN"/>
        </w:rPr>
        <w:t>中标供应商</w:t>
      </w:r>
      <w:r>
        <w:rPr>
          <w:rFonts w:hint="eastAsia" w:hAnsi="新宋体" w:eastAsia="新宋体"/>
          <w:color w:val="auto"/>
          <w:highlight w:val="none"/>
        </w:rPr>
        <w:t>，将作出以下承诺：</w:t>
      </w:r>
    </w:p>
    <w:p w14:paraId="32035926">
      <w:pPr>
        <w:shd w:val="clear"/>
        <w:spacing w:line="360" w:lineRule="auto"/>
        <w:ind w:firstLine="420" w:firstLineChars="200"/>
        <w:rPr>
          <w:rFonts w:hAnsi="新宋体" w:eastAsia="新宋体"/>
          <w:color w:val="auto"/>
          <w:highlight w:val="none"/>
        </w:rPr>
      </w:pPr>
    </w:p>
    <w:p w14:paraId="0BF8FE41">
      <w:pPr>
        <w:shd w:val="clea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一、本公司所提供的工程（或服务</w:t>
      </w:r>
      <w:r>
        <w:rPr>
          <w:rFonts w:hint="eastAsia" w:hAnsi="新宋体" w:eastAsia="新宋体"/>
          <w:color w:val="auto"/>
          <w:highlight w:val="none"/>
          <w:lang w:val="en-US" w:eastAsia="zh-CN"/>
        </w:rPr>
        <w:t>或货物</w:t>
      </w:r>
      <w:r>
        <w:rPr>
          <w:rFonts w:hint="eastAsia" w:hAnsi="新宋体" w:eastAsia="新宋体"/>
          <w:color w:val="auto"/>
          <w:highlight w:val="none"/>
        </w:rPr>
        <w:t>）都是质量合格的；</w:t>
      </w:r>
    </w:p>
    <w:p w14:paraId="72721A44">
      <w:pPr>
        <w:shd w:val="clear"/>
        <w:spacing w:line="360" w:lineRule="auto"/>
        <w:ind w:firstLine="420" w:firstLineChars="200"/>
        <w:rPr>
          <w:rFonts w:hAnsi="新宋体" w:eastAsia="新宋体"/>
          <w:color w:val="auto"/>
          <w:highlight w:val="none"/>
        </w:rPr>
      </w:pPr>
    </w:p>
    <w:p w14:paraId="058CC67F">
      <w:pPr>
        <w:shd w:val="clea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二、在招标文件要求的服务期内，对有质量问题的工程（或服务</w:t>
      </w:r>
      <w:r>
        <w:rPr>
          <w:rFonts w:hint="eastAsia" w:hAnsi="新宋体" w:eastAsia="新宋体"/>
          <w:color w:val="auto"/>
          <w:highlight w:val="none"/>
          <w:lang w:val="en-US" w:eastAsia="zh-CN"/>
        </w:rPr>
        <w:t>或货物</w:t>
      </w:r>
      <w:r>
        <w:rPr>
          <w:rFonts w:hint="eastAsia" w:hAnsi="新宋体" w:eastAsia="新宋体"/>
          <w:color w:val="auto"/>
          <w:highlight w:val="none"/>
        </w:rPr>
        <w:t>）进行无条件技术服务直至满足使用方的项目使用需求；</w:t>
      </w:r>
    </w:p>
    <w:p w14:paraId="285101BC">
      <w:pPr>
        <w:shd w:val="clear"/>
        <w:spacing w:line="360" w:lineRule="auto"/>
        <w:ind w:firstLine="420" w:firstLineChars="200"/>
        <w:rPr>
          <w:rFonts w:eastAsia="新宋体"/>
          <w:color w:val="auto"/>
          <w:highlight w:val="none"/>
        </w:rPr>
      </w:pPr>
    </w:p>
    <w:p w14:paraId="037F3625">
      <w:pPr>
        <w:shd w:val="clear"/>
        <w:spacing w:line="360" w:lineRule="auto"/>
        <w:rPr>
          <w:rFonts w:eastAsia="新宋体"/>
          <w:color w:val="auto"/>
          <w:highlight w:val="none"/>
        </w:rPr>
      </w:pPr>
    </w:p>
    <w:p w14:paraId="733A38B8">
      <w:pPr>
        <w:shd w:val="clea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本承诺书自开标日起至招标方与</w:t>
      </w:r>
      <w:r>
        <w:rPr>
          <w:rFonts w:hint="eastAsia" w:hAnsi="新宋体" w:eastAsia="新宋体"/>
          <w:color w:val="auto"/>
          <w:highlight w:val="none"/>
          <w:lang w:eastAsia="zh-CN"/>
        </w:rPr>
        <w:t>中标供应商</w:t>
      </w:r>
      <w:r>
        <w:rPr>
          <w:rFonts w:hint="eastAsia" w:hAnsi="新宋体" w:eastAsia="新宋体"/>
          <w:color w:val="auto"/>
          <w:highlight w:val="none"/>
        </w:rPr>
        <w:t>合同结束之日均有效。</w:t>
      </w:r>
    </w:p>
    <w:p w14:paraId="1B13D996">
      <w:pPr>
        <w:shd w:val="clear"/>
        <w:spacing w:line="360" w:lineRule="auto"/>
        <w:ind w:firstLine="420" w:firstLineChars="200"/>
        <w:rPr>
          <w:rFonts w:hAnsi="新宋体" w:eastAsia="新宋体"/>
          <w:color w:val="auto"/>
          <w:highlight w:val="none"/>
        </w:rPr>
      </w:pPr>
    </w:p>
    <w:p w14:paraId="576E383C">
      <w:pPr>
        <w:shd w:val="clear"/>
        <w:spacing w:line="360" w:lineRule="auto"/>
        <w:ind w:firstLine="420" w:firstLineChars="200"/>
        <w:rPr>
          <w:rFonts w:eastAsia="新宋体"/>
          <w:color w:val="auto"/>
          <w:highlight w:val="none"/>
        </w:rPr>
      </w:pPr>
    </w:p>
    <w:p w14:paraId="72E0345D">
      <w:pPr>
        <w:shd w:val="clear"/>
        <w:spacing w:line="360" w:lineRule="auto"/>
        <w:ind w:firstLine="420" w:firstLineChars="200"/>
        <w:rPr>
          <w:rFonts w:eastAsia="新宋体"/>
          <w:color w:val="auto"/>
          <w:highlight w:val="none"/>
        </w:rPr>
      </w:pPr>
    </w:p>
    <w:p w14:paraId="682FBA26">
      <w:pPr>
        <w:shd w:val="clear"/>
        <w:spacing w:line="360" w:lineRule="auto"/>
        <w:ind w:firstLine="420" w:firstLineChars="200"/>
        <w:rPr>
          <w:rFonts w:eastAsia="新宋体"/>
          <w:color w:val="auto"/>
          <w:highlight w:val="none"/>
        </w:rPr>
      </w:pPr>
    </w:p>
    <w:p w14:paraId="72069336">
      <w:pPr>
        <w:shd w:val="clea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14:paraId="783E295C">
      <w:pPr>
        <w:shd w:val="clea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14:paraId="30DD32AE">
      <w:pPr>
        <w:shd w:val="clea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14:paraId="459A225F">
      <w:pPr>
        <w:shd w:val="clear"/>
        <w:tabs>
          <w:tab w:val="left" w:pos="1260"/>
        </w:tabs>
        <w:spacing w:line="360" w:lineRule="auto"/>
        <w:ind w:right="480"/>
        <w:rPr>
          <w:rFonts w:hint="eastAsia" w:hAnsi="新宋体" w:eastAsia="新宋体"/>
          <w:color w:val="auto"/>
          <w:highlight w:val="non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14:paraId="4DB3B26A">
      <w:pPr>
        <w:shd w:val="clear"/>
        <w:tabs>
          <w:tab w:val="left" w:pos="1260"/>
        </w:tabs>
        <w:spacing w:line="360" w:lineRule="auto"/>
        <w:ind w:right="480"/>
        <w:rPr>
          <w:rFonts w:hint="eastAsia" w:hAnsi="新宋体" w:eastAsia="新宋体"/>
          <w:color w:val="auto"/>
          <w:highlight w:val="none"/>
        </w:rPr>
      </w:pPr>
      <w:r>
        <w:rPr>
          <w:rFonts w:hint="eastAsia" w:hAnsi="新宋体" w:eastAsia="新宋体"/>
          <w:color w:val="auto"/>
          <w:highlight w:val="none"/>
        </w:rPr>
        <w:t>法定代表人（负责人）或授权代表（签字或盖章）：</w:t>
      </w:r>
    </w:p>
    <w:p w14:paraId="5330F86E">
      <w:pPr>
        <w:pStyle w:val="31"/>
        <w:shd w:val="clear"/>
        <w:snapToGrid w:val="0"/>
        <w:spacing w:line="400" w:lineRule="exact"/>
        <w:rPr>
          <w:rFonts w:hAnsi="宋体" w:eastAsia="新宋体"/>
          <w:color w:val="auto"/>
          <w:sz w:val="24"/>
          <w:highlight w:val="none"/>
        </w:rPr>
      </w:pPr>
    </w:p>
    <w:p w14:paraId="46403FF0">
      <w:pPr>
        <w:pStyle w:val="31"/>
        <w:shd w:val="clear"/>
        <w:snapToGrid w:val="0"/>
        <w:spacing w:line="400" w:lineRule="exact"/>
        <w:rPr>
          <w:rFonts w:hAnsi="宋体" w:eastAsia="新宋体"/>
          <w:color w:val="auto"/>
          <w:sz w:val="24"/>
          <w:highlight w:val="none"/>
        </w:rPr>
      </w:pPr>
    </w:p>
    <w:p w14:paraId="07BC3AE0">
      <w:pPr>
        <w:pStyle w:val="31"/>
        <w:shd w:val="clear"/>
        <w:snapToGrid w:val="0"/>
        <w:spacing w:line="400" w:lineRule="exact"/>
        <w:rPr>
          <w:rFonts w:hAnsi="宋体" w:eastAsia="新宋体"/>
          <w:color w:val="auto"/>
          <w:sz w:val="24"/>
          <w:highlight w:val="none"/>
        </w:rPr>
      </w:pPr>
    </w:p>
    <w:p w14:paraId="28266BD3">
      <w:pPr>
        <w:pStyle w:val="31"/>
        <w:shd w:val="clear"/>
        <w:snapToGrid w:val="0"/>
        <w:spacing w:line="400" w:lineRule="exact"/>
        <w:rPr>
          <w:rFonts w:hAnsi="宋体" w:eastAsia="新宋体"/>
          <w:color w:val="auto"/>
          <w:sz w:val="24"/>
          <w:highlight w:val="none"/>
        </w:rPr>
      </w:pPr>
    </w:p>
    <w:p w14:paraId="531FD4E1">
      <w:pPr>
        <w:pStyle w:val="31"/>
        <w:shd w:val="clear"/>
        <w:snapToGrid w:val="0"/>
        <w:spacing w:line="400" w:lineRule="exact"/>
        <w:rPr>
          <w:rFonts w:hAnsi="宋体" w:eastAsia="新宋体"/>
          <w:color w:val="auto"/>
          <w:sz w:val="24"/>
          <w:highlight w:val="none"/>
        </w:rPr>
      </w:pPr>
    </w:p>
    <w:p w14:paraId="08E7492E">
      <w:pPr>
        <w:pStyle w:val="31"/>
        <w:shd w:val="clear"/>
        <w:snapToGrid w:val="0"/>
        <w:spacing w:line="400" w:lineRule="exact"/>
        <w:rPr>
          <w:rFonts w:hAnsi="宋体" w:eastAsia="新宋体"/>
          <w:color w:val="auto"/>
          <w:sz w:val="24"/>
          <w:highlight w:val="none"/>
        </w:rPr>
      </w:pPr>
    </w:p>
    <w:p w14:paraId="5263073E">
      <w:pPr>
        <w:pStyle w:val="31"/>
        <w:shd w:val="clear"/>
        <w:snapToGrid w:val="0"/>
        <w:spacing w:line="400" w:lineRule="exact"/>
        <w:rPr>
          <w:rFonts w:hAnsi="宋体" w:eastAsia="新宋体"/>
          <w:color w:val="auto"/>
          <w:sz w:val="24"/>
          <w:highlight w:val="none"/>
        </w:rPr>
      </w:pPr>
    </w:p>
    <w:p w14:paraId="080A9534">
      <w:pPr>
        <w:pStyle w:val="31"/>
        <w:shd w:val="clear"/>
        <w:snapToGrid w:val="0"/>
        <w:spacing w:line="400" w:lineRule="exact"/>
        <w:rPr>
          <w:rFonts w:hAnsi="宋体" w:eastAsia="新宋体"/>
          <w:color w:val="auto"/>
          <w:sz w:val="24"/>
          <w:highlight w:val="none"/>
        </w:rPr>
      </w:pPr>
    </w:p>
    <w:p w14:paraId="65C4040A">
      <w:pPr>
        <w:pStyle w:val="31"/>
        <w:shd w:val="clear"/>
        <w:snapToGrid w:val="0"/>
        <w:spacing w:line="400" w:lineRule="exact"/>
        <w:rPr>
          <w:rFonts w:hAnsi="宋体" w:eastAsia="新宋体"/>
          <w:color w:val="auto"/>
          <w:sz w:val="24"/>
          <w:highlight w:val="none"/>
        </w:rPr>
      </w:pPr>
    </w:p>
    <w:p w14:paraId="050BBA7C">
      <w:pPr>
        <w:pStyle w:val="31"/>
        <w:shd w:val="clear"/>
        <w:snapToGrid w:val="0"/>
        <w:spacing w:line="400" w:lineRule="exact"/>
        <w:rPr>
          <w:rFonts w:hAnsi="宋体" w:eastAsia="新宋体"/>
          <w:color w:val="auto"/>
          <w:sz w:val="24"/>
          <w:highlight w:val="none"/>
        </w:rPr>
      </w:pPr>
    </w:p>
    <w:p w14:paraId="12254EB9">
      <w:pPr>
        <w:shd w:val="clear"/>
        <w:spacing w:line="360" w:lineRule="auto"/>
        <w:jc w:val="center"/>
        <w:rPr>
          <w:rFonts w:hint="eastAsia" w:ascii="新宋体" w:hAnsi="新宋体" w:eastAsia="新宋体"/>
          <w:b/>
          <w:color w:val="auto"/>
          <w:sz w:val="28"/>
          <w:szCs w:val="28"/>
          <w:highlight w:val="none"/>
        </w:rPr>
      </w:pPr>
    </w:p>
    <w:p w14:paraId="1D89CEE6">
      <w:pPr>
        <w:shd w:val="clear"/>
        <w:spacing w:line="360" w:lineRule="auto"/>
        <w:jc w:val="center"/>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rPr>
        <w:t>诚信投标承诺书</w:t>
      </w:r>
    </w:p>
    <w:p w14:paraId="4C5FB8C4">
      <w:pPr>
        <w:shd w:val="clear"/>
        <w:spacing w:line="520" w:lineRule="exact"/>
        <w:ind w:right="-153" w:rightChars="-73"/>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14:paraId="240F2AD8">
      <w:pPr>
        <w:shd w:val="clear"/>
        <w:spacing w:line="500" w:lineRule="exact"/>
        <w:ind w:firstLine="440" w:firstLineChars="200"/>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14:paraId="01EF5252">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14:paraId="1D9C472E">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14:paraId="6A81E625">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14:paraId="52978B67">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14:paraId="11D80B35">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2A0695F0">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14:paraId="6F92356E">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14:paraId="5CA01CB0">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14:paraId="19340650">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14:paraId="4AEE4637">
      <w:pPr>
        <w:shd w:val="clea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14:paraId="4ACAB5B4">
      <w:pPr>
        <w:shd w:val="clear"/>
        <w:snapToGrid w:val="0"/>
        <w:spacing w:line="500" w:lineRule="exact"/>
        <w:ind w:firstLine="385" w:firstLineChars="175"/>
        <w:rPr>
          <w:rFonts w:ascii="新宋体" w:hAnsi="新宋体" w:eastAsia="新宋体"/>
          <w:color w:val="auto"/>
          <w:sz w:val="22"/>
          <w:szCs w:val="22"/>
          <w:highlight w:val="none"/>
        </w:rPr>
      </w:pPr>
    </w:p>
    <w:p w14:paraId="773D01ED">
      <w:pPr>
        <w:shd w:val="clea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14:paraId="57DD5A96">
      <w:pPr>
        <w:shd w:val="clea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14:paraId="4E56168B">
      <w:pPr>
        <w:shd w:val="clea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14:paraId="01534799">
      <w:pPr>
        <w:pStyle w:val="31"/>
        <w:shd w:val="clear"/>
        <w:snapToGrid w:val="0"/>
        <w:spacing w:line="400" w:lineRule="exact"/>
        <w:jc w:val="center"/>
        <w:rPr>
          <w:rFonts w:hAnsi="宋体" w:eastAsia="新宋体"/>
          <w:color w:val="auto"/>
          <w:sz w:val="24"/>
          <w:highlight w:val="none"/>
        </w:rPr>
      </w:pPr>
    </w:p>
    <w:p w14:paraId="2B0C7E8A">
      <w:pPr>
        <w:pStyle w:val="31"/>
        <w:shd w:val="clear"/>
        <w:snapToGrid w:val="0"/>
        <w:spacing w:line="460" w:lineRule="atLeast"/>
        <w:rPr>
          <w:rFonts w:hAnsi="宋体"/>
          <w:color w:val="auto"/>
          <w:sz w:val="30"/>
          <w:highlight w:val="none"/>
        </w:rPr>
      </w:pPr>
    </w:p>
    <w:p w14:paraId="2013AD6B">
      <w:pPr>
        <w:pStyle w:val="31"/>
        <w:shd w:val="clear"/>
        <w:snapToGrid w:val="0"/>
        <w:spacing w:line="460" w:lineRule="atLeast"/>
        <w:rPr>
          <w:rFonts w:hAnsi="宋体"/>
          <w:color w:val="auto"/>
          <w:sz w:val="30"/>
          <w:highlight w:val="none"/>
        </w:rPr>
      </w:pPr>
    </w:p>
    <w:p w14:paraId="34DF9CBD">
      <w:pPr>
        <w:shd w:val="clea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br w:type="page"/>
      </w:r>
    </w:p>
    <w:p w14:paraId="60EC8770">
      <w:pPr>
        <w:shd w:val="clea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t>第</w:t>
      </w:r>
      <w:r>
        <w:rPr>
          <w:rFonts w:hint="eastAsia" w:ascii="宋体" w:hAnsi="宋体"/>
          <w:color w:val="auto"/>
          <w:sz w:val="36"/>
          <w:highlight w:val="none"/>
          <w:lang w:val="en-US" w:eastAsia="zh-CN"/>
        </w:rPr>
        <w:t>七</w:t>
      </w:r>
      <w:r>
        <w:rPr>
          <w:rFonts w:hint="eastAsia" w:ascii="宋体" w:hAnsi="宋体"/>
          <w:color w:val="auto"/>
          <w:sz w:val="36"/>
          <w:highlight w:val="none"/>
        </w:rPr>
        <w:t>部分   评标办法</w:t>
      </w:r>
    </w:p>
    <w:p w14:paraId="6BC5C022">
      <w:pPr>
        <w:pStyle w:val="34"/>
        <w:shd w:val="clear"/>
        <w:snapToGrid w:val="0"/>
        <w:spacing w:line="400" w:lineRule="exact"/>
        <w:rPr>
          <w:rFonts w:hint="eastAsia" w:hAnsi="宋体"/>
          <w:color w:val="auto"/>
          <w:sz w:val="22"/>
          <w:szCs w:val="22"/>
          <w:highlight w:val="none"/>
        </w:rPr>
      </w:pPr>
      <w:r>
        <w:rPr>
          <w:rFonts w:hint="eastAsia" w:hAnsi="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14:paraId="314DA764">
      <w:pPr>
        <w:pStyle w:val="34"/>
        <w:shd w:val="clear"/>
        <w:snapToGrid w:val="0"/>
        <w:spacing w:line="400" w:lineRule="exact"/>
        <w:jc w:val="center"/>
        <w:rPr>
          <w:rFonts w:hint="eastAsia" w:hAnsi="宋体"/>
          <w:color w:val="auto"/>
          <w:sz w:val="22"/>
          <w:szCs w:val="22"/>
          <w:highlight w:val="none"/>
        </w:rPr>
      </w:pPr>
      <w:r>
        <w:rPr>
          <w:rFonts w:hint="eastAsia" w:hAnsi="宋体"/>
          <w:color w:val="auto"/>
          <w:sz w:val="22"/>
          <w:szCs w:val="22"/>
          <w:highlight w:val="none"/>
        </w:rPr>
        <w:t>一、总则</w:t>
      </w:r>
    </w:p>
    <w:p w14:paraId="1C70A8D0">
      <w:pPr>
        <w:pStyle w:val="34"/>
        <w:shd w:val="clear"/>
        <w:snapToGrid w:val="0"/>
        <w:spacing w:line="400" w:lineRule="exact"/>
        <w:rPr>
          <w:rFonts w:hint="eastAsia" w:hAnsi="宋体"/>
          <w:color w:val="auto"/>
          <w:sz w:val="22"/>
          <w:szCs w:val="22"/>
          <w:highlight w:val="none"/>
        </w:rPr>
      </w:pPr>
      <w:r>
        <w:rPr>
          <w:rFonts w:hint="eastAsia" w:hAnsi="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5179345C">
      <w:pPr>
        <w:shd w:val="clear"/>
        <w:snapToGrid w:val="0"/>
        <w:spacing w:line="420" w:lineRule="atLeast"/>
        <w:jc w:val="center"/>
        <w:outlineLvl w:val="0"/>
        <w:rPr>
          <w:rFonts w:hint="eastAsia" w:ascii="宋体" w:hAnsi="宋体"/>
          <w:bCs/>
          <w:color w:val="auto"/>
          <w:sz w:val="22"/>
          <w:szCs w:val="22"/>
          <w:highlight w:val="none"/>
        </w:rPr>
      </w:pPr>
      <w:r>
        <w:rPr>
          <w:rFonts w:hint="eastAsia" w:ascii="宋体" w:hAnsi="宋体"/>
          <w:bCs/>
          <w:color w:val="auto"/>
          <w:sz w:val="22"/>
          <w:szCs w:val="22"/>
          <w:highlight w:val="none"/>
        </w:rPr>
        <w:t>二．评标组织</w:t>
      </w:r>
    </w:p>
    <w:p w14:paraId="45F1E782">
      <w:pPr>
        <w:pStyle w:val="34"/>
        <w:shd w:val="clear"/>
        <w:snapToGrid w:val="0"/>
        <w:spacing w:line="420" w:lineRule="atLeast"/>
        <w:rPr>
          <w:rFonts w:hint="eastAsia" w:hAnsi="宋体"/>
          <w:color w:val="auto"/>
          <w:sz w:val="22"/>
          <w:szCs w:val="22"/>
          <w:highlight w:val="none"/>
        </w:rPr>
      </w:pPr>
      <w:r>
        <w:rPr>
          <w:rFonts w:hint="eastAsia" w:hAnsi="宋体"/>
          <w:color w:val="auto"/>
          <w:sz w:val="22"/>
          <w:szCs w:val="22"/>
          <w:highlight w:val="none"/>
        </w:rPr>
        <w:t>评标工作由采购机构依法组建的评标委员会负责，评标委员会由采购人依法组建，成员人数应当为</w:t>
      </w:r>
      <w:r>
        <w:rPr>
          <w:rFonts w:hint="eastAsia" w:hAnsi="宋体"/>
          <w:color w:val="auto"/>
          <w:sz w:val="22"/>
          <w:szCs w:val="22"/>
          <w:highlight w:val="none"/>
          <w:lang w:val="en-US" w:eastAsia="zh-CN"/>
        </w:rPr>
        <w:t>5</w:t>
      </w:r>
      <w:r>
        <w:rPr>
          <w:rFonts w:hint="eastAsia" w:hAnsi="宋体"/>
          <w:color w:val="auto"/>
          <w:sz w:val="22"/>
          <w:szCs w:val="22"/>
          <w:highlight w:val="none"/>
        </w:rPr>
        <w:t>人及以上单数，其中评审专家不得少于成员总数的三分之二；评审专家确定方式：按相关规定从专家库中抽取。评标全过程由招标管理部门监督整个开标、评标和定标过程。</w:t>
      </w:r>
    </w:p>
    <w:p w14:paraId="42FD980E">
      <w:pPr>
        <w:pStyle w:val="69"/>
        <w:widowControl w:val="0"/>
        <w:pBdr>
          <w:left w:val="none" w:color="000000" w:sz="0" w:space="0"/>
          <w:bottom w:val="none" w:color="000000" w:sz="0" w:space="0"/>
          <w:right w:val="none" w:color="000000" w:sz="0" w:space="0"/>
        </w:pBdr>
        <w:shd w:val="clear"/>
        <w:snapToGrid w:val="0"/>
        <w:spacing w:before="0" w:beforeAutospacing="0" w:after="0" w:afterAutospacing="0" w:line="420" w:lineRule="atLeast"/>
        <w:outlineLvl w:val="0"/>
        <w:rPr>
          <w:rFonts w:hint="eastAsia" w:ascii="宋体" w:hAnsi="宋体"/>
          <w:b w:val="0"/>
          <w:color w:val="auto"/>
          <w:kern w:val="2"/>
          <w:sz w:val="22"/>
          <w:szCs w:val="22"/>
          <w:highlight w:val="none"/>
        </w:rPr>
      </w:pPr>
      <w:r>
        <w:rPr>
          <w:rFonts w:hint="eastAsia" w:ascii="宋体" w:hAnsi="宋体"/>
          <w:b w:val="0"/>
          <w:color w:val="auto"/>
          <w:kern w:val="2"/>
          <w:sz w:val="22"/>
          <w:szCs w:val="22"/>
          <w:highlight w:val="none"/>
        </w:rPr>
        <w:t>三、评标程序</w:t>
      </w:r>
    </w:p>
    <w:p w14:paraId="54C1919A">
      <w:pPr>
        <w:pStyle w:val="26"/>
        <w:shd w:val="clear"/>
        <w:snapToGrid w:val="0"/>
        <w:spacing w:line="420" w:lineRule="atLeast"/>
        <w:ind w:firstLine="440"/>
        <w:rPr>
          <w:rFonts w:hint="eastAsia" w:ascii="宋体" w:hAnsi="宋体"/>
          <w:color w:val="auto"/>
          <w:sz w:val="22"/>
          <w:szCs w:val="22"/>
          <w:highlight w:val="none"/>
        </w:rPr>
      </w:pPr>
      <w:r>
        <w:rPr>
          <w:rFonts w:hint="eastAsia" w:ascii="宋体" w:hAnsi="宋体"/>
          <w:color w:val="auto"/>
          <w:sz w:val="22"/>
          <w:szCs w:val="22"/>
          <w:highlight w:val="none"/>
        </w:rPr>
        <w:t>本次开标，资格审核部分、商务技术文件和报价文件分别开启</w:t>
      </w:r>
      <w:r>
        <w:rPr>
          <w:rFonts w:hint="eastAsia" w:ascii="宋体" w:hAnsi="宋体"/>
          <w:b/>
          <w:color w:val="auto"/>
          <w:sz w:val="22"/>
          <w:szCs w:val="22"/>
          <w:highlight w:val="none"/>
        </w:rPr>
        <w:t>。</w:t>
      </w:r>
      <w:r>
        <w:rPr>
          <w:rFonts w:hint="eastAsia" w:ascii="宋体" w:hAnsi="宋体"/>
          <w:color w:val="auto"/>
          <w:sz w:val="22"/>
          <w:szCs w:val="22"/>
          <w:highlight w:val="none"/>
        </w:rPr>
        <w:t>开标程序如下：</w:t>
      </w:r>
    </w:p>
    <w:p w14:paraId="3B57757B">
      <w:pPr>
        <w:shd w:val="clea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第一步：</w:t>
      </w:r>
      <w:r>
        <w:rPr>
          <w:rFonts w:hint="eastAsia" w:ascii="宋体" w:hAnsi="宋体"/>
          <w:color w:val="auto"/>
          <w:sz w:val="22"/>
          <w:szCs w:val="22"/>
          <w:highlight w:val="none"/>
          <w:u w:val="single"/>
        </w:rPr>
        <w:t>首先开启资格审核资料部分及商务技术文件投标文件，</w:t>
      </w:r>
      <w:r>
        <w:rPr>
          <w:rFonts w:hint="eastAsia" w:ascii="宋体" w:hAnsi="宋体"/>
          <w:color w:val="auto"/>
          <w:sz w:val="22"/>
          <w:szCs w:val="22"/>
          <w:highlight w:val="none"/>
        </w:rPr>
        <w:t>采购人或招标代理机构根据投标资格要求对各</w:t>
      </w:r>
      <w:r>
        <w:rPr>
          <w:rFonts w:hint="eastAsia" w:ascii="宋体" w:hAnsi="宋体"/>
          <w:color w:val="auto"/>
          <w:sz w:val="22"/>
          <w:szCs w:val="22"/>
          <w:highlight w:val="none"/>
          <w:lang w:eastAsia="zh-CN"/>
        </w:rPr>
        <w:t>投标供应商</w:t>
      </w:r>
      <w:r>
        <w:rPr>
          <w:rFonts w:hint="eastAsia" w:ascii="宋体" w:hAnsi="宋体"/>
          <w:color w:val="auto"/>
          <w:sz w:val="22"/>
          <w:szCs w:val="22"/>
          <w:highlight w:val="none"/>
        </w:rPr>
        <w:t>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14:paraId="63028B66">
      <w:pPr>
        <w:shd w:val="clea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第二步：</w:t>
      </w:r>
      <w:r>
        <w:rPr>
          <w:rFonts w:hint="eastAsia" w:ascii="宋体" w:hAnsi="宋体"/>
          <w:color w:val="auto"/>
          <w:sz w:val="22"/>
          <w:szCs w:val="22"/>
          <w:highlight w:val="none"/>
          <w:u w:val="single"/>
        </w:rPr>
        <w:t>公布资格审核情况及技术资信标得分</w:t>
      </w:r>
      <w:r>
        <w:rPr>
          <w:rFonts w:hint="eastAsia" w:ascii="宋体" w:hAnsi="宋体"/>
          <w:color w:val="auto"/>
          <w:sz w:val="22"/>
          <w:szCs w:val="22"/>
          <w:highlight w:val="none"/>
        </w:rPr>
        <w:t>，开启合格供应商的报价文件。</w:t>
      </w:r>
    </w:p>
    <w:p w14:paraId="702C5F95">
      <w:pPr>
        <w:pStyle w:val="40"/>
        <w:shd w:val="clear"/>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第三步：</w:t>
      </w:r>
      <w:r>
        <w:rPr>
          <w:rFonts w:hint="eastAsia" w:ascii="宋体" w:hAnsi="宋体" w:eastAsia="宋体"/>
          <w:bCs/>
          <w:color w:val="auto"/>
          <w:sz w:val="22"/>
          <w:szCs w:val="22"/>
          <w:highlight w:val="none"/>
        </w:rPr>
        <w:t>评标委员会</w:t>
      </w:r>
      <w:r>
        <w:rPr>
          <w:rFonts w:hint="eastAsia" w:ascii="宋体" w:hAnsi="宋体" w:eastAsia="宋体"/>
          <w:color w:val="auto"/>
          <w:sz w:val="22"/>
          <w:szCs w:val="22"/>
          <w:highlight w:val="none"/>
        </w:rPr>
        <w:t>以技术资信标和商务报价标合计分值由高到低的顺序</w:t>
      </w:r>
      <w:r>
        <w:rPr>
          <w:rFonts w:hint="eastAsia" w:ascii="宋体" w:hAnsi="宋体" w:eastAsia="宋体"/>
          <w:bCs/>
          <w:color w:val="auto"/>
          <w:sz w:val="22"/>
          <w:szCs w:val="22"/>
          <w:highlight w:val="none"/>
        </w:rPr>
        <w:t>推荐</w:t>
      </w:r>
      <w:r>
        <w:rPr>
          <w:rFonts w:hint="eastAsia" w:ascii="宋体" w:hAnsi="宋体" w:eastAsia="宋体"/>
          <w:color w:val="auto"/>
          <w:sz w:val="22"/>
          <w:szCs w:val="22"/>
          <w:highlight w:val="none"/>
        </w:rPr>
        <w:t>供应商名单，并提交书面评审报告。</w:t>
      </w:r>
    </w:p>
    <w:p w14:paraId="4592A59C">
      <w:pPr>
        <w:pStyle w:val="40"/>
        <w:shd w:val="clear"/>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w:t>
      </w:r>
      <w:r>
        <w:rPr>
          <w:rFonts w:hint="eastAsia" w:ascii="宋体" w:hAnsi="宋体" w:eastAsia="宋体"/>
          <w:color w:val="auto"/>
          <w:sz w:val="22"/>
          <w:szCs w:val="22"/>
          <w:highlight w:val="none"/>
          <w:lang w:eastAsia="zh-CN"/>
        </w:rPr>
        <w:t>投标供应商</w:t>
      </w:r>
      <w:r>
        <w:rPr>
          <w:rFonts w:hint="eastAsia" w:ascii="宋体" w:hAnsi="宋体" w:eastAsia="宋体"/>
          <w:color w:val="auto"/>
          <w:sz w:val="22"/>
          <w:szCs w:val="22"/>
          <w:highlight w:val="none"/>
        </w:rPr>
        <w:t>为排名第一的中标候选人。</w:t>
      </w:r>
    </w:p>
    <w:p w14:paraId="43C1B014">
      <w:pPr>
        <w:shd w:val="clear"/>
        <w:snapToGrid w:val="0"/>
        <w:spacing w:line="420" w:lineRule="atLeast"/>
        <w:ind w:firstLine="420"/>
        <w:rPr>
          <w:rFonts w:hint="eastAsia" w:ascii="宋体" w:hAnsi="宋体"/>
          <w:color w:val="auto"/>
          <w:sz w:val="22"/>
          <w:szCs w:val="22"/>
          <w:highlight w:val="none"/>
        </w:rPr>
      </w:pPr>
      <w:r>
        <w:rPr>
          <w:rFonts w:hint="eastAsia" w:ascii="宋体" w:hAnsi="宋体"/>
          <w:color w:val="auto"/>
          <w:sz w:val="22"/>
          <w:szCs w:val="22"/>
          <w:highlight w:val="none"/>
        </w:rPr>
        <w:t>中标供应商放弃中标，或者因不可抗力提出不能履行合同，采购机构可以取消其中标资格。本次采购失败，依法重新组织采购。</w:t>
      </w:r>
    </w:p>
    <w:p w14:paraId="4FBBB977">
      <w:pPr>
        <w:shd w:val="clear"/>
        <w:snapToGrid w:val="0"/>
        <w:spacing w:before="100" w:after="50"/>
        <w:ind w:firstLine="420"/>
        <w:rPr>
          <w:rFonts w:hint="eastAsia" w:ascii="宋体" w:hAnsi="宋体"/>
          <w:b/>
          <w:color w:val="auto"/>
          <w:sz w:val="22"/>
          <w:szCs w:val="22"/>
          <w:highlight w:val="none"/>
        </w:rPr>
      </w:pPr>
      <w:r>
        <w:rPr>
          <w:rFonts w:hint="eastAsia" w:ascii="宋体" w:hAnsi="宋体"/>
          <w:b/>
          <w:color w:val="auto"/>
          <w:sz w:val="22"/>
          <w:szCs w:val="22"/>
          <w:highlight w:val="none"/>
        </w:rPr>
        <w:t>其它参见本采购文件第三部分：“供应商须知” 中的相关内容。</w:t>
      </w:r>
    </w:p>
    <w:p w14:paraId="44132FDF">
      <w:pPr>
        <w:shd w:val="clear"/>
        <w:snapToGrid w:val="0"/>
        <w:spacing w:line="420" w:lineRule="atLeast"/>
        <w:rPr>
          <w:rFonts w:ascii="宋体" w:hAnsi="宋体"/>
          <w:color w:val="auto"/>
          <w:sz w:val="24"/>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66B83260">
      <w:pPr>
        <w:widowControl/>
        <w:shd w:val="clear" w:color="auto"/>
        <w:adjustRightInd w:val="0"/>
        <w:snapToGrid w:val="0"/>
        <w:jc w:val="center"/>
        <w:rPr>
          <w:rFonts w:hint="eastAsia" w:ascii="宋体" w:hAnsi="宋体" w:eastAsia="宋体" w:cs="Times New Roman"/>
          <w:b/>
          <w:color w:val="auto"/>
          <w:kern w:val="2"/>
          <w:sz w:val="36"/>
          <w:szCs w:val="36"/>
          <w:highlight w:val="none"/>
          <w:lang w:val="en-US" w:eastAsia="zh-CN" w:bidi="ar-SA"/>
        </w:rPr>
      </w:pPr>
      <w:r>
        <w:rPr>
          <w:rFonts w:hint="eastAsia" w:ascii="宋体" w:hAnsi="宋体" w:eastAsia="宋体" w:cs="Times New Roman"/>
          <w:b/>
          <w:color w:val="auto"/>
          <w:kern w:val="2"/>
          <w:sz w:val="36"/>
          <w:szCs w:val="36"/>
          <w:highlight w:val="none"/>
          <w:lang w:val="en-US" w:eastAsia="zh-CN" w:bidi="ar-SA"/>
        </w:rPr>
        <w:t>评标细则（按标项评审）（标项一、标项二）</w:t>
      </w:r>
    </w:p>
    <w:p w14:paraId="798EFDA0">
      <w:pPr>
        <w:widowControl/>
        <w:shd w:val="clear" w:color="auto"/>
        <w:tabs>
          <w:tab w:val="left" w:pos="5325"/>
        </w:tabs>
        <w:adjustRightInd w:val="0"/>
        <w:snapToGrid w:val="0"/>
        <w:spacing w:line="460" w:lineRule="exact"/>
        <w:jc w:val="left"/>
        <w:rPr>
          <w:rFonts w:hint="eastAsia" w:ascii="宋体" w:hAnsi="宋体" w:eastAsia="宋体" w:cs="Times New Roman"/>
          <w:b/>
          <w:bCs/>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val="en-US" w:eastAsia="zh-CN" w:bidi="ar-SA"/>
        </w:rPr>
        <w:t>一、</w:t>
      </w:r>
      <w:r>
        <w:rPr>
          <w:rFonts w:hint="eastAsia" w:ascii="宋体" w:hAnsi="宋体" w:eastAsia="宋体" w:cs="Times New Roman"/>
          <w:b/>
          <w:bCs/>
          <w:color w:val="auto"/>
          <w:kern w:val="2"/>
          <w:sz w:val="22"/>
          <w:szCs w:val="22"/>
          <w:highlight w:val="none"/>
          <w:u w:val="single"/>
          <w:lang w:val="en-US" w:eastAsia="zh-CN" w:bidi="ar-SA"/>
        </w:rPr>
        <w:t>报价评分</w:t>
      </w:r>
      <w:r>
        <w:rPr>
          <w:rFonts w:hint="eastAsia" w:ascii="宋体" w:hAnsi="宋体" w:eastAsia="宋体" w:cs="Times New Roman"/>
          <w:b/>
          <w:bCs/>
          <w:color w:val="auto"/>
          <w:kern w:val="2"/>
          <w:sz w:val="22"/>
          <w:szCs w:val="22"/>
          <w:highlight w:val="none"/>
          <w:lang w:val="en-US" w:eastAsia="zh-CN" w:bidi="ar-SA"/>
        </w:rPr>
        <w:t xml:space="preserve">  20分  </w:t>
      </w:r>
      <w:r>
        <w:rPr>
          <w:rFonts w:ascii="宋体" w:hAnsi="宋体" w:eastAsia="宋体" w:cs="Times New Roman"/>
          <w:b/>
          <w:bCs/>
          <w:color w:val="auto"/>
          <w:kern w:val="2"/>
          <w:sz w:val="22"/>
          <w:szCs w:val="22"/>
          <w:highlight w:val="none"/>
          <w:lang w:val="en-US" w:eastAsia="zh-CN" w:bidi="ar-SA"/>
        </w:rPr>
        <w:tab/>
      </w:r>
    </w:p>
    <w:p w14:paraId="54923B0D">
      <w:pPr>
        <w:keepNext w:val="0"/>
        <w:keepLines w:val="0"/>
        <w:pageBreakBefore w:val="0"/>
        <w:widowControl/>
        <w:shd w:val="clear" w:color="auto"/>
        <w:kinsoku/>
        <w:wordWrap/>
        <w:overflowPunct/>
        <w:topLinePunct w:val="0"/>
        <w:autoSpaceDE/>
        <w:autoSpaceDN/>
        <w:bidi w:val="0"/>
        <w:adjustRightInd/>
        <w:snapToGrid/>
        <w:spacing w:line="320" w:lineRule="exact"/>
        <w:ind w:firstLine="440" w:firstLineChars="200"/>
        <w:jc w:val="left"/>
        <w:textAlignment w:val="auto"/>
        <w:rPr>
          <w:rFonts w:hint="eastAsia" w:ascii="宋体" w:hAnsi="宋体" w:eastAsia="宋体" w:cs="宋体"/>
          <w:b w:val="0"/>
          <w:color w:val="auto"/>
          <w:kern w:val="0"/>
          <w:sz w:val="22"/>
          <w:szCs w:val="22"/>
          <w:highlight w:val="none"/>
          <w:lang w:val="en-US" w:eastAsia="zh-CN" w:bidi="ar"/>
        </w:rPr>
      </w:pPr>
      <w:r>
        <w:rPr>
          <w:rFonts w:hint="eastAsia" w:ascii="宋体" w:hAnsi="宋体" w:eastAsia="宋体" w:cs="宋体"/>
          <w:b w:val="0"/>
          <w:color w:val="auto"/>
          <w:kern w:val="0"/>
          <w:sz w:val="22"/>
          <w:szCs w:val="22"/>
          <w:highlight w:val="none"/>
          <w:lang w:val="en-US" w:eastAsia="zh-CN" w:bidi="ar"/>
        </w:rPr>
        <w:t>1、以有效投标供应商的有效投标价中的最低价为评标基准价，得满分20分。报价评分结算公式为:报价得分=(评标基准价／投标价)×20%×100；</w:t>
      </w:r>
    </w:p>
    <w:p w14:paraId="4B0043B1">
      <w:pPr>
        <w:pStyle w:val="2"/>
        <w:shd w:val="clear"/>
        <w:snapToGrid w:val="0"/>
        <w:spacing w:line="460" w:lineRule="atLeast"/>
        <w:ind w:firstLine="442" w:firstLineChars="200"/>
        <w:rPr>
          <w:rFonts w:hint="eastAsia"/>
          <w:color w:val="auto"/>
          <w:highlight w:val="none"/>
          <w:lang w:val="en-US" w:eastAsia="zh-CN"/>
        </w:rPr>
      </w:pPr>
      <w:r>
        <w:rPr>
          <w:rFonts w:hint="eastAsia" w:ascii="宋体" w:hAnsi="Courier New" w:eastAsia="宋体" w:cs="Times New Roman"/>
          <w:b/>
          <w:color w:val="auto"/>
          <w:sz w:val="22"/>
          <w:szCs w:val="22"/>
          <w:highlight w:val="none"/>
        </w:rPr>
        <w:t>本项目对小型和微型企业的价格给予</w:t>
      </w:r>
      <w:r>
        <w:rPr>
          <w:rFonts w:hint="eastAsia" w:ascii="宋体" w:hAnsi="Courier New" w:eastAsia="宋体" w:cs="Times New Roman"/>
          <w:b/>
          <w:color w:val="auto"/>
          <w:sz w:val="22"/>
          <w:szCs w:val="22"/>
          <w:highlight w:val="none"/>
          <w:lang w:val="en-US" w:eastAsia="zh-CN"/>
        </w:rPr>
        <w:t>1</w:t>
      </w:r>
      <w:r>
        <w:rPr>
          <w:rFonts w:hint="eastAsia" w:ascii="宋体" w:hAnsi="Courier New" w:eastAsia="宋体" w:cs="Times New Roman"/>
          <w:b/>
          <w:color w:val="auto"/>
          <w:sz w:val="22"/>
          <w:szCs w:val="22"/>
          <w:highlight w:val="none"/>
        </w:rPr>
        <w:t>0%的扣除，用扣除后的价格参与报价评审。</w:t>
      </w:r>
    </w:p>
    <w:p w14:paraId="2D26951C">
      <w:pPr>
        <w:keepNext w:val="0"/>
        <w:keepLines w:val="0"/>
        <w:pageBreakBefore w:val="0"/>
        <w:widowControl/>
        <w:shd w:val="clear" w:color="auto"/>
        <w:kinsoku/>
        <w:wordWrap/>
        <w:overflowPunct/>
        <w:topLinePunct w:val="0"/>
        <w:autoSpaceDE/>
        <w:autoSpaceDN/>
        <w:bidi w:val="0"/>
        <w:adjustRightInd/>
        <w:snapToGrid/>
        <w:spacing w:line="320" w:lineRule="exact"/>
        <w:ind w:firstLine="440" w:firstLineChars="200"/>
        <w:jc w:val="left"/>
        <w:textAlignment w:val="auto"/>
        <w:rPr>
          <w:rFonts w:hint="eastAsia" w:ascii="宋体" w:hAnsi="宋体" w:eastAsia="宋体" w:cs="宋体"/>
          <w:b w:val="0"/>
          <w:color w:val="auto"/>
          <w:kern w:val="0"/>
          <w:sz w:val="22"/>
          <w:szCs w:val="22"/>
          <w:highlight w:val="none"/>
          <w:lang w:eastAsia="zh-CN" w:bidi="ar"/>
        </w:rPr>
      </w:pPr>
      <w:r>
        <w:rPr>
          <w:rFonts w:hint="eastAsia" w:ascii="宋体" w:hAnsi="宋体" w:eastAsia="宋体" w:cs="宋体"/>
          <w:b w:val="0"/>
          <w:color w:val="auto"/>
          <w:kern w:val="0"/>
          <w:sz w:val="22"/>
          <w:szCs w:val="22"/>
          <w:highlight w:val="none"/>
          <w:lang w:eastAsia="zh-CN" w:bidi="ar"/>
        </w:rPr>
        <w:t>2、如果某些（个）供应商投标报价超出该采购最高限价，该供应商投标按无效投标处理。</w:t>
      </w:r>
    </w:p>
    <w:p w14:paraId="6C68A99C">
      <w:pPr>
        <w:widowControl w:val="0"/>
        <w:shd w:val="clear" w:color="auto"/>
        <w:adjustRightInd w:val="0"/>
        <w:snapToGrid w:val="0"/>
        <w:spacing w:before="0" w:beforeAutospacing="0" w:after="0" w:afterAutospacing="0" w:line="460" w:lineRule="exact"/>
        <w:jc w:val="both"/>
        <w:rPr>
          <w:rFonts w:hint="eastAsia" w:ascii="Arial" w:hAnsi="宋体" w:eastAsia="宋体" w:cs="Arial"/>
          <w:b/>
          <w:color w:val="auto"/>
          <w:kern w:val="0"/>
          <w:sz w:val="22"/>
          <w:szCs w:val="22"/>
          <w:highlight w:val="none"/>
          <w:lang w:val="en-US" w:eastAsia="zh-CN" w:bidi="ar-SA"/>
        </w:rPr>
      </w:pPr>
      <w:r>
        <w:rPr>
          <w:rFonts w:hint="eastAsia" w:ascii="Arial" w:hAnsi="宋体" w:eastAsia="宋体" w:cs="Arial"/>
          <w:b/>
          <w:color w:val="auto"/>
          <w:kern w:val="0"/>
          <w:sz w:val="22"/>
          <w:szCs w:val="22"/>
          <w:highlight w:val="none"/>
          <w:lang w:val="en-US" w:eastAsia="zh-CN" w:bidi="ar-SA"/>
        </w:rPr>
        <w:t>二、</w:t>
      </w:r>
      <w:r>
        <w:rPr>
          <w:rFonts w:hint="eastAsia" w:ascii="Arial" w:hAnsi="宋体" w:eastAsia="宋体" w:cs="Arial"/>
          <w:b/>
          <w:color w:val="auto"/>
          <w:kern w:val="0"/>
          <w:sz w:val="22"/>
          <w:szCs w:val="22"/>
          <w:highlight w:val="none"/>
          <w:u w:val="single"/>
          <w:lang w:val="en-US" w:eastAsia="zh-CN" w:bidi="ar-SA"/>
        </w:rPr>
        <w:t>技术、服务、资信、业绩综合评分</w:t>
      </w:r>
      <w:r>
        <w:rPr>
          <w:rFonts w:hint="eastAsia" w:ascii="Arial" w:hAnsi="宋体" w:eastAsia="宋体" w:cs="Arial"/>
          <w:b/>
          <w:color w:val="auto"/>
          <w:kern w:val="0"/>
          <w:sz w:val="22"/>
          <w:szCs w:val="22"/>
          <w:highlight w:val="none"/>
          <w:lang w:val="en-US" w:eastAsia="zh-CN" w:bidi="ar-SA"/>
        </w:rPr>
        <w:t xml:space="preserve"> 80分</w:t>
      </w:r>
    </w:p>
    <w:tbl>
      <w:tblPr>
        <w:tblStyle w:val="13"/>
        <w:tblW w:w="94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3"/>
        <w:gridCol w:w="1506"/>
        <w:gridCol w:w="6617"/>
        <w:gridCol w:w="829"/>
      </w:tblGrid>
      <w:tr w14:paraId="5AFA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463" w:type="dxa"/>
            <w:noWrap w:val="0"/>
            <w:tcMar>
              <w:top w:w="15" w:type="dxa"/>
              <w:left w:w="15" w:type="dxa"/>
              <w:right w:w="15" w:type="dxa"/>
            </w:tcMar>
            <w:vAlign w:val="center"/>
          </w:tcPr>
          <w:p w14:paraId="52A61C60">
            <w:pPr>
              <w:widowControl/>
              <w:shd w:val="clear" w:color="auto"/>
              <w:jc w:val="center"/>
              <w:textAlignment w:val="center"/>
              <w:rPr>
                <w:rFonts w:hint="eastAsia" w:ascii="宋体" w:hAnsi="仿宋_GB2312" w:cs="宋体"/>
                <w:b w:val="0"/>
                <w:bCs w:val="0"/>
                <w:color w:val="auto"/>
                <w:kern w:val="0"/>
                <w:sz w:val="22"/>
                <w:szCs w:val="22"/>
                <w:highlight w:val="none"/>
              </w:rPr>
            </w:pPr>
            <w:r>
              <w:rPr>
                <w:rFonts w:hint="eastAsia" w:ascii="宋体" w:hAnsi="仿宋_GB2312" w:cs="宋体"/>
                <w:b w:val="0"/>
                <w:bCs w:val="0"/>
                <w:color w:val="auto"/>
                <w:kern w:val="0"/>
                <w:sz w:val="22"/>
                <w:szCs w:val="22"/>
                <w:highlight w:val="none"/>
                <w:lang w:bidi="ar"/>
              </w:rPr>
              <w:t>序号</w:t>
            </w:r>
          </w:p>
        </w:tc>
        <w:tc>
          <w:tcPr>
            <w:tcW w:w="1506" w:type="dxa"/>
            <w:noWrap w:val="0"/>
            <w:tcMar>
              <w:top w:w="15" w:type="dxa"/>
              <w:left w:w="15" w:type="dxa"/>
              <w:right w:w="15" w:type="dxa"/>
            </w:tcMar>
            <w:vAlign w:val="center"/>
          </w:tcPr>
          <w:p w14:paraId="0E792F84">
            <w:pPr>
              <w:widowControl/>
              <w:shd w:val="clear" w:color="auto"/>
              <w:jc w:val="center"/>
              <w:textAlignment w:val="center"/>
              <w:rPr>
                <w:rFonts w:hint="eastAsia" w:ascii="宋体" w:hAnsi="仿宋_GB2312" w:cs="宋体"/>
                <w:b w:val="0"/>
                <w:bCs w:val="0"/>
                <w:color w:val="auto"/>
                <w:kern w:val="0"/>
                <w:sz w:val="22"/>
                <w:szCs w:val="22"/>
                <w:highlight w:val="none"/>
              </w:rPr>
            </w:pPr>
            <w:r>
              <w:rPr>
                <w:rFonts w:hint="eastAsia" w:ascii="宋体" w:hAnsi="仿宋_GB2312" w:cs="宋体"/>
                <w:b w:val="0"/>
                <w:bCs w:val="0"/>
                <w:color w:val="auto"/>
                <w:kern w:val="0"/>
                <w:sz w:val="22"/>
                <w:szCs w:val="22"/>
                <w:highlight w:val="none"/>
                <w:lang w:bidi="ar"/>
              </w:rPr>
              <w:t>评分内容</w:t>
            </w:r>
          </w:p>
        </w:tc>
        <w:tc>
          <w:tcPr>
            <w:tcW w:w="6617" w:type="dxa"/>
            <w:noWrap w:val="0"/>
            <w:tcMar>
              <w:top w:w="15" w:type="dxa"/>
              <w:left w:w="15" w:type="dxa"/>
              <w:right w:w="15" w:type="dxa"/>
            </w:tcMar>
            <w:vAlign w:val="center"/>
          </w:tcPr>
          <w:p w14:paraId="51E4DE26">
            <w:pPr>
              <w:widowControl/>
              <w:shd w:val="clear" w:color="auto"/>
              <w:jc w:val="center"/>
              <w:textAlignment w:val="center"/>
              <w:rPr>
                <w:rFonts w:hint="eastAsia" w:ascii="宋体" w:hAnsi="仿宋_GB2312" w:cs="宋体"/>
                <w:b w:val="0"/>
                <w:bCs w:val="0"/>
                <w:color w:val="auto"/>
                <w:kern w:val="0"/>
                <w:sz w:val="22"/>
                <w:szCs w:val="22"/>
                <w:highlight w:val="none"/>
              </w:rPr>
            </w:pPr>
            <w:r>
              <w:rPr>
                <w:rFonts w:hint="eastAsia" w:ascii="宋体" w:hAnsi="仿宋_GB2312" w:cs="宋体"/>
                <w:b w:val="0"/>
                <w:bCs w:val="0"/>
                <w:color w:val="auto"/>
                <w:kern w:val="0"/>
                <w:sz w:val="22"/>
                <w:szCs w:val="22"/>
                <w:highlight w:val="none"/>
                <w:lang w:bidi="ar"/>
              </w:rPr>
              <w:t>评分标准</w:t>
            </w:r>
          </w:p>
        </w:tc>
        <w:tc>
          <w:tcPr>
            <w:tcW w:w="829" w:type="dxa"/>
            <w:noWrap w:val="0"/>
            <w:tcMar>
              <w:top w:w="15" w:type="dxa"/>
              <w:left w:w="15" w:type="dxa"/>
              <w:right w:w="15" w:type="dxa"/>
            </w:tcMar>
            <w:vAlign w:val="center"/>
          </w:tcPr>
          <w:p w14:paraId="6E9C8D48">
            <w:pPr>
              <w:widowControl/>
              <w:shd w:val="clear" w:color="auto"/>
              <w:jc w:val="center"/>
              <w:textAlignment w:val="center"/>
              <w:rPr>
                <w:rFonts w:hint="eastAsia" w:ascii="宋体" w:hAnsi="仿宋_GB2312" w:eastAsia="宋体" w:cs="宋体"/>
                <w:b w:val="0"/>
                <w:bCs w:val="0"/>
                <w:color w:val="auto"/>
                <w:kern w:val="0"/>
                <w:sz w:val="22"/>
                <w:szCs w:val="22"/>
                <w:highlight w:val="none"/>
                <w:lang w:val="en-US" w:eastAsia="zh-CN" w:bidi="ar"/>
              </w:rPr>
            </w:pPr>
            <w:r>
              <w:rPr>
                <w:rFonts w:hint="eastAsia" w:ascii="宋体" w:hAnsi="仿宋_GB2312" w:cs="宋体"/>
                <w:b w:val="0"/>
                <w:bCs w:val="0"/>
                <w:color w:val="auto"/>
                <w:kern w:val="0"/>
                <w:sz w:val="22"/>
                <w:szCs w:val="22"/>
                <w:highlight w:val="none"/>
                <w:lang w:val="en-US" w:eastAsia="zh-CN" w:bidi="ar"/>
              </w:rPr>
              <w:t>分值范围</w:t>
            </w:r>
          </w:p>
        </w:tc>
      </w:tr>
      <w:tr w14:paraId="1018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9" w:hRule="atLeast"/>
        </w:trPr>
        <w:tc>
          <w:tcPr>
            <w:tcW w:w="463" w:type="dxa"/>
            <w:noWrap w:val="0"/>
            <w:tcMar>
              <w:top w:w="15" w:type="dxa"/>
              <w:left w:w="15" w:type="dxa"/>
              <w:right w:w="15" w:type="dxa"/>
            </w:tcMar>
            <w:vAlign w:val="center"/>
          </w:tcPr>
          <w:p w14:paraId="70C4EF48">
            <w:pPr>
              <w:widowControl/>
              <w:shd w:val="clear" w:color="auto"/>
              <w:jc w:val="center"/>
              <w:textAlignment w:val="center"/>
              <w:rPr>
                <w:rFonts w:hint="eastAsia" w:ascii="宋体" w:hAnsi="宋体" w:eastAsia="宋体" w:cs="宋体"/>
                <w:b w:val="0"/>
                <w:bCs w:val="0"/>
                <w:color w:val="auto"/>
                <w:kern w:val="0"/>
                <w:sz w:val="22"/>
                <w:szCs w:val="22"/>
                <w:highlight w:val="none"/>
                <w:lang w:eastAsia="zh-CN" w:bidi="ar"/>
              </w:rPr>
            </w:pPr>
            <w:r>
              <w:rPr>
                <w:rFonts w:hint="eastAsia" w:ascii="宋体" w:hAnsi="宋体" w:cs="宋体"/>
                <w:b w:val="0"/>
                <w:bCs w:val="0"/>
                <w:color w:val="auto"/>
                <w:kern w:val="0"/>
                <w:sz w:val="22"/>
                <w:szCs w:val="22"/>
                <w:highlight w:val="none"/>
                <w:lang w:val="en-US" w:eastAsia="zh-CN" w:bidi="ar"/>
              </w:rPr>
              <w:t>1</w:t>
            </w:r>
          </w:p>
        </w:tc>
        <w:tc>
          <w:tcPr>
            <w:tcW w:w="1506" w:type="dxa"/>
            <w:noWrap w:val="0"/>
            <w:tcMar>
              <w:top w:w="15" w:type="dxa"/>
              <w:left w:w="15" w:type="dxa"/>
              <w:right w:w="15" w:type="dxa"/>
            </w:tcMar>
            <w:vAlign w:val="center"/>
          </w:tcPr>
          <w:p w14:paraId="5C35DF80">
            <w:pPr>
              <w:shd w:val="clear" w:color="auto"/>
              <w:adjustRightInd w:val="0"/>
              <w:snapToGrid w:val="0"/>
              <w:jc w:val="center"/>
              <w:rPr>
                <w:rFonts w:hint="eastAsia" w:ascii="宋体" w:hAnsi="宋体" w:cs="宋体"/>
                <w:b w:val="0"/>
                <w:bCs w:val="0"/>
                <w:snapToGrid w:val="0"/>
                <w:color w:val="auto"/>
                <w:kern w:val="0"/>
                <w:sz w:val="22"/>
                <w:szCs w:val="22"/>
                <w:highlight w:val="none"/>
              </w:rPr>
            </w:pPr>
            <w:r>
              <w:rPr>
                <w:rFonts w:hint="eastAsia" w:ascii="宋体" w:hAnsi="宋体" w:cs="宋体"/>
                <w:b w:val="0"/>
                <w:bCs w:val="0"/>
                <w:snapToGrid w:val="0"/>
                <w:color w:val="auto"/>
                <w:kern w:val="0"/>
                <w:sz w:val="22"/>
                <w:szCs w:val="22"/>
                <w:highlight w:val="none"/>
              </w:rPr>
              <w:t>投标人认证情况</w:t>
            </w:r>
          </w:p>
          <w:p w14:paraId="31428166">
            <w:pPr>
              <w:shd w:val="clear" w:color="auto"/>
              <w:adjustRightInd w:val="0"/>
              <w:snapToGrid w:val="0"/>
              <w:jc w:val="center"/>
              <w:rPr>
                <w:rFonts w:hint="eastAsia" w:ascii="宋体" w:hAnsi="宋体" w:cs="宋体"/>
                <w:b w:val="0"/>
                <w:bCs w:val="0"/>
                <w:color w:val="auto"/>
                <w:kern w:val="0"/>
                <w:sz w:val="22"/>
                <w:szCs w:val="22"/>
                <w:highlight w:val="none"/>
              </w:rPr>
            </w:pPr>
            <w:r>
              <w:rPr>
                <w:rFonts w:hint="eastAsia" w:ascii="宋体" w:hAnsi="宋体" w:cs="宋体"/>
                <w:b w:val="0"/>
                <w:bCs w:val="0"/>
                <w:snapToGrid w:val="0"/>
                <w:color w:val="auto"/>
                <w:kern w:val="0"/>
                <w:sz w:val="22"/>
                <w:szCs w:val="22"/>
                <w:highlight w:val="none"/>
                <w:lang w:eastAsia="zh-CN"/>
              </w:rPr>
              <w:t>（</w:t>
            </w:r>
            <w:r>
              <w:rPr>
                <w:rFonts w:hint="eastAsia" w:ascii="宋体" w:hAnsi="宋体" w:cs="宋体"/>
                <w:b w:val="0"/>
                <w:bCs w:val="0"/>
                <w:snapToGrid w:val="0"/>
                <w:color w:val="auto"/>
                <w:kern w:val="0"/>
                <w:sz w:val="22"/>
                <w:szCs w:val="22"/>
                <w:highlight w:val="none"/>
                <w:lang w:val="en-US" w:eastAsia="zh-CN"/>
              </w:rPr>
              <w:t>6分</w:t>
            </w:r>
            <w:r>
              <w:rPr>
                <w:rFonts w:hint="eastAsia" w:ascii="宋体" w:hAnsi="宋体" w:cs="宋体"/>
                <w:b w:val="0"/>
                <w:bCs w:val="0"/>
                <w:snapToGrid w:val="0"/>
                <w:color w:val="auto"/>
                <w:kern w:val="0"/>
                <w:sz w:val="22"/>
                <w:szCs w:val="22"/>
                <w:highlight w:val="none"/>
                <w:lang w:eastAsia="zh-CN"/>
              </w:rPr>
              <w:t>）</w:t>
            </w:r>
          </w:p>
        </w:tc>
        <w:tc>
          <w:tcPr>
            <w:tcW w:w="6617" w:type="dxa"/>
            <w:noWrap w:val="0"/>
            <w:tcMar>
              <w:top w:w="15" w:type="dxa"/>
              <w:left w:w="15" w:type="dxa"/>
              <w:right w:w="15" w:type="dxa"/>
            </w:tcMar>
            <w:vAlign w:val="center"/>
          </w:tcPr>
          <w:p w14:paraId="3CFA4FED">
            <w:pPr>
              <w:keepNext w:val="0"/>
              <w:keepLines w:val="0"/>
              <w:pageBreakBefore w:val="0"/>
              <w:shd w:val="clear" w:color="auto"/>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1.投标供应商具有有效</w:t>
            </w:r>
            <w:r>
              <w:rPr>
                <w:rFonts w:hint="eastAsia" w:ascii="宋体" w:hAnsi="宋体" w:cs="宋体"/>
                <w:b w:val="0"/>
                <w:bCs w:val="0"/>
                <w:color w:val="auto"/>
                <w:kern w:val="0"/>
                <w:sz w:val="22"/>
                <w:szCs w:val="22"/>
                <w:highlight w:val="none"/>
                <w:lang w:val="en-US" w:eastAsia="zh-CN"/>
              </w:rPr>
              <w:t>的</w:t>
            </w:r>
            <w:r>
              <w:rPr>
                <w:rFonts w:hint="eastAsia" w:ascii="宋体" w:hAnsi="宋体" w:eastAsia="宋体" w:cs="宋体"/>
                <w:b w:val="0"/>
                <w:bCs w:val="0"/>
                <w:color w:val="auto"/>
                <w:kern w:val="0"/>
                <w:sz w:val="22"/>
                <w:szCs w:val="22"/>
                <w:highlight w:val="none"/>
                <w:lang w:val="en-US" w:eastAsia="zh-CN"/>
              </w:rPr>
              <w:t>质量管理体系认证证书，得2分；</w:t>
            </w:r>
          </w:p>
          <w:p w14:paraId="0233F464">
            <w:pPr>
              <w:keepNext w:val="0"/>
              <w:keepLines w:val="0"/>
              <w:pageBreakBefore w:val="0"/>
              <w:shd w:val="clear" w:color="auto"/>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2.投标供应商具有有效的环境管理体系认证证书的，得2分；</w:t>
            </w:r>
          </w:p>
          <w:p w14:paraId="133FD438">
            <w:pPr>
              <w:keepNext w:val="0"/>
              <w:keepLines w:val="0"/>
              <w:pageBreakBefore w:val="0"/>
              <w:shd w:val="clear" w:color="auto"/>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3.投标供应商具有有效的职业健康体系认证证书的，得2分。</w:t>
            </w:r>
          </w:p>
          <w:p w14:paraId="3A8B67EF">
            <w:pPr>
              <w:keepNext w:val="0"/>
              <w:keepLines w:val="0"/>
              <w:pageBreakBefore w:val="0"/>
              <w:widowControl/>
              <w:numPr>
                <w:ilvl w:val="0"/>
                <w:numId w:val="0"/>
              </w:numPr>
              <w:shd w:val="clear" w:color="auto"/>
              <w:kinsoku/>
              <w:wordWrap/>
              <w:overflowPunct/>
              <w:topLinePunct w:val="0"/>
              <w:autoSpaceDE/>
              <w:autoSpaceDN/>
              <w:bidi w:val="0"/>
              <w:adjustRightInd/>
              <w:snapToGrid/>
              <w:spacing w:line="320" w:lineRule="exact"/>
              <w:ind w:left="0" w:leftChars="0" w:firstLine="0" w:firstLineChars="0"/>
              <w:jc w:val="left"/>
              <w:textAlignment w:val="auto"/>
              <w:rPr>
                <w:rFonts w:ascii="仿宋_GB2312" w:hAnsi="仿宋_GB2312"/>
                <w:b w:val="0"/>
                <w:bCs w:val="0"/>
                <w:color w:val="auto"/>
                <w:kern w:val="0"/>
                <w:sz w:val="22"/>
                <w:szCs w:val="22"/>
                <w:highlight w:val="none"/>
              </w:rPr>
            </w:pPr>
            <w:r>
              <w:rPr>
                <w:rFonts w:hint="eastAsia" w:ascii="宋体" w:hAnsi="宋体" w:eastAsia="宋体" w:cs="宋体"/>
                <w:b w:val="0"/>
                <w:bCs w:val="0"/>
                <w:color w:val="auto"/>
                <w:kern w:val="0"/>
                <w:sz w:val="22"/>
                <w:szCs w:val="22"/>
                <w:highlight w:val="none"/>
                <w:lang w:val="en-US" w:eastAsia="zh-CN"/>
              </w:rPr>
              <w:t xml:space="preserve"> </w:t>
            </w:r>
            <w:r>
              <w:rPr>
                <w:rFonts w:hint="eastAsia" w:ascii="宋体" w:hAnsi="宋体" w:eastAsia="宋体" w:cs="宋体"/>
                <w:b w:val="0"/>
                <w:bCs w:val="0"/>
                <w:color w:val="auto"/>
                <w:kern w:val="0"/>
                <w:sz w:val="22"/>
                <w:szCs w:val="22"/>
                <w:highlight w:val="none"/>
              </w:rPr>
              <w:t>(注：有效性认定：须提供以上证书扫描件并提供全国认证认可信息公共服务平台(http://cx.cnca.cn/CertECloud/result/skipResultList）查询到相关证书信息的</w:t>
            </w:r>
            <w:r>
              <w:rPr>
                <w:rFonts w:hint="eastAsia" w:ascii="宋体" w:hAnsi="宋体" w:eastAsia="宋体" w:cs="宋体"/>
                <w:b w:val="0"/>
                <w:bCs w:val="0"/>
                <w:color w:val="auto"/>
                <w:kern w:val="0"/>
                <w:sz w:val="22"/>
                <w:szCs w:val="22"/>
                <w:highlight w:val="none"/>
                <w:lang w:eastAsia="zh-CN"/>
              </w:rPr>
              <w:t>带网址的</w:t>
            </w:r>
            <w:r>
              <w:rPr>
                <w:rFonts w:hint="eastAsia" w:ascii="宋体" w:hAnsi="宋体" w:eastAsia="宋体" w:cs="宋体"/>
                <w:b w:val="0"/>
                <w:bCs w:val="0"/>
                <w:color w:val="auto"/>
                <w:kern w:val="0"/>
                <w:sz w:val="22"/>
                <w:szCs w:val="22"/>
                <w:highlight w:val="none"/>
              </w:rPr>
              <w:t>网页截图证明，</w:t>
            </w:r>
            <w:r>
              <w:rPr>
                <w:rFonts w:hint="eastAsia" w:ascii="宋体" w:hAnsi="宋体" w:eastAsia="宋体" w:cs="宋体"/>
                <w:b w:val="0"/>
                <w:bCs w:val="0"/>
                <w:color w:val="auto"/>
                <w:kern w:val="0"/>
                <w:sz w:val="22"/>
                <w:szCs w:val="22"/>
                <w:highlight w:val="none"/>
                <w:lang w:bidi="ar"/>
              </w:rPr>
              <w:t>加盖投标人</w:t>
            </w:r>
            <w:r>
              <w:rPr>
                <w:rFonts w:hint="eastAsia" w:ascii="宋体" w:hAnsi="宋体" w:eastAsia="宋体" w:cs="宋体"/>
                <w:b w:val="0"/>
                <w:bCs w:val="0"/>
                <w:color w:val="auto"/>
                <w:kern w:val="0"/>
                <w:sz w:val="22"/>
                <w:szCs w:val="22"/>
                <w:highlight w:val="none"/>
                <w:lang w:eastAsia="zh-CN" w:bidi="ar"/>
              </w:rPr>
              <w:t>电子</w:t>
            </w:r>
            <w:r>
              <w:rPr>
                <w:rFonts w:hint="eastAsia" w:ascii="宋体" w:hAnsi="宋体" w:eastAsia="宋体" w:cs="宋体"/>
                <w:b w:val="0"/>
                <w:bCs w:val="0"/>
                <w:color w:val="auto"/>
                <w:kern w:val="0"/>
                <w:sz w:val="22"/>
                <w:szCs w:val="22"/>
                <w:highlight w:val="none"/>
                <w:lang w:bidi="ar"/>
              </w:rPr>
              <w:t>公章</w:t>
            </w:r>
            <w:r>
              <w:rPr>
                <w:rFonts w:hint="eastAsia" w:ascii="宋体" w:hAnsi="宋体" w:eastAsia="宋体" w:cs="宋体"/>
                <w:b w:val="0"/>
                <w:bCs w:val="0"/>
                <w:color w:val="auto"/>
                <w:kern w:val="0"/>
                <w:sz w:val="22"/>
                <w:szCs w:val="22"/>
                <w:highlight w:val="none"/>
                <w:lang w:eastAsia="zh-CN" w:bidi="ar"/>
              </w:rPr>
              <w:t>，</w:t>
            </w:r>
            <w:r>
              <w:rPr>
                <w:rFonts w:hint="eastAsia" w:ascii="宋体" w:hAnsi="宋体" w:eastAsia="宋体" w:cs="宋体"/>
                <w:b w:val="0"/>
                <w:bCs w:val="0"/>
                <w:color w:val="auto"/>
                <w:kern w:val="0"/>
                <w:sz w:val="22"/>
                <w:szCs w:val="22"/>
                <w:highlight w:val="none"/>
              </w:rPr>
              <w:t xml:space="preserve">否则不得分) </w:t>
            </w:r>
          </w:p>
        </w:tc>
        <w:tc>
          <w:tcPr>
            <w:tcW w:w="829" w:type="dxa"/>
            <w:noWrap w:val="0"/>
            <w:tcMar>
              <w:top w:w="15" w:type="dxa"/>
              <w:left w:w="15" w:type="dxa"/>
              <w:right w:w="15" w:type="dxa"/>
            </w:tcMar>
            <w:vAlign w:val="center"/>
          </w:tcPr>
          <w:p w14:paraId="607A0C91">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ascii="仿宋_GB2312" w:hAnsi="仿宋_GB2312"/>
                <w:b w:val="0"/>
                <w:bCs w:val="0"/>
                <w:color w:val="auto"/>
                <w:kern w:val="0"/>
                <w:sz w:val="22"/>
                <w:szCs w:val="22"/>
                <w:highlight w:val="none"/>
              </w:rPr>
            </w:pPr>
            <w:r>
              <w:rPr>
                <w:rFonts w:hint="eastAsia" w:ascii="宋体" w:hAnsi="宋体" w:eastAsia="宋体" w:cs="宋体"/>
                <w:b w:val="0"/>
                <w:bCs w:val="0"/>
                <w:color w:val="auto"/>
                <w:kern w:val="0"/>
                <w:sz w:val="22"/>
                <w:szCs w:val="22"/>
                <w:highlight w:val="none"/>
              </w:rPr>
              <w:t>0-</w:t>
            </w:r>
            <w:r>
              <w:rPr>
                <w:rFonts w:hint="eastAsia" w:ascii="宋体" w:hAnsi="宋体" w:eastAsia="宋体" w:cs="宋体"/>
                <w:b w:val="0"/>
                <w:bCs w:val="0"/>
                <w:color w:val="auto"/>
                <w:kern w:val="0"/>
                <w:sz w:val="22"/>
                <w:szCs w:val="22"/>
                <w:highlight w:val="none"/>
                <w:lang w:val="en-US" w:eastAsia="zh-CN"/>
              </w:rPr>
              <w:t>6</w:t>
            </w:r>
            <w:r>
              <w:rPr>
                <w:rFonts w:hint="eastAsia" w:ascii="宋体" w:hAnsi="宋体" w:eastAsia="宋体" w:cs="宋体"/>
                <w:b w:val="0"/>
                <w:bCs w:val="0"/>
                <w:color w:val="auto"/>
                <w:kern w:val="0"/>
                <w:sz w:val="22"/>
                <w:szCs w:val="22"/>
                <w:highlight w:val="none"/>
              </w:rPr>
              <w:t>分</w:t>
            </w:r>
          </w:p>
        </w:tc>
      </w:tr>
      <w:tr w14:paraId="4D8A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463" w:type="dxa"/>
            <w:noWrap w:val="0"/>
            <w:vAlign w:val="center"/>
          </w:tcPr>
          <w:p w14:paraId="1643E245">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仿宋_GB2312" w:hAnsi="仿宋_GB2312"/>
                <w:b w:val="0"/>
                <w:bCs w:val="0"/>
                <w:color w:val="auto"/>
                <w:kern w:val="0"/>
                <w:sz w:val="22"/>
                <w:szCs w:val="22"/>
                <w:highlight w:val="none"/>
              </w:rPr>
            </w:pPr>
            <w:r>
              <w:rPr>
                <w:rFonts w:hint="eastAsia" w:ascii="仿宋_GB2312" w:hAnsi="仿宋_GB2312"/>
                <w:b w:val="0"/>
                <w:bCs w:val="0"/>
                <w:color w:val="auto"/>
                <w:kern w:val="0"/>
                <w:sz w:val="22"/>
                <w:szCs w:val="22"/>
                <w:highlight w:val="none"/>
                <w:lang w:val="en-US" w:eastAsia="zh-CN"/>
              </w:rPr>
              <w:t>2</w:t>
            </w:r>
          </w:p>
        </w:tc>
        <w:tc>
          <w:tcPr>
            <w:tcW w:w="1506" w:type="dxa"/>
            <w:noWrap w:val="0"/>
            <w:vAlign w:val="center"/>
          </w:tcPr>
          <w:p w14:paraId="607DBE6F">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仿宋_GB2312" w:hAnsi="仿宋_GB2312"/>
                <w:b w:val="0"/>
                <w:bCs w:val="0"/>
                <w:color w:val="auto"/>
                <w:kern w:val="0"/>
                <w:sz w:val="22"/>
                <w:szCs w:val="22"/>
                <w:highlight w:val="none"/>
              </w:rPr>
            </w:pPr>
            <w:r>
              <w:rPr>
                <w:rFonts w:hint="eastAsia" w:ascii="仿宋_GB2312" w:hAnsi="仿宋_GB2312"/>
                <w:b w:val="0"/>
                <w:bCs w:val="0"/>
                <w:color w:val="auto"/>
                <w:kern w:val="0"/>
                <w:sz w:val="22"/>
                <w:szCs w:val="22"/>
                <w:highlight w:val="none"/>
                <w:lang w:val="en-US" w:eastAsia="zh-CN"/>
              </w:rPr>
              <w:t>供应商</w:t>
            </w:r>
            <w:r>
              <w:rPr>
                <w:rFonts w:hint="eastAsia" w:ascii="仿宋_GB2312" w:hAnsi="仿宋_GB2312"/>
                <w:b w:val="0"/>
                <w:bCs w:val="0"/>
                <w:color w:val="auto"/>
                <w:kern w:val="0"/>
                <w:sz w:val="22"/>
                <w:szCs w:val="22"/>
                <w:highlight w:val="none"/>
              </w:rPr>
              <w:t>业绩</w:t>
            </w:r>
          </w:p>
          <w:p w14:paraId="2FACCCBD">
            <w:pPr>
              <w:widowControl w:val="0"/>
              <w:shd w:val="clear" w:color="auto"/>
              <w:spacing w:after="120" w:afterAutospacing="0"/>
              <w:jc w:val="center"/>
              <w:rPr>
                <w:rFonts w:hint="eastAsia" w:ascii="Times New Roman" w:hAnsi="Times New Roman" w:eastAsia="宋体" w:cs="Times New Roman"/>
                <w:b w:val="0"/>
                <w:bCs w:val="0"/>
                <w:color w:val="auto"/>
                <w:kern w:val="2"/>
                <w:sz w:val="22"/>
                <w:szCs w:val="22"/>
                <w:highlight w:val="none"/>
                <w:lang w:val="en-US" w:eastAsia="zh-CN" w:bidi="ar-SA"/>
              </w:rPr>
            </w:pPr>
            <w:r>
              <w:rPr>
                <w:rFonts w:hint="eastAsia" w:ascii="Times New Roman" w:hAnsi="Times New Roman" w:eastAsia="宋体" w:cs="Times New Roman"/>
                <w:b w:val="0"/>
                <w:bCs w:val="0"/>
                <w:color w:val="auto"/>
                <w:kern w:val="2"/>
                <w:sz w:val="22"/>
                <w:szCs w:val="22"/>
                <w:highlight w:val="none"/>
                <w:lang w:val="en-US" w:eastAsia="zh-CN" w:bidi="ar-SA"/>
              </w:rPr>
              <w:t>（2分）</w:t>
            </w:r>
          </w:p>
        </w:tc>
        <w:tc>
          <w:tcPr>
            <w:tcW w:w="6617" w:type="dxa"/>
            <w:noWrap w:val="0"/>
            <w:vAlign w:val="center"/>
          </w:tcPr>
          <w:p w14:paraId="5641F38B">
            <w:pPr>
              <w:keepNext w:val="0"/>
              <w:keepLines w:val="0"/>
              <w:pageBreakBefore w:val="0"/>
              <w:widowControl/>
              <w:shd w:val="clear" w:color="auto"/>
              <w:kinsoku/>
              <w:wordWrap/>
              <w:overflowPunct/>
              <w:topLinePunct w:val="0"/>
              <w:autoSpaceDE/>
              <w:autoSpaceDN/>
              <w:bidi w:val="0"/>
              <w:adjustRightInd/>
              <w:snapToGrid/>
              <w:spacing w:line="320" w:lineRule="exact"/>
              <w:textAlignment w:val="auto"/>
              <w:rPr>
                <w:rFonts w:hint="eastAsia" w:ascii="宋体" w:hAnsi="宋体" w:cs="宋体"/>
                <w:b w:val="0"/>
                <w:bCs w:val="0"/>
                <w:color w:val="auto"/>
                <w:kern w:val="0"/>
                <w:sz w:val="22"/>
                <w:szCs w:val="22"/>
                <w:highlight w:val="none"/>
              </w:rPr>
            </w:pPr>
            <w:r>
              <w:rPr>
                <w:rFonts w:hint="eastAsia" w:ascii="仿宋_GB2312" w:hAnsi="仿宋_GB2312" w:cs="宋体"/>
                <w:b w:val="0"/>
                <w:bCs w:val="0"/>
                <w:color w:val="auto"/>
                <w:kern w:val="0"/>
                <w:sz w:val="22"/>
                <w:szCs w:val="22"/>
                <w:highlight w:val="none"/>
                <w:lang w:val="en-US" w:eastAsia="zh-CN"/>
              </w:rPr>
              <w:t>投标供应商自</w:t>
            </w:r>
            <w:r>
              <w:rPr>
                <w:rFonts w:hint="eastAsia" w:ascii="宋体" w:hAnsi="宋体" w:cs="宋体"/>
                <w:b w:val="0"/>
                <w:bCs w:val="0"/>
                <w:color w:val="auto"/>
                <w:kern w:val="0"/>
                <w:sz w:val="22"/>
                <w:szCs w:val="22"/>
                <w:highlight w:val="none"/>
              </w:rPr>
              <w:t>20</w:t>
            </w:r>
            <w:r>
              <w:rPr>
                <w:rFonts w:hint="eastAsia" w:ascii="宋体" w:hAnsi="宋体" w:cs="宋体"/>
                <w:b w:val="0"/>
                <w:bCs w:val="0"/>
                <w:color w:val="auto"/>
                <w:kern w:val="0"/>
                <w:sz w:val="22"/>
                <w:szCs w:val="22"/>
                <w:highlight w:val="none"/>
                <w:lang w:val="en-US" w:eastAsia="zh-CN"/>
              </w:rPr>
              <w:t>21</w:t>
            </w:r>
            <w:r>
              <w:rPr>
                <w:rFonts w:hint="eastAsia" w:ascii="宋体" w:hAnsi="宋体" w:cs="宋体"/>
                <w:b w:val="0"/>
                <w:bCs w:val="0"/>
                <w:color w:val="auto"/>
                <w:kern w:val="0"/>
                <w:sz w:val="22"/>
                <w:szCs w:val="22"/>
                <w:highlight w:val="none"/>
              </w:rPr>
              <w:t>年1月1日以来（以合同签订时间为准）有效的</w:t>
            </w:r>
            <w:r>
              <w:rPr>
                <w:rFonts w:hint="eastAsia" w:ascii="仿宋_GB2312" w:hAnsi="仿宋_GB2312" w:cs="宋体"/>
                <w:b w:val="0"/>
                <w:bCs w:val="0"/>
                <w:color w:val="auto"/>
                <w:kern w:val="0"/>
                <w:sz w:val="22"/>
                <w:szCs w:val="22"/>
                <w:highlight w:val="none"/>
                <w:lang w:eastAsia="zh-CN"/>
              </w:rPr>
              <w:t>类似</w:t>
            </w:r>
            <w:r>
              <w:rPr>
                <w:rFonts w:hint="eastAsia" w:ascii="宋体" w:hAnsi="宋体" w:cs="宋体"/>
                <w:b w:val="0"/>
                <w:bCs w:val="0"/>
                <w:color w:val="auto"/>
                <w:kern w:val="0"/>
                <w:sz w:val="22"/>
                <w:szCs w:val="22"/>
                <w:highlight w:val="none"/>
              </w:rPr>
              <w:t>项目业绩</w:t>
            </w:r>
            <w:r>
              <w:rPr>
                <w:rFonts w:hint="eastAsia" w:ascii="宋体" w:hAnsi="宋体" w:cs="宋体"/>
                <w:b w:val="0"/>
                <w:bCs w:val="0"/>
                <w:color w:val="auto"/>
                <w:kern w:val="0"/>
                <w:sz w:val="22"/>
                <w:szCs w:val="22"/>
                <w:highlight w:val="none"/>
                <w:lang w:eastAsia="zh-CN"/>
              </w:rPr>
              <w:t>，</w:t>
            </w:r>
            <w:r>
              <w:rPr>
                <w:rFonts w:hint="eastAsia" w:ascii="宋体" w:hAnsi="宋体" w:cs="宋体"/>
                <w:b w:val="0"/>
                <w:bCs w:val="0"/>
                <w:color w:val="auto"/>
                <w:kern w:val="0"/>
                <w:sz w:val="22"/>
                <w:szCs w:val="22"/>
                <w:highlight w:val="none"/>
                <w:lang w:val="en-US" w:eastAsia="zh-CN"/>
              </w:rPr>
              <w:t>每提供1个</w:t>
            </w:r>
            <w:r>
              <w:rPr>
                <w:rFonts w:hint="eastAsia" w:ascii="宋体" w:hAnsi="宋体" w:cs="宋体"/>
                <w:b w:val="0"/>
                <w:bCs w:val="0"/>
                <w:color w:val="auto"/>
                <w:kern w:val="0"/>
                <w:sz w:val="22"/>
                <w:szCs w:val="22"/>
                <w:highlight w:val="none"/>
              </w:rPr>
              <w:t>得1分,最高</w:t>
            </w:r>
            <w:r>
              <w:rPr>
                <w:rFonts w:hint="eastAsia" w:ascii="仿宋_GB2312" w:hAnsi="仿宋_GB2312" w:cs="宋体"/>
                <w:b w:val="0"/>
                <w:bCs w:val="0"/>
                <w:color w:val="auto"/>
                <w:kern w:val="0"/>
                <w:sz w:val="22"/>
                <w:szCs w:val="22"/>
                <w:highlight w:val="none"/>
                <w:lang w:val="en-US" w:eastAsia="zh-CN"/>
              </w:rPr>
              <w:t>2</w:t>
            </w:r>
            <w:r>
              <w:rPr>
                <w:rFonts w:hint="eastAsia" w:ascii="宋体" w:hAnsi="宋体" w:cs="宋体"/>
                <w:b w:val="0"/>
                <w:bCs w:val="0"/>
                <w:color w:val="auto"/>
                <w:kern w:val="0"/>
                <w:sz w:val="22"/>
                <w:szCs w:val="22"/>
                <w:highlight w:val="none"/>
              </w:rPr>
              <w:t>分。</w:t>
            </w:r>
          </w:p>
          <w:p w14:paraId="277B4170">
            <w:pPr>
              <w:keepNext w:val="0"/>
              <w:keepLines w:val="0"/>
              <w:pageBreakBefore w:val="0"/>
              <w:widowControl/>
              <w:shd w:val="clear" w:color="auto"/>
              <w:kinsoku/>
              <w:wordWrap/>
              <w:overflowPunct/>
              <w:topLinePunct w:val="0"/>
              <w:autoSpaceDE/>
              <w:autoSpaceDN/>
              <w:bidi w:val="0"/>
              <w:adjustRightInd/>
              <w:snapToGrid/>
              <w:spacing w:line="320" w:lineRule="exact"/>
              <w:textAlignment w:val="auto"/>
              <w:rPr>
                <w:rFonts w:hint="eastAsia" w:ascii="仿宋_GB2312" w:hAnsi="仿宋_GB2312"/>
                <w:b w:val="0"/>
                <w:bCs w:val="0"/>
                <w:color w:val="auto"/>
                <w:kern w:val="0"/>
                <w:sz w:val="22"/>
                <w:szCs w:val="22"/>
                <w:highlight w:val="none"/>
                <w:lang w:eastAsia="zh-CN" w:bidi="ar"/>
              </w:rPr>
            </w:pPr>
            <w:r>
              <w:rPr>
                <w:rFonts w:ascii="仿宋_GB2312" w:hAnsi="仿宋_GB2312"/>
                <w:b w:val="0"/>
                <w:bCs w:val="0"/>
                <w:color w:val="auto"/>
                <w:kern w:val="0"/>
                <w:sz w:val="22"/>
                <w:szCs w:val="22"/>
                <w:highlight w:val="none"/>
                <w:lang w:bidi="ar"/>
              </w:rPr>
              <w:t>（</w:t>
            </w:r>
            <w:r>
              <w:rPr>
                <w:rFonts w:hint="eastAsia" w:ascii="仿宋_GB2312" w:hAnsi="仿宋_GB2312"/>
                <w:b w:val="0"/>
                <w:bCs w:val="0"/>
                <w:color w:val="auto"/>
                <w:kern w:val="0"/>
                <w:sz w:val="22"/>
                <w:szCs w:val="22"/>
                <w:highlight w:val="none"/>
                <w:lang w:eastAsia="zh-CN" w:bidi="ar"/>
              </w:rPr>
              <w:t>须</w:t>
            </w:r>
            <w:r>
              <w:rPr>
                <w:rFonts w:ascii="仿宋_GB2312" w:hAnsi="仿宋_GB2312"/>
                <w:b w:val="0"/>
                <w:bCs w:val="0"/>
                <w:color w:val="auto"/>
                <w:kern w:val="0"/>
                <w:sz w:val="22"/>
                <w:szCs w:val="22"/>
                <w:highlight w:val="none"/>
                <w:lang w:bidi="ar"/>
              </w:rPr>
              <w:t>提供合同</w:t>
            </w:r>
            <w:r>
              <w:rPr>
                <w:rFonts w:hint="eastAsia" w:ascii="仿宋_GB2312" w:hAnsi="仿宋_GB2312"/>
                <w:b w:val="0"/>
                <w:bCs w:val="0"/>
                <w:color w:val="auto"/>
                <w:kern w:val="0"/>
                <w:sz w:val="22"/>
                <w:szCs w:val="22"/>
                <w:highlight w:val="none"/>
                <w:lang w:eastAsia="zh-CN" w:bidi="ar"/>
              </w:rPr>
              <w:t>和业主评价书（业主评价书须体现业主对投标供应商该项目业绩的评价，如合格或不合格等），</w:t>
            </w:r>
            <w:r>
              <w:rPr>
                <w:rFonts w:hint="eastAsia" w:ascii="仿宋_GB2312" w:hAnsi="仿宋_GB2312"/>
                <w:b w:val="0"/>
                <w:bCs w:val="0"/>
                <w:color w:val="auto"/>
                <w:kern w:val="0"/>
                <w:sz w:val="22"/>
                <w:szCs w:val="22"/>
                <w:highlight w:val="none"/>
                <w:lang w:bidi="ar"/>
              </w:rPr>
              <w:t>扫描件</w:t>
            </w:r>
            <w:r>
              <w:rPr>
                <w:rFonts w:ascii="仿宋_GB2312" w:hAnsi="仿宋_GB2312"/>
                <w:b w:val="0"/>
                <w:bCs w:val="0"/>
                <w:color w:val="auto"/>
                <w:kern w:val="0"/>
                <w:sz w:val="22"/>
                <w:szCs w:val="22"/>
                <w:highlight w:val="none"/>
                <w:lang w:bidi="ar"/>
              </w:rPr>
              <w:t>加盖投标人</w:t>
            </w:r>
            <w:r>
              <w:rPr>
                <w:rFonts w:hint="eastAsia" w:ascii="仿宋_GB2312" w:hAnsi="仿宋_GB2312"/>
                <w:b w:val="0"/>
                <w:bCs w:val="0"/>
                <w:color w:val="auto"/>
                <w:kern w:val="0"/>
                <w:sz w:val="22"/>
                <w:szCs w:val="22"/>
                <w:highlight w:val="none"/>
                <w:lang w:eastAsia="zh-CN" w:bidi="ar"/>
              </w:rPr>
              <w:t>电子</w:t>
            </w:r>
            <w:r>
              <w:rPr>
                <w:rFonts w:ascii="仿宋_GB2312" w:hAnsi="仿宋_GB2312"/>
                <w:b w:val="0"/>
                <w:bCs w:val="0"/>
                <w:color w:val="auto"/>
                <w:kern w:val="0"/>
                <w:sz w:val="22"/>
                <w:szCs w:val="22"/>
                <w:highlight w:val="none"/>
                <w:lang w:bidi="ar"/>
              </w:rPr>
              <w:t>公章</w:t>
            </w:r>
            <w:r>
              <w:rPr>
                <w:rFonts w:hint="eastAsia" w:ascii="仿宋_GB2312" w:hAnsi="仿宋_GB2312"/>
                <w:b w:val="0"/>
                <w:bCs w:val="0"/>
                <w:color w:val="auto"/>
                <w:kern w:val="0"/>
                <w:sz w:val="22"/>
                <w:szCs w:val="22"/>
                <w:highlight w:val="none"/>
                <w:lang w:eastAsia="zh-CN" w:bidi="ar"/>
              </w:rPr>
              <w:t>，否则不得分。</w:t>
            </w:r>
            <w:r>
              <w:rPr>
                <w:rFonts w:ascii="仿宋_GB2312" w:hAnsi="仿宋_GB2312"/>
                <w:b w:val="0"/>
                <w:bCs w:val="0"/>
                <w:color w:val="auto"/>
                <w:kern w:val="0"/>
                <w:sz w:val="22"/>
                <w:szCs w:val="22"/>
                <w:highlight w:val="none"/>
                <w:lang w:bidi="ar"/>
              </w:rPr>
              <w:t>）</w:t>
            </w:r>
          </w:p>
          <w:p w14:paraId="45F6D06D">
            <w:pPr>
              <w:keepNext w:val="0"/>
              <w:keepLines w:val="0"/>
              <w:pageBreakBefore w:val="0"/>
              <w:widowControl/>
              <w:shd w:val="clear" w:color="auto"/>
              <w:kinsoku/>
              <w:wordWrap/>
              <w:overflowPunct/>
              <w:topLinePunct w:val="0"/>
              <w:autoSpaceDE/>
              <w:autoSpaceDN/>
              <w:bidi w:val="0"/>
              <w:adjustRightInd/>
              <w:snapToGrid/>
              <w:spacing w:line="320" w:lineRule="exact"/>
              <w:textAlignment w:val="auto"/>
              <w:rPr>
                <w:rFonts w:hint="eastAsia" w:ascii="仿宋_GB2312" w:hAnsi="仿宋_GB2312"/>
                <w:b w:val="0"/>
                <w:bCs w:val="0"/>
                <w:color w:val="auto"/>
                <w:kern w:val="0"/>
                <w:sz w:val="22"/>
                <w:szCs w:val="22"/>
                <w:highlight w:val="none"/>
              </w:rPr>
            </w:pPr>
            <w:r>
              <w:rPr>
                <w:rFonts w:hint="eastAsia" w:ascii="仿宋_GB2312" w:hAnsi="仿宋_GB2312"/>
                <w:b w:val="0"/>
                <w:bCs w:val="0"/>
                <w:color w:val="auto"/>
                <w:kern w:val="0"/>
                <w:sz w:val="21"/>
                <w:szCs w:val="21"/>
                <w:highlight w:val="none"/>
                <w:lang w:eastAsia="zh-CN" w:bidi="ar"/>
              </w:rPr>
              <w:t>中标后中标供应商须提供</w:t>
            </w:r>
            <w:r>
              <w:rPr>
                <w:rFonts w:hint="eastAsia" w:ascii="仿宋_GB2312" w:hAnsi="仿宋_GB2312"/>
                <w:b w:val="0"/>
                <w:bCs w:val="0"/>
                <w:color w:val="auto"/>
                <w:kern w:val="0"/>
                <w:sz w:val="21"/>
                <w:szCs w:val="21"/>
                <w:highlight w:val="none"/>
              </w:rPr>
              <w:t>相关文件资料的原件</w:t>
            </w:r>
            <w:r>
              <w:rPr>
                <w:rFonts w:hint="eastAsia" w:ascii="仿宋_GB2312" w:hAnsi="仿宋_GB2312"/>
                <w:b w:val="0"/>
                <w:bCs w:val="0"/>
                <w:color w:val="auto"/>
                <w:kern w:val="0"/>
                <w:sz w:val="21"/>
                <w:szCs w:val="21"/>
                <w:highlight w:val="none"/>
                <w:lang w:eastAsia="zh-CN"/>
              </w:rPr>
              <w:t>给采购人</w:t>
            </w:r>
            <w:r>
              <w:rPr>
                <w:rFonts w:hint="eastAsia" w:ascii="仿宋_GB2312" w:hAnsi="仿宋_GB2312"/>
                <w:b w:val="0"/>
                <w:bCs w:val="0"/>
                <w:color w:val="auto"/>
                <w:kern w:val="0"/>
                <w:sz w:val="21"/>
                <w:szCs w:val="21"/>
                <w:highlight w:val="none"/>
              </w:rPr>
              <w:t>进行审核；如无法提供原件或提供的原件与其投标文件中的不符，采购人有权取消其中标资格，并提交主管部门处理。</w:t>
            </w:r>
          </w:p>
        </w:tc>
        <w:tc>
          <w:tcPr>
            <w:tcW w:w="829" w:type="dxa"/>
            <w:noWrap w:val="0"/>
            <w:vAlign w:val="center"/>
          </w:tcPr>
          <w:p w14:paraId="5E555826">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仿宋_GB2312" w:hAnsi="仿宋_GB2312"/>
                <w:b w:val="0"/>
                <w:bCs w:val="0"/>
                <w:color w:val="auto"/>
                <w:kern w:val="0"/>
                <w:sz w:val="22"/>
                <w:szCs w:val="22"/>
                <w:highlight w:val="none"/>
              </w:rPr>
            </w:pPr>
            <w:r>
              <w:rPr>
                <w:rFonts w:hint="eastAsia" w:ascii="仿宋_GB2312" w:hAnsi="仿宋_GB2312"/>
                <w:b w:val="0"/>
                <w:bCs w:val="0"/>
                <w:color w:val="auto"/>
                <w:kern w:val="0"/>
                <w:sz w:val="22"/>
                <w:szCs w:val="22"/>
                <w:highlight w:val="none"/>
              </w:rPr>
              <w:t>0-</w:t>
            </w:r>
            <w:r>
              <w:rPr>
                <w:rFonts w:hint="eastAsia" w:ascii="仿宋_GB2312" w:hAnsi="仿宋_GB2312"/>
                <w:b w:val="0"/>
                <w:bCs w:val="0"/>
                <w:color w:val="auto"/>
                <w:kern w:val="0"/>
                <w:sz w:val="22"/>
                <w:szCs w:val="22"/>
                <w:highlight w:val="none"/>
                <w:lang w:val="en-US" w:eastAsia="zh-CN"/>
              </w:rPr>
              <w:t>2</w:t>
            </w:r>
            <w:r>
              <w:rPr>
                <w:rFonts w:hint="eastAsia" w:ascii="仿宋_GB2312" w:hAnsi="仿宋_GB2312"/>
                <w:b w:val="0"/>
                <w:bCs w:val="0"/>
                <w:color w:val="auto"/>
                <w:kern w:val="0"/>
                <w:sz w:val="22"/>
                <w:szCs w:val="22"/>
                <w:highlight w:val="none"/>
              </w:rPr>
              <w:t>分</w:t>
            </w:r>
          </w:p>
        </w:tc>
      </w:tr>
      <w:tr w14:paraId="285F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63" w:type="dxa"/>
            <w:noWrap w:val="0"/>
            <w:tcMar>
              <w:top w:w="15" w:type="dxa"/>
              <w:left w:w="15" w:type="dxa"/>
              <w:right w:w="15" w:type="dxa"/>
            </w:tcMar>
            <w:vAlign w:val="center"/>
          </w:tcPr>
          <w:p w14:paraId="429AADB0">
            <w:pPr>
              <w:widowControl/>
              <w:shd w:val="clear" w:color="auto"/>
              <w:jc w:val="center"/>
              <w:textAlignment w:val="center"/>
              <w:rPr>
                <w:rFonts w:hint="eastAsia" w:ascii="宋体" w:hAnsi="宋体" w:eastAsia="宋体" w:cs="宋体"/>
                <w:b w:val="0"/>
                <w:bCs w:val="0"/>
                <w:color w:val="auto"/>
                <w:kern w:val="0"/>
                <w:sz w:val="22"/>
                <w:szCs w:val="22"/>
                <w:highlight w:val="none"/>
                <w:lang w:eastAsia="zh-CN"/>
              </w:rPr>
            </w:pPr>
            <w:r>
              <w:rPr>
                <w:rFonts w:hint="eastAsia" w:ascii="宋体" w:hAnsi="宋体" w:cs="宋体"/>
                <w:b w:val="0"/>
                <w:bCs w:val="0"/>
                <w:color w:val="auto"/>
                <w:kern w:val="0"/>
                <w:sz w:val="22"/>
                <w:szCs w:val="22"/>
                <w:highlight w:val="none"/>
                <w:lang w:val="en-US" w:eastAsia="zh-CN" w:bidi="ar"/>
              </w:rPr>
              <w:t>3</w:t>
            </w:r>
          </w:p>
        </w:tc>
        <w:tc>
          <w:tcPr>
            <w:tcW w:w="1506" w:type="dxa"/>
            <w:noWrap w:val="0"/>
            <w:tcMar>
              <w:top w:w="15" w:type="dxa"/>
              <w:left w:w="15" w:type="dxa"/>
              <w:right w:w="15" w:type="dxa"/>
            </w:tcMar>
            <w:vAlign w:val="center"/>
          </w:tcPr>
          <w:p w14:paraId="084A7DF5">
            <w:pPr>
              <w:widowControl/>
              <w:shd w:val="clear" w:color="auto"/>
              <w:jc w:val="center"/>
              <w:textAlignment w:val="center"/>
              <w:rPr>
                <w:rFonts w:hint="eastAsia" w:ascii="宋体" w:hAnsi="宋体" w:cs="宋体"/>
                <w:b w:val="0"/>
                <w:bCs w:val="0"/>
                <w:color w:val="auto"/>
                <w:kern w:val="0"/>
                <w:sz w:val="22"/>
                <w:szCs w:val="22"/>
                <w:highlight w:val="none"/>
                <w:lang w:bidi="ar"/>
              </w:rPr>
            </w:pPr>
            <w:r>
              <w:rPr>
                <w:rFonts w:hint="eastAsia" w:ascii="宋体" w:hAnsi="宋体" w:cs="宋体"/>
                <w:b w:val="0"/>
                <w:bCs w:val="0"/>
                <w:color w:val="auto"/>
                <w:kern w:val="0"/>
                <w:sz w:val="22"/>
                <w:szCs w:val="22"/>
                <w:highlight w:val="none"/>
                <w:lang w:bidi="ar"/>
              </w:rPr>
              <w:t>管理服务机构设置方案、运作流程、管理方法及计划、应对突发事情的响应及处理方案</w:t>
            </w:r>
          </w:p>
          <w:p w14:paraId="5B62C9CF">
            <w:pPr>
              <w:widowControl/>
              <w:shd w:val="clear" w:color="auto"/>
              <w:jc w:val="center"/>
              <w:textAlignment w:val="center"/>
              <w:rPr>
                <w:rFonts w:hint="eastAsia" w:ascii="宋体" w:hAnsi="宋体" w:eastAsia="宋体" w:cs="宋体"/>
                <w:b w:val="0"/>
                <w:bCs w:val="0"/>
                <w:color w:val="auto"/>
                <w:kern w:val="0"/>
                <w:sz w:val="22"/>
                <w:szCs w:val="22"/>
                <w:highlight w:val="none"/>
                <w:lang w:eastAsia="zh-CN"/>
              </w:rPr>
            </w:pPr>
            <w:r>
              <w:rPr>
                <w:rFonts w:hint="eastAsia" w:ascii="宋体" w:hAnsi="宋体" w:cs="宋体"/>
                <w:b w:val="0"/>
                <w:bCs w:val="0"/>
                <w:color w:val="auto"/>
                <w:kern w:val="0"/>
                <w:sz w:val="22"/>
                <w:szCs w:val="22"/>
                <w:highlight w:val="none"/>
                <w:lang w:eastAsia="zh-CN" w:bidi="ar"/>
              </w:rPr>
              <w:t>（</w:t>
            </w:r>
            <w:r>
              <w:rPr>
                <w:rFonts w:hint="eastAsia" w:ascii="宋体" w:hAnsi="宋体" w:cs="宋体"/>
                <w:b w:val="0"/>
                <w:bCs w:val="0"/>
                <w:color w:val="auto"/>
                <w:kern w:val="0"/>
                <w:sz w:val="22"/>
                <w:szCs w:val="22"/>
                <w:highlight w:val="none"/>
                <w:lang w:val="en-US" w:eastAsia="zh-CN" w:bidi="ar"/>
              </w:rPr>
              <w:t>10分</w:t>
            </w:r>
            <w:r>
              <w:rPr>
                <w:rFonts w:hint="eastAsia" w:ascii="宋体" w:hAnsi="宋体" w:cs="宋体"/>
                <w:b w:val="0"/>
                <w:bCs w:val="0"/>
                <w:color w:val="auto"/>
                <w:kern w:val="0"/>
                <w:sz w:val="22"/>
                <w:szCs w:val="22"/>
                <w:highlight w:val="none"/>
                <w:lang w:eastAsia="zh-CN" w:bidi="ar"/>
              </w:rPr>
              <w:t>）</w:t>
            </w:r>
          </w:p>
          <w:p w14:paraId="1547ACDB">
            <w:pPr>
              <w:widowControl/>
              <w:shd w:val="clear" w:color="auto"/>
              <w:jc w:val="center"/>
              <w:textAlignment w:val="center"/>
              <w:rPr>
                <w:rFonts w:hint="eastAsia" w:ascii="宋体" w:hAnsi="宋体" w:cs="宋体"/>
                <w:b w:val="0"/>
                <w:bCs w:val="0"/>
                <w:color w:val="auto"/>
                <w:kern w:val="0"/>
                <w:sz w:val="22"/>
                <w:szCs w:val="22"/>
                <w:highlight w:val="none"/>
              </w:rPr>
            </w:pPr>
          </w:p>
        </w:tc>
        <w:tc>
          <w:tcPr>
            <w:tcW w:w="6617" w:type="dxa"/>
            <w:noWrap w:val="0"/>
            <w:tcMar>
              <w:top w:w="15" w:type="dxa"/>
              <w:left w:w="15" w:type="dxa"/>
              <w:right w:w="15" w:type="dxa"/>
            </w:tcMar>
            <w:vAlign w:val="center"/>
          </w:tcPr>
          <w:p w14:paraId="143EE9A4">
            <w:pPr>
              <w:widowControl/>
              <w:numPr>
                <w:ilvl w:val="0"/>
                <w:numId w:val="13"/>
              </w:numPr>
              <w:shd w:val="clear" w:color="auto"/>
              <w:jc w:val="left"/>
              <w:textAlignment w:val="center"/>
              <w:rPr>
                <w:rFonts w:hint="eastAsia" w:ascii="宋体" w:hAnsi="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根据供应商针对本项目提供的</w:t>
            </w:r>
            <w:r>
              <w:rPr>
                <w:rFonts w:hint="eastAsia" w:ascii="宋体" w:hAnsi="宋体" w:eastAsia="宋体" w:cs="宋体"/>
                <w:b w:val="0"/>
                <w:bCs w:val="0"/>
                <w:color w:val="auto"/>
                <w:kern w:val="0"/>
                <w:sz w:val="22"/>
                <w:szCs w:val="22"/>
                <w:highlight w:val="none"/>
              </w:rPr>
              <w:t>管理服务机构设置方案、运作流程</w:t>
            </w:r>
            <w:r>
              <w:rPr>
                <w:rFonts w:hint="eastAsia" w:ascii="宋体" w:hAnsi="宋体" w:eastAsia="宋体" w:cs="宋体"/>
                <w:b w:val="0"/>
                <w:bCs w:val="0"/>
                <w:color w:val="auto"/>
                <w:kern w:val="0"/>
                <w:sz w:val="22"/>
                <w:szCs w:val="22"/>
                <w:highlight w:val="none"/>
                <w:lang w:val="en-US" w:eastAsia="zh-CN"/>
              </w:rPr>
              <w:t>的合理性、科学性、高效性进行评审。</w:t>
            </w:r>
            <w:r>
              <w:rPr>
                <w:rFonts w:hint="eastAsia" w:ascii="宋体" w:hAnsi="宋体" w:cs="宋体"/>
                <w:b w:val="0"/>
                <w:bCs w:val="0"/>
                <w:color w:val="auto"/>
                <w:kern w:val="0"/>
                <w:sz w:val="22"/>
                <w:szCs w:val="22"/>
                <w:highlight w:val="none"/>
                <w:lang w:val="en-US" w:eastAsia="zh-CN"/>
              </w:rPr>
              <w:t>（评分范围：3,2,1,0）</w:t>
            </w:r>
          </w:p>
          <w:p w14:paraId="442E0790">
            <w:pPr>
              <w:widowControl/>
              <w:numPr>
                <w:ilvl w:val="0"/>
                <w:numId w:val="0"/>
              </w:numPr>
              <w:shd w:val="clear" w:color="auto"/>
              <w:jc w:val="left"/>
              <w:textAlignment w:val="center"/>
              <w:rPr>
                <w:rFonts w:hint="eastAsia" w:ascii="宋体" w:hAnsi="宋体" w:eastAsia="宋体" w:cs="宋体"/>
                <w:b w:val="0"/>
                <w:bCs w:val="0"/>
                <w:color w:val="auto"/>
                <w:kern w:val="0"/>
                <w:sz w:val="22"/>
                <w:szCs w:val="22"/>
                <w:highlight w:val="none"/>
              </w:rPr>
            </w:pPr>
            <w:r>
              <w:rPr>
                <w:rFonts w:hint="eastAsia" w:ascii="宋体" w:hAnsi="宋体" w:eastAsia="宋体" w:cs="宋体"/>
                <w:b w:val="0"/>
                <w:bCs w:val="0"/>
                <w:color w:val="auto"/>
                <w:kern w:val="0"/>
                <w:sz w:val="22"/>
                <w:szCs w:val="22"/>
                <w:highlight w:val="none"/>
                <w:lang w:val="en-US" w:eastAsia="zh-CN"/>
              </w:rPr>
              <w:t>2.</w:t>
            </w:r>
            <w:r>
              <w:rPr>
                <w:rFonts w:hint="eastAsia" w:ascii="宋体" w:hAnsi="宋体" w:eastAsia="宋体" w:cs="宋体"/>
                <w:b w:val="0"/>
                <w:bCs w:val="0"/>
                <w:color w:val="auto"/>
                <w:kern w:val="0"/>
                <w:sz w:val="22"/>
                <w:szCs w:val="22"/>
                <w:highlight w:val="none"/>
              </w:rPr>
              <w:t>根据</w:t>
            </w:r>
            <w:r>
              <w:rPr>
                <w:rFonts w:hint="eastAsia" w:ascii="宋体" w:hAnsi="宋体" w:eastAsia="宋体" w:cs="宋体"/>
                <w:b w:val="0"/>
                <w:bCs w:val="0"/>
                <w:color w:val="auto"/>
                <w:kern w:val="0"/>
                <w:sz w:val="22"/>
                <w:szCs w:val="22"/>
                <w:highlight w:val="none"/>
                <w:lang w:val="en-US" w:eastAsia="zh-CN"/>
              </w:rPr>
              <w:t>供应商针对本项目提供的</w:t>
            </w:r>
            <w:r>
              <w:rPr>
                <w:rFonts w:hint="eastAsia" w:ascii="宋体" w:hAnsi="宋体" w:eastAsia="宋体" w:cs="宋体"/>
                <w:b w:val="0"/>
                <w:bCs w:val="0"/>
                <w:color w:val="auto"/>
                <w:kern w:val="0"/>
                <w:sz w:val="22"/>
                <w:szCs w:val="22"/>
                <w:highlight w:val="none"/>
              </w:rPr>
              <w:t>激励机制、监督机制、自我约束机制和信息反馈渠道</w:t>
            </w:r>
            <w:r>
              <w:rPr>
                <w:rFonts w:hint="eastAsia" w:ascii="宋体" w:hAnsi="宋体" w:eastAsia="宋体" w:cs="宋体"/>
                <w:b w:val="0"/>
                <w:bCs w:val="0"/>
                <w:color w:val="auto"/>
                <w:kern w:val="0"/>
                <w:sz w:val="22"/>
                <w:szCs w:val="22"/>
                <w:highlight w:val="none"/>
                <w:lang w:val="en-US" w:eastAsia="zh-CN"/>
              </w:rPr>
              <w:t>合理性、科学性、高效性进行评审。</w:t>
            </w:r>
            <w:r>
              <w:rPr>
                <w:rFonts w:hint="eastAsia" w:ascii="宋体" w:hAnsi="宋体" w:cs="宋体"/>
                <w:b w:val="0"/>
                <w:bCs w:val="0"/>
                <w:color w:val="auto"/>
                <w:kern w:val="0"/>
                <w:sz w:val="22"/>
                <w:szCs w:val="22"/>
                <w:highlight w:val="none"/>
                <w:lang w:val="en-US" w:eastAsia="zh-CN"/>
              </w:rPr>
              <w:t>（评分范围：3,2,1,0）</w:t>
            </w:r>
          </w:p>
          <w:p w14:paraId="17CD41F9">
            <w:pPr>
              <w:widowControl/>
              <w:shd w:val="clear" w:color="auto"/>
              <w:jc w:val="left"/>
              <w:textAlignment w:val="center"/>
              <w:rPr>
                <w:rFonts w:hint="eastAsia" w:ascii="宋体" w:hAnsi="宋体" w:eastAsia="宋体" w:cs="宋体"/>
                <w:b w:val="0"/>
                <w:bCs w:val="0"/>
                <w:color w:val="auto"/>
                <w:kern w:val="0"/>
                <w:sz w:val="22"/>
                <w:szCs w:val="22"/>
                <w:highlight w:val="none"/>
              </w:rPr>
            </w:pPr>
            <w:r>
              <w:rPr>
                <w:rFonts w:hint="eastAsia" w:ascii="宋体" w:hAnsi="宋体" w:eastAsia="宋体" w:cs="宋体"/>
                <w:b w:val="0"/>
                <w:bCs w:val="0"/>
                <w:color w:val="auto"/>
                <w:kern w:val="0"/>
                <w:sz w:val="22"/>
                <w:szCs w:val="22"/>
                <w:highlight w:val="none"/>
                <w:lang w:val="en-US" w:eastAsia="zh-CN"/>
              </w:rPr>
              <w:t>3.</w:t>
            </w:r>
            <w:r>
              <w:rPr>
                <w:rFonts w:hint="eastAsia" w:ascii="宋体" w:hAnsi="宋体" w:eastAsia="宋体" w:cs="宋体"/>
                <w:b w:val="0"/>
                <w:bCs w:val="0"/>
                <w:color w:val="auto"/>
                <w:kern w:val="0"/>
                <w:sz w:val="22"/>
                <w:szCs w:val="22"/>
                <w:highlight w:val="none"/>
              </w:rPr>
              <w:t>根据</w:t>
            </w:r>
            <w:r>
              <w:rPr>
                <w:rFonts w:hint="eastAsia" w:ascii="宋体" w:hAnsi="宋体" w:eastAsia="宋体" w:cs="宋体"/>
                <w:b w:val="0"/>
                <w:bCs w:val="0"/>
                <w:color w:val="auto"/>
                <w:kern w:val="0"/>
                <w:sz w:val="22"/>
                <w:szCs w:val="22"/>
                <w:highlight w:val="none"/>
                <w:lang w:val="en-US" w:eastAsia="zh-CN"/>
              </w:rPr>
              <w:t>供应商针对本项目提供的</w:t>
            </w:r>
            <w:r>
              <w:rPr>
                <w:rFonts w:hint="eastAsia" w:ascii="宋体" w:hAnsi="宋体" w:eastAsia="宋体" w:cs="宋体"/>
                <w:b w:val="0"/>
                <w:bCs w:val="0"/>
                <w:color w:val="auto"/>
                <w:kern w:val="0"/>
                <w:sz w:val="22"/>
                <w:szCs w:val="22"/>
                <w:highlight w:val="none"/>
              </w:rPr>
              <w:t>应对突发事情的响应及处理方案</w:t>
            </w:r>
            <w:r>
              <w:rPr>
                <w:rFonts w:hint="eastAsia" w:ascii="宋体" w:hAnsi="宋体" w:eastAsia="宋体" w:cs="宋体"/>
                <w:b w:val="0"/>
                <w:bCs w:val="0"/>
                <w:color w:val="auto"/>
                <w:kern w:val="0"/>
                <w:sz w:val="22"/>
                <w:szCs w:val="22"/>
                <w:highlight w:val="none"/>
                <w:lang w:val="en-US" w:eastAsia="zh-CN"/>
              </w:rPr>
              <w:t>的合理性、科学性、高效性进行评审。</w:t>
            </w:r>
            <w:r>
              <w:rPr>
                <w:rFonts w:hint="eastAsia" w:ascii="宋体" w:hAnsi="宋体" w:cs="宋体"/>
                <w:b w:val="0"/>
                <w:bCs w:val="0"/>
                <w:color w:val="auto"/>
                <w:kern w:val="0"/>
                <w:sz w:val="22"/>
                <w:szCs w:val="22"/>
                <w:highlight w:val="none"/>
                <w:lang w:val="en-US" w:eastAsia="zh-CN"/>
              </w:rPr>
              <w:t>（评分范围：4,3,2,1,0）</w:t>
            </w:r>
          </w:p>
        </w:tc>
        <w:tc>
          <w:tcPr>
            <w:tcW w:w="829" w:type="dxa"/>
            <w:noWrap w:val="0"/>
            <w:tcMar>
              <w:top w:w="15" w:type="dxa"/>
              <w:left w:w="15" w:type="dxa"/>
              <w:right w:w="15" w:type="dxa"/>
            </w:tcMar>
            <w:vAlign w:val="center"/>
          </w:tcPr>
          <w:p w14:paraId="3E77FCBA">
            <w:pPr>
              <w:widowControl w:val="0"/>
              <w:shd w:val="clear" w:color="auto"/>
              <w:autoSpaceDE/>
              <w:autoSpaceDN/>
              <w:adjustRightInd/>
              <w:spacing w:after="120" w:afterAutospacing="0"/>
              <w:ind w:firstLine="0" w:firstLineChars="0"/>
              <w:jc w:val="both"/>
              <w:rPr>
                <w:rFonts w:hint="default" w:ascii="宋体" w:hAnsi="宋体" w:eastAsia="宋体" w:cs="宋体"/>
                <w:b w:val="0"/>
                <w:bCs w:val="0"/>
                <w:color w:val="auto"/>
                <w:kern w:val="2"/>
                <w:sz w:val="22"/>
                <w:szCs w:val="22"/>
                <w:highlight w:val="none"/>
                <w:lang w:val="en-US" w:eastAsia="zh-CN" w:bidi="ar"/>
              </w:rPr>
            </w:pPr>
            <w:r>
              <w:rPr>
                <w:rFonts w:hint="eastAsia" w:ascii="宋体" w:hAnsi="宋体" w:eastAsia="宋体" w:cs="宋体"/>
                <w:b w:val="0"/>
                <w:bCs w:val="0"/>
                <w:color w:val="auto"/>
                <w:kern w:val="2"/>
                <w:sz w:val="22"/>
                <w:szCs w:val="22"/>
                <w:highlight w:val="none"/>
                <w:lang w:val="en-US" w:eastAsia="zh-CN" w:bidi="ar"/>
              </w:rPr>
              <w:t>0-10分</w:t>
            </w:r>
          </w:p>
        </w:tc>
      </w:tr>
      <w:tr w14:paraId="42F7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463" w:type="dxa"/>
            <w:vMerge w:val="restart"/>
            <w:noWrap w:val="0"/>
            <w:tcMar>
              <w:top w:w="15" w:type="dxa"/>
              <w:left w:w="15" w:type="dxa"/>
              <w:right w:w="15" w:type="dxa"/>
            </w:tcMar>
            <w:vAlign w:val="center"/>
          </w:tcPr>
          <w:p w14:paraId="0BDADD28">
            <w:pPr>
              <w:widowControl/>
              <w:shd w:val="clear" w:color="auto"/>
              <w:jc w:val="center"/>
              <w:textAlignment w:val="center"/>
              <w:rPr>
                <w:rFonts w:hint="eastAsia" w:ascii="宋体" w:hAnsi="宋体" w:eastAsia="宋体" w:cs="宋体"/>
                <w:b w:val="0"/>
                <w:bCs w:val="0"/>
                <w:color w:val="auto"/>
                <w:kern w:val="0"/>
                <w:sz w:val="22"/>
                <w:szCs w:val="22"/>
                <w:highlight w:val="none"/>
                <w:lang w:eastAsia="zh-CN"/>
              </w:rPr>
            </w:pPr>
            <w:r>
              <w:rPr>
                <w:rFonts w:hint="eastAsia" w:ascii="宋体" w:hAnsi="宋体" w:cs="宋体"/>
                <w:b w:val="0"/>
                <w:bCs w:val="0"/>
                <w:color w:val="auto"/>
                <w:kern w:val="0"/>
                <w:sz w:val="22"/>
                <w:szCs w:val="22"/>
                <w:highlight w:val="none"/>
                <w:lang w:val="en-US" w:eastAsia="zh-CN" w:bidi="ar"/>
              </w:rPr>
              <w:t>4</w:t>
            </w:r>
          </w:p>
        </w:tc>
        <w:tc>
          <w:tcPr>
            <w:tcW w:w="1506" w:type="dxa"/>
            <w:vMerge w:val="restart"/>
            <w:noWrap w:val="0"/>
            <w:tcMar>
              <w:top w:w="15" w:type="dxa"/>
              <w:left w:w="15" w:type="dxa"/>
              <w:right w:w="15" w:type="dxa"/>
            </w:tcMar>
            <w:vAlign w:val="center"/>
          </w:tcPr>
          <w:p w14:paraId="17493E46">
            <w:pPr>
              <w:widowControl/>
              <w:shd w:val="clear" w:color="auto"/>
              <w:jc w:val="center"/>
              <w:textAlignment w:val="center"/>
              <w:rPr>
                <w:rFonts w:hint="eastAsia" w:ascii="宋体" w:hAnsi="宋体" w:eastAsia="宋体" w:cs="宋体"/>
                <w:b w:val="0"/>
                <w:bCs w:val="0"/>
                <w:color w:val="auto"/>
                <w:kern w:val="0"/>
                <w:sz w:val="22"/>
                <w:szCs w:val="22"/>
                <w:highlight w:val="none"/>
                <w:lang w:eastAsia="zh-CN"/>
              </w:rPr>
            </w:pPr>
            <w:r>
              <w:rPr>
                <w:rFonts w:hint="eastAsia" w:ascii="宋体" w:hAnsi="宋体" w:cs="宋体"/>
                <w:b w:val="0"/>
                <w:bCs w:val="0"/>
                <w:color w:val="auto"/>
                <w:kern w:val="0"/>
                <w:sz w:val="22"/>
                <w:szCs w:val="22"/>
                <w:highlight w:val="none"/>
                <w:lang w:bidi="ar"/>
              </w:rPr>
              <w:t>绿化养护作业人员配备方案</w:t>
            </w:r>
            <w:r>
              <w:rPr>
                <w:rFonts w:hint="eastAsia" w:ascii="宋体" w:hAnsi="宋体" w:cs="宋体"/>
                <w:b w:val="0"/>
                <w:bCs w:val="0"/>
                <w:color w:val="auto"/>
                <w:kern w:val="0"/>
                <w:sz w:val="22"/>
                <w:szCs w:val="22"/>
                <w:highlight w:val="none"/>
                <w:lang w:eastAsia="zh-CN" w:bidi="ar"/>
              </w:rPr>
              <w:t>（</w:t>
            </w:r>
            <w:r>
              <w:rPr>
                <w:rFonts w:hint="eastAsia" w:ascii="宋体" w:hAnsi="宋体" w:cs="宋体"/>
                <w:b w:val="0"/>
                <w:bCs w:val="0"/>
                <w:color w:val="auto"/>
                <w:kern w:val="0"/>
                <w:sz w:val="22"/>
                <w:szCs w:val="22"/>
                <w:highlight w:val="none"/>
                <w:lang w:val="en-US" w:eastAsia="zh-CN" w:bidi="ar"/>
              </w:rPr>
              <w:t>19分</w:t>
            </w:r>
            <w:r>
              <w:rPr>
                <w:rFonts w:hint="eastAsia" w:ascii="宋体" w:hAnsi="宋体" w:cs="宋体"/>
                <w:b w:val="0"/>
                <w:bCs w:val="0"/>
                <w:color w:val="auto"/>
                <w:kern w:val="0"/>
                <w:sz w:val="22"/>
                <w:szCs w:val="22"/>
                <w:highlight w:val="none"/>
                <w:lang w:eastAsia="zh-CN" w:bidi="ar"/>
              </w:rPr>
              <w:t>）</w:t>
            </w:r>
          </w:p>
          <w:p w14:paraId="62DA5949">
            <w:pPr>
              <w:widowControl/>
              <w:shd w:val="clear" w:color="auto"/>
              <w:jc w:val="center"/>
              <w:textAlignment w:val="center"/>
              <w:rPr>
                <w:rFonts w:hint="eastAsia" w:ascii="宋体" w:hAnsi="宋体" w:cs="宋体"/>
                <w:b w:val="0"/>
                <w:bCs w:val="0"/>
                <w:color w:val="auto"/>
                <w:kern w:val="0"/>
                <w:sz w:val="22"/>
                <w:szCs w:val="22"/>
                <w:highlight w:val="none"/>
              </w:rPr>
            </w:pPr>
          </w:p>
        </w:tc>
        <w:tc>
          <w:tcPr>
            <w:tcW w:w="6617" w:type="dxa"/>
            <w:noWrap w:val="0"/>
            <w:tcMar>
              <w:top w:w="15" w:type="dxa"/>
              <w:left w:w="15" w:type="dxa"/>
              <w:right w:w="15" w:type="dxa"/>
            </w:tcMar>
            <w:vAlign w:val="center"/>
          </w:tcPr>
          <w:p w14:paraId="117ABB40">
            <w:pPr>
              <w:keepNext w:val="0"/>
              <w:keepLines w:val="0"/>
              <w:pageBreakBefore w:val="0"/>
              <w:widowControl/>
              <w:numPr>
                <w:ilvl w:val="0"/>
                <w:numId w:val="0"/>
              </w:numPr>
              <w:shd w:val="clear" w:color="auto"/>
              <w:kinsoku/>
              <w:wordWrap/>
              <w:overflowPunct/>
              <w:topLinePunct w:val="0"/>
              <w:autoSpaceDE/>
              <w:autoSpaceDN/>
              <w:bidi w:val="0"/>
              <w:adjustRightInd/>
              <w:snapToGrid/>
              <w:spacing w:line="320" w:lineRule="exact"/>
              <w:textAlignment w:val="auto"/>
              <w:rPr>
                <w:rFonts w:hint="eastAsia" w:ascii="仿宋_GB2312" w:hAnsi="仿宋_GB2312" w:eastAsia="宋体"/>
                <w:b w:val="0"/>
                <w:bCs w:val="0"/>
                <w:color w:val="auto"/>
                <w:kern w:val="0"/>
                <w:sz w:val="22"/>
                <w:szCs w:val="22"/>
                <w:highlight w:val="none"/>
                <w:lang w:eastAsia="zh-CN"/>
              </w:rPr>
            </w:pPr>
            <w:r>
              <w:rPr>
                <w:rFonts w:hint="eastAsia" w:ascii="仿宋_GB2312" w:hAnsi="仿宋_GB2312"/>
                <w:b w:val="0"/>
                <w:bCs w:val="0"/>
                <w:color w:val="auto"/>
                <w:kern w:val="0"/>
                <w:sz w:val="22"/>
                <w:szCs w:val="22"/>
                <w:highlight w:val="none"/>
                <w:lang w:eastAsia="zh-CN"/>
              </w:rPr>
              <w:t>所投标项的项目组管理人员：</w:t>
            </w:r>
          </w:p>
          <w:p w14:paraId="2F35A5CF">
            <w:pPr>
              <w:keepNext w:val="0"/>
              <w:keepLines w:val="0"/>
              <w:pageBreakBefore w:val="0"/>
              <w:widowControl/>
              <w:numPr>
                <w:ilvl w:val="0"/>
                <w:numId w:val="0"/>
              </w:numPr>
              <w:shd w:val="clear" w:color="auto"/>
              <w:kinsoku/>
              <w:wordWrap/>
              <w:overflowPunct/>
              <w:topLinePunct w:val="0"/>
              <w:autoSpaceDE/>
              <w:autoSpaceDN/>
              <w:bidi w:val="0"/>
              <w:adjustRightInd/>
              <w:snapToGrid/>
              <w:spacing w:line="320" w:lineRule="exact"/>
              <w:textAlignment w:val="auto"/>
              <w:rPr>
                <w:rFonts w:hint="eastAsia" w:ascii="仿宋_GB2312" w:hAnsi="仿宋_GB2312"/>
                <w:b w:val="0"/>
                <w:bCs w:val="0"/>
                <w:color w:val="auto"/>
                <w:kern w:val="0"/>
                <w:sz w:val="22"/>
                <w:szCs w:val="22"/>
                <w:highlight w:val="none"/>
              </w:rPr>
            </w:pPr>
            <w:r>
              <w:rPr>
                <w:rFonts w:hint="eastAsia" w:ascii="仿宋_GB2312" w:hAnsi="仿宋_GB2312"/>
                <w:b w:val="0"/>
                <w:bCs w:val="0"/>
                <w:color w:val="auto"/>
                <w:kern w:val="0"/>
                <w:sz w:val="22"/>
                <w:szCs w:val="22"/>
                <w:highlight w:val="none"/>
                <w:lang w:val="en-US" w:eastAsia="zh-CN"/>
              </w:rPr>
              <w:t>1）</w:t>
            </w:r>
            <w:r>
              <w:rPr>
                <w:rFonts w:hint="eastAsia" w:ascii="仿宋_GB2312" w:hAnsi="仿宋_GB2312"/>
                <w:b w:val="0"/>
                <w:bCs w:val="0"/>
                <w:color w:val="auto"/>
                <w:kern w:val="0"/>
                <w:sz w:val="22"/>
                <w:szCs w:val="22"/>
                <w:highlight w:val="none"/>
              </w:rPr>
              <w:t>项目负责人（0-</w:t>
            </w:r>
            <w:r>
              <w:rPr>
                <w:rFonts w:hint="eastAsia" w:ascii="仿宋_GB2312" w:hAnsi="仿宋_GB2312"/>
                <w:b w:val="0"/>
                <w:bCs w:val="0"/>
                <w:color w:val="auto"/>
                <w:kern w:val="0"/>
                <w:sz w:val="22"/>
                <w:szCs w:val="22"/>
                <w:highlight w:val="none"/>
                <w:lang w:val="en-US" w:eastAsia="zh-CN"/>
              </w:rPr>
              <w:t>4</w:t>
            </w:r>
            <w:r>
              <w:rPr>
                <w:rFonts w:hint="eastAsia" w:ascii="仿宋_GB2312" w:hAnsi="仿宋_GB2312"/>
                <w:b w:val="0"/>
                <w:bCs w:val="0"/>
                <w:color w:val="auto"/>
                <w:kern w:val="0"/>
                <w:sz w:val="22"/>
                <w:szCs w:val="22"/>
                <w:highlight w:val="none"/>
              </w:rPr>
              <w:t>分</w:t>
            </w:r>
            <w:r>
              <w:rPr>
                <w:rFonts w:hint="eastAsia" w:ascii="仿宋_GB2312" w:hAnsi="仿宋_GB2312"/>
                <w:b w:val="0"/>
                <w:bCs w:val="0"/>
                <w:color w:val="auto"/>
                <w:kern w:val="0"/>
                <w:sz w:val="22"/>
                <w:szCs w:val="22"/>
                <w:highlight w:val="none"/>
                <w:lang w:eastAsia="zh-CN"/>
              </w:rPr>
              <w:t>）</w:t>
            </w:r>
            <w:r>
              <w:rPr>
                <w:rFonts w:hint="eastAsia" w:ascii="仿宋_GB2312" w:hAnsi="仿宋_GB2312"/>
                <w:b w:val="0"/>
                <w:bCs w:val="0"/>
                <w:color w:val="auto"/>
                <w:kern w:val="0"/>
                <w:sz w:val="22"/>
                <w:szCs w:val="22"/>
                <w:highlight w:val="none"/>
              </w:rPr>
              <w:t>：具有园林高级工程师</w:t>
            </w:r>
            <w:r>
              <w:rPr>
                <w:rFonts w:hint="eastAsia" w:ascii="仿宋_GB2312" w:hAnsi="仿宋_GB2312"/>
                <w:b w:val="0"/>
                <w:bCs w:val="0"/>
                <w:color w:val="auto"/>
                <w:kern w:val="0"/>
                <w:sz w:val="22"/>
                <w:szCs w:val="22"/>
                <w:highlight w:val="none"/>
                <w:lang w:val="en-US" w:eastAsia="zh-CN"/>
              </w:rPr>
              <w:t>及以上</w:t>
            </w:r>
            <w:r>
              <w:rPr>
                <w:rFonts w:hint="eastAsia" w:ascii="仿宋_GB2312" w:hAnsi="仿宋_GB2312"/>
                <w:b w:val="0"/>
                <w:bCs w:val="0"/>
                <w:color w:val="auto"/>
                <w:kern w:val="0"/>
                <w:sz w:val="22"/>
                <w:szCs w:val="22"/>
                <w:highlight w:val="none"/>
                <w:lang w:eastAsia="zh-CN"/>
              </w:rPr>
              <w:t>职称</w:t>
            </w:r>
            <w:r>
              <w:rPr>
                <w:rFonts w:hint="eastAsia" w:ascii="仿宋_GB2312" w:hAnsi="仿宋_GB2312"/>
                <w:b w:val="0"/>
                <w:bCs w:val="0"/>
                <w:color w:val="auto"/>
                <w:kern w:val="0"/>
                <w:sz w:val="22"/>
                <w:szCs w:val="22"/>
                <w:highlight w:val="none"/>
              </w:rPr>
              <w:t>的得</w:t>
            </w:r>
            <w:r>
              <w:rPr>
                <w:rFonts w:hint="eastAsia" w:ascii="仿宋_GB2312" w:hAnsi="仿宋_GB2312"/>
                <w:b w:val="0"/>
                <w:bCs w:val="0"/>
                <w:color w:val="auto"/>
                <w:kern w:val="0"/>
                <w:sz w:val="22"/>
                <w:szCs w:val="22"/>
                <w:highlight w:val="none"/>
                <w:lang w:val="en-US" w:eastAsia="zh-CN"/>
              </w:rPr>
              <w:t>4</w:t>
            </w:r>
            <w:r>
              <w:rPr>
                <w:rFonts w:hint="eastAsia" w:ascii="仿宋_GB2312" w:hAnsi="仿宋_GB2312"/>
                <w:b w:val="0"/>
                <w:bCs w:val="0"/>
                <w:color w:val="auto"/>
                <w:kern w:val="0"/>
                <w:sz w:val="22"/>
                <w:szCs w:val="22"/>
                <w:highlight w:val="none"/>
              </w:rPr>
              <w:t>分，具备园林工程师</w:t>
            </w:r>
            <w:r>
              <w:rPr>
                <w:rFonts w:hint="eastAsia" w:ascii="仿宋_GB2312" w:hAnsi="仿宋_GB2312"/>
                <w:b w:val="0"/>
                <w:bCs w:val="0"/>
                <w:color w:val="auto"/>
                <w:kern w:val="0"/>
                <w:sz w:val="22"/>
                <w:szCs w:val="22"/>
                <w:highlight w:val="none"/>
                <w:lang w:eastAsia="zh-CN"/>
              </w:rPr>
              <w:t>职称</w:t>
            </w:r>
            <w:r>
              <w:rPr>
                <w:rFonts w:hint="eastAsia" w:ascii="仿宋_GB2312" w:hAnsi="仿宋_GB2312"/>
                <w:b w:val="0"/>
                <w:bCs w:val="0"/>
                <w:color w:val="auto"/>
                <w:kern w:val="0"/>
                <w:sz w:val="22"/>
                <w:szCs w:val="22"/>
                <w:highlight w:val="none"/>
              </w:rPr>
              <w:t>得</w:t>
            </w:r>
            <w:r>
              <w:rPr>
                <w:rFonts w:hint="eastAsia" w:ascii="仿宋_GB2312" w:hAnsi="仿宋_GB2312"/>
                <w:b w:val="0"/>
                <w:bCs w:val="0"/>
                <w:color w:val="auto"/>
                <w:kern w:val="0"/>
                <w:sz w:val="22"/>
                <w:szCs w:val="22"/>
                <w:highlight w:val="none"/>
                <w:lang w:val="en-US" w:eastAsia="zh-CN"/>
              </w:rPr>
              <w:t>2</w:t>
            </w:r>
            <w:r>
              <w:rPr>
                <w:rFonts w:hint="eastAsia" w:ascii="仿宋_GB2312" w:hAnsi="仿宋_GB2312"/>
                <w:b w:val="0"/>
                <w:bCs w:val="0"/>
                <w:color w:val="auto"/>
                <w:kern w:val="0"/>
                <w:sz w:val="22"/>
                <w:szCs w:val="22"/>
                <w:highlight w:val="none"/>
              </w:rPr>
              <w:t>分</w:t>
            </w:r>
            <w:r>
              <w:rPr>
                <w:rFonts w:hint="eastAsia" w:ascii="仿宋_GB2312" w:hAnsi="仿宋_GB2312"/>
                <w:b w:val="0"/>
                <w:bCs w:val="0"/>
                <w:color w:val="auto"/>
                <w:kern w:val="0"/>
                <w:sz w:val="22"/>
                <w:szCs w:val="22"/>
                <w:highlight w:val="none"/>
                <w:lang w:eastAsia="zh-CN"/>
              </w:rPr>
              <w:t>，</w:t>
            </w:r>
            <w:r>
              <w:rPr>
                <w:rFonts w:hint="eastAsia" w:ascii="仿宋_GB2312" w:hAnsi="仿宋_GB2312"/>
                <w:b w:val="0"/>
                <w:bCs w:val="0"/>
                <w:color w:val="auto"/>
                <w:kern w:val="0"/>
                <w:sz w:val="22"/>
                <w:szCs w:val="22"/>
                <w:highlight w:val="none"/>
                <w:lang w:val="en-US" w:eastAsia="zh-CN"/>
              </w:rPr>
              <w:t>本项最高可得4分；</w:t>
            </w:r>
          </w:p>
          <w:p w14:paraId="58A02837">
            <w:pPr>
              <w:keepNext w:val="0"/>
              <w:keepLines w:val="0"/>
              <w:pageBreakBefore w:val="0"/>
              <w:widowControl/>
              <w:shd w:val="clear" w:color="auto"/>
              <w:kinsoku/>
              <w:wordWrap/>
              <w:overflowPunct/>
              <w:topLinePunct w:val="0"/>
              <w:autoSpaceDE/>
              <w:autoSpaceDN/>
              <w:bidi w:val="0"/>
              <w:adjustRightInd/>
              <w:snapToGrid/>
              <w:spacing w:line="320" w:lineRule="exact"/>
              <w:ind w:left="0" w:leftChars="0"/>
              <w:textAlignment w:val="auto"/>
              <w:rPr>
                <w:rFonts w:hint="eastAsia" w:ascii="仿宋_GB2312" w:hAnsi="仿宋_GB2312"/>
                <w:b w:val="0"/>
                <w:bCs w:val="0"/>
                <w:color w:val="auto"/>
                <w:kern w:val="0"/>
                <w:sz w:val="22"/>
                <w:szCs w:val="22"/>
                <w:highlight w:val="none"/>
                <w:lang w:val="en-US" w:eastAsia="zh-CN"/>
              </w:rPr>
            </w:pPr>
            <w:r>
              <w:rPr>
                <w:rFonts w:hint="eastAsia" w:ascii="仿宋_GB2312" w:hAnsi="仿宋_GB2312"/>
                <w:b w:val="0"/>
                <w:bCs w:val="0"/>
                <w:color w:val="auto"/>
                <w:kern w:val="0"/>
                <w:sz w:val="22"/>
                <w:szCs w:val="22"/>
                <w:highlight w:val="none"/>
                <w:lang w:val="en-US" w:eastAsia="zh-CN"/>
              </w:rPr>
              <w:t>2）除</w:t>
            </w:r>
            <w:r>
              <w:rPr>
                <w:rFonts w:hint="eastAsia" w:ascii="仿宋_GB2312" w:hAnsi="仿宋_GB2312"/>
                <w:b w:val="0"/>
                <w:bCs w:val="0"/>
                <w:color w:val="auto"/>
                <w:kern w:val="0"/>
                <w:sz w:val="22"/>
                <w:szCs w:val="22"/>
                <w:highlight w:val="none"/>
              </w:rPr>
              <w:t>项目负责人</w:t>
            </w:r>
            <w:r>
              <w:rPr>
                <w:rFonts w:hint="eastAsia" w:ascii="仿宋_GB2312" w:hAnsi="仿宋_GB2312"/>
                <w:b w:val="0"/>
                <w:bCs w:val="0"/>
                <w:color w:val="auto"/>
                <w:kern w:val="0"/>
                <w:sz w:val="22"/>
                <w:szCs w:val="22"/>
                <w:highlight w:val="none"/>
                <w:lang w:val="en-US" w:eastAsia="zh-CN"/>
              </w:rPr>
              <w:t>外的管理班子人员</w:t>
            </w:r>
            <w:r>
              <w:rPr>
                <w:rFonts w:hint="eastAsia" w:ascii="仿宋_GB2312" w:hAnsi="仿宋_GB2312"/>
                <w:b w:val="0"/>
                <w:bCs w:val="0"/>
                <w:color w:val="auto"/>
                <w:kern w:val="0"/>
                <w:sz w:val="22"/>
                <w:szCs w:val="22"/>
                <w:highlight w:val="none"/>
              </w:rPr>
              <w:t>（0-</w:t>
            </w:r>
            <w:r>
              <w:rPr>
                <w:rFonts w:hint="eastAsia" w:ascii="仿宋_GB2312" w:hAnsi="仿宋_GB2312"/>
                <w:b w:val="0"/>
                <w:bCs w:val="0"/>
                <w:color w:val="auto"/>
                <w:kern w:val="0"/>
                <w:sz w:val="22"/>
                <w:szCs w:val="22"/>
                <w:highlight w:val="none"/>
                <w:lang w:val="en-US" w:eastAsia="zh-CN"/>
              </w:rPr>
              <w:t>6</w:t>
            </w:r>
            <w:r>
              <w:rPr>
                <w:rFonts w:hint="eastAsia" w:ascii="仿宋_GB2312" w:hAnsi="仿宋_GB2312"/>
                <w:b w:val="0"/>
                <w:bCs w:val="0"/>
                <w:color w:val="auto"/>
                <w:kern w:val="0"/>
                <w:sz w:val="22"/>
                <w:szCs w:val="22"/>
                <w:highlight w:val="none"/>
              </w:rPr>
              <w:t>分</w:t>
            </w:r>
            <w:r>
              <w:rPr>
                <w:rFonts w:hint="eastAsia" w:ascii="仿宋_GB2312" w:hAnsi="仿宋_GB2312"/>
                <w:b w:val="0"/>
                <w:bCs w:val="0"/>
                <w:color w:val="auto"/>
                <w:kern w:val="0"/>
                <w:sz w:val="22"/>
                <w:szCs w:val="22"/>
                <w:highlight w:val="none"/>
                <w:lang w:eastAsia="zh-CN"/>
              </w:rPr>
              <w:t>）</w:t>
            </w:r>
            <w:r>
              <w:rPr>
                <w:rFonts w:hint="eastAsia" w:ascii="仿宋_GB2312" w:hAnsi="仿宋_GB2312"/>
                <w:b w:val="0"/>
                <w:bCs w:val="0"/>
                <w:color w:val="auto"/>
                <w:kern w:val="0"/>
                <w:sz w:val="22"/>
                <w:szCs w:val="22"/>
                <w:highlight w:val="none"/>
                <w:lang w:val="en-US" w:eastAsia="zh-CN"/>
              </w:rPr>
              <w:t>：具有园林工程师及以上职称证书的每个得2分，满分6分；</w:t>
            </w:r>
          </w:p>
          <w:p w14:paraId="1793E0BF">
            <w:pPr>
              <w:keepNext w:val="0"/>
              <w:keepLines w:val="0"/>
              <w:pageBreakBefore w:val="0"/>
              <w:widowControl/>
              <w:shd w:val="clear" w:color="auto"/>
              <w:kinsoku/>
              <w:wordWrap/>
              <w:overflowPunct/>
              <w:topLinePunct w:val="0"/>
              <w:autoSpaceDE/>
              <w:autoSpaceDN/>
              <w:bidi w:val="0"/>
              <w:adjustRightInd/>
              <w:snapToGrid/>
              <w:spacing w:line="320" w:lineRule="exact"/>
              <w:ind w:left="0" w:leftChars="0"/>
              <w:textAlignment w:val="auto"/>
              <w:rPr>
                <w:rFonts w:hint="eastAsia" w:ascii="仿宋_GB2312" w:hAnsi="仿宋_GB2312"/>
                <w:b w:val="0"/>
                <w:bCs w:val="0"/>
                <w:color w:val="auto"/>
                <w:kern w:val="0"/>
                <w:sz w:val="22"/>
                <w:szCs w:val="22"/>
                <w:highlight w:val="none"/>
                <w:lang w:val="en-US" w:eastAsia="zh-CN" w:bidi="ar-SA"/>
              </w:rPr>
            </w:pPr>
            <w:r>
              <w:rPr>
                <w:rFonts w:hint="eastAsia" w:ascii="仿宋_GB2312" w:hAnsi="仿宋_GB2312"/>
                <w:b w:val="0"/>
                <w:bCs w:val="0"/>
                <w:i w:val="0"/>
                <w:iCs w:val="0"/>
                <w:color w:val="auto"/>
                <w:spacing w:val="-6"/>
                <w:kern w:val="0"/>
                <w:sz w:val="22"/>
                <w:szCs w:val="22"/>
                <w:highlight w:val="none"/>
                <w:u w:val="none"/>
                <w:lang w:eastAsia="zh-CN"/>
              </w:rPr>
              <w:t>（以上</w:t>
            </w:r>
            <w:r>
              <w:rPr>
                <w:rFonts w:hint="eastAsia" w:ascii="仿宋_GB2312" w:hAnsi="仿宋_GB2312"/>
                <w:b w:val="0"/>
                <w:bCs w:val="0"/>
                <w:i w:val="0"/>
                <w:iCs w:val="0"/>
                <w:color w:val="auto"/>
                <w:spacing w:val="-6"/>
                <w:kern w:val="0"/>
                <w:sz w:val="22"/>
                <w:szCs w:val="22"/>
                <w:highlight w:val="none"/>
                <w:u w:val="none"/>
                <w:lang w:val="en-US" w:eastAsia="zh-CN"/>
              </w:rPr>
              <w:t>2项</w:t>
            </w:r>
            <w:r>
              <w:rPr>
                <w:rFonts w:hint="eastAsia" w:ascii="仿宋_GB2312" w:hAnsi="仿宋_GB2312"/>
                <w:b w:val="0"/>
                <w:bCs w:val="0"/>
                <w:i w:val="0"/>
                <w:iCs w:val="0"/>
                <w:color w:val="auto"/>
                <w:spacing w:val="-6"/>
                <w:kern w:val="0"/>
                <w:sz w:val="22"/>
                <w:szCs w:val="22"/>
                <w:highlight w:val="none"/>
                <w:u w:val="none"/>
                <w:lang w:eastAsia="zh-CN"/>
              </w:rPr>
              <w:t>人员：</w:t>
            </w:r>
            <w:r>
              <w:rPr>
                <w:rFonts w:hint="eastAsia" w:ascii="仿宋_GB2312" w:hAnsi="仿宋_GB2312"/>
                <w:b w:val="0"/>
                <w:bCs w:val="0"/>
                <w:color w:val="auto"/>
                <w:spacing w:val="-6"/>
                <w:kern w:val="0"/>
                <w:sz w:val="22"/>
                <w:szCs w:val="22"/>
                <w:highlight w:val="none"/>
                <w:u w:val="none"/>
                <w:lang w:eastAsia="zh-CN"/>
              </w:rPr>
              <w:t>须</w:t>
            </w:r>
            <w:r>
              <w:rPr>
                <w:rFonts w:hint="eastAsia" w:ascii="仿宋_GB2312" w:hAnsi="仿宋_GB2312"/>
                <w:b w:val="0"/>
                <w:bCs w:val="0"/>
                <w:color w:val="auto"/>
                <w:spacing w:val="-6"/>
                <w:kern w:val="0"/>
                <w:sz w:val="22"/>
                <w:szCs w:val="22"/>
                <w:highlight w:val="none"/>
                <w:u w:val="none"/>
              </w:rPr>
              <w:t>提供</w:t>
            </w:r>
            <w:r>
              <w:rPr>
                <w:rFonts w:hint="eastAsia" w:ascii="仿宋_GB2312" w:hAnsi="仿宋_GB2312"/>
                <w:b w:val="0"/>
                <w:bCs w:val="0"/>
                <w:color w:val="auto"/>
                <w:spacing w:val="-6"/>
                <w:kern w:val="0"/>
                <w:sz w:val="22"/>
                <w:szCs w:val="22"/>
                <w:highlight w:val="none"/>
                <w:u w:val="none"/>
                <w:lang w:eastAsia="zh-CN"/>
              </w:rPr>
              <w:t>相应的职称</w:t>
            </w:r>
            <w:r>
              <w:rPr>
                <w:rFonts w:hint="eastAsia" w:ascii="仿宋_GB2312" w:hAnsi="仿宋_GB2312"/>
                <w:b w:val="0"/>
                <w:bCs w:val="0"/>
                <w:color w:val="auto"/>
                <w:spacing w:val="-6"/>
                <w:kern w:val="0"/>
                <w:sz w:val="22"/>
                <w:szCs w:val="22"/>
                <w:highlight w:val="none"/>
                <w:u w:val="none"/>
              </w:rPr>
              <w:t>证书</w:t>
            </w:r>
            <w:r>
              <w:rPr>
                <w:rFonts w:hint="eastAsia" w:ascii="仿宋_GB2312" w:hAnsi="仿宋_GB2312"/>
                <w:b w:val="0"/>
                <w:bCs w:val="0"/>
                <w:color w:val="auto"/>
                <w:spacing w:val="-6"/>
                <w:kern w:val="0"/>
                <w:sz w:val="22"/>
                <w:szCs w:val="22"/>
                <w:highlight w:val="none"/>
                <w:u w:val="none"/>
                <w:lang w:val="en-US" w:eastAsia="zh-CN"/>
              </w:rPr>
              <w:t>以及提供近期由社会保障部门出具的连续2个月的本单位社保在保证明</w:t>
            </w:r>
            <w:r>
              <w:rPr>
                <w:rFonts w:hint="eastAsia" w:ascii="宋体" w:hAnsi="宋体" w:eastAsia="宋体" w:cs="宋体"/>
                <w:b w:val="0"/>
                <w:bCs w:val="0"/>
                <w:color w:val="auto"/>
                <w:spacing w:val="-6"/>
                <w:kern w:val="0"/>
                <w:sz w:val="22"/>
                <w:szCs w:val="22"/>
                <w:highlight w:val="none"/>
                <w:u w:val="none"/>
                <w:lang w:val="en-US" w:eastAsia="zh-CN"/>
              </w:rPr>
              <w:t>，</w:t>
            </w:r>
            <w:r>
              <w:rPr>
                <w:rFonts w:hint="eastAsia" w:ascii="仿宋_GB2312" w:hAnsi="仿宋_GB2312"/>
                <w:b w:val="0"/>
                <w:bCs w:val="0"/>
                <w:color w:val="auto"/>
                <w:spacing w:val="-6"/>
                <w:kern w:val="0"/>
                <w:sz w:val="22"/>
                <w:szCs w:val="22"/>
                <w:highlight w:val="none"/>
                <w:u w:val="none"/>
                <w:lang w:val="en-US" w:eastAsia="zh-CN"/>
              </w:rPr>
              <w:t>扫描件或复印件并加盖供应商电子公章，</w:t>
            </w:r>
            <w:r>
              <w:rPr>
                <w:rFonts w:hint="eastAsia" w:ascii="宋体" w:hAnsi="宋体" w:eastAsia="宋体" w:cs="宋体"/>
                <w:b w:val="0"/>
                <w:bCs w:val="0"/>
                <w:color w:val="auto"/>
                <w:spacing w:val="-6"/>
                <w:kern w:val="0"/>
                <w:sz w:val="22"/>
                <w:szCs w:val="22"/>
                <w:highlight w:val="none"/>
                <w:u w:val="none"/>
                <w:lang w:val="en-US" w:eastAsia="zh-CN"/>
              </w:rPr>
              <w:t>专</w:t>
            </w:r>
            <w:r>
              <w:rPr>
                <w:rFonts w:hint="eastAsia" w:ascii="仿宋_GB2312" w:hAnsi="仿宋_GB2312"/>
                <w:b w:val="0"/>
                <w:bCs w:val="0"/>
                <w:color w:val="auto"/>
                <w:spacing w:val="-6"/>
                <w:kern w:val="0"/>
                <w:sz w:val="22"/>
                <w:szCs w:val="22"/>
                <w:highlight w:val="none"/>
                <w:u w:val="none"/>
                <w:lang w:val="en-US" w:eastAsia="zh-CN"/>
              </w:rPr>
              <w:t>业以职称证书上专业为准，以上若为电子证书或证明须保证二维码清晰可扫描，否则不得分</w:t>
            </w:r>
            <w:r>
              <w:rPr>
                <w:rFonts w:hint="eastAsia" w:ascii="仿宋_GB2312" w:hAnsi="仿宋_GB2312"/>
                <w:b w:val="0"/>
                <w:bCs w:val="0"/>
                <w:color w:val="auto"/>
                <w:spacing w:val="-6"/>
                <w:kern w:val="0"/>
                <w:sz w:val="22"/>
                <w:szCs w:val="22"/>
                <w:highlight w:val="none"/>
                <w:u w:val="none"/>
                <w:lang w:eastAsia="zh-CN"/>
              </w:rPr>
              <w:t>。）</w:t>
            </w:r>
          </w:p>
        </w:tc>
        <w:tc>
          <w:tcPr>
            <w:tcW w:w="829" w:type="dxa"/>
            <w:noWrap w:val="0"/>
            <w:tcMar>
              <w:top w:w="15" w:type="dxa"/>
              <w:left w:w="15" w:type="dxa"/>
              <w:right w:w="15" w:type="dxa"/>
            </w:tcMar>
            <w:vAlign w:val="center"/>
          </w:tcPr>
          <w:p w14:paraId="0836D468">
            <w:pPr>
              <w:shd w:val="clear" w:color="auto"/>
              <w:jc w:val="left"/>
              <w:textAlignment w:val="center"/>
              <w:rPr>
                <w:rFonts w:hint="default"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0-10分</w:t>
            </w:r>
          </w:p>
        </w:tc>
      </w:tr>
      <w:tr w14:paraId="3B21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2" w:hRule="atLeast"/>
        </w:trPr>
        <w:tc>
          <w:tcPr>
            <w:tcW w:w="463" w:type="dxa"/>
            <w:vMerge w:val="continue"/>
            <w:noWrap w:val="0"/>
            <w:tcMar>
              <w:top w:w="15" w:type="dxa"/>
              <w:left w:w="15" w:type="dxa"/>
              <w:right w:w="15" w:type="dxa"/>
            </w:tcMar>
            <w:vAlign w:val="center"/>
          </w:tcPr>
          <w:p w14:paraId="17DAE406">
            <w:pPr>
              <w:widowControl/>
              <w:shd w:val="clear" w:color="auto"/>
              <w:jc w:val="center"/>
              <w:textAlignment w:val="center"/>
              <w:rPr>
                <w:rFonts w:hint="eastAsia" w:ascii="宋体" w:hAnsi="宋体" w:eastAsia="宋体" w:cs="宋体"/>
                <w:b w:val="0"/>
                <w:bCs w:val="0"/>
                <w:color w:val="auto"/>
                <w:kern w:val="0"/>
                <w:sz w:val="22"/>
                <w:szCs w:val="22"/>
                <w:highlight w:val="none"/>
                <w:lang w:eastAsia="zh-CN"/>
              </w:rPr>
            </w:pPr>
          </w:p>
        </w:tc>
        <w:tc>
          <w:tcPr>
            <w:tcW w:w="1506" w:type="dxa"/>
            <w:vMerge w:val="continue"/>
            <w:noWrap w:val="0"/>
            <w:tcMar>
              <w:top w:w="15" w:type="dxa"/>
              <w:left w:w="15" w:type="dxa"/>
              <w:right w:w="15" w:type="dxa"/>
            </w:tcMar>
            <w:vAlign w:val="center"/>
          </w:tcPr>
          <w:p w14:paraId="67A578AB">
            <w:pPr>
              <w:widowControl/>
              <w:shd w:val="clear" w:color="auto"/>
              <w:jc w:val="center"/>
              <w:textAlignment w:val="center"/>
              <w:rPr>
                <w:rFonts w:hint="eastAsia" w:ascii="宋体" w:hAnsi="宋体" w:cs="宋体"/>
                <w:b w:val="0"/>
                <w:bCs w:val="0"/>
                <w:color w:val="auto"/>
                <w:kern w:val="0"/>
                <w:sz w:val="22"/>
                <w:szCs w:val="22"/>
                <w:highlight w:val="none"/>
              </w:rPr>
            </w:pPr>
          </w:p>
        </w:tc>
        <w:tc>
          <w:tcPr>
            <w:tcW w:w="6617" w:type="dxa"/>
            <w:noWrap w:val="0"/>
            <w:tcMar>
              <w:top w:w="15" w:type="dxa"/>
              <w:left w:w="15" w:type="dxa"/>
              <w:right w:w="15" w:type="dxa"/>
            </w:tcMar>
            <w:vAlign w:val="center"/>
          </w:tcPr>
          <w:p w14:paraId="5B061CFD">
            <w:pPr>
              <w:keepNext w:val="0"/>
              <w:keepLines w:val="0"/>
              <w:pageBreakBefore w:val="0"/>
              <w:widowControl/>
              <w:shd w:val="clear" w:color="auto"/>
              <w:kinsoku/>
              <w:wordWrap/>
              <w:overflowPunct/>
              <w:topLinePunct w:val="0"/>
              <w:autoSpaceDE/>
              <w:autoSpaceDN/>
              <w:bidi w:val="0"/>
              <w:adjustRightInd/>
              <w:snapToGrid/>
              <w:spacing w:line="320" w:lineRule="exact"/>
              <w:textAlignment w:val="auto"/>
              <w:rPr>
                <w:rFonts w:hint="eastAsia" w:ascii="仿宋_GB2312" w:hAnsi="仿宋_GB2312"/>
                <w:b w:val="0"/>
                <w:bCs w:val="0"/>
                <w:i w:val="0"/>
                <w:iCs w:val="0"/>
                <w:color w:val="auto"/>
                <w:kern w:val="0"/>
                <w:sz w:val="22"/>
                <w:szCs w:val="22"/>
                <w:highlight w:val="none"/>
                <w:lang w:val="en-US" w:eastAsia="zh-CN"/>
              </w:rPr>
            </w:pPr>
            <w:r>
              <w:rPr>
                <w:rFonts w:hint="eastAsia" w:ascii="仿宋_GB2312" w:hAnsi="仿宋_GB2312"/>
                <w:b w:val="0"/>
                <w:bCs w:val="0"/>
                <w:i w:val="0"/>
                <w:iCs w:val="0"/>
                <w:color w:val="auto"/>
                <w:kern w:val="0"/>
                <w:sz w:val="22"/>
                <w:szCs w:val="22"/>
                <w:highlight w:val="none"/>
                <w:lang w:val="en-US" w:eastAsia="zh-CN"/>
              </w:rPr>
              <w:t>养护人员：</w:t>
            </w:r>
          </w:p>
          <w:p w14:paraId="328AAA9D">
            <w:pPr>
              <w:keepNext w:val="0"/>
              <w:keepLines w:val="0"/>
              <w:pageBreakBefore w:val="0"/>
              <w:widowControl/>
              <w:shd w:val="clear" w:color="auto"/>
              <w:kinsoku/>
              <w:wordWrap/>
              <w:overflowPunct/>
              <w:topLinePunct w:val="0"/>
              <w:autoSpaceDE/>
              <w:autoSpaceDN/>
              <w:bidi w:val="0"/>
              <w:adjustRightInd/>
              <w:snapToGrid/>
              <w:spacing w:line="320" w:lineRule="exact"/>
              <w:textAlignment w:val="auto"/>
              <w:rPr>
                <w:rFonts w:hint="eastAsia" w:ascii="仿宋_GB2312" w:hAnsi="仿宋_GB2312"/>
                <w:b w:val="0"/>
                <w:bCs w:val="0"/>
                <w:color w:val="auto"/>
                <w:kern w:val="0"/>
                <w:sz w:val="22"/>
                <w:szCs w:val="22"/>
                <w:highlight w:val="none"/>
                <w:lang w:val="en-US" w:eastAsia="zh-CN" w:bidi="ar-SA"/>
              </w:rPr>
            </w:pPr>
            <w:r>
              <w:rPr>
                <w:rFonts w:hint="eastAsia" w:ascii="仿宋_GB2312" w:hAnsi="仿宋_GB2312"/>
                <w:b w:val="0"/>
                <w:bCs w:val="0"/>
                <w:i w:val="0"/>
                <w:iCs w:val="0"/>
                <w:color w:val="auto"/>
                <w:kern w:val="0"/>
                <w:sz w:val="22"/>
                <w:szCs w:val="22"/>
                <w:highlight w:val="none"/>
                <w:lang w:val="en-US" w:eastAsia="zh-CN"/>
              </w:rPr>
              <w:t>具有高级</w:t>
            </w:r>
            <w:r>
              <w:rPr>
                <w:rFonts w:hint="eastAsia" w:ascii="仿宋_GB2312" w:hAnsi="仿宋_GB2312"/>
                <w:b w:val="0"/>
                <w:bCs w:val="0"/>
                <w:color w:val="auto"/>
                <w:kern w:val="0"/>
                <w:sz w:val="22"/>
                <w:szCs w:val="22"/>
                <w:highlight w:val="none"/>
                <w:lang w:val="en-US" w:eastAsia="zh-CN"/>
              </w:rPr>
              <w:t>及以上</w:t>
            </w:r>
            <w:r>
              <w:rPr>
                <w:rFonts w:hint="eastAsia" w:ascii="仿宋_GB2312" w:hAnsi="仿宋_GB2312"/>
                <w:b w:val="0"/>
                <w:bCs w:val="0"/>
                <w:i w:val="0"/>
                <w:iCs w:val="0"/>
                <w:color w:val="auto"/>
                <w:kern w:val="0"/>
                <w:sz w:val="22"/>
                <w:szCs w:val="22"/>
                <w:highlight w:val="none"/>
                <w:lang w:val="en-US" w:eastAsia="zh-CN"/>
              </w:rPr>
              <w:t>园林绿化养护工、高级</w:t>
            </w:r>
            <w:r>
              <w:rPr>
                <w:rFonts w:hint="eastAsia" w:ascii="仿宋_GB2312" w:hAnsi="仿宋_GB2312"/>
                <w:b w:val="0"/>
                <w:bCs w:val="0"/>
                <w:color w:val="auto"/>
                <w:kern w:val="0"/>
                <w:sz w:val="22"/>
                <w:szCs w:val="22"/>
                <w:highlight w:val="none"/>
                <w:lang w:val="en-US" w:eastAsia="zh-CN"/>
              </w:rPr>
              <w:t>及以上</w:t>
            </w:r>
            <w:r>
              <w:rPr>
                <w:rFonts w:hint="eastAsia" w:ascii="仿宋_GB2312" w:hAnsi="仿宋_GB2312"/>
                <w:b w:val="0"/>
                <w:bCs w:val="0"/>
                <w:i w:val="0"/>
                <w:iCs w:val="0"/>
                <w:color w:val="auto"/>
                <w:kern w:val="0"/>
                <w:sz w:val="22"/>
                <w:szCs w:val="22"/>
                <w:highlight w:val="none"/>
                <w:lang w:val="en-US" w:eastAsia="zh-CN"/>
              </w:rPr>
              <w:t>绿化工、高级</w:t>
            </w:r>
            <w:r>
              <w:rPr>
                <w:rFonts w:hint="eastAsia" w:ascii="仿宋_GB2312" w:hAnsi="仿宋_GB2312"/>
                <w:b w:val="0"/>
                <w:bCs w:val="0"/>
                <w:color w:val="auto"/>
                <w:kern w:val="0"/>
                <w:sz w:val="22"/>
                <w:szCs w:val="22"/>
                <w:highlight w:val="none"/>
                <w:lang w:val="en-US" w:eastAsia="zh-CN"/>
              </w:rPr>
              <w:t>及以上</w:t>
            </w:r>
            <w:r>
              <w:rPr>
                <w:rFonts w:hint="eastAsia" w:ascii="仿宋_GB2312" w:hAnsi="仿宋_GB2312"/>
                <w:b w:val="0"/>
                <w:bCs w:val="0"/>
                <w:i w:val="0"/>
                <w:iCs w:val="0"/>
                <w:color w:val="auto"/>
                <w:kern w:val="0"/>
                <w:sz w:val="22"/>
                <w:szCs w:val="22"/>
                <w:highlight w:val="none"/>
                <w:lang w:val="en-US" w:eastAsia="zh-CN"/>
              </w:rPr>
              <w:t>花卉工、高级</w:t>
            </w:r>
            <w:r>
              <w:rPr>
                <w:rFonts w:hint="eastAsia" w:ascii="仿宋_GB2312" w:hAnsi="仿宋_GB2312"/>
                <w:b w:val="0"/>
                <w:bCs w:val="0"/>
                <w:color w:val="auto"/>
                <w:kern w:val="0"/>
                <w:sz w:val="22"/>
                <w:szCs w:val="22"/>
                <w:highlight w:val="none"/>
                <w:lang w:val="en-US" w:eastAsia="zh-CN"/>
              </w:rPr>
              <w:t>及以上</w:t>
            </w:r>
            <w:r>
              <w:rPr>
                <w:rFonts w:hint="eastAsia" w:ascii="仿宋_GB2312" w:hAnsi="仿宋_GB2312"/>
                <w:b w:val="0"/>
                <w:bCs w:val="0"/>
                <w:i w:val="0"/>
                <w:iCs w:val="0"/>
                <w:color w:val="auto"/>
                <w:kern w:val="0"/>
                <w:sz w:val="22"/>
                <w:szCs w:val="22"/>
                <w:highlight w:val="none"/>
                <w:lang w:val="en-US" w:eastAsia="zh-CN"/>
              </w:rPr>
              <w:t>植保工的，每1个得0.5分，满分9分；须提供相应的资质资格证书以及</w:t>
            </w:r>
            <w:r>
              <w:rPr>
                <w:rFonts w:hint="eastAsia" w:ascii="仿宋_GB2312" w:hAnsi="仿宋_GB2312"/>
                <w:b w:val="0"/>
                <w:bCs w:val="0"/>
                <w:i w:val="0"/>
                <w:iCs w:val="0"/>
                <w:color w:val="auto"/>
                <w:spacing w:val="-6"/>
                <w:kern w:val="0"/>
                <w:sz w:val="22"/>
                <w:szCs w:val="22"/>
                <w:highlight w:val="none"/>
                <w:u w:val="none"/>
                <w:lang w:val="en-US" w:eastAsia="zh-CN"/>
              </w:rPr>
              <w:t>提供近期由社会保障部门出具的连续2个月的本单位社保在保证明,</w:t>
            </w:r>
            <w:r>
              <w:rPr>
                <w:rFonts w:hint="eastAsia" w:ascii="仿宋_GB2312" w:hAnsi="仿宋_GB2312"/>
                <w:b w:val="0"/>
                <w:bCs w:val="0"/>
                <w:i w:val="0"/>
                <w:iCs w:val="0"/>
                <w:color w:val="auto"/>
                <w:kern w:val="0"/>
                <w:sz w:val="22"/>
                <w:szCs w:val="22"/>
                <w:highlight w:val="none"/>
                <w:lang w:val="en-US" w:eastAsia="zh-CN"/>
              </w:rPr>
              <w:t>扫描件或复印件并加盖供应商电子公章，若为</w:t>
            </w:r>
            <w:r>
              <w:rPr>
                <w:rFonts w:hint="eastAsia" w:ascii="仿宋_GB2312" w:hAnsi="仿宋_GB2312" w:eastAsia="宋体"/>
                <w:b w:val="0"/>
                <w:bCs w:val="0"/>
                <w:i w:val="0"/>
                <w:iCs w:val="0"/>
                <w:color w:val="auto"/>
                <w:kern w:val="0"/>
                <w:sz w:val="22"/>
                <w:szCs w:val="22"/>
                <w:highlight w:val="none"/>
                <w:lang w:val="en-US" w:eastAsia="zh-CN"/>
              </w:rPr>
              <w:t>电子证书或证明须</w:t>
            </w:r>
            <w:r>
              <w:rPr>
                <w:rFonts w:hint="eastAsia" w:ascii="仿宋_GB2312" w:hAnsi="仿宋_GB2312"/>
                <w:b w:val="0"/>
                <w:bCs w:val="0"/>
                <w:i w:val="0"/>
                <w:iCs w:val="0"/>
                <w:color w:val="auto"/>
                <w:kern w:val="0"/>
                <w:sz w:val="22"/>
                <w:szCs w:val="22"/>
                <w:highlight w:val="none"/>
                <w:lang w:val="en-US" w:eastAsia="zh-CN"/>
              </w:rPr>
              <w:t>保证二维码清晰可扫描，否则不得分。</w:t>
            </w:r>
          </w:p>
        </w:tc>
        <w:tc>
          <w:tcPr>
            <w:tcW w:w="829" w:type="dxa"/>
            <w:noWrap w:val="0"/>
            <w:tcMar>
              <w:top w:w="15" w:type="dxa"/>
              <w:left w:w="15" w:type="dxa"/>
              <w:right w:w="15" w:type="dxa"/>
            </w:tcMar>
            <w:vAlign w:val="center"/>
          </w:tcPr>
          <w:p w14:paraId="4640ECF8">
            <w:pPr>
              <w:shd w:val="clear" w:color="auto"/>
              <w:jc w:val="left"/>
              <w:textAlignment w:val="center"/>
              <w:rPr>
                <w:rFonts w:hint="default"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0-9分</w:t>
            </w:r>
          </w:p>
        </w:tc>
      </w:tr>
      <w:tr w14:paraId="1F28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trPr>
        <w:tc>
          <w:tcPr>
            <w:tcW w:w="463" w:type="dxa"/>
            <w:noWrap w:val="0"/>
            <w:tcMar>
              <w:top w:w="15" w:type="dxa"/>
              <w:left w:w="15" w:type="dxa"/>
              <w:right w:w="15" w:type="dxa"/>
            </w:tcMar>
            <w:vAlign w:val="center"/>
          </w:tcPr>
          <w:p w14:paraId="5B033CCF">
            <w:pPr>
              <w:widowControl/>
              <w:shd w:val="clear" w:color="auto"/>
              <w:jc w:val="center"/>
              <w:textAlignment w:val="center"/>
              <w:rPr>
                <w:rFonts w:hint="eastAsia" w:ascii="宋体" w:hAnsi="宋体" w:eastAsia="宋体" w:cs="宋体"/>
                <w:b w:val="0"/>
                <w:bCs w:val="0"/>
                <w:color w:val="auto"/>
                <w:kern w:val="0"/>
                <w:sz w:val="22"/>
                <w:szCs w:val="22"/>
                <w:highlight w:val="none"/>
                <w:lang w:eastAsia="zh-CN"/>
              </w:rPr>
            </w:pPr>
            <w:r>
              <w:rPr>
                <w:rFonts w:hint="eastAsia" w:ascii="宋体" w:hAnsi="宋体" w:cs="宋体"/>
                <w:b w:val="0"/>
                <w:bCs w:val="0"/>
                <w:color w:val="auto"/>
                <w:kern w:val="0"/>
                <w:sz w:val="22"/>
                <w:szCs w:val="22"/>
                <w:highlight w:val="none"/>
                <w:lang w:val="en-US" w:eastAsia="zh-CN" w:bidi="ar"/>
              </w:rPr>
              <w:t>5</w:t>
            </w:r>
          </w:p>
        </w:tc>
        <w:tc>
          <w:tcPr>
            <w:tcW w:w="1506" w:type="dxa"/>
            <w:noWrap w:val="0"/>
            <w:tcMar>
              <w:top w:w="15" w:type="dxa"/>
              <w:left w:w="15" w:type="dxa"/>
              <w:right w:w="15" w:type="dxa"/>
            </w:tcMar>
            <w:vAlign w:val="center"/>
          </w:tcPr>
          <w:p w14:paraId="16C7E43D">
            <w:pPr>
              <w:widowControl/>
              <w:shd w:val="clear" w:color="auto"/>
              <w:jc w:val="center"/>
              <w:textAlignment w:val="center"/>
              <w:rPr>
                <w:rFonts w:hint="eastAsia" w:ascii="宋体" w:hAnsi="宋体" w:eastAsia="宋体" w:cs="宋体"/>
                <w:b w:val="0"/>
                <w:bCs w:val="0"/>
                <w:color w:val="auto"/>
                <w:kern w:val="0"/>
                <w:sz w:val="22"/>
                <w:szCs w:val="22"/>
                <w:highlight w:val="none"/>
                <w:lang w:eastAsia="zh-CN"/>
              </w:rPr>
            </w:pPr>
            <w:r>
              <w:rPr>
                <w:rFonts w:hint="eastAsia" w:ascii="宋体" w:hAnsi="宋体" w:cs="宋体"/>
                <w:b w:val="0"/>
                <w:bCs w:val="0"/>
                <w:color w:val="auto"/>
                <w:kern w:val="0"/>
                <w:sz w:val="22"/>
                <w:szCs w:val="22"/>
                <w:highlight w:val="none"/>
                <w:lang w:bidi="ar"/>
              </w:rPr>
              <w:t>拟投入的机械设备配置情况</w:t>
            </w:r>
            <w:r>
              <w:rPr>
                <w:rFonts w:hint="eastAsia" w:ascii="宋体" w:hAnsi="宋体" w:cs="宋体"/>
                <w:b w:val="0"/>
                <w:bCs w:val="0"/>
                <w:color w:val="auto"/>
                <w:kern w:val="0"/>
                <w:sz w:val="22"/>
                <w:szCs w:val="22"/>
                <w:highlight w:val="none"/>
                <w:lang w:eastAsia="zh-CN" w:bidi="ar"/>
              </w:rPr>
              <w:t>（</w:t>
            </w:r>
            <w:r>
              <w:rPr>
                <w:rFonts w:hint="eastAsia" w:ascii="宋体" w:hAnsi="宋体" w:cs="宋体"/>
                <w:b w:val="0"/>
                <w:bCs w:val="0"/>
                <w:color w:val="auto"/>
                <w:kern w:val="0"/>
                <w:sz w:val="22"/>
                <w:szCs w:val="22"/>
                <w:highlight w:val="none"/>
                <w:lang w:val="en-US" w:eastAsia="zh-CN" w:bidi="ar"/>
              </w:rPr>
              <w:t>6分</w:t>
            </w:r>
            <w:r>
              <w:rPr>
                <w:rFonts w:hint="eastAsia" w:ascii="宋体" w:hAnsi="宋体" w:cs="宋体"/>
                <w:b w:val="0"/>
                <w:bCs w:val="0"/>
                <w:color w:val="auto"/>
                <w:kern w:val="0"/>
                <w:sz w:val="22"/>
                <w:szCs w:val="22"/>
                <w:highlight w:val="none"/>
                <w:lang w:eastAsia="zh-CN" w:bidi="ar"/>
              </w:rPr>
              <w:t>）</w:t>
            </w:r>
          </w:p>
          <w:p w14:paraId="5853D19D">
            <w:pPr>
              <w:widowControl/>
              <w:shd w:val="clear" w:color="auto"/>
              <w:jc w:val="center"/>
              <w:textAlignment w:val="center"/>
              <w:rPr>
                <w:rFonts w:hint="eastAsia" w:ascii="宋体" w:hAnsi="宋体" w:cs="宋体"/>
                <w:b w:val="0"/>
                <w:bCs w:val="0"/>
                <w:color w:val="auto"/>
                <w:kern w:val="0"/>
                <w:sz w:val="22"/>
                <w:szCs w:val="22"/>
                <w:highlight w:val="none"/>
              </w:rPr>
            </w:pPr>
          </w:p>
        </w:tc>
        <w:tc>
          <w:tcPr>
            <w:tcW w:w="6617" w:type="dxa"/>
            <w:noWrap w:val="0"/>
            <w:tcMar>
              <w:top w:w="15" w:type="dxa"/>
              <w:left w:w="15" w:type="dxa"/>
              <w:right w:w="15" w:type="dxa"/>
            </w:tcMar>
            <w:vAlign w:val="center"/>
          </w:tcPr>
          <w:p w14:paraId="26E6F8AC">
            <w:pPr>
              <w:widowControl/>
              <w:shd w:val="clear" w:color="auto"/>
              <w:jc w:val="left"/>
              <w:textAlignment w:val="center"/>
              <w:rPr>
                <w:rFonts w:hint="default" w:ascii="宋体" w:hAnsi="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在满足招标文件基本设备配备的基础上，根据供应商提供的设备进行评审。</w:t>
            </w:r>
          </w:p>
          <w:p w14:paraId="61F5AD7F">
            <w:pPr>
              <w:widowControl/>
              <w:shd w:val="clear" w:color="auto"/>
              <w:jc w:val="left"/>
              <w:textAlignment w:val="center"/>
              <w:rPr>
                <w:rFonts w:hint="eastAsia" w:ascii="宋体" w:hAnsi="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1.每提供1辆洒水</w:t>
            </w:r>
            <w:r>
              <w:rPr>
                <w:rFonts w:hint="eastAsia" w:ascii="宋体" w:hAnsi="宋体" w:cs="宋体"/>
                <w:b w:val="0"/>
                <w:bCs w:val="0"/>
                <w:color w:val="auto"/>
                <w:kern w:val="0"/>
                <w:sz w:val="22"/>
                <w:szCs w:val="22"/>
                <w:highlight w:val="none"/>
              </w:rPr>
              <w:t>车</w:t>
            </w:r>
            <w:r>
              <w:rPr>
                <w:rFonts w:hint="eastAsia" w:ascii="宋体" w:hAnsi="宋体" w:cs="宋体"/>
                <w:b w:val="0"/>
                <w:bCs w:val="0"/>
                <w:color w:val="auto"/>
                <w:kern w:val="0"/>
                <w:sz w:val="22"/>
                <w:szCs w:val="22"/>
                <w:highlight w:val="none"/>
                <w:lang w:val="en-US" w:eastAsia="zh-CN"/>
              </w:rPr>
              <w:t>得1分，本项最高可得1分；</w:t>
            </w:r>
          </w:p>
          <w:p w14:paraId="1222C8F6">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2.每提供1辆</w:t>
            </w:r>
            <w:r>
              <w:rPr>
                <w:rFonts w:hint="eastAsia" w:ascii="宋体" w:hAnsi="宋体" w:cs="宋体"/>
                <w:b w:val="0"/>
                <w:bCs w:val="0"/>
                <w:color w:val="auto"/>
                <w:kern w:val="0"/>
                <w:sz w:val="22"/>
                <w:szCs w:val="22"/>
                <w:highlight w:val="none"/>
              </w:rPr>
              <w:t>打药</w:t>
            </w:r>
            <w:r>
              <w:rPr>
                <w:rFonts w:hint="eastAsia" w:ascii="宋体" w:hAnsi="宋体" w:cs="宋体"/>
                <w:b w:val="0"/>
                <w:bCs w:val="0"/>
                <w:color w:val="auto"/>
                <w:kern w:val="0"/>
                <w:sz w:val="22"/>
                <w:szCs w:val="22"/>
                <w:highlight w:val="none"/>
                <w:lang w:val="en-US" w:eastAsia="zh-CN"/>
              </w:rPr>
              <w:t>车</w:t>
            </w:r>
            <w:r>
              <w:rPr>
                <w:rFonts w:hint="eastAsia" w:ascii="宋体" w:hAnsi="宋体" w:eastAsia="宋体" w:cs="宋体"/>
                <w:b w:val="0"/>
                <w:bCs w:val="0"/>
                <w:color w:val="auto"/>
                <w:kern w:val="0"/>
                <w:sz w:val="22"/>
                <w:szCs w:val="22"/>
                <w:highlight w:val="none"/>
                <w:lang w:val="en-US" w:eastAsia="zh-CN"/>
              </w:rPr>
              <w:t>（机）得1分，本项最高可得1分；</w:t>
            </w:r>
          </w:p>
          <w:p w14:paraId="655D33D9">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3.每提供1辆草坪修剪机得1分，本项最高可得1分；</w:t>
            </w:r>
          </w:p>
          <w:p w14:paraId="201A1B77">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4.每提供1辆绿篱机得1分，本项最高可得1分；</w:t>
            </w:r>
          </w:p>
          <w:p w14:paraId="1E2A7E57">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5.每提供1个高枝剪得1分，本项最高可得1分；</w:t>
            </w:r>
          </w:p>
          <w:p w14:paraId="4285470E">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6.每提供1辆割灌机得1分，本项最高可得1分。</w:t>
            </w:r>
          </w:p>
          <w:p w14:paraId="468E760B">
            <w:pPr>
              <w:widowControl/>
              <w:shd w:val="clear" w:color="auto"/>
              <w:jc w:val="left"/>
              <w:textAlignment w:val="center"/>
              <w:rPr>
                <w:rFonts w:hint="eastAsia" w:ascii="宋体" w:hAnsi="宋体" w:cs="宋体"/>
                <w:b w:val="0"/>
                <w:bCs w:val="0"/>
                <w:color w:val="auto"/>
                <w:kern w:val="0"/>
                <w:sz w:val="22"/>
                <w:szCs w:val="22"/>
                <w:highlight w:val="none"/>
              </w:rPr>
            </w:pPr>
            <w:r>
              <w:rPr>
                <w:rFonts w:hint="eastAsia" w:ascii="宋体" w:hAnsi="宋体" w:eastAsia="宋体" w:cs="宋体"/>
                <w:b w:val="0"/>
                <w:bCs w:val="0"/>
                <w:color w:val="auto"/>
                <w:kern w:val="0"/>
                <w:sz w:val="22"/>
                <w:szCs w:val="22"/>
                <w:highlight w:val="none"/>
                <w:lang w:val="en-US" w:eastAsia="zh-CN"/>
              </w:rPr>
              <w:t>注：上述投入设备若为自有，则须提供购置发票复印件加盖公章；若为租赁，则须提供租赁合同及车辆行驶证复印件加盖公章；若供应商投标时未具有相关车辆，则须提供拟投入设备图文描述及中标后七个工作日内到位的承诺函。否则不得分。</w:t>
            </w:r>
          </w:p>
        </w:tc>
        <w:tc>
          <w:tcPr>
            <w:tcW w:w="829" w:type="dxa"/>
            <w:noWrap w:val="0"/>
            <w:tcMar>
              <w:top w:w="15" w:type="dxa"/>
              <w:left w:w="15" w:type="dxa"/>
              <w:right w:w="15" w:type="dxa"/>
            </w:tcMar>
            <w:vAlign w:val="center"/>
          </w:tcPr>
          <w:p w14:paraId="55A7756A">
            <w:pPr>
              <w:widowControl/>
              <w:shd w:val="clear" w:color="auto"/>
              <w:jc w:val="left"/>
              <w:textAlignment w:val="center"/>
              <w:rPr>
                <w:rFonts w:hint="default"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0-6分</w:t>
            </w:r>
          </w:p>
        </w:tc>
      </w:tr>
      <w:tr w14:paraId="3681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0" w:hRule="atLeast"/>
        </w:trPr>
        <w:tc>
          <w:tcPr>
            <w:tcW w:w="463" w:type="dxa"/>
            <w:noWrap w:val="0"/>
            <w:tcMar>
              <w:top w:w="15" w:type="dxa"/>
              <w:left w:w="15" w:type="dxa"/>
              <w:right w:w="15" w:type="dxa"/>
            </w:tcMar>
            <w:vAlign w:val="center"/>
          </w:tcPr>
          <w:p w14:paraId="2B461261">
            <w:pPr>
              <w:widowControl/>
              <w:shd w:val="clear" w:color="auto"/>
              <w:jc w:val="center"/>
              <w:textAlignment w:val="center"/>
              <w:rPr>
                <w:rFonts w:hint="eastAsia" w:ascii="宋体" w:hAnsi="宋体" w:eastAsia="宋体" w:cs="宋体"/>
                <w:b w:val="0"/>
                <w:bCs w:val="0"/>
                <w:color w:val="auto"/>
                <w:kern w:val="0"/>
                <w:sz w:val="22"/>
                <w:szCs w:val="22"/>
                <w:highlight w:val="none"/>
                <w:lang w:eastAsia="zh-CN"/>
              </w:rPr>
            </w:pPr>
            <w:r>
              <w:rPr>
                <w:rFonts w:hint="eastAsia" w:ascii="宋体" w:hAnsi="宋体" w:cs="宋体"/>
                <w:b w:val="0"/>
                <w:bCs w:val="0"/>
                <w:color w:val="auto"/>
                <w:kern w:val="0"/>
                <w:sz w:val="22"/>
                <w:szCs w:val="22"/>
                <w:highlight w:val="none"/>
                <w:lang w:val="en-US" w:eastAsia="zh-CN" w:bidi="ar"/>
              </w:rPr>
              <w:t>6</w:t>
            </w:r>
          </w:p>
        </w:tc>
        <w:tc>
          <w:tcPr>
            <w:tcW w:w="1506" w:type="dxa"/>
            <w:noWrap w:val="0"/>
            <w:tcMar>
              <w:top w:w="15" w:type="dxa"/>
              <w:left w:w="15" w:type="dxa"/>
              <w:right w:w="15" w:type="dxa"/>
            </w:tcMar>
            <w:vAlign w:val="center"/>
          </w:tcPr>
          <w:p w14:paraId="4B6B2F80">
            <w:pPr>
              <w:widowControl/>
              <w:shd w:val="clear" w:color="auto"/>
              <w:jc w:val="center"/>
              <w:textAlignment w:val="center"/>
              <w:rPr>
                <w:rFonts w:hint="eastAsia" w:ascii="宋体" w:hAnsi="宋体" w:cs="宋体"/>
                <w:b w:val="0"/>
                <w:bCs w:val="0"/>
                <w:color w:val="auto"/>
                <w:kern w:val="0"/>
                <w:sz w:val="22"/>
                <w:szCs w:val="22"/>
                <w:highlight w:val="none"/>
              </w:rPr>
            </w:pPr>
            <w:r>
              <w:rPr>
                <w:rFonts w:hint="eastAsia" w:ascii="宋体" w:hAnsi="宋体" w:cs="宋体"/>
                <w:b w:val="0"/>
                <w:bCs w:val="0"/>
                <w:color w:val="auto"/>
                <w:kern w:val="0"/>
                <w:sz w:val="22"/>
                <w:szCs w:val="22"/>
                <w:highlight w:val="none"/>
              </w:rPr>
              <w:t>实地绿化养护方案及实施措施</w:t>
            </w:r>
            <w:r>
              <w:rPr>
                <w:rFonts w:hint="eastAsia" w:ascii="宋体" w:hAnsi="宋体" w:cs="宋体"/>
                <w:b w:val="0"/>
                <w:bCs w:val="0"/>
                <w:color w:val="auto"/>
                <w:kern w:val="0"/>
                <w:sz w:val="22"/>
                <w:szCs w:val="22"/>
                <w:highlight w:val="none"/>
                <w:lang w:eastAsia="zh-CN" w:bidi="ar"/>
              </w:rPr>
              <w:t>（</w:t>
            </w:r>
            <w:r>
              <w:rPr>
                <w:rFonts w:hint="eastAsia" w:ascii="宋体" w:hAnsi="宋体" w:cs="宋体"/>
                <w:b w:val="0"/>
                <w:bCs w:val="0"/>
                <w:color w:val="auto"/>
                <w:kern w:val="0"/>
                <w:sz w:val="22"/>
                <w:szCs w:val="22"/>
                <w:highlight w:val="none"/>
                <w:lang w:val="en-US" w:eastAsia="zh-CN" w:bidi="ar"/>
              </w:rPr>
              <w:t>20分</w:t>
            </w:r>
            <w:r>
              <w:rPr>
                <w:rFonts w:hint="eastAsia" w:ascii="宋体" w:hAnsi="宋体" w:cs="宋体"/>
                <w:b w:val="0"/>
                <w:bCs w:val="0"/>
                <w:color w:val="auto"/>
                <w:kern w:val="0"/>
                <w:sz w:val="22"/>
                <w:szCs w:val="22"/>
                <w:highlight w:val="none"/>
                <w:lang w:eastAsia="zh-CN" w:bidi="ar"/>
              </w:rPr>
              <w:t>）</w:t>
            </w:r>
          </w:p>
        </w:tc>
        <w:tc>
          <w:tcPr>
            <w:tcW w:w="6617" w:type="dxa"/>
            <w:noWrap w:val="0"/>
            <w:tcMar>
              <w:top w:w="15" w:type="dxa"/>
              <w:left w:w="15" w:type="dxa"/>
              <w:right w:w="15" w:type="dxa"/>
            </w:tcMar>
            <w:vAlign w:val="center"/>
          </w:tcPr>
          <w:p w14:paraId="5F0ED209">
            <w:pPr>
              <w:widowControl/>
              <w:numPr>
                <w:ilvl w:val="0"/>
                <w:numId w:val="14"/>
              </w:numPr>
              <w:shd w:val="clear" w:color="auto"/>
              <w:jc w:val="left"/>
              <w:textAlignment w:val="center"/>
              <w:rPr>
                <w:rFonts w:hint="eastAsia" w:ascii="宋体" w:hAnsi="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针对本项目养护存在的问题及解决措施的合理性、科学性由专家进行评审。</w:t>
            </w:r>
            <w:r>
              <w:rPr>
                <w:rFonts w:hint="eastAsia" w:ascii="宋体" w:hAnsi="宋体" w:cs="宋体"/>
                <w:b w:val="0"/>
                <w:bCs w:val="0"/>
                <w:color w:val="auto"/>
                <w:kern w:val="0"/>
                <w:sz w:val="22"/>
                <w:szCs w:val="22"/>
                <w:highlight w:val="none"/>
                <w:lang w:val="en-US" w:eastAsia="zh-CN"/>
              </w:rPr>
              <w:t>（评分范围：4,3,2,1,0）</w:t>
            </w:r>
          </w:p>
          <w:p w14:paraId="30D6F74F">
            <w:pPr>
              <w:widowControl/>
              <w:numPr>
                <w:ilvl w:val="0"/>
                <w:numId w:val="0"/>
              </w:numPr>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2.草坪管理技术措施，包括问题改善措施、防治虫害的措施合理性、科学性由专家进行评审。</w:t>
            </w:r>
            <w:r>
              <w:rPr>
                <w:rFonts w:hint="eastAsia" w:ascii="宋体" w:hAnsi="宋体" w:cs="宋体"/>
                <w:b w:val="0"/>
                <w:bCs w:val="0"/>
                <w:color w:val="auto"/>
                <w:kern w:val="0"/>
                <w:sz w:val="22"/>
                <w:szCs w:val="22"/>
                <w:highlight w:val="none"/>
                <w:lang w:val="en-US" w:eastAsia="zh-CN"/>
              </w:rPr>
              <w:t>（评分范围：4,3,2,1,0）</w:t>
            </w:r>
          </w:p>
          <w:p w14:paraId="722A36F7">
            <w:pPr>
              <w:widowControl/>
              <w:shd w:val="clear" w:color="auto"/>
              <w:jc w:val="left"/>
              <w:textAlignment w:val="center"/>
              <w:rPr>
                <w:rFonts w:hint="eastAsia" w:ascii="宋体" w:hAnsi="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3.花灌木及行道树管理技术措施合理性、科学性由专家进行评审。</w:t>
            </w:r>
            <w:r>
              <w:rPr>
                <w:rFonts w:hint="eastAsia" w:ascii="宋体" w:hAnsi="宋体" w:cs="宋体"/>
                <w:b w:val="0"/>
                <w:bCs w:val="0"/>
                <w:color w:val="auto"/>
                <w:kern w:val="0"/>
                <w:sz w:val="22"/>
                <w:szCs w:val="22"/>
                <w:highlight w:val="none"/>
                <w:lang w:val="en-US" w:eastAsia="zh-CN"/>
              </w:rPr>
              <w:t>（评分范围：4,3,2,1,0）</w:t>
            </w:r>
          </w:p>
          <w:p w14:paraId="6E82382D">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4.绿化垃圾处理方案、绿地保洁的实施措施合理性、科学性由专家进行评审。</w:t>
            </w:r>
            <w:r>
              <w:rPr>
                <w:rFonts w:hint="eastAsia" w:ascii="宋体" w:hAnsi="宋体" w:cs="宋体"/>
                <w:b w:val="0"/>
                <w:bCs w:val="0"/>
                <w:color w:val="auto"/>
                <w:kern w:val="0"/>
                <w:sz w:val="22"/>
                <w:szCs w:val="22"/>
                <w:highlight w:val="none"/>
                <w:lang w:val="en-US" w:eastAsia="zh-CN"/>
              </w:rPr>
              <w:t>（评分范围：4,3,2,1,0）</w:t>
            </w:r>
          </w:p>
          <w:p w14:paraId="6DBB4CF7">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5.安全生产及突发自然灾害应急措施合理性、科学性由专家进行评审。</w:t>
            </w:r>
            <w:r>
              <w:rPr>
                <w:rFonts w:hint="eastAsia" w:ascii="宋体" w:hAnsi="宋体" w:cs="宋体"/>
                <w:b w:val="0"/>
                <w:bCs w:val="0"/>
                <w:color w:val="auto"/>
                <w:kern w:val="0"/>
                <w:sz w:val="22"/>
                <w:szCs w:val="22"/>
                <w:highlight w:val="none"/>
                <w:lang w:val="en-US" w:eastAsia="zh-CN"/>
              </w:rPr>
              <w:t>（评分范围：4,3,2,1,0）</w:t>
            </w:r>
          </w:p>
        </w:tc>
        <w:tc>
          <w:tcPr>
            <w:tcW w:w="829" w:type="dxa"/>
            <w:noWrap w:val="0"/>
            <w:tcMar>
              <w:top w:w="15" w:type="dxa"/>
              <w:left w:w="15" w:type="dxa"/>
              <w:right w:w="15" w:type="dxa"/>
            </w:tcMar>
            <w:vAlign w:val="center"/>
          </w:tcPr>
          <w:p w14:paraId="2273632C">
            <w:pPr>
              <w:widowControl/>
              <w:shd w:val="clear" w:color="auto"/>
              <w:spacing w:line="400" w:lineRule="exact"/>
              <w:ind w:right="3"/>
              <w:rPr>
                <w:rFonts w:hint="default"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0-20分</w:t>
            </w:r>
          </w:p>
        </w:tc>
      </w:tr>
      <w:tr w14:paraId="3B69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trPr>
        <w:tc>
          <w:tcPr>
            <w:tcW w:w="463" w:type="dxa"/>
            <w:noWrap w:val="0"/>
            <w:vAlign w:val="center"/>
          </w:tcPr>
          <w:p w14:paraId="5524535D">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7</w:t>
            </w:r>
          </w:p>
        </w:tc>
        <w:tc>
          <w:tcPr>
            <w:tcW w:w="1506" w:type="dxa"/>
            <w:noWrap w:val="0"/>
            <w:vAlign w:val="center"/>
          </w:tcPr>
          <w:p w14:paraId="5F39A67B">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相关承诺及方案</w:t>
            </w:r>
          </w:p>
          <w:p w14:paraId="6E0A6F9F">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kern w:val="0"/>
                <w:sz w:val="22"/>
                <w:szCs w:val="22"/>
                <w:highlight w:val="none"/>
              </w:rPr>
            </w:pPr>
            <w:r>
              <w:rPr>
                <w:rFonts w:hint="eastAsia" w:ascii="宋体" w:hAnsi="宋体" w:eastAsia="宋体" w:cs="宋体"/>
                <w:b w:val="0"/>
                <w:bCs w:val="0"/>
                <w:color w:val="auto"/>
                <w:kern w:val="0"/>
                <w:sz w:val="22"/>
                <w:szCs w:val="22"/>
                <w:highlight w:val="none"/>
                <w:lang w:eastAsia="zh-CN"/>
              </w:rPr>
              <w:t>（</w:t>
            </w:r>
            <w:r>
              <w:rPr>
                <w:rFonts w:hint="eastAsia" w:ascii="宋体" w:hAnsi="宋体" w:eastAsia="宋体" w:cs="宋体"/>
                <w:b w:val="0"/>
                <w:bCs w:val="0"/>
                <w:color w:val="auto"/>
                <w:kern w:val="0"/>
                <w:sz w:val="22"/>
                <w:szCs w:val="22"/>
                <w:highlight w:val="none"/>
                <w:lang w:val="en-US" w:eastAsia="zh-CN"/>
              </w:rPr>
              <w:t>5分</w:t>
            </w:r>
            <w:r>
              <w:rPr>
                <w:rFonts w:hint="eastAsia" w:ascii="宋体" w:hAnsi="宋体" w:eastAsia="宋体" w:cs="宋体"/>
                <w:b w:val="0"/>
                <w:bCs w:val="0"/>
                <w:color w:val="auto"/>
                <w:kern w:val="0"/>
                <w:sz w:val="22"/>
                <w:szCs w:val="22"/>
                <w:highlight w:val="none"/>
                <w:lang w:eastAsia="zh-CN"/>
              </w:rPr>
              <w:t>）</w:t>
            </w:r>
          </w:p>
        </w:tc>
        <w:tc>
          <w:tcPr>
            <w:tcW w:w="6617" w:type="dxa"/>
            <w:noWrap w:val="0"/>
            <w:vAlign w:val="center"/>
          </w:tcPr>
          <w:p w14:paraId="3356BAF8">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根据投标供应商对各项工作要求作出具体承诺及所采用的操作规程、标准、具体实施计划和养护方案是否明确、科学、可行；质量的控制和检验手段是否科学、可靠由评委给予评分。</w:t>
            </w:r>
            <w:r>
              <w:rPr>
                <w:rFonts w:hint="eastAsia" w:ascii="宋体" w:hAnsi="宋体" w:cs="宋体"/>
                <w:b w:val="0"/>
                <w:bCs w:val="0"/>
                <w:color w:val="auto"/>
                <w:kern w:val="0"/>
                <w:sz w:val="22"/>
                <w:szCs w:val="22"/>
                <w:highlight w:val="none"/>
                <w:lang w:val="en-US" w:eastAsia="zh-CN"/>
              </w:rPr>
              <w:t>（评分范围：5,4,3,2,1,0）</w:t>
            </w:r>
          </w:p>
        </w:tc>
        <w:tc>
          <w:tcPr>
            <w:tcW w:w="829" w:type="dxa"/>
            <w:noWrap w:val="0"/>
            <w:vAlign w:val="center"/>
          </w:tcPr>
          <w:p w14:paraId="24729216">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kern w:val="0"/>
                <w:sz w:val="22"/>
                <w:szCs w:val="22"/>
                <w:highlight w:val="none"/>
              </w:rPr>
              <w:t>0-</w:t>
            </w:r>
            <w:r>
              <w:rPr>
                <w:rFonts w:hint="eastAsia" w:ascii="宋体" w:hAnsi="宋体" w:eastAsia="宋体" w:cs="宋体"/>
                <w:b w:val="0"/>
                <w:bCs w:val="0"/>
                <w:color w:val="auto"/>
                <w:kern w:val="0"/>
                <w:sz w:val="22"/>
                <w:szCs w:val="22"/>
                <w:highlight w:val="none"/>
                <w:lang w:val="en-US" w:eastAsia="zh-CN"/>
              </w:rPr>
              <w:t>5</w:t>
            </w:r>
            <w:r>
              <w:rPr>
                <w:rFonts w:hint="eastAsia" w:ascii="宋体" w:hAnsi="宋体" w:eastAsia="宋体" w:cs="宋体"/>
                <w:b w:val="0"/>
                <w:bCs w:val="0"/>
                <w:color w:val="auto"/>
                <w:kern w:val="0"/>
                <w:sz w:val="22"/>
                <w:szCs w:val="22"/>
                <w:highlight w:val="none"/>
              </w:rPr>
              <w:t>分</w:t>
            </w:r>
          </w:p>
        </w:tc>
      </w:tr>
      <w:tr w14:paraId="31E5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1" w:hRule="atLeast"/>
        </w:trPr>
        <w:tc>
          <w:tcPr>
            <w:tcW w:w="463" w:type="dxa"/>
            <w:noWrap w:val="0"/>
            <w:tcMar>
              <w:top w:w="15" w:type="dxa"/>
              <w:left w:w="15" w:type="dxa"/>
              <w:right w:w="15" w:type="dxa"/>
            </w:tcMar>
            <w:vAlign w:val="center"/>
          </w:tcPr>
          <w:p w14:paraId="31824749">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cs="宋体"/>
                <w:b w:val="0"/>
                <w:bCs w:val="0"/>
                <w:color w:val="auto"/>
                <w:kern w:val="0"/>
                <w:sz w:val="22"/>
                <w:szCs w:val="22"/>
                <w:highlight w:val="none"/>
                <w:lang w:val="en-US" w:eastAsia="zh-CN" w:bidi="ar"/>
              </w:rPr>
            </w:pPr>
            <w:r>
              <w:rPr>
                <w:rFonts w:hint="eastAsia" w:ascii="宋体" w:hAnsi="宋体" w:eastAsia="宋体" w:cs="宋体"/>
                <w:b w:val="0"/>
                <w:bCs w:val="0"/>
                <w:color w:val="auto"/>
                <w:kern w:val="0"/>
                <w:sz w:val="22"/>
                <w:szCs w:val="22"/>
                <w:highlight w:val="none"/>
                <w:lang w:val="en-US" w:eastAsia="zh-CN"/>
              </w:rPr>
              <w:t>8</w:t>
            </w:r>
          </w:p>
        </w:tc>
        <w:tc>
          <w:tcPr>
            <w:tcW w:w="1506" w:type="dxa"/>
            <w:noWrap w:val="0"/>
            <w:tcMar>
              <w:top w:w="15" w:type="dxa"/>
              <w:left w:w="15" w:type="dxa"/>
              <w:right w:w="15" w:type="dxa"/>
            </w:tcMar>
            <w:vAlign w:val="center"/>
          </w:tcPr>
          <w:p w14:paraId="230EEB8A">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cs="宋体"/>
                <w:b w:val="0"/>
                <w:bCs w:val="0"/>
                <w:snapToGrid w:val="0"/>
                <w:color w:val="auto"/>
                <w:kern w:val="0"/>
                <w:sz w:val="22"/>
                <w:szCs w:val="22"/>
                <w:highlight w:val="none"/>
              </w:rPr>
            </w:pPr>
            <w:r>
              <w:rPr>
                <w:rFonts w:hint="eastAsia" w:ascii="宋体" w:hAnsi="宋体" w:eastAsia="宋体" w:cs="宋体"/>
                <w:b w:val="0"/>
                <w:bCs w:val="0"/>
                <w:color w:val="auto"/>
                <w:kern w:val="0"/>
                <w:sz w:val="22"/>
                <w:szCs w:val="22"/>
                <w:highlight w:val="none"/>
              </w:rPr>
              <w:t>安全措施方案</w:t>
            </w:r>
            <w:r>
              <w:rPr>
                <w:rFonts w:hint="eastAsia" w:ascii="宋体" w:hAnsi="宋体" w:eastAsia="宋体" w:cs="宋体"/>
                <w:b w:val="0"/>
                <w:bCs w:val="0"/>
                <w:color w:val="auto"/>
                <w:kern w:val="0"/>
                <w:sz w:val="22"/>
                <w:szCs w:val="22"/>
                <w:highlight w:val="none"/>
                <w:lang w:eastAsia="zh-CN"/>
              </w:rPr>
              <w:t>（</w:t>
            </w:r>
            <w:r>
              <w:rPr>
                <w:rFonts w:hint="eastAsia" w:ascii="宋体" w:hAnsi="宋体" w:eastAsia="宋体" w:cs="宋体"/>
                <w:b w:val="0"/>
                <w:bCs w:val="0"/>
                <w:color w:val="auto"/>
                <w:kern w:val="0"/>
                <w:sz w:val="22"/>
                <w:szCs w:val="22"/>
                <w:highlight w:val="none"/>
                <w:lang w:val="en-US" w:eastAsia="zh-CN"/>
              </w:rPr>
              <w:t>6分</w:t>
            </w:r>
            <w:r>
              <w:rPr>
                <w:rFonts w:hint="eastAsia" w:ascii="宋体" w:hAnsi="宋体" w:eastAsia="宋体" w:cs="宋体"/>
                <w:b w:val="0"/>
                <w:bCs w:val="0"/>
                <w:color w:val="auto"/>
                <w:kern w:val="0"/>
                <w:sz w:val="22"/>
                <w:szCs w:val="22"/>
                <w:highlight w:val="none"/>
                <w:lang w:eastAsia="zh-CN"/>
              </w:rPr>
              <w:t>）</w:t>
            </w:r>
          </w:p>
        </w:tc>
        <w:tc>
          <w:tcPr>
            <w:tcW w:w="6617" w:type="dxa"/>
            <w:noWrap w:val="0"/>
            <w:tcMar>
              <w:top w:w="15" w:type="dxa"/>
              <w:left w:w="15" w:type="dxa"/>
              <w:right w:w="15" w:type="dxa"/>
            </w:tcMar>
            <w:vAlign w:val="center"/>
          </w:tcPr>
          <w:p w14:paraId="0AE9352E">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根据投标供应商提供的安全措施方案是否明确、科学、可行；等情况由评委打分。</w:t>
            </w:r>
            <w:r>
              <w:rPr>
                <w:rFonts w:hint="eastAsia" w:ascii="宋体" w:hAnsi="宋体" w:cs="宋体"/>
                <w:b w:val="0"/>
                <w:bCs w:val="0"/>
                <w:color w:val="auto"/>
                <w:kern w:val="0"/>
                <w:sz w:val="22"/>
                <w:szCs w:val="22"/>
                <w:highlight w:val="none"/>
                <w:lang w:val="en-US" w:eastAsia="zh-CN"/>
              </w:rPr>
              <w:t>（评分范围：6,5,4,3,2,1,0）</w:t>
            </w:r>
          </w:p>
        </w:tc>
        <w:tc>
          <w:tcPr>
            <w:tcW w:w="829" w:type="dxa"/>
            <w:noWrap w:val="0"/>
            <w:tcMar>
              <w:top w:w="15" w:type="dxa"/>
              <w:left w:w="15" w:type="dxa"/>
              <w:right w:w="15" w:type="dxa"/>
            </w:tcMar>
            <w:vAlign w:val="center"/>
          </w:tcPr>
          <w:p w14:paraId="2361CC36">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kern w:val="0"/>
                <w:sz w:val="22"/>
                <w:szCs w:val="22"/>
                <w:highlight w:val="none"/>
              </w:rPr>
            </w:pPr>
            <w:r>
              <w:rPr>
                <w:rFonts w:hint="eastAsia" w:ascii="宋体" w:hAnsi="宋体" w:eastAsia="宋体" w:cs="宋体"/>
                <w:b w:val="0"/>
                <w:bCs w:val="0"/>
                <w:color w:val="auto"/>
                <w:kern w:val="0"/>
                <w:sz w:val="22"/>
                <w:szCs w:val="22"/>
                <w:highlight w:val="none"/>
                <w:lang w:val="en-US" w:eastAsia="zh-CN"/>
              </w:rPr>
              <w:t>0-6分</w:t>
            </w:r>
          </w:p>
        </w:tc>
      </w:tr>
      <w:tr w14:paraId="784E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1" w:hRule="atLeast"/>
        </w:trPr>
        <w:tc>
          <w:tcPr>
            <w:tcW w:w="463" w:type="dxa"/>
            <w:noWrap w:val="0"/>
            <w:tcMar>
              <w:top w:w="15" w:type="dxa"/>
              <w:left w:w="15" w:type="dxa"/>
              <w:right w:w="15" w:type="dxa"/>
            </w:tcMar>
            <w:vAlign w:val="center"/>
          </w:tcPr>
          <w:p w14:paraId="1D4C2014">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9</w:t>
            </w:r>
          </w:p>
        </w:tc>
        <w:tc>
          <w:tcPr>
            <w:tcW w:w="1506" w:type="dxa"/>
            <w:noWrap w:val="0"/>
            <w:tcMar>
              <w:top w:w="15" w:type="dxa"/>
              <w:left w:w="15" w:type="dxa"/>
              <w:right w:w="15" w:type="dxa"/>
            </w:tcMar>
            <w:vAlign w:val="center"/>
          </w:tcPr>
          <w:p w14:paraId="30B2292F">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b w:val="0"/>
                <w:bCs w:val="0"/>
                <w:color w:val="auto"/>
                <w:kern w:val="0"/>
                <w:sz w:val="22"/>
                <w:szCs w:val="22"/>
                <w:highlight w:val="none"/>
              </w:rPr>
            </w:pPr>
            <w:r>
              <w:rPr>
                <w:rFonts w:hint="eastAsia" w:ascii="宋体" w:hAnsi="宋体"/>
                <w:b w:val="0"/>
                <w:bCs w:val="0"/>
                <w:color w:val="auto"/>
                <w:kern w:val="0"/>
                <w:sz w:val="22"/>
                <w:szCs w:val="22"/>
                <w:highlight w:val="none"/>
              </w:rPr>
              <w:t>驻场服务能力及响应情况</w:t>
            </w:r>
          </w:p>
          <w:p w14:paraId="740703D3">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kern w:val="0"/>
                <w:sz w:val="22"/>
                <w:szCs w:val="22"/>
                <w:highlight w:val="none"/>
                <w:lang w:eastAsia="zh-CN"/>
              </w:rPr>
            </w:pPr>
            <w:r>
              <w:rPr>
                <w:rFonts w:hint="eastAsia" w:ascii="宋体" w:hAnsi="宋体"/>
                <w:b w:val="0"/>
                <w:bCs w:val="0"/>
                <w:color w:val="auto"/>
                <w:kern w:val="0"/>
                <w:sz w:val="22"/>
                <w:szCs w:val="22"/>
                <w:highlight w:val="none"/>
                <w:lang w:eastAsia="zh-CN"/>
              </w:rPr>
              <w:t>（</w:t>
            </w:r>
            <w:r>
              <w:rPr>
                <w:rFonts w:hint="eastAsia" w:ascii="宋体" w:hAnsi="宋体"/>
                <w:b w:val="0"/>
                <w:bCs w:val="0"/>
                <w:color w:val="auto"/>
                <w:kern w:val="0"/>
                <w:sz w:val="22"/>
                <w:szCs w:val="22"/>
                <w:highlight w:val="none"/>
                <w:lang w:val="en-US" w:eastAsia="zh-CN"/>
              </w:rPr>
              <w:t>6分</w:t>
            </w:r>
            <w:r>
              <w:rPr>
                <w:rFonts w:hint="eastAsia" w:ascii="宋体" w:hAnsi="宋体"/>
                <w:b w:val="0"/>
                <w:bCs w:val="0"/>
                <w:color w:val="auto"/>
                <w:kern w:val="0"/>
                <w:sz w:val="22"/>
                <w:szCs w:val="22"/>
                <w:highlight w:val="none"/>
                <w:lang w:eastAsia="zh-CN"/>
              </w:rPr>
              <w:t>）</w:t>
            </w:r>
          </w:p>
        </w:tc>
        <w:tc>
          <w:tcPr>
            <w:tcW w:w="6617" w:type="dxa"/>
            <w:noWrap w:val="0"/>
            <w:tcMar>
              <w:top w:w="15" w:type="dxa"/>
              <w:left w:w="15" w:type="dxa"/>
              <w:right w:w="15" w:type="dxa"/>
            </w:tcMar>
            <w:vAlign w:val="center"/>
          </w:tcPr>
          <w:p w14:paraId="0EE60553">
            <w:pPr>
              <w:widowControl/>
              <w:shd w:val="clear" w:color="auto"/>
              <w:jc w:val="left"/>
              <w:textAlignment w:val="center"/>
              <w:rPr>
                <w:rFonts w:hint="eastAsia" w:ascii="宋体" w:hAnsi="宋体" w:eastAsia="宋体" w:cs="宋体"/>
                <w:b w:val="0"/>
                <w:bCs w:val="0"/>
                <w:color w:val="auto"/>
                <w:kern w:val="0"/>
                <w:sz w:val="22"/>
                <w:szCs w:val="22"/>
                <w:highlight w:val="none"/>
                <w:lang w:val="en-US" w:eastAsia="zh-CN"/>
              </w:rPr>
            </w:pPr>
            <w:r>
              <w:rPr>
                <w:rFonts w:hint="eastAsia" w:ascii="宋体" w:hAnsi="宋体"/>
                <w:b w:val="0"/>
                <w:bCs w:val="0"/>
                <w:color w:val="auto"/>
                <w:kern w:val="0"/>
                <w:sz w:val="22"/>
                <w:szCs w:val="22"/>
                <w:highlight w:val="none"/>
              </w:rPr>
              <w:t>根据投标人对本项目设置的驻场地的响应速度及服务内容等综合情况，</w:t>
            </w:r>
            <w:r>
              <w:rPr>
                <w:rFonts w:hint="eastAsia" w:ascii="宋体" w:hAnsi="宋体" w:cs="宋体"/>
                <w:b w:val="0"/>
                <w:bCs w:val="0"/>
                <w:color w:val="auto"/>
                <w:kern w:val="0"/>
                <w:sz w:val="22"/>
                <w:szCs w:val="22"/>
                <w:highlight w:val="none"/>
              </w:rPr>
              <w:t>由专家打分</w:t>
            </w:r>
            <w:r>
              <w:rPr>
                <w:rFonts w:hint="eastAsia" w:ascii="宋体" w:hAnsi="宋体" w:cs="宋体"/>
                <w:b w:val="0"/>
                <w:bCs w:val="0"/>
                <w:color w:val="auto"/>
                <w:kern w:val="0"/>
                <w:sz w:val="22"/>
                <w:szCs w:val="22"/>
                <w:highlight w:val="none"/>
                <w:lang w:eastAsia="zh-CN"/>
              </w:rPr>
              <w:t>。</w:t>
            </w:r>
            <w:r>
              <w:rPr>
                <w:rFonts w:hint="eastAsia" w:ascii="宋体" w:hAnsi="宋体" w:cs="宋体"/>
                <w:b w:val="0"/>
                <w:bCs w:val="0"/>
                <w:color w:val="auto"/>
                <w:kern w:val="0"/>
                <w:sz w:val="22"/>
                <w:szCs w:val="22"/>
                <w:highlight w:val="none"/>
                <w:lang w:val="en-US" w:eastAsia="zh-CN"/>
              </w:rPr>
              <w:t>（评分范围：6,5,4,3,2,1,0）</w:t>
            </w:r>
          </w:p>
        </w:tc>
        <w:tc>
          <w:tcPr>
            <w:tcW w:w="829" w:type="dxa"/>
            <w:noWrap w:val="0"/>
            <w:tcMar>
              <w:top w:w="15" w:type="dxa"/>
              <w:left w:w="15" w:type="dxa"/>
              <w:right w:w="15" w:type="dxa"/>
            </w:tcMar>
            <w:vAlign w:val="center"/>
          </w:tcPr>
          <w:p w14:paraId="3BA87C43">
            <w:pPr>
              <w:keepNext w:val="0"/>
              <w:keepLines w:val="0"/>
              <w:pageBreakBefore w:val="0"/>
              <w:widowControl/>
              <w:shd w:val="clear" w:color="auto"/>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auto"/>
                <w:kern w:val="0"/>
                <w:sz w:val="22"/>
                <w:szCs w:val="22"/>
                <w:highlight w:val="none"/>
                <w:lang w:val="en-US" w:eastAsia="zh-CN"/>
              </w:rPr>
            </w:pPr>
            <w:r>
              <w:rPr>
                <w:rFonts w:hint="eastAsia" w:ascii="宋体" w:hAnsi="宋体" w:eastAsia="宋体" w:cs="宋体"/>
                <w:b w:val="0"/>
                <w:bCs w:val="0"/>
                <w:color w:val="auto"/>
                <w:kern w:val="0"/>
                <w:sz w:val="22"/>
                <w:szCs w:val="22"/>
                <w:highlight w:val="none"/>
                <w:lang w:val="en-US" w:eastAsia="zh-CN"/>
              </w:rPr>
              <w:t>0-6分</w:t>
            </w:r>
          </w:p>
        </w:tc>
      </w:tr>
    </w:tbl>
    <w:p w14:paraId="3FA43AD6">
      <w:pPr>
        <w:widowControl/>
        <w:shd w:val="clear" w:color="auto"/>
        <w:autoSpaceDE w:val="0"/>
        <w:autoSpaceDN w:val="0"/>
        <w:snapToGrid w:val="0"/>
        <w:spacing w:line="460" w:lineRule="atLeast"/>
        <w:jc w:val="left"/>
        <w:rPr>
          <w:rFonts w:ascii="Times New Roman" w:hAnsi="Courier New" w:eastAsia="宋体" w:cs="Times New Roman"/>
          <w:b w:val="0"/>
          <w:color w:val="auto"/>
          <w:kern w:val="0"/>
          <w:sz w:val="22"/>
          <w:szCs w:val="20"/>
          <w:highlight w:val="none"/>
        </w:rPr>
      </w:pPr>
    </w:p>
    <w:p w14:paraId="37BCE2A6">
      <w:pPr>
        <w:widowControl/>
        <w:shd w:val="clear" w:color="auto"/>
        <w:autoSpaceDE w:val="0"/>
        <w:autoSpaceDN w:val="0"/>
        <w:snapToGrid w:val="0"/>
        <w:spacing w:line="460" w:lineRule="atLeast"/>
        <w:jc w:val="left"/>
        <w:rPr>
          <w:rFonts w:ascii="Times New Roman" w:hAnsi="Courier New" w:eastAsia="宋体" w:cs="Times New Roman"/>
          <w:b w:val="0"/>
          <w:color w:val="auto"/>
          <w:kern w:val="0"/>
          <w:sz w:val="22"/>
          <w:szCs w:val="20"/>
          <w:highlight w:val="none"/>
        </w:rPr>
      </w:pPr>
    </w:p>
    <w:p w14:paraId="2EEDDB75">
      <w:pPr>
        <w:widowControl/>
        <w:shd w:val="clear" w:color="auto"/>
        <w:autoSpaceDE w:val="0"/>
        <w:autoSpaceDN w:val="0"/>
        <w:snapToGrid w:val="0"/>
        <w:spacing w:line="460" w:lineRule="atLeast"/>
        <w:jc w:val="left"/>
        <w:rPr>
          <w:rFonts w:ascii="Times New Roman" w:hAnsi="Courier New" w:eastAsia="宋体" w:cs="Times New Roman"/>
          <w:b w:val="0"/>
          <w:color w:val="auto"/>
          <w:kern w:val="0"/>
          <w:sz w:val="22"/>
          <w:szCs w:val="20"/>
          <w:highlight w:val="none"/>
        </w:rPr>
      </w:pPr>
      <w:r>
        <w:rPr>
          <w:rFonts w:ascii="Times New Roman" w:hAnsi="Courier New" w:eastAsia="宋体" w:cs="Times New Roman"/>
          <w:b w:val="0"/>
          <w:color w:val="auto"/>
          <w:kern w:val="0"/>
          <w:sz w:val="22"/>
          <w:szCs w:val="20"/>
          <w:highlight w:val="none"/>
        </w:rPr>
        <w:t>三、说明</w:t>
      </w:r>
    </w:p>
    <w:p w14:paraId="22A99E31">
      <w:pPr>
        <w:widowControl/>
        <w:shd w:val="clear" w:color="auto"/>
        <w:snapToGrid w:val="0"/>
        <w:spacing w:before="100" w:after="50" w:line="360" w:lineRule="atLeast"/>
        <w:ind w:firstLine="440"/>
        <w:jc w:val="left"/>
        <w:rPr>
          <w:rFonts w:ascii="Times New Roman" w:hAnsi="Times New Roman" w:eastAsia="宋体" w:cs="Times New Roman"/>
          <w:b w:val="0"/>
          <w:color w:val="auto"/>
          <w:kern w:val="0"/>
          <w:sz w:val="22"/>
          <w:szCs w:val="20"/>
          <w:highlight w:val="none"/>
        </w:rPr>
      </w:pPr>
      <w:r>
        <w:rPr>
          <w:rFonts w:ascii="Times New Roman" w:hAnsi="Times New Roman" w:eastAsia="宋体" w:cs="Times New Roman"/>
          <w:b w:val="0"/>
          <w:color w:val="auto"/>
          <w:kern w:val="0"/>
          <w:sz w:val="22"/>
          <w:szCs w:val="20"/>
          <w:highlight w:val="none"/>
        </w:rPr>
        <w:t>1、每个供应商最终得分=</w:t>
      </w:r>
      <w:r>
        <w:rPr>
          <w:rFonts w:hint="eastAsia" w:ascii="Times New Roman" w:hAnsi="Times New Roman" w:eastAsia="宋体" w:cs="Times New Roman"/>
          <w:b w:val="0"/>
          <w:color w:val="auto"/>
          <w:kern w:val="0"/>
          <w:sz w:val="22"/>
          <w:szCs w:val="20"/>
          <w:highlight w:val="none"/>
        </w:rPr>
        <w:t>商务技术</w:t>
      </w:r>
      <w:r>
        <w:rPr>
          <w:rFonts w:ascii="Times New Roman" w:hAnsi="Times New Roman" w:eastAsia="宋体" w:cs="Times New Roman"/>
          <w:b w:val="0"/>
          <w:color w:val="auto"/>
          <w:kern w:val="0"/>
          <w:sz w:val="22"/>
          <w:szCs w:val="20"/>
          <w:highlight w:val="none"/>
        </w:rPr>
        <w:t>分值（所有评标委员会成员打分的算术平均值）＋报价部分分值。</w:t>
      </w:r>
    </w:p>
    <w:p w14:paraId="214FA903">
      <w:pPr>
        <w:widowControl/>
        <w:shd w:val="clear" w:color="auto"/>
        <w:snapToGrid w:val="0"/>
        <w:spacing w:before="100" w:after="50" w:line="360" w:lineRule="atLeast"/>
        <w:ind w:firstLine="440"/>
        <w:jc w:val="left"/>
        <w:rPr>
          <w:rFonts w:ascii="Times New Roman" w:hAnsi="Times New Roman" w:eastAsia="宋体" w:cs="Times New Roman"/>
          <w:b w:val="0"/>
          <w:color w:val="auto"/>
          <w:kern w:val="0"/>
          <w:sz w:val="22"/>
          <w:szCs w:val="20"/>
          <w:highlight w:val="none"/>
        </w:rPr>
      </w:pPr>
      <w:r>
        <w:rPr>
          <w:rFonts w:ascii="Times New Roman" w:hAnsi="Times New Roman" w:eastAsia="宋体" w:cs="Times New Roman"/>
          <w:b w:val="0"/>
          <w:color w:val="auto"/>
          <w:kern w:val="0"/>
          <w:sz w:val="22"/>
          <w:szCs w:val="20"/>
          <w:highlight w:val="none"/>
        </w:rPr>
        <w:t>2、评标委员会推荐得分最高的供应商为成交供应商（如果得分相同则按报价从低到高顺序依次推荐为成交供应商）；如果得分相同，以报价低的优先；报价也相同，以抽签决定，并编写采购报告。</w:t>
      </w:r>
    </w:p>
    <w:p w14:paraId="1D32B547">
      <w:pPr>
        <w:widowControl/>
        <w:shd w:val="clear" w:color="auto"/>
        <w:snapToGrid w:val="0"/>
        <w:spacing w:before="100" w:after="50" w:line="360" w:lineRule="atLeast"/>
        <w:ind w:firstLine="420"/>
        <w:jc w:val="left"/>
        <w:rPr>
          <w:rFonts w:ascii="Times New Roman" w:hAnsi="Times New Roman" w:eastAsia="宋体" w:cs="Times New Roman"/>
          <w:b w:val="0"/>
          <w:color w:val="auto"/>
          <w:kern w:val="0"/>
          <w:sz w:val="22"/>
          <w:szCs w:val="20"/>
          <w:highlight w:val="none"/>
        </w:rPr>
      </w:pPr>
      <w:r>
        <w:rPr>
          <w:rFonts w:ascii="Times New Roman" w:hAnsi="Times New Roman" w:eastAsia="宋体" w:cs="Times New Roman"/>
          <w:b w:val="0"/>
          <w:color w:val="auto"/>
          <w:kern w:val="0"/>
          <w:sz w:val="22"/>
          <w:szCs w:val="20"/>
          <w:highlight w:val="none"/>
        </w:rPr>
        <w:t>3、所有分值计算保留小数点后二位，小数点后三位四舍五入。</w:t>
      </w:r>
    </w:p>
    <w:p w14:paraId="3BE631E4">
      <w:pPr>
        <w:widowControl/>
        <w:shd w:val="clear" w:color="auto"/>
        <w:snapToGrid w:val="0"/>
        <w:spacing w:before="100" w:after="50" w:line="360" w:lineRule="atLeast"/>
        <w:ind w:firstLine="420"/>
        <w:jc w:val="left"/>
        <w:rPr>
          <w:rFonts w:ascii="Times New Roman" w:hAnsi="Times New Roman" w:eastAsia="宋体" w:cs="Times New Roman"/>
          <w:b w:val="0"/>
          <w:color w:val="auto"/>
          <w:kern w:val="0"/>
          <w:sz w:val="22"/>
          <w:szCs w:val="20"/>
          <w:highlight w:val="none"/>
        </w:rPr>
      </w:pPr>
      <w:r>
        <w:rPr>
          <w:rFonts w:ascii="Times New Roman" w:hAnsi="Times New Roman" w:eastAsia="宋体" w:cs="Times New Roman"/>
          <w:b w:val="0"/>
          <w:color w:val="auto"/>
          <w:kern w:val="0"/>
          <w:sz w:val="22"/>
          <w:szCs w:val="20"/>
          <w:highlight w:val="none"/>
        </w:rPr>
        <w:t>4、评标过程中遇到特殊情况，由评标委员会遵循公开、公正原则，采取投票方式按照少数服从多数原则决定。</w:t>
      </w:r>
    </w:p>
    <w:p w14:paraId="148C6EBE">
      <w:pPr>
        <w:widowControl/>
        <w:shd w:val="clear" w:color="auto"/>
        <w:snapToGrid w:val="0"/>
        <w:spacing w:before="100" w:after="50" w:line="360" w:lineRule="atLeast"/>
        <w:ind w:firstLine="420"/>
        <w:jc w:val="left"/>
        <w:rPr>
          <w:rFonts w:ascii="Times New Roman" w:hAnsi="Times New Roman" w:eastAsia="宋体" w:cs="Times New Roman"/>
          <w:b w:val="0"/>
          <w:color w:val="auto"/>
          <w:kern w:val="0"/>
          <w:sz w:val="22"/>
          <w:szCs w:val="20"/>
          <w:highlight w:val="none"/>
        </w:rPr>
      </w:pPr>
      <w:r>
        <w:rPr>
          <w:rFonts w:ascii="Times New Roman" w:hAnsi="Times New Roman" w:eastAsia="宋体" w:cs="Times New Roman"/>
          <w:b w:val="0"/>
          <w:color w:val="auto"/>
          <w:kern w:val="0"/>
          <w:sz w:val="22"/>
          <w:szCs w:val="20"/>
          <w:highlight w:val="none"/>
        </w:rPr>
        <w:t>参见本采购文件第三部分：“供应商须知”中的相关内容，未尽事宜按有关法律规定处理。</w:t>
      </w:r>
    </w:p>
    <w:p w14:paraId="0F17A473">
      <w:pPr>
        <w:widowControl/>
        <w:shd w:val="clear" w:color="auto"/>
        <w:adjustRightInd w:val="0"/>
        <w:snapToGrid w:val="0"/>
        <w:spacing w:line="400" w:lineRule="exact"/>
        <w:ind w:firstLine="440" w:firstLineChars="200"/>
        <w:jc w:val="left"/>
        <w:rPr>
          <w:rFonts w:hint="eastAsia" w:ascii="宋体" w:hAnsi="宋体" w:eastAsia="宋体" w:cs="宋体"/>
          <w:b w:val="0"/>
          <w:bCs w:val="0"/>
          <w:color w:val="auto"/>
          <w:kern w:val="0"/>
          <w:sz w:val="22"/>
          <w:szCs w:val="22"/>
          <w:highlight w:val="none"/>
        </w:rPr>
      </w:pPr>
      <w:r>
        <w:rPr>
          <w:rFonts w:hint="eastAsia" w:ascii="宋体" w:hAnsi="宋体" w:eastAsia="宋体" w:cs="宋体"/>
          <w:b w:val="0"/>
          <w:bCs w:val="0"/>
          <w:color w:val="auto"/>
          <w:kern w:val="0"/>
          <w:sz w:val="22"/>
          <w:szCs w:val="22"/>
          <w:highlight w:val="none"/>
          <w:lang w:val="en-US" w:eastAsia="zh-CN"/>
        </w:rPr>
        <w:t>4、</w:t>
      </w:r>
      <w:r>
        <w:rPr>
          <w:rFonts w:hint="eastAsia" w:ascii="宋体" w:hAnsi="宋体" w:eastAsia="宋体" w:cs="宋体"/>
          <w:b w:val="0"/>
          <w:bCs w:val="0"/>
          <w:color w:val="auto"/>
          <w:kern w:val="0"/>
          <w:sz w:val="22"/>
          <w:szCs w:val="22"/>
          <w:highlight w:val="none"/>
        </w:rPr>
        <w:t>本次评标，若投标人在前一个标项中标，则第二标项进行技术、服务、资信、业绩综合评分时，则须提供不同的项目组成员，若拟投入人员为同一批人，则第二标项拟投入人员情况部分得分不再计分。</w:t>
      </w:r>
    </w:p>
    <w:p w14:paraId="4B2614FF">
      <w:pPr>
        <w:widowControl/>
        <w:shd w:val="clear" w:color="auto"/>
        <w:adjustRightInd w:val="0"/>
        <w:snapToGrid w:val="0"/>
        <w:spacing w:line="400" w:lineRule="exact"/>
        <w:ind w:firstLine="440" w:firstLineChars="200"/>
        <w:jc w:val="left"/>
        <w:rPr>
          <w:rFonts w:hint="eastAsia" w:ascii="宋体" w:hAnsi="宋体" w:eastAsia="宋体" w:cs="宋体"/>
          <w:b/>
          <w:bCs/>
          <w:color w:val="auto"/>
          <w:kern w:val="0"/>
          <w:sz w:val="44"/>
          <w:szCs w:val="44"/>
          <w:highlight w:val="none"/>
        </w:rPr>
      </w:pPr>
      <w:r>
        <w:rPr>
          <w:rFonts w:hint="eastAsia" w:ascii="宋体" w:hAnsi="宋体" w:eastAsia="宋体" w:cs="宋体"/>
          <w:b w:val="0"/>
          <w:bCs w:val="0"/>
          <w:color w:val="auto"/>
          <w:kern w:val="0"/>
          <w:sz w:val="22"/>
          <w:szCs w:val="22"/>
          <w:highlight w:val="none"/>
        </w:rPr>
        <w:t>参见本招标文件第三部分：“供应商须知” 中的相关内容，未尽事宜按有关法律规定处理。</w:t>
      </w:r>
    </w:p>
    <w:p w14:paraId="7DEF8AC4">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3F30731A">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5298D85C">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57B02038">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3D0A62D9">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6D85C28A">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0A40393F">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5C5B1C71">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33C4A0D8">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1340A05F">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762C9CD6">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6875B3D2">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23F78327">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491F8BD0">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51C67AC8">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417C2C75">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p>
    <w:p w14:paraId="5F806442">
      <w:pPr>
        <w:pStyle w:val="76"/>
        <w:widowControl w:val="0"/>
        <w:shd w:val="clear"/>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r>
        <w:rPr>
          <w:rFonts w:hint="eastAsia" w:ascii="方正小标宋简体" w:hAnsi="方正小标宋简体" w:eastAsia="方正小标宋简体"/>
          <w:color w:val="auto"/>
          <w:sz w:val="32"/>
          <w:szCs w:val="32"/>
          <w:highlight w:val="none"/>
          <w:lang w:eastAsia="zh-CN"/>
        </w:rPr>
        <w:t>国企采购</w:t>
      </w:r>
      <w:r>
        <w:rPr>
          <w:rFonts w:ascii="方正小标宋简体" w:hAnsi="方正小标宋简体" w:eastAsia="方正小标宋简体"/>
          <w:color w:val="auto"/>
          <w:sz w:val="32"/>
          <w:szCs w:val="32"/>
          <w:highlight w:val="none"/>
        </w:rPr>
        <w:t>活动现场确认声明书</w:t>
      </w:r>
    </w:p>
    <w:p w14:paraId="1E6B3292">
      <w:pPr>
        <w:pStyle w:val="76"/>
        <w:widowControl w:val="0"/>
        <w:shd w:val="clear"/>
        <w:snapToGrid w:val="0"/>
        <w:spacing w:line="480" w:lineRule="exact"/>
        <w:jc w:val="both"/>
        <w:rPr>
          <w:rFonts w:hint="eastAsia" w:ascii="仿宋" w:hAnsi="仿宋"/>
          <w:color w:val="auto"/>
          <w:kern w:val="0"/>
          <w:szCs w:val="21"/>
          <w:highlight w:val="none"/>
          <w:u w:val="single"/>
          <w:lang w:eastAsia="zh-CN"/>
        </w:rPr>
      </w:pPr>
      <w:r>
        <w:rPr>
          <w:rFonts w:hint="eastAsia" w:ascii="仿宋" w:hAnsi="仿宋"/>
          <w:color w:val="auto"/>
          <w:kern w:val="0"/>
          <w:szCs w:val="21"/>
          <w:highlight w:val="none"/>
          <w:u w:val="single"/>
          <w:lang w:eastAsia="zh-CN"/>
        </w:rPr>
        <w:t>浙江名进建设项目管理有限公司</w:t>
      </w:r>
      <w:r>
        <w:rPr>
          <w:rFonts w:ascii="仿宋" w:hAnsi="仿宋"/>
          <w:color w:val="auto"/>
          <w:kern w:val="0"/>
          <w:szCs w:val="21"/>
          <w:highlight w:val="none"/>
          <w:u w:val="single"/>
        </w:rPr>
        <w:t>（采购组织机构名称）</w:t>
      </w:r>
      <w:r>
        <w:rPr>
          <w:rFonts w:ascii="仿宋" w:hAnsi="仿宋"/>
          <w:color w:val="auto"/>
          <w:kern w:val="0"/>
          <w:szCs w:val="21"/>
          <w:highlight w:val="none"/>
        </w:rPr>
        <w:t>：</w:t>
      </w:r>
    </w:p>
    <w:p w14:paraId="760B22CD">
      <w:pPr>
        <w:pStyle w:val="76"/>
        <w:widowControl w:val="0"/>
        <w:shd w:val="clear"/>
        <w:snapToGrid w:val="0"/>
        <w:spacing w:line="480" w:lineRule="exact"/>
        <w:ind w:firstLine="444" w:firstLineChars="200"/>
        <w:jc w:val="both"/>
        <w:rPr>
          <w:rFonts w:hAnsi="宋体"/>
          <w:color w:val="auto"/>
          <w:spacing w:val="6"/>
          <w:szCs w:val="21"/>
          <w:highlight w:val="none"/>
          <w:u w:val="singl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2025年度鳌江镇苗木养护、补植、绿地修复项目</w:t>
      </w:r>
      <w:r>
        <w:rPr>
          <w:rFonts w:hAnsi="宋体"/>
          <w:color w:val="auto"/>
          <w:spacing w:val="6"/>
          <w:szCs w:val="21"/>
          <w:highlight w:val="none"/>
          <w:u w:val="single"/>
        </w:rPr>
        <w:t>（采购编号：</w:t>
      </w:r>
      <w:r>
        <w:rPr>
          <w:rFonts w:hint="eastAsia" w:hAnsi="宋体"/>
          <w:color w:val="auto"/>
          <w:spacing w:val="6"/>
          <w:szCs w:val="21"/>
          <w:highlight w:val="none"/>
          <w:u w:val="single"/>
          <w:lang w:eastAsia="zh-CN"/>
        </w:rPr>
        <w:t>PYCG241224108</w:t>
      </w:r>
      <w:r>
        <w:rPr>
          <w:rFonts w:hAnsi="宋体"/>
          <w:color w:val="auto"/>
          <w:spacing w:val="6"/>
          <w:szCs w:val="21"/>
          <w:highlight w:val="none"/>
          <w:u w:val="single"/>
        </w:rPr>
        <w:t>）</w:t>
      </w:r>
      <w:r>
        <w:rPr>
          <w:rFonts w:hint="eastAsia" w:hAnsi="宋体"/>
          <w:color w:val="auto"/>
          <w:spacing w:val="6"/>
          <w:szCs w:val="21"/>
          <w:highlight w:val="none"/>
          <w:lang w:eastAsia="zh-CN"/>
        </w:rPr>
        <w:t>国企采购</w:t>
      </w:r>
      <w:r>
        <w:rPr>
          <w:rFonts w:hAnsi="宋体"/>
          <w:color w:val="auto"/>
          <w:spacing w:val="6"/>
          <w:szCs w:val="21"/>
          <w:highlight w:val="none"/>
        </w:rPr>
        <w:t xml:space="preserve">活动，经与本单位法人代表（负责人）联系确认，现就有关公平竞争事项郑重声明如下： </w:t>
      </w:r>
    </w:p>
    <w:p w14:paraId="6905B78F">
      <w:pPr>
        <w:pStyle w:val="78"/>
        <w:widowControl/>
        <w:numPr>
          <w:ilvl w:val="0"/>
          <w:numId w:val="15"/>
        </w:numPr>
        <w:shd w:val="clear"/>
        <w:snapToGrid w:val="0"/>
        <w:spacing w:line="480" w:lineRule="exact"/>
        <w:ind w:firstLine="396" w:firstLineChars="189"/>
        <w:rPr>
          <w:rFonts w:ascii="宋体" w:hAnsi="宋体"/>
          <w:color w:val="auto"/>
          <w:kern w:val="0"/>
          <w:szCs w:val="21"/>
          <w:highlight w:val="none"/>
        </w:rPr>
      </w:pPr>
      <w:r>
        <w:rPr>
          <w:rFonts w:ascii="宋体" w:hAnsi="宋体"/>
          <w:color w:val="auto"/>
          <w:kern w:val="0"/>
          <w:szCs w:val="21"/>
          <w:highlight w:val="none"/>
        </w:rPr>
        <w:t>本单位与采购人之间 □不存在利害关系 □存在下列利害关系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3C5C6E3A">
      <w:pPr>
        <w:pStyle w:val="78"/>
        <w:widowControl/>
        <w:shd w:val="clear"/>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14:paraId="4C56CC16">
      <w:pPr>
        <w:pStyle w:val="78"/>
        <w:widowControl/>
        <w:shd w:val="clear"/>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14:paraId="5CECF39D">
      <w:pPr>
        <w:pStyle w:val="78"/>
        <w:widowControl/>
        <w:shd w:val="clear"/>
        <w:snapToGrid w:val="0"/>
        <w:spacing w:line="480" w:lineRule="exact"/>
        <w:rPr>
          <w:rFonts w:ascii="宋体" w:hAnsi="宋体"/>
          <w:color w:val="auto"/>
          <w:spacing w:val="6"/>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现已清楚知道参加本项目采购活动的其他所有供应商名称，本单位 □与其他所有供应商之间均不存在利害关系 □与</w:t>
      </w:r>
      <w:r>
        <w:rPr>
          <w:rFonts w:ascii="宋体" w:hAnsi="宋体"/>
          <w:color w:val="auto"/>
          <w:kern w:val="0"/>
          <w:szCs w:val="21"/>
          <w:highlight w:val="none"/>
          <w:u w:val="single"/>
        </w:rPr>
        <w:t xml:space="preserve">           （供应商名称）</w:t>
      </w:r>
      <w:r>
        <w:rPr>
          <w:rFonts w:ascii="宋体" w:hAnsi="宋体"/>
          <w:color w:val="auto"/>
          <w:kern w:val="0"/>
          <w:szCs w:val="21"/>
          <w:highlight w:val="none"/>
        </w:rPr>
        <w:t>之间存在下列利害关系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7D821914">
      <w:pPr>
        <w:pStyle w:val="76"/>
        <w:widowControl w:val="0"/>
        <w:shd w:val="clear"/>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14:paraId="46501083">
      <w:pPr>
        <w:pStyle w:val="76"/>
        <w:widowControl w:val="0"/>
        <w:shd w:val="clear"/>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B.法定代表人或负责人或实际控制人是夫妻关系</w:t>
      </w:r>
    </w:p>
    <w:p w14:paraId="55D0BF68">
      <w:pPr>
        <w:pStyle w:val="76"/>
        <w:widowControl w:val="0"/>
        <w:shd w:val="clear"/>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C.法定代表人或负责人或实际控制人是直系血亲关系</w:t>
      </w:r>
    </w:p>
    <w:p w14:paraId="75D2F1D0">
      <w:pPr>
        <w:pStyle w:val="76"/>
        <w:widowControl w:val="0"/>
        <w:shd w:val="clear"/>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D.法定代表人或负责人或实际控制人存在三代以内旁系血亲关系</w:t>
      </w:r>
    </w:p>
    <w:p w14:paraId="79447F1E">
      <w:pPr>
        <w:pStyle w:val="76"/>
        <w:widowControl w:val="0"/>
        <w:shd w:val="clear"/>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14:paraId="5BE57151">
      <w:pPr>
        <w:pStyle w:val="76"/>
        <w:widowControl w:val="0"/>
        <w:shd w:val="clear"/>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14:paraId="7B55603B">
      <w:pPr>
        <w:pStyle w:val="76"/>
        <w:widowControl w:val="0"/>
        <w:shd w:val="clear"/>
        <w:snapToGrid w:val="0"/>
        <w:spacing w:line="480" w:lineRule="exact"/>
        <w:jc w:val="both"/>
        <w:outlineLvl w:val="0"/>
        <w:rPr>
          <w:rFonts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14:paraId="7BE86B36">
      <w:pPr>
        <w:pStyle w:val="76"/>
        <w:widowControl w:val="0"/>
        <w:shd w:val="clear"/>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14:paraId="00723D9B">
      <w:pPr>
        <w:pStyle w:val="76"/>
        <w:widowControl w:val="0"/>
        <w:shd w:val="clear"/>
        <w:snapToGrid w:val="0"/>
        <w:spacing w:line="480" w:lineRule="exact"/>
        <w:jc w:val="both"/>
        <w:rPr>
          <w:rFonts w:ascii="仿宋" w:hAnsi="仿宋"/>
          <w:color w:val="auto"/>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14:paraId="2C4FBB5E">
      <w:pPr>
        <w:pStyle w:val="78"/>
        <w:widowControl/>
        <w:numPr>
          <w:ilvl w:val="0"/>
          <w:numId w:val="16"/>
        </w:numPr>
        <w:shd w:val="clear"/>
        <w:snapToGrid w:val="0"/>
        <w:spacing w:line="480" w:lineRule="exact"/>
        <w:ind w:firstLine="396" w:firstLineChars="189"/>
        <w:rPr>
          <w:rFonts w:ascii="仿宋" w:hAnsi="仿宋"/>
          <w:color w:val="auto"/>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w:t>
      </w:r>
      <w:r>
        <w:rPr>
          <w:rFonts w:hint="eastAsia" w:ascii="仿宋" w:hAnsi="仿宋"/>
          <w:color w:val="auto"/>
          <w:kern w:val="0"/>
          <w:szCs w:val="21"/>
          <w:highlight w:val="none"/>
          <w:lang w:eastAsia="zh-CN"/>
        </w:rPr>
        <w:t>国企采购</w:t>
      </w:r>
      <w:r>
        <w:rPr>
          <w:rFonts w:ascii="仿宋" w:hAnsi="仿宋"/>
          <w:color w:val="auto"/>
          <w:kern w:val="0"/>
          <w:szCs w:val="21"/>
          <w:highlight w:val="none"/>
        </w:rPr>
        <w:t>法律法规和现场纪律。</w:t>
      </w:r>
    </w:p>
    <w:p w14:paraId="38FC9184">
      <w:pPr>
        <w:pStyle w:val="78"/>
        <w:widowControl/>
        <w:numPr>
          <w:ilvl w:val="0"/>
          <w:numId w:val="16"/>
        </w:numPr>
        <w:shd w:val="clear"/>
        <w:snapToGrid w:val="0"/>
        <w:spacing w:line="480" w:lineRule="exact"/>
        <w:ind w:firstLine="396" w:firstLineChars="189"/>
        <w:rPr>
          <w:rFonts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ascii="仿宋" w:hAnsi="仿宋"/>
          <w:color w:val="auto"/>
          <w:kern w:val="0"/>
          <w:szCs w:val="21"/>
          <w:highlight w:val="none"/>
        </w:rPr>
        <w:t>项利害关系</w:t>
      </w:r>
    </w:p>
    <w:p w14:paraId="592EFB7B">
      <w:pPr>
        <w:pStyle w:val="76"/>
        <w:widowControl w:val="0"/>
        <w:shd w:val="clear"/>
        <w:snapToGrid w:val="0"/>
        <w:spacing w:line="480" w:lineRule="exact"/>
        <w:ind w:firstLine="5040" w:firstLineChars="2400"/>
        <w:jc w:val="both"/>
        <w:rPr>
          <w:rFonts w:ascii="仿宋" w:hAnsi="仿宋"/>
          <w:color w:val="auto"/>
          <w:szCs w:val="21"/>
          <w:highlight w:val="none"/>
        </w:rPr>
      </w:pPr>
      <w:r>
        <w:rPr>
          <w:rFonts w:ascii="仿宋" w:hAnsi="仿宋"/>
          <w:color w:val="auto"/>
          <w:szCs w:val="21"/>
          <w:highlight w:val="none"/>
        </w:rPr>
        <w:t>（供应商代表签名）</w:t>
      </w:r>
    </w:p>
    <w:p w14:paraId="546B117E">
      <w:pPr>
        <w:pStyle w:val="76"/>
        <w:widowControl w:val="0"/>
        <w:shd w:val="clear"/>
        <w:snapToGrid w:val="0"/>
        <w:spacing w:line="480" w:lineRule="exact"/>
        <w:ind w:firstLine="420" w:firstLineChars="200"/>
        <w:jc w:val="both"/>
        <w:rPr>
          <w:rFonts w:ascii="仿宋" w:hAnsi="仿宋"/>
          <w:color w:val="auto"/>
          <w:szCs w:val="21"/>
          <w:highlight w:val="none"/>
        </w:rPr>
      </w:pPr>
      <w:r>
        <w:rPr>
          <w:rFonts w:ascii="仿宋" w:hAnsi="仿宋"/>
          <w:color w:val="auto"/>
          <w:szCs w:val="21"/>
          <w:highlight w:val="none"/>
        </w:rPr>
        <w:t xml:space="preserve">                                              年  月   日</w:t>
      </w:r>
    </w:p>
    <w:p w14:paraId="395120BE">
      <w:pPr>
        <w:shd w:val="clear"/>
        <w:snapToGrid w:val="0"/>
        <w:ind w:firstLine="442" w:firstLineChars="200"/>
        <w:rPr>
          <w:rFonts w:ascii="宋体" w:hAnsi="宋体"/>
          <w:b/>
          <w:bCs/>
          <w:color w:val="auto"/>
          <w:sz w:val="22"/>
          <w:highlight w:val="none"/>
        </w:rPr>
      </w:pPr>
    </w:p>
    <w:p w14:paraId="01948938">
      <w:pPr>
        <w:shd w:val="clear"/>
        <w:snapToGrid w:val="0"/>
        <w:ind w:firstLine="442" w:firstLineChars="200"/>
        <w:rPr>
          <w:rFonts w:hint="eastAsia" w:ascii="宋体" w:hAnsi="宋体"/>
          <w:b/>
          <w:bCs/>
          <w:color w:val="auto"/>
          <w:sz w:val="22"/>
          <w:highlight w:val="none"/>
        </w:rPr>
      </w:pPr>
      <w:r>
        <w:rPr>
          <w:rFonts w:hint="eastAsia" w:ascii="宋体" w:hAnsi="宋体"/>
          <w:b/>
          <w:bCs/>
          <w:color w:val="auto"/>
          <w:sz w:val="22"/>
          <w:highlight w:val="none"/>
        </w:rPr>
        <w:t>注：投标文件解密结束后，各</w:t>
      </w:r>
      <w:r>
        <w:rPr>
          <w:rFonts w:hint="eastAsia" w:ascii="宋体" w:hAnsi="宋体"/>
          <w:b/>
          <w:bCs/>
          <w:color w:val="auto"/>
          <w:sz w:val="22"/>
          <w:highlight w:val="none"/>
          <w:lang w:eastAsia="zh-CN"/>
        </w:rPr>
        <w:t>投标供应商</w:t>
      </w:r>
      <w:r>
        <w:rPr>
          <w:rFonts w:hint="eastAsia" w:ascii="宋体" w:hAnsi="宋体"/>
          <w:b/>
          <w:bCs/>
          <w:color w:val="auto"/>
          <w:sz w:val="22"/>
          <w:highlight w:val="none"/>
        </w:rPr>
        <w:t>签署《</w:t>
      </w:r>
      <w:r>
        <w:rPr>
          <w:rFonts w:hint="eastAsia" w:ascii="宋体" w:hAnsi="宋体"/>
          <w:b/>
          <w:bCs/>
          <w:color w:val="auto"/>
          <w:sz w:val="22"/>
          <w:highlight w:val="none"/>
          <w:lang w:eastAsia="zh-CN"/>
        </w:rPr>
        <w:t>国企采购</w:t>
      </w:r>
      <w:r>
        <w:rPr>
          <w:rFonts w:hint="eastAsia" w:ascii="宋体" w:hAnsi="宋体"/>
          <w:b/>
          <w:bCs/>
          <w:color w:val="auto"/>
          <w:sz w:val="22"/>
          <w:highlight w:val="none"/>
        </w:rPr>
        <w:t>活动现场确认声明书》，并在15分钟内以扫描件方式发送至代理机构邮箱：</w:t>
      </w:r>
      <w:r>
        <w:rPr>
          <w:rFonts w:hint="eastAsia" w:ascii="宋体" w:hAnsi="宋体"/>
          <w:b/>
          <w:bCs/>
          <w:color w:val="auto"/>
          <w:sz w:val="22"/>
          <w:highlight w:val="none"/>
          <w:lang w:eastAsia="zh-CN"/>
        </w:rPr>
        <w:t>1017874347</w:t>
      </w:r>
      <w:r>
        <w:rPr>
          <w:rFonts w:hint="eastAsia" w:ascii="宋体" w:hAnsi="宋体"/>
          <w:b/>
          <w:bCs/>
          <w:color w:val="auto"/>
          <w:sz w:val="22"/>
          <w:highlight w:val="none"/>
        </w:rPr>
        <w:t>@qq.com。</w:t>
      </w:r>
    </w:p>
    <w:p w14:paraId="4196B72A">
      <w:pPr>
        <w:pStyle w:val="15"/>
        <w:shd w:val="clear"/>
        <w:rPr>
          <w:color w:val="auto"/>
          <w:highlight w:val="none"/>
        </w:rPr>
      </w:pPr>
    </w:p>
    <w:p w14:paraId="031B6E64">
      <w:pPr>
        <w:pStyle w:val="30"/>
        <w:shd w:val="clear"/>
        <w:spacing w:before="120" w:after="120"/>
        <w:rPr>
          <w:color w:val="auto"/>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25A3A5A8">
      <w:pPr>
        <w:shd w:val="clear"/>
        <w:jc w:val="center"/>
        <w:rPr>
          <w:rFonts w:hint="eastAsia" w:ascii="宋体" w:hAnsi="宋体"/>
          <w:b/>
          <w:bCs/>
          <w:color w:val="auto"/>
          <w:sz w:val="44"/>
          <w:szCs w:val="44"/>
          <w:highlight w:val="none"/>
        </w:rPr>
      </w:pPr>
      <w:r>
        <w:rPr>
          <w:rFonts w:hint="eastAsia" w:ascii="宋体" w:hAnsi="宋体"/>
          <w:b/>
          <w:bCs/>
          <w:color w:val="auto"/>
          <w:sz w:val="44"/>
          <w:szCs w:val="44"/>
          <w:highlight w:val="none"/>
        </w:rPr>
        <w:t>质疑函范本</w:t>
      </w:r>
    </w:p>
    <w:p w14:paraId="65B75576">
      <w:pPr>
        <w:shd w:val="clear"/>
        <w:snapToGrid w:val="0"/>
        <w:spacing w:before="240"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一、质疑供应商基本信息</w:t>
      </w:r>
    </w:p>
    <w:p w14:paraId="08774F7A">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质疑供应商：</w:t>
      </w:r>
      <w:r>
        <w:rPr>
          <w:rFonts w:hint="eastAsia" w:ascii="宋体" w:hAnsi="宋体"/>
          <w:color w:val="auto"/>
          <w:sz w:val="21"/>
          <w:szCs w:val="21"/>
          <w:highlight w:val="none"/>
          <w:u w:val="dotted"/>
        </w:rPr>
        <w:t xml:space="preserve">                                        </w:t>
      </w:r>
    </w:p>
    <w:p w14:paraId="7696FDC9">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地址：</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3C382C42">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联系人：</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p>
    <w:p w14:paraId="3B197765">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授权代表：</w:t>
      </w:r>
      <w:r>
        <w:rPr>
          <w:rFonts w:hint="eastAsia" w:ascii="宋体" w:hAnsi="宋体"/>
          <w:color w:val="auto"/>
          <w:sz w:val="21"/>
          <w:szCs w:val="21"/>
          <w:highlight w:val="none"/>
          <w:u w:val="dotted"/>
        </w:rPr>
        <w:t xml:space="preserve">                                          </w:t>
      </w:r>
    </w:p>
    <w:p w14:paraId="53678A27">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 xml:space="preserve"> </w:t>
      </w:r>
    </w:p>
    <w:p w14:paraId="7E7592E4">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地址： </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3E9E470A">
      <w:pPr>
        <w:shd w:val="clea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二、质疑项目基本情况</w:t>
      </w:r>
    </w:p>
    <w:p w14:paraId="672A386B">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质疑项目的名称：</w:t>
      </w:r>
      <w:r>
        <w:rPr>
          <w:rFonts w:hint="eastAsia" w:ascii="宋体" w:hAnsi="宋体"/>
          <w:color w:val="auto"/>
          <w:sz w:val="21"/>
          <w:szCs w:val="21"/>
          <w:highlight w:val="none"/>
          <w:u w:val="dotted"/>
        </w:rPr>
        <w:t xml:space="preserve">                                      </w:t>
      </w:r>
    </w:p>
    <w:p w14:paraId="2B91B900">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质疑项目的编号：</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包号：</w:t>
      </w:r>
      <w:r>
        <w:rPr>
          <w:rFonts w:hint="eastAsia" w:ascii="宋体" w:hAnsi="宋体"/>
          <w:color w:val="auto"/>
          <w:sz w:val="21"/>
          <w:szCs w:val="21"/>
          <w:highlight w:val="none"/>
          <w:u w:val="dotted"/>
        </w:rPr>
        <w:t xml:space="preserve">                 </w:t>
      </w:r>
    </w:p>
    <w:p w14:paraId="6749B582">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采购人名称：</w:t>
      </w:r>
      <w:r>
        <w:rPr>
          <w:rFonts w:hint="eastAsia" w:ascii="宋体" w:hAnsi="宋体"/>
          <w:color w:val="auto"/>
          <w:sz w:val="21"/>
          <w:szCs w:val="21"/>
          <w:highlight w:val="none"/>
          <w:u w:val="dotted"/>
        </w:rPr>
        <w:t xml:space="preserve">                                         </w:t>
      </w:r>
    </w:p>
    <w:p w14:paraId="55CF07A6">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采购文件获取日期：</w:t>
      </w:r>
      <w:r>
        <w:rPr>
          <w:rFonts w:hint="eastAsia" w:ascii="宋体" w:hAnsi="宋体"/>
          <w:color w:val="auto"/>
          <w:sz w:val="21"/>
          <w:szCs w:val="21"/>
          <w:highlight w:val="none"/>
          <w:u w:val="dotted"/>
        </w:rPr>
        <w:t xml:space="preserve">                                           </w:t>
      </w:r>
    </w:p>
    <w:p w14:paraId="1D011391">
      <w:pPr>
        <w:shd w:val="clea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三、质疑事项具体内容</w:t>
      </w:r>
    </w:p>
    <w:p w14:paraId="78084701">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质疑事项1：</w:t>
      </w:r>
      <w:r>
        <w:rPr>
          <w:rFonts w:hint="eastAsia" w:ascii="宋体" w:hAnsi="宋体"/>
          <w:color w:val="auto"/>
          <w:sz w:val="21"/>
          <w:szCs w:val="21"/>
          <w:highlight w:val="none"/>
          <w:u w:val="dotted"/>
        </w:rPr>
        <w:t xml:space="preserve">                                         </w:t>
      </w:r>
    </w:p>
    <w:p w14:paraId="2ABDD389">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事实依据：</w:t>
      </w:r>
      <w:r>
        <w:rPr>
          <w:rFonts w:hint="eastAsia" w:ascii="宋体" w:hAnsi="宋体"/>
          <w:color w:val="auto"/>
          <w:sz w:val="21"/>
          <w:szCs w:val="21"/>
          <w:highlight w:val="none"/>
          <w:u w:val="dotted"/>
        </w:rPr>
        <w:t xml:space="preserve">                                          </w:t>
      </w:r>
    </w:p>
    <w:p w14:paraId="211640F4">
      <w:pPr>
        <w:shd w:val="clea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6F446157">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法律依据：</w:t>
      </w:r>
      <w:r>
        <w:rPr>
          <w:rFonts w:hint="eastAsia" w:ascii="宋体" w:hAnsi="宋体"/>
          <w:color w:val="auto"/>
          <w:sz w:val="21"/>
          <w:szCs w:val="21"/>
          <w:highlight w:val="none"/>
          <w:u w:val="dotted"/>
        </w:rPr>
        <w:t xml:space="preserve">                                          </w:t>
      </w:r>
    </w:p>
    <w:p w14:paraId="4A4EAF73">
      <w:pPr>
        <w:shd w:val="clea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5B7FBCA6">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质疑事项2</w:t>
      </w:r>
    </w:p>
    <w:p w14:paraId="2C8A2531">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w:t>
      </w:r>
    </w:p>
    <w:p w14:paraId="3D0640A4">
      <w:pPr>
        <w:shd w:val="clear"/>
        <w:snapToGrid w:val="0"/>
        <w:spacing w:line="360" w:lineRule="auto"/>
        <w:rPr>
          <w:rFonts w:ascii="宋体" w:hAnsi="宋体"/>
          <w:color w:val="auto"/>
          <w:sz w:val="21"/>
          <w:szCs w:val="21"/>
          <w:highlight w:val="none"/>
        </w:rPr>
      </w:pPr>
    </w:p>
    <w:p w14:paraId="7346B0FA">
      <w:pPr>
        <w:shd w:val="clea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四、与质疑事项相关的质疑请求</w:t>
      </w:r>
    </w:p>
    <w:p w14:paraId="472B8C37">
      <w:pPr>
        <w:shd w:val="clea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请求：</w:t>
      </w:r>
      <w:r>
        <w:rPr>
          <w:rFonts w:hint="eastAsia" w:ascii="宋体" w:hAnsi="宋体"/>
          <w:color w:val="auto"/>
          <w:sz w:val="21"/>
          <w:szCs w:val="21"/>
          <w:highlight w:val="none"/>
          <w:u w:val="dotted"/>
        </w:rPr>
        <w:t xml:space="preserve">                                               </w:t>
      </w:r>
    </w:p>
    <w:p w14:paraId="123B15F2">
      <w:pPr>
        <w:shd w:val="clear"/>
        <w:rPr>
          <w:rFonts w:hint="eastAsia" w:ascii="宋体" w:hAnsi="宋体"/>
          <w:color w:val="auto"/>
          <w:sz w:val="21"/>
          <w:szCs w:val="21"/>
          <w:highlight w:val="none"/>
        </w:rPr>
      </w:pPr>
      <w:r>
        <w:rPr>
          <w:rFonts w:hint="eastAsia" w:ascii="宋体" w:hAnsi="宋体"/>
          <w:color w:val="auto"/>
          <w:sz w:val="21"/>
          <w:szCs w:val="21"/>
          <w:highlight w:val="none"/>
        </w:rPr>
        <w:t xml:space="preserve">签字(签章)：                   公章：                      </w:t>
      </w:r>
    </w:p>
    <w:p w14:paraId="7D3B3544">
      <w:pPr>
        <w:shd w:val="clear"/>
        <w:rPr>
          <w:rFonts w:hint="eastAsia" w:ascii="宋体" w:hAnsi="宋体"/>
          <w:color w:val="auto"/>
          <w:sz w:val="21"/>
          <w:szCs w:val="21"/>
          <w:highlight w:val="none"/>
        </w:rPr>
      </w:pPr>
      <w:r>
        <w:rPr>
          <w:rFonts w:hint="eastAsia" w:ascii="宋体" w:hAnsi="宋体"/>
          <w:color w:val="auto"/>
          <w:sz w:val="21"/>
          <w:szCs w:val="21"/>
          <w:highlight w:val="none"/>
        </w:rPr>
        <w:t xml:space="preserve">日期：    </w:t>
      </w:r>
    </w:p>
    <w:p w14:paraId="33B9F985">
      <w:pPr>
        <w:shd w:val="clear"/>
        <w:rPr>
          <w:rFonts w:hint="eastAsia" w:ascii="宋体" w:hAnsi="宋体"/>
          <w:b/>
          <w:color w:val="auto"/>
          <w:sz w:val="21"/>
          <w:szCs w:val="21"/>
          <w:highlight w:val="none"/>
        </w:rPr>
      </w:pPr>
      <w:r>
        <w:rPr>
          <w:rFonts w:hint="eastAsia" w:ascii="宋体" w:hAnsi="宋体"/>
          <w:b/>
          <w:color w:val="auto"/>
          <w:sz w:val="21"/>
          <w:szCs w:val="21"/>
          <w:highlight w:val="none"/>
        </w:rPr>
        <w:t>质疑函制作说明：</w:t>
      </w:r>
    </w:p>
    <w:p w14:paraId="576DE9A5">
      <w:pPr>
        <w:widowControl/>
        <w:shd w:val="clear"/>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1.供应商提出质疑时，应提交质疑函和必要的证明材料。</w:t>
      </w:r>
    </w:p>
    <w:p w14:paraId="0580DC94">
      <w:pPr>
        <w:widowControl/>
        <w:shd w:val="clear"/>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2.质疑供应商若委托代理人进行质疑的，质疑函应按要求列明“授权代表”的有关内容，并在附件中提交由质疑</w:t>
      </w:r>
      <w:r>
        <w:rPr>
          <w:rFonts w:hint="eastAsia" w:ascii="宋体" w:hAnsi="宋体"/>
          <w:color w:val="auto"/>
          <w:kern w:val="0"/>
          <w:sz w:val="21"/>
          <w:szCs w:val="21"/>
          <w:highlight w:val="none"/>
        </w:rPr>
        <w:t>供应商签署的授权委托书。授权委托书应载明代理人的姓名或者名称、代理事项、具体权限、期限和相关事项。</w:t>
      </w:r>
    </w:p>
    <w:p w14:paraId="572A3C39">
      <w:pPr>
        <w:widowControl/>
        <w:shd w:val="clear"/>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3.质疑供应商若对项目的某一分包进行质疑，质疑函中应列明具体分包号。</w:t>
      </w:r>
    </w:p>
    <w:p w14:paraId="51831E25">
      <w:pPr>
        <w:widowControl/>
        <w:shd w:val="clear"/>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4.质疑函的质疑事项应具体、明确，并有必要的事实依据和法律依据。</w:t>
      </w:r>
    </w:p>
    <w:p w14:paraId="563C6ADE">
      <w:pPr>
        <w:widowControl/>
        <w:shd w:val="clear"/>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5.质疑函的质疑请求应与质疑事项相关。</w:t>
      </w:r>
    </w:p>
    <w:p w14:paraId="265BC5A8">
      <w:pPr>
        <w:widowControl/>
        <w:shd w:val="clear"/>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roman"/>
    <w:pitch w:val="default"/>
    <w:sig w:usb0="00000000" w:usb1="00000000" w:usb2="0000007F" w:usb3="00000000" w:csb0="203F01FF" w:csb1="DFFF0000"/>
  </w:font>
  <w:font w:name="Arial (W1)">
    <w:altName w:val="Arial"/>
    <w:panose1 w:val="00000000000000000000"/>
    <w:charset w:val="00"/>
    <w:family w:val="auto"/>
    <w:pitch w:val="default"/>
    <w:sig w:usb0="00000000" w:usb1="00000000" w:usb2="00000008" w:usb3="00000000" w:csb0="0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C9058">
    <w:pPr>
      <w:pStyle w:val="37"/>
      <w:tabs>
        <w:tab w:val="clear" w:pos="4153"/>
        <w:tab w:val="clear" w:pos="8306"/>
      </w:tabs>
      <w:rPr>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57DAF">
    <w:pPr>
      <w:pStyle w:val="37"/>
      <w:tabs>
        <w:tab w:val="clear" w:pos="4153"/>
        <w:tab w:val="clear" w:pos="8306"/>
      </w:tabs>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354EF">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53354EF">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8B0ED">
    <w:pPr>
      <w:widowControl w:val="0"/>
      <w:snapToGrid w:val="0"/>
      <w:jc w:val="left"/>
      <w:rPr>
        <w:rFonts w:ascii="仿宋_GB2312" w:hAnsi="仿宋_GB2312" w:eastAsia="宋体" w:cs="Times New Roman"/>
        <w:b/>
        <w:color w:val="000000"/>
        <w:sz w:val="18"/>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1B76E">
                          <w:pPr>
                            <w:pStyle w:val="9"/>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231B76E">
                    <w:pPr>
                      <w:pStyle w:val="9"/>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AB5E5">
    <w:pPr>
      <w:widowControl w:val="0"/>
      <w:snapToGrid w:val="0"/>
      <w:jc w:val="left"/>
      <w:rPr>
        <w:rFonts w:ascii="仿宋_GB2312" w:hAnsi="仿宋_GB2312" w:eastAsia="宋体" w:cs="Times New Roman"/>
        <w:b/>
        <w:color w:val="000000"/>
        <w:sz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493E17">
                          <w:pPr>
                            <w:pStyle w:val="9"/>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7493E17">
                    <w:pPr>
                      <w:pStyle w:val="9"/>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5836E">
    <w:pPr>
      <w:pStyle w:val="37"/>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6F3A4">
                          <w:pPr>
                            <w:pStyle w:val="9"/>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E36F3A4">
                    <w:pPr>
                      <w:pStyle w:val="9"/>
                    </w:pPr>
                    <w:r>
                      <w:fldChar w:fldCharType="begin"/>
                    </w:r>
                    <w:r>
                      <w:instrText xml:space="preserve"> PAGE  \* MERGEFORMAT </w:instrText>
                    </w:r>
                    <w:r>
                      <w:fldChar w:fldCharType="separate"/>
                    </w:r>
                    <w:r>
                      <w:t>34</w:t>
                    </w:r>
                    <w:r>
                      <w:fldChar w:fldCharType="end"/>
                    </w:r>
                  </w:p>
                </w:txbxContent>
              </v:textbox>
            </v:shape>
          </w:pict>
        </mc:Fallback>
      </mc:AlternateContent>
    </w:r>
  </w:p>
  <w:p w14:paraId="5E22D474">
    <w:pPr>
      <w:pStyle w:val="37"/>
      <w:tabs>
        <w:tab w:val="clear" w:pos="4153"/>
        <w:tab w:val="clear" w:pos="8306"/>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52545">
    <w:pPr>
      <w:widowControl w:val="0"/>
      <w:snapToGrid w:val="0"/>
      <w:jc w:val="center"/>
      <w:rPr>
        <w:rFonts w:hint="eastAsia" w:ascii="仿宋_GB2312" w:hAnsi="仿宋_GB2312" w:eastAsia="宋体" w:cs="Times New Roman"/>
        <w:b/>
        <w:color w:val="000000"/>
        <w:sz w:val="18"/>
        <w:lang w:val="en-US" w:eastAsia="zh-CN" w:bidi="ar-S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02B79">
                          <w:pPr>
                            <w:pStyle w:val="9"/>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35602B79">
                    <w:pPr>
                      <w:pStyle w:val="9"/>
                    </w:pPr>
                    <w:r>
                      <w:fldChar w:fldCharType="begin"/>
                    </w:r>
                    <w:r>
                      <w:instrText xml:space="preserve"> PAGE  \* MERGEFORMAT </w:instrText>
                    </w:r>
                    <w:r>
                      <w:fldChar w:fldCharType="separate"/>
                    </w:r>
                    <w:r>
                      <w:t>59</w:t>
                    </w:r>
                    <w:r>
                      <w:fldChar w:fldCharType="end"/>
                    </w:r>
                  </w:p>
                </w:txbxContent>
              </v:textbox>
            </v:shape>
          </w:pict>
        </mc:Fallback>
      </mc:AlternateContent>
    </w:r>
    <w:r>
      <w:rPr>
        <w:rFonts w:ascii="仿宋_GB2312" w:hAnsi="仿宋_GB2312" w:eastAsia="宋体" w:cs="Times New Roman"/>
        <w:b/>
        <w:color w:val="000000"/>
        <w:sz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2739390</wp:posOffset>
              </wp:positionH>
              <wp:positionV relativeFrom="paragraph">
                <wp:posOffset>0</wp:posOffset>
              </wp:positionV>
              <wp:extent cx="546100" cy="11938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546100" cy="119380"/>
                      </a:xfrm>
                      <a:prstGeom prst="rect">
                        <a:avLst/>
                      </a:prstGeom>
                      <a:noFill/>
                      <a:ln>
                        <a:noFill/>
                      </a:ln>
                    </wps:spPr>
                    <wps:txbx>
                      <w:txbxContent>
                        <w:p w14:paraId="13B5FC60">
                          <w:pPr>
                            <w:widowControl w:val="0"/>
                            <w:snapToGrid w:val="0"/>
                            <w:jc w:val="left"/>
                            <w:rPr>
                              <w:rFonts w:hint="eastAsia" w:ascii="仿宋_GB2312" w:hAnsi="仿宋_GB2312" w:eastAsia="宋体" w:cs="Times New Roman"/>
                              <w:b/>
                              <w:color w:val="000000"/>
                              <w:sz w:val="18"/>
                              <w:lang w:val="en-US" w:eastAsia="zh-CN" w:bidi="ar-SA"/>
                            </w:rPr>
                          </w:pPr>
                        </w:p>
                      </w:txbxContent>
                    </wps:txbx>
                    <wps:bodyPr lIns="0" tIns="0" rIns="0" bIns="0" upright="0"/>
                  </wps:wsp>
                </a:graphicData>
              </a:graphic>
            </wp:anchor>
          </w:drawing>
        </mc:Choice>
        <mc:Fallback>
          <w:pict>
            <v:shape id="_x0000_s1026" o:spid="_x0000_s1026" o:spt="202" type="#_x0000_t202" style="position:absolute;left:0pt;margin-left:215.7pt;margin-top:0pt;height:9.4pt;width:43pt;mso-position-horizontal-relative:margin;z-index:251659264;mso-width-relative:page;mso-height-relative:page;" filled="f" stroked="f" coordsize="21600,21600" o:gfxdata="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pnZuydUAAAAHAQAADwAAAAAAAAABACAAAAAiAAAAZHJzL2Rvd25yZXYueG1sUEsBAhQA&#10;FAAAAAgAh07iQEBHn2O8AQAAcwMAAA4AAAAAAAAAAQAgAAAAJAEAAGRycy9lMm9Eb2MueG1sUEsF&#10;BgAAAAAGAAYAWQEAAFIFAAAAAA==&#10;">
              <v:fill on="f" focussize="0,0"/>
              <v:stroke on="f"/>
              <v:imagedata o:title=""/>
              <o:lock v:ext="edit" aspectratio="f"/>
              <v:textbox inset="0mm,0mm,0mm,0mm">
                <w:txbxContent>
                  <w:p w14:paraId="13B5FC60">
                    <w:pPr>
                      <w:widowControl w:val="0"/>
                      <w:snapToGrid w:val="0"/>
                      <w:jc w:val="left"/>
                      <w:rPr>
                        <w:rFonts w:hint="eastAsia" w:ascii="仿宋_GB2312" w:hAnsi="仿宋_GB2312" w:eastAsia="宋体" w:cs="Times New Roman"/>
                        <w:b/>
                        <w:color w:val="000000"/>
                        <w:sz w:val="18"/>
                        <w:lang w:val="en-US" w:eastAsia="zh-CN" w:bidi="ar-SA"/>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7B666">
    <w:pPr>
      <w:widowControl w:val="0"/>
      <w:snapToGrid w:val="0"/>
      <w:jc w:val="left"/>
      <w:rPr>
        <w:rFonts w:ascii="仿宋_GB2312" w:hAnsi="仿宋_GB2312" w:eastAsia="宋体" w:cs="Times New Roman"/>
        <w:b/>
        <w:color w:val="000000"/>
        <w:sz w:val="18"/>
        <w:lang w:val="en-US" w:eastAsia="zh-CN" w:bidi="ar-S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52A29">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7252A29">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91BF1">
    <w:pPr>
      <w:widowControl w:val="0"/>
      <w:snapToGrid w:val="0"/>
      <w:jc w:val="left"/>
      <w:rPr>
        <w:rFonts w:ascii="仿宋_GB2312" w:hAnsi="仿宋_GB2312" w:eastAsia="宋体" w:cs="Times New Roman"/>
        <w:b/>
        <w:color w:val="000000"/>
        <w:sz w:val="18"/>
        <w:lang w:val="en-US" w:eastAsia="zh-CN" w:bidi="ar-SA"/>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C0EFC">
                          <w:pPr>
                            <w:pStyle w:val="9"/>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81C0EFC">
                    <w:pPr>
                      <w:pStyle w:val="9"/>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1C5A6">
    <w:pPr>
      <w:pStyle w:val="37"/>
      <w:tabs>
        <w:tab w:val="clear" w:pos="4153"/>
        <w:tab w:val="clear" w:pos="8306"/>
      </w:tabs>
      <w:jc w:val="right"/>
      <w:rPr>
        <w:sz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2D41D7">
                          <w:pPr>
                            <w:pStyle w:val="9"/>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32D41D7">
                    <w:pPr>
                      <w:pStyle w:val="9"/>
                    </w:pPr>
                    <w:r>
                      <w:fldChar w:fldCharType="begin"/>
                    </w:r>
                    <w:r>
                      <w:instrText xml:space="preserve"> PAGE  \* MERGEFORMAT </w:instrText>
                    </w:r>
                    <w:r>
                      <w:fldChar w:fldCharType="separate"/>
                    </w:r>
                    <w:r>
                      <w:t>87</w:t>
                    </w:r>
                    <w:r>
                      <w:fldChar w:fldCharType="end"/>
                    </w:r>
                  </w:p>
                </w:txbxContent>
              </v:textbox>
            </v:shape>
          </w:pict>
        </mc:Fallback>
      </mc:AlternateContent>
    </w:r>
    <w:r>
      <w:rPr>
        <w:rFonts w:hint="eastAsia"/>
        <w:shd w:val="pct10" w:color="auto" w:fill="FFFFFF"/>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5E698">
    <w:pPr>
      <w:pStyle w:val="37"/>
      <w:tabs>
        <w:tab w:val="clear" w:pos="4153"/>
        <w:tab w:val="clear" w:pos="8306"/>
      </w:tabs>
      <w:jc w:val="right"/>
      <w:rPr>
        <w:sz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753C8">
                          <w:pPr>
                            <w:pStyle w:val="9"/>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C1753C8">
                    <w:pPr>
                      <w:pStyle w:val="9"/>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264F9">
    <w:pPr>
      <w:pStyle w:val="37"/>
      <w:tabs>
        <w:tab w:val="clear" w:pos="4153"/>
        <w:tab w:val="clear" w:pos="8306"/>
      </w:tabs>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E79263">
                          <w:pPr>
                            <w:pStyle w:val="9"/>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09E79263">
                    <w:pPr>
                      <w:pStyle w:val="9"/>
                    </w:pPr>
                    <w:r>
                      <w:fldChar w:fldCharType="begin"/>
                    </w:r>
                    <w:r>
                      <w:instrText xml:space="preserve"> PAGE  \* MERGEFORMAT </w:instrText>
                    </w:r>
                    <w:r>
                      <w:fldChar w:fldCharType="separate"/>
                    </w:r>
                    <w:r>
                      <w:t>103</w:t>
                    </w:r>
                    <w:r>
                      <w:fldChar w:fldCharType="end"/>
                    </w:r>
                  </w:p>
                </w:txbxContent>
              </v:textbox>
            </v:shape>
          </w:pict>
        </mc:Fallback>
      </mc:AlternateContent>
    </w:r>
  </w:p>
  <w:p w14:paraId="4F41C7C2">
    <w:pPr>
      <w:pStyle w:val="37"/>
      <w:tabs>
        <w:tab w:val="clear" w:pos="4153"/>
        <w:tab w:val="clear" w:pos="8306"/>
      </w:tabs>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4D815">
    <w:pPr>
      <w:pStyle w:val="37"/>
      <w:tabs>
        <w:tab w:val="clear" w:pos="4153"/>
        <w:tab w:val="clear" w:pos="8306"/>
      </w:tabs>
      <w:jc w:val="right"/>
      <w:rPr>
        <w:sz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83A6D">
                          <w:pPr>
                            <w:pStyle w:val="9"/>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54783A6D">
                    <w:pPr>
                      <w:pStyle w:val="9"/>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AB328">
    <w:pPr>
      <w:pStyle w:val="37"/>
      <w:framePr w:wrap="around" w:vAnchor="text" w:hAnchor="margin" w:xAlign="center" w:y="1"/>
      <w:tabs>
        <w:tab w:val="clear" w:pos="4153"/>
        <w:tab w:val="clear" w:pos="8306"/>
      </w:tabs>
    </w:pPr>
    <w:r>
      <w:fldChar w:fldCharType="begin"/>
    </w:r>
    <w:r>
      <w:rPr>
        <w:rStyle w:val="47"/>
      </w:rPr>
      <w:instrText xml:space="preserve">PAGE  </w:instrText>
    </w:r>
    <w:r>
      <w:fldChar w:fldCharType="end"/>
    </w:r>
  </w:p>
  <w:p w14:paraId="0BCBEF8A">
    <w:pPr>
      <w:pStyle w:val="37"/>
      <w:tabs>
        <w:tab w:val="clear" w:pos="4153"/>
        <w:tab w:val="clear" w:pos="8306"/>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CF31A">
    <w:pPr>
      <w:pStyle w:val="37"/>
      <w:tabs>
        <w:tab w:val="clear" w:pos="4153"/>
        <w:tab w:val="clear" w:pos="8306"/>
      </w:tabs>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51BA5">
    <w:pPr>
      <w:pStyle w:val="38"/>
      <w:pBdr>
        <w:bottom w:val="none" w:color="000000" w:sz="0" w:space="1"/>
      </w:pBdr>
      <w:shd w:val="clear" w:color="auto" w:fill="FFFFFF"/>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1C88C">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3348D">
    <w:pPr>
      <w:pStyle w:val="38"/>
      <w:pBdr>
        <w:bottom w:val="dotted" w:color="FFFFFF" w:sz="4" w:space="1"/>
      </w:pBdr>
      <w:tabs>
        <w:tab w:val="clear" w:pos="4153"/>
        <w:tab w:val="clear" w:pos="8306"/>
      </w:tabs>
      <w:jc w:val="both"/>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A7C54">
    <w:pPr>
      <w:pStyle w:val="38"/>
      <w:pBdr>
        <w:bottom w:val="none" w:color="000000" w:sz="0" w:space="1"/>
      </w:pBdr>
      <w:shd w:val="clear" w:color="auto" w:fill="FFFFFF"/>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12B47"/>
    <w:multiLevelType w:val="singleLevel"/>
    <w:tmpl w:val="9CE12B47"/>
    <w:lvl w:ilvl="0" w:tentative="0">
      <w:start w:val="1"/>
      <w:numFmt w:val="decimal"/>
      <w:lvlText w:val="%1."/>
      <w:lvlJc w:val="left"/>
      <w:pPr>
        <w:tabs>
          <w:tab w:val="left" w:pos="312"/>
        </w:tabs>
      </w:pPr>
    </w:lvl>
  </w:abstractNum>
  <w:abstractNum w:abstractNumId="1">
    <w:nsid w:val="B7860F58"/>
    <w:multiLevelType w:val="singleLevel"/>
    <w:tmpl w:val="B7860F58"/>
    <w:lvl w:ilvl="0" w:tentative="0">
      <w:start w:val="2"/>
      <w:numFmt w:val="chineseCounting"/>
      <w:suff w:val="nothing"/>
      <w:lvlText w:val="%1、"/>
      <w:lvlJc w:val="left"/>
      <w:rPr>
        <w:rFonts w:hint="eastAsia"/>
      </w:rPr>
    </w:lvl>
  </w:abstractNum>
  <w:abstractNum w:abstractNumId="2">
    <w:nsid w:val="CBC0DC41"/>
    <w:multiLevelType w:val="singleLevel"/>
    <w:tmpl w:val="CBC0DC41"/>
    <w:lvl w:ilvl="0" w:tentative="0">
      <w:start w:val="1"/>
      <w:numFmt w:val="decimal"/>
      <w:lvlText w:val="%1."/>
      <w:lvlJc w:val="left"/>
      <w:pPr>
        <w:tabs>
          <w:tab w:val="left" w:pos="312"/>
        </w:tabs>
      </w:pPr>
    </w:lvl>
  </w:abstractNum>
  <w:abstractNum w:abstractNumId="3">
    <w:nsid w:val="D88AD1C3"/>
    <w:multiLevelType w:val="singleLevel"/>
    <w:tmpl w:val="D88AD1C3"/>
    <w:lvl w:ilvl="0" w:tentative="0">
      <w:start w:val="1"/>
      <w:numFmt w:val="decimal"/>
      <w:suff w:val="space"/>
      <w:lvlText w:val="%1."/>
      <w:lvlJc w:val="left"/>
    </w:lvl>
  </w:abstractNum>
  <w:abstractNum w:abstractNumId="4">
    <w:nsid w:val="DFD6A1E4"/>
    <w:multiLevelType w:val="singleLevel"/>
    <w:tmpl w:val="DFD6A1E4"/>
    <w:lvl w:ilvl="0" w:tentative="0">
      <w:start w:val="1"/>
      <w:numFmt w:val="decimal"/>
      <w:lvlText w:val="%1."/>
      <w:lvlJc w:val="left"/>
      <w:pPr>
        <w:tabs>
          <w:tab w:val="left" w:pos="312"/>
        </w:tabs>
      </w:pPr>
    </w:lvl>
  </w:abstractNum>
  <w:abstractNum w:abstractNumId="5">
    <w:nsid w:val="0000000C"/>
    <w:multiLevelType w:val="multilevel"/>
    <w:tmpl w:val="0000000C"/>
    <w:lvl w:ilvl="0" w:tentative="0">
      <w:start w:val="1"/>
      <w:numFmt w:val="decimal"/>
      <w:pStyle w:val="4"/>
      <w:lvlText w:val="%1"/>
      <w:lvlJc w:val="left"/>
      <w:pPr>
        <w:tabs>
          <w:tab w:val="left" w:pos="432"/>
        </w:tabs>
        <w:ind w:left="432" w:hanging="432"/>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0000016"/>
    <w:multiLevelType w:val="multilevel"/>
    <w:tmpl w:val="00000016"/>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720"/>
        </w:tabs>
        <w:ind w:left="720" w:hanging="720"/>
      </w:pPr>
      <w:rPr>
        <w:rFonts w:ascii="Arial (W1)" w:hAnsi="Arial (W1)"/>
        <w:b/>
        <w:i w:val="0"/>
        <w:sz w:val="28"/>
      </w:rPr>
    </w:lvl>
    <w:lvl w:ilvl="2" w:tentative="0">
      <w:start w:val="1"/>
      <w:numFmt w:val="decimal"/>
      <w:lvlText w:val="%1.%3."/>
      <w:lvlJc w:val="left"/>
      <w:pPr>
        <w:tabs>
          <w:tab w:val="left" w:pos="720"/>
        </w:tabs>
        <w:ind w:left="720" w:hanging="720"/>
      </w:pPr>
    </w:lvl>
    <w:lvl w:ilvl="3" w:tentative="0">
      <w:start w:val="1"/>
      <w:numFmt w:val="decimal"/>
      <w:lvlText w:val="%1.%3.%4."/>
      <w:lvlJc w:val="left"/>
      <w:pPr>
        <w:tabs>
          <w:tab w:val="left" w:pos="1728"/>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324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4320"/>
        </w:tabs>
        <w:ind w:left="3744" w:hanging="1224"/>
      </w:pPr>
    </w:lvl>
    <w:lvl w:ilvl="8" w:tentative="0">
      <w:start w:val="1"/>
      <w:numFmt w:val="decimal"/>
      <w:lvlText w:val="%1.%2.%3.%4.%5.%6.%7.%8.%9."/>
      <w:lvlJc w:val="left"/>
      <w:pPr>
        <w:tabs>
          <w:tab w:val="left" w:pos="5040"/>
        </w:tabs>
        <w:ind w:left="4320" w:hanging="1440"/>
      </w:pPr>
    </w:lvl>
  </w:abstractNum>
  <w:abstractNum w:abstractNumId="7">
    <w:nsid w:val="19DE2C87"/>
    <w:multiLevelType w:val="singleLevel"/>
    <w:tmpl w:val="19DE2C87"/>
    <w:lvl w:ilvl="0" w:tentative="0">
      <w:start w:val="1"/>
      <w:numFmt w:val="decimal"/>
      <w:suff w:val="nothing"/>
      <w:lvlText w:val="（%1）"/>
      <w:lvlJc w:val="left"/>
    </w:lvl>
  </w:abstractNum>
  <w:abstractNum w:abstractNumId="8">
    <w:nsid w:val="229734FF"/>
    <w:multiLevelType w:val="multilevel"/>
    <w:tmpl w:val="229734FF"/>
    <w:lvl w:ilvl="0" w:tentative="0">
      <w:start w:val="1"/>
      <w:numFmt w:val="decimal"/>
      <w:lvlText w:val="第%1条"/>
      <w:lvlJc w:val="left"/>
      <w:pPr>
        <w:ind w:left="0" w:firstLine="0"/>
      </w:pPr>
    </w:lvl>
    <w:lvl w:ilvl="1" w:tentative="0">
      <w:start w:val="1"/>
      <w:numFmt w:val="decimal"/>
      <w:pStyle w:val="88"/>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9">
    <w:nsid w:val="54F403B5"/>
    <w:multiLevelType w:val="singleLevel"/>
    <w:tmpl w:val="54F403B5"/>
    <w:lvl w:ilvl="0" w:tentative="0">
      <w:start w:val="1"/>
      <w:numFmt w:val="chineseCounting"/>
      <w:suff w:val="nothing"/>
      <w:lvlText w:val="%1、"/>
      <w:lvlJc w:val="left"/>
    </w:lvl>
  </w:abstractNum>
  <w:abstractNum w:abstractNumId="10">
    <w:nsid w:val="557FD3DA"/>
    <w:multiLevelType w:val="singleLevel"/>
    <w:tmpl w:val="557FD3DA"/>
    <w:lvl w:ilvl="0" w:tentative="0">
      <w:start w:val="3"/>
      <w:numFmt w:val="chineseCounting"/>
      <w:suff w:val="nothing"/>
      <w:lvlText w:val="%1、"/>
      <w:lvlJc w:val="left"/>
    </w:lvl>
  </w:abstractNum>
  <w:abstractNum w:abstractNumId="11">
    <w:nsid w:val="5A951B85"/>
    <w:multiLevelType w:val="singleLevel"/>
    <w:tmpl w:val="5A951B85"/>
    <w:lvl w:ilvl="0" w:tentative="0">
      <w:start w:val="2"/>
      <w:numFmt w:val="chineseCounting"/>
      <w:suff w:val="space"/>
      <w:lvlText w:val="第%1部分"/>
      <w:lvlJc w:val="left"/>
    </w:lvl>
  </w:abstractNum>
  <w:abstractNum w:abstractNumId="12">
    <w:nsid w:val="5EA5FB7D"/>
    <w:multiLevelType w:val="singleLevel"/>
    <w:tmpl w:val="5EA5FB7D"/>
    <w:lvl w:ilvl="0" w:tentative="0">
      <w:start w:val="2"/>
      <w:numFmt w:val="chineseCounting"/>
      <w:suff w:val="nothing"/>
      <w:lvlText w:val="（%1）"/>
      <w:lvlJc w:val="left"/>
      <w:pPr>
        <w:ind w:left="353"/>
      </w:pPr>
      <w:rPr>
        <w:rFonts w:hint="eastAsia"/>
      </w:rPr>
    </w:lvl>
  </w:abstractNum>
  <w:abstractNum w:abstractNumId="13">
    <w:nsid w:val="62687BB6"/>
    <w:multiLevelType w:val="multilevel"/>
    <w:tmpl w:val="62687BB6"/>
    <w:lvl w:ilvl="0" w:tentative="0">
      <w:start w:val="1"/>
      <w:numFmt w:val="decimal"/>
      <w:pStyle w:val="90"/>
      <w:lvlText w:val="附件%1"/>
      <w:lvlJc w:val="left"/>
      <w:pPr>
        <w:ind w:left="3681" w:hanging="420"/>
      </w:pPr>
      <w:rPr>
        <w:sz w:val="30"/>
        <w:szCs w:val="30"/>
      </w:rPr>
    </w:lvl>
    <w:lvl w:ilvl="1" w:tentative="0">
      <w:start w:val="1"/>
      <w:numFmt w:val="lowerLetter"/>
      <w:lvlText w:val="%2)"/>
      <w:lvlJc w:val="left"/>
      <w:pPr>
        <w:ind w:left="983" w:hanging="420"/>
      </w:pPr>
    </w:lvl>
    <w:lvl w:ilvl="2" w:tentative="0">
      <w:start w:val="1"/>
      <w:numFmt w:val="lowerRoman"/>
      <w:lvlText w:val="%3."/>
      <w:lvlJc w:val="right"/>
      <w:pPr>
        <w:ind w:left="1403" w:hanging="420"/>
      </w:pPr>
    </w:lvl>
    <w:lvl w:ilvl="3" w:tentative="0">
      <w:start w:val="1"/>
      <w:numFmt w:val="decimal"/>
      <w:lvlText w:val="%4."/>
      <w:lvlJc w:val="left"/>
      <w:pPr>
        <w:ind w:left="1823" w:hanging="420"/>
      </w:pPr>
    </w:lvl>
    <w:lvl w:ilvl="4" w:tentative="0">
      <w:start w:val="1"/>
      <w:numFmt w:val="lowerLetter"/>
      <w:lvlText w:val="%5)"/>
      <w:lvlJc w:val="left"/>
      <w:pPr>
        <w:ind w:left="2243" w:hanging="420"/>
      </w:pPr>
    </w:lvl>
    <w:lvl w:ilvl="5" w:tentative="0">
      <w:start w:val="1"/>
      <w:numFmt w:val="lowerRoman"/>
      <w:lvlText w:val="%6."/>
      <w:lvlJc w:val="right"/>
      <w:pPr>
        <w:ind w:left="2663" w:hanging="420"/>
      </w:pPr>
    </w:lvl>
    <w:lvl w:ilvl="6" w:tentative="0">
      <w:start w:val="1"/>
      <w:numFmt w:val="decimal"/>
      <w:lvlText w:val="%7."/>
      <w:lvlJc w:val="left"/>
      <w:pPr>
        <w:ind w:left="3083" w:hanging="420"/>
      </w:pPr>
    </w:lvl>
    <w:lvl w:ilvl="7" w:tentative="0">
      <w:start w:val="1"/>
      <w:numFmt w:val="lowerLetter"/>
      <w:lvlText w:val="%8)"/>
      <w:lvlJc w:val="left"/>
      <w:pPr>
        <w:ind w:left="3503" w:hanging="420"/>
      </w:pPr>
    </w:lvl>
    <w:lvl w:ilvl="8" w:tentative="0">
      <w:start w:val="1"/>
      <w:numFmt w:val="lowerRoman"/>
      <w:lvlText w:val="%9."/>
      <w:lvlJc w:val="right"/>
      <w:pPr>
        <w:ind w:left="3923" w:hanging="420"/>
      </w:pPr>
    </w:lvl>
  </w:abstractNum>
  <w:abstractNum w:abstractNumId="14">
    <w:nsid w:val="6DCB2FDC"/>
    <w:multiLevelType w:val="singleLevel"/>
    <w:tmpl w:val="6DCB2FDC"/>
    <w:lvl w:ilvl="0" w:tentative="0">
      <w:start w:val="5"/>
      <w:numFmt w:val="chineseCounting"/>
      <w:suff w:val="nothing"/>
      <w:lvlText w:val="%1、"/>
      <w:lvlJc w:val="left"/>
      <w:rPr>
        <w:rFonts w:hint="eastAsia"/>
      </w:rPr>
    </w:lvl>
  </w:abstractNum>
  <w:abstractNum w:abstractNumId="15">
    <w:nsid w:val="6E87019F"/>
    <w:multiLevelType w:val="multilevel"/>
    <w:tmpl w:val="6E87019F"/>
    <w:lvl w:ilvl="0" w:tentative="0">
      <w:start w:val="1"/>
      <w:numFmt w:val="chineseCountingThousand"/>
      <w:pStyle w:val="85"/>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5"/>
  </w:num>
  <w:num w:numId="2">
    <w:abstractNumId w:val="15"/>
  </w:num>
  <w:num w:numId="3">
    <w:abstractNumId w:val="8"/>
  </w:num>
  <w:num w:numId="4">
    <w:abstractNumId w:val="13"/>
  </w:num>
  <w:num w:numId="5">
    <w:abstractNumId w:val="1"/>
  </w:num>
  <w:num w:numId="6">
    <w:abstractNumId w:val="14"/>
  </w:num>
  <w:num w:numId="7">
    <w:abstractNumId w:val="6"/>
  </w:num>
  <w:num w:numId="8">
    <w:abstractNumId w:val="11"/>
  </w:num>
  <w:num w:numId="9">
    <w:abstractNumId w:val="12"/>
  </w:num>
  <w:num w:numId="10">
    <w:abstractNumId w:val="7"/>
  </w:num>
  <w:num w:numId="11">
    <w:abstractNumId w:val="3"/>
  </w:num>
  <w:num w:numId="12">
    <w:abstractNumId w:val="2"/>
  </w:num>
  <w:num w:numId="13">
    <w:abstractNumId w:val="4"/>
  </w:num>
  <w:num w:numId="14">
    <w:abstractNumId w:val="0"/>
  </w:num>
  <w:num w:numId="15">
    <w:abstractNumId w:val="9"/>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isplayHorizontalDrawingGridEvery w:val="1"/>
  <w:displayVerticalDrawingGridEvery w:val="1"/>
  <w:noPunctuationKerning w:val="1"/>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2Y2Y1ZWM4MTg0YzhmNWM2MWMxNTI3OTFlNzM0ZmQifQ=="/>
  </w:docVars>
  <w:rsids>
    <w:rsidRoot w:val="00000000"/>
    <w:rsid w:val="0116312F"/>
    <w:rsid w:val="012F41F1"/>
    <w:rsid w:val="01A324E9"/>
    <w:rsid w:val="02E62FD5"/>
    <w:rsid w:val="02EB5765"/>
    <w:rsid w:val="037353D1"/>
    <w:rsid w:val="04373B97"/>
    <w:rsid w:val="05894817"/>
    <w:rsid w:val="07195727"/>
    <w:rsid w:val="08920AB6"/>
    <w:rsid w:val="08CF1E16"/>
    <w:rsid w:val="094D16B8"/>
    <w:rsid w:val="097906FF"/>
    <w:rsid w:val="09A84B40"/>
    <w:rsid w:val="0A3E36F7"/>
    <w:rsid w:val="0A430D0D"/>
    <w:rsid w:val="0A7B2255"/>
    <w:rsid w:val="0B837613"/>
    <w:rsid w:val="0BA4241C"/>
    <w:rsid w:val="0BCB2D68"/>
    <w:rsid w:val="0C7A68D5"/>
    <w:rsid w:val="0CC26D5E"/>
    <w:rsid w:val="0CD22534"/>
    <w:rsid w:val="0F76002A"/>
    <w:rsid w:val="0F981457"/>
    <w:rsid w:val="0F9B7D40"/>
    <w:rsid w:val="0FAA00FB"/>
    <w:rsid w:val="1053332C"/>
    <w:rsid w:val="10593038"/>
    <w:rsid w:val="10855BDB"/>
    <w:rsid w:val="10CD1330"/>
    <w:rsid w:val="110D4237"/>
    <w:rsid w:val="11C6025A"/>
    <w:rsid w:val="11FF19BD"/>
    <w:rsid w:val="120314AE"/>
    <w:rsid w:val="12846E00"/>
    <w:rsid w:val="129C545E"/>
    <w:rsid w:val="12AD31C8"/>
    <w:rsid w:val="14B446A4"/>
    <w:rsid w:val="15051099"/>
    <w:rsid w:val="161517B0"/>
    <w:rsid w:val="164F7412"/>
    <w:rsid w:val="16970347"/>
    <w:rsid w:val="1732013F"/>
    <w:rsid w:val="181D494B"/>
    <w:rsid w:val="19453724"/>
    <w:rsid w:val="19B532D7"/>
    <w:rsid w:val="19FD4A34"/>
    <w:rsid w:val="1B5543FC"/>
    <w:rsid w:val="1C275D99"/>
    <w:rsid w:val="1CD35F20"/>
    <w:rsid w:val="1CE65C54"/>
    <w:rsid w:val="1E9D56D7"/>
    <w:rsid w:val="1EDA17E8"/>
    <w:rsid w:val="1EDD4E34"/>
    <w:rsid w:val="1FB021AD"/>
    <w:rsid w:val="20B94930"/>
    <w:rsid w:val="223968A6"/>
    <w:rsid w:val="22486A69"/>
    <w:rsid w:val="225D0766"/>
    <w:rsid w:val="240E3CC3"/>
    <w:rsid w:val="250A44A9"/>
    <w:rsid w:val="25445C0D"/>
    <w:rsid w:val="26F14FB2"/>
    <w:rsid w:val="27B150B0"/>
    <w:rsid w:val="28096C9A"/>
    <w:rsid w:val="298A7967"/>
    <w:rsid w:val="2A9F7DBE"/>
    <w:rsid w:val="2B6C37C8"/>
    <w:rsid w:val="2C002162"/>
    <w:rsid w:val="2C810180"/>
    <w:rsid w:val="2E075A2A"/>
    <w:rsid w:val="2EA9088F"/>
    <w:rsid w:val="2F012479"/>
    <w:rsid w:val="2F2A2B97"/>
    <w:rsid w:val="302A2B26"/>
    <w:rsid w:val="32935BDC"/>
    <w:rsid w:val="344078BE"/>
    <w:rsid w:val="346C412A"/>
    <w:rsid w:val="34F30AB6"/>
    <w:rsid w:val="36637F41"/>
    <w:rsid w:val="36F97CFA"/>
    <w:rsid w:val="396401D4"/>
    <w:rsid w:val="3AC147A5"/>
    <w:rsid w:val="3B286FE0"/>
    <w:rsid w:val="3B5F50F7"/>
    <w:rsid w:val="3B9603ED"/>
    <w:rsid w:val="3BF44347"/>
    <w:rsid w:val="3D184A13"/>
    <w:rsid w:val="3D2832C7"/>
    <w:rsid w:val="3F6D757A"/>
    <w:rsid w:val="40D038D9"/>
    <w:rsid w:val="41190E1C"/>
    <w:rsid w:val="41263FC1"/>
    <w:rsid w:val="42417305"/>
    <w:rsid w:val="43B65AD0"/>
    <w:rsid w:val="46401681"/>
    <w:rsid w:val="48541414"/>
    <w:rsid w:val="48AB008C"/>
    <w:rsid w:val="49187469"/>
    <w:rsid w:val="49F32E25"/>
    <w:rsid w:val="4A6F0787"/>
    <w:rsid w:val="4A7B194C"/>
    <w:rsid w:val="4B521A81"/>
    <w:rsid w:val="4B736055"/>
    <w:rsid w:val="4D397FBC"/>
    <w:rsid w:val="4E573A0C"/>
    <w:rsid w:val="4ED84B4D"/>
    <w:rsid w:val="4EF00F70"/>
    <w:rsid w:val="4F8E75F4"/>
    <w:rsid w:val="509B5BC8"/>
    <w:rsid w:val="52036385"/>
    <w:rsid w:val="530A3743"/>
    <w:rsid w:val="538746A2"/>
    <w:rsid w:val="53F266B1"/>
    <w:rsid w:val="54E35FFA"/>
    <w:rsid w:val="54F71AA5"/>
    <w:rsid w:val="55515659"/>
    <w:rsid w:val="55AD3B99"/>
    <w:rsid w:val="5649247E"/>
    <w:rsid w:val="5940666D"/>
    <w:rsid w:val="59F760A3"/>
    <w:rsid w:val="5A8262B5"/>
    <w:rsid w:val="5B266C40"/>
    <w:rsid w:val="5B3550D5"/>
    <w:rsid w:val="5B5639C9"/>
    <w:rsid w:val="5BC337FC"/>
    <w:rsid w:val="5CEA15B1"/>
    <w:rsid w:val="5EC92704"/>
    <w:rsid w:val="5FAD16DE"/>
    <w:rsid w:val="5FCD1D80"/>
    <w:rsid w:val="602D281F"/>
    <w:rsid w:val="60854409"/>
    <w:rsid w:val="60DB4671"/>
    <w:rsid w:val="6105733F"/>
    <w:rsid w:val="6217048B"/>
    <w:rsid w:val="635B1617"/>
    <w:rsid w:val="64052BF6"/>
    <w:rsid w:val="64E75692"/>
    <w:rsid w:val="6712276E"/>
    <w:rsid w:val="67655D71"/>
    <w:rsid w:val="678371C8"/>
    <w:rsid w:val="67890C82"/>
    <w:rsid w:val="68E048D2"/>
    <w:rsid w:val="693E3CEF"/>
    <w:rsid w:val="694E1C94"/>
    <w:rsid w:val="6AAE4999"/>
    <w:rsid w:val="6ABF6769"/>
    <w:rsid w:val="6C1839BC"/>
    <w:rsid w:val="6CD26C28"/>
    <w:rsid w:val="6D042B59"/>
    <w:rsid w:val="6D224D47"/>
    <w:rsid w:val="6D3421F8"/>
    <w:rsid w:val="6F944668"/>
    <w:rsid w:val="6FA7614A"/>
    <w:rsid w:val="6FFD3FBC"/>
    <w:rsid w:val="70545BA6"/>
    <w:rsid w:val="711517D9"/>
    <w:rsid w:val="71854CFA"/>
    <w:rsid w:val="72E949C7"/>
    <w:rsid w:val="731A6C33"/>
    <w:rsid w:val="75FA3CBE"/>
    <w:rsid w:val="77626DFA"/>
    <w:rsid w:val="786676B9"/>
    <w:rsid w:val="7A3C5920"/>
    <w:rsid w:val="7BA07EF1"/>
    <w:rsid w:val="7C886774"/>
    <w:rsid w:val="7DF4203B"/>
    <w:rsid w:val="7F1900EE"/>
    <w:rsid w:val="7FFF34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9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numPr>
        <w:ilvl w:val="0"/>
        <w:numId w:val="1"/>
      </w:numPr>
      <w:spacing w:before="340" w:beforeAutospacing="0" w:afterLines="50" w:afterAutospacing="0" w:line="576" w:lineRule="auto"/>
      <w:outlineLvl w:val="0"/>
    </w:pPr>
    <w:rPr>
      <w:rFonts w:ascii="Arial" w:hAnsi="Arial" w:eastAsia="黑体"/>
      <w:spacing w:val="20"/>
      <w:kern w:val="44"/>
      <w:sz w:val="36"/>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szCs w:val="20"/>
    </w:rPr>
  </w:style>
  <w:style w:type="paragraph" w:styleId="3">
    <w:name w:val="toc 2"/>
    <w:basedOn w:val="1"/>
    <w:next w:val="1"/>
    <w:qFormat/>
    <w:uiPriority w:val="0"/>
    <w:pPr>
      <w:ind w:left="420" w:leftChars="200"/>
    </w:pPr>
    <w:rPr>
      <w:szCs w:val="20"/>
    </w:rPr>
  </w:style>
  <w:style w:type="paragraph" w:styleId="5">
    <w:name w:val="Body Text"/>
    <w:basedOn w:val="1"/>
    <w:next w:val="6"/>
    <w:qFormat/>
    <w:uiPriority w:val="0"/>
    <w:rPr>
      <w:rFonts w:ascii="Arial" w:hAnsi="Arial"/>
      <w:bCs/>
      <w:sz w:val="24"/>
    </w:rPr>
  </w:style>
  <w:style w:type="paragraph" w:styleId="6">
    <w:name w:val="Body Text First Indent"/>
    <w:basedOn w:val="5"/>
    <w:next w:val="7"/>
    <w:unhideWhenUsed/>
    <w:qFormat/>
    <w:uiPriority w:val="0"/>
    <w:pPr>
      <w:spacing w:after="120"/>
      <w:ind w:firstLine="420" w:firstLineChars="100"/>
    </w:pPr>
    <w:rPr>
      <w:rFonts w:ascii="Calibri" w:hAnsi="Calibri"/>
      <w:sz w:val="21"/>
      <w:szCs w:val="22"/>
    </w:rPr>
  </w:style>
  <w:style w:type="paragraph" w:styleId="7">
    <w:name w:val="toc 6"/>
    <w:basedOn w:val="1"/>
    <w:next w:val="1"/>
    <w:qFormat/>
    <w:uiPriority w:val="0"/>
    <w:pPr>
      <w:ind w:left="1400"/>
    </w:pPr>
    <w:rPr>
      <w:rFonts w:ascii="Calibri"/>
      <w:sz w:val="18"/>
      <w:szCs w:val="18"/>
    </w:rPr>
  </w:style>
  <w:style w:type="paragraph" w:styleId="8">
    <w:name w:val="Block Text"/>
    <w:basedOn w:val="1"/>
    <w:qFormat/>
    <w:uiPriority w:val="99"/>
    <w:pPr>
      <w:spacing w:after="120"/>
      <w:ind w:left="1440" w:leftChars="700" w:right="1440" w:rightChars="700"/>
    </w:pPr>
  </w:style>
  <w:style w:type="paragraph" w:styleId="9">
    <w:name w:val="footer"/>
    <w:basedOn w:val="1"/>
    <w:qFormat/>
    <w:uiPriority w:val="99"/>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basedOn w:val="1"/>
    <w:next w:val="1"/>
    <w:qFormat/>
    <w:uiPriority w:val="0"/>
    <w:pPr>
      <w:spacing w:before="240" w:after="60"/>
      <w:jc w:val="center"/>
      <w:outlineLvl w:val="0"/>
    </w:pPr>
    <w:rPr>
      <w:rFonts w:ascii="Arial" w:hAnsi="Arial" w:eastAsia="宋体" w:cs="Arial"/>
      <w:bCs/>
      <w:sz w:val="32"/>
      <w:szCs w:val="32"/>
    </w:rPr>
  </w:style>
  <w:style w:type="paragraph" w:customStyle="1" w:styleId="15">
    <w:name w:val="表格文字"/>
    <w:basedOn w:val="2"/>
    <w:next w:val="5"/>
    <w:qFormat/>
    <w:uiPriority w:val="0"/>
    <w:pPr>
      <w:spacing w:line="420" w:lineRule="atLeast"/>
      <w:jc w:val="left"/>
    </w:pPr>
    <w:rPr>
      <w:rFonts w:ascii="Times New Roman" w:hAnsi="Times New Roman"/>
      <w:kern w:val="0"/>
      <w:szCs w:val="24"/>
    </w:rPr>
  </w:style>
  <w:style w:type="paragraph" w:customStyle="1" w:styleId="16">
    <w:name w:val="无间距1"/>
    <w:qFormat/>
    <w:uiPriority w:val="0"/>
    <w:pPr>
      <w:widowControl w:val="0"/>
      <w:jc w:val="both"/>
    </w:pPr>
    <w:rPr>
      <w:rFonts w:ascii="Calibri" w:hAnsi="Calibri" w:eastAsia="微软雅黑 Light" w:cs="Times New Roman"/>
      <w:kern w:val="2"/>
      <w:sz w:val="24"/>
      <w:szCs w:val="22"/>
      <w:lang w:val="en-US" w:eastAsia="zh-CN" w:bidi="ar-SA"/>
    </w:rPr>
  </w:style>
  <w:style w:type="paragraph" w:customStyle="1" w:styleId="17">
    <w:name w:val="标题 11"/>
    <w:basedOn w:val="1"/>
    <w:qFormat/>
    <w:uiPriority w:val="0"/>
    <w:pPr>
      <w:keepNext/>
      <w:jc w:val="left"/>
      <w:outlineLvl w:val="0"/>
    </w:pPr>
    <w:rPr>
      <w:rFonts w:ascii="Calibri" w:hAnsi="Calibri"/>
      <w:b/>
      <w:sz w:val="28"/>
    </w:rPr>
  </w:style>
  <w:style w:type="paragraph" w:customStyle="1" w:styleId="18">
    <w:name w:val="标题 21"/>
    <w:basedOn w:val="1"/>
    <w:qFormat/>
    <w:uiPriority w:val="0"/>
    <w:pPr>
      <w:keepNext/>
      <w:keepLines/>
      <w:spacing w:before="260" w:after="260" w:line="416" w:lineRule="auto"/>
      <w:outlineLvl w:val="1"/>
    </w:pPr>
    <w:rPr>
      <w:rFonts w:ascii="Arial" w:hAnsi="Arial" w:eastAsia="黑体"/>
      <w:b/>
      <w:bCs/>
      <w:sz w:val="32"/>
      <w:szCs w:val="32"/>
    </w:rPr>
  </w:style>
  <w:style w:type="paragraph" w:customStyle="1" w:styleId="19">
    <w:name w:val="标题 31"/>
    <w:basedOn w:val="1"/>
    <w:qFormat/>
    <w:uiPriority w:val="0"/>
    <w:pPr>
      <w:keepNext/>
      <w:keepLines/>
      <w:spacing w:before="260" w:after="260" w:line="416" w:lineRule="auto"/>
      <w:outlineLvl w:val="2"/>
    </w:pPr>
    <w:rPr>
      <w:rFonts w:ascii="Calibri" w:hAnsi="Calibri"/>
      <w:b/>
      <w:bCs/>
      <w:sz w:val="32"/>
      <w:szCs w:val="32"/>
    </w:rPr>
  </w:style>
  <w:style w:type="paragraph" w:customStyle="1" w:styleId="20">
    <w:name w:val="标题 41"/>
    <w:basedOn w:val="1"/>
    <w:qFormat/>
    <w:uiPriority w:val="0"/>
    <w:pPr>
      <w:keepNext/>
      <w:keepLines/>
      <w:spacing w:before="280" w:after="290" w:line="376" w:lineRule="auto"/>
      <w:outlineLvl w:val="3"/>
    </w:pPr>
    <w:rPr>
      <w:rFonts w:ascii="Cambria" w:hAnsi="Cambria"/>
      <w:b/>
      <w:bCs/>
      <w:sz w:val="28"/>
      <w:szCs w:val="28"/>
    </w:rPr>
  </w:style>
  <w:style w:type="character" w:customStyle="1" w:styleId="21">
    <w:name w:val="默认段落字体1"/>
    <w:link w:val="1"/>
    <w:qFormat/>
    <w:uiPriority w:val="0"/>
  </w:style>
  <w:style w:type="table" w:customStyle="1" w:styleId="22">
    <w:name w:val="普通表格1"/>
    <w:qFormat/>
    <w:uiPriority w:val="0"/>
  </w:style>
  <w:style w:type="paragraph" w:customStyle="1" w:styleId="23">
    <w:name w:val="正文首行缩进1"/>
    <w:basedOn w:val="24"/>
    <w:qFormat/>
    <w:uiPriority w:val="0"/>
    <w:pPr>
      <w:spacing w:after="120"/>
      <w:ind w:firstLine="420" w:firstLineChars="100"/>
    </w:pPr>
    <w:rPr>
      <w:rFonts w:ascii="Calibri" w:hAnsi="Calibri"/>
      <w:sz w:val="21"/>
      <w:szCs w:val="22"/>
    </w:rPr>
  </w:style>
  <w:style w:type="paragraph" w:customStyle="1" w:styleId="24">
    <w:name w:val="正文文本1"/>
    <w:basedOn w:val="1"/>
    <w:qFormat/>
    <w:uiPriority w:val="0"/>
    <w:rPr>
      <w:rFonts w:ascii="Arial" w:hAnsi="Arial"/>
      <w:bCs/>
      <w:sz w:val="24"/>
    </w:rPr>
  </w:style>
  <w:style w:type="paragraph" w:customStyle="1" w:styleId="25">
    <w:name w:val="目录 61"/>
    <w:basedOn w:val="1"/>
    <w:qFormat/>
    <w:uiPriority w:val="0"/>
    <w:pPr>
      <w:ind w:left="1400"/>
    </w:pPr>
    <w:rPr>
      <w:rFonts w:ascii="Calibri"/>
      <w:sz w:val="18"/>
      <w:szCs w:val="18"/>
    </w:rPr>
  </w:style>
  <w:style w:type="paragraph" w:customStyle="1" w:styleId="26">
    <w:name w:val="正文缩进1"/>
    <w:basedOn w:val="1"/>
    <w:link w:val="27"/>
    <w:qFormat/>
    <w:uiPriority w:val="0"/>
    <w:pPr>
      <w:ind w:firstLine="420" w:firstLineChars="200"/>
    </w:pPr>
  </w:style>
  <w:style w:type="character" w:customStyle="1" w:styleId="27">
    <w:name w:val="正文缩进 字符"/>
    <w:link w:val="26"/>
    <w:qFormat/>
    <w:uiPriority w:val="0"/>
    <w:rPr>
      <w:kern w:val="2"/>
      <w:sz w:val="21"/>
      <w:szCs w:val="24"/>
    </w:rPr>
  </w:style>
  <w:style w:type="paragraph" w:customStyle="1" w:styleId="28">
    <w:name w:val="批注文字1"/>
    <w:basedOn w:val="1"/>
    <w:qFormat/>
    <w:uiPriority w:val="0"/>
    <w:pPr>
      <w:jc w:val="left"/>
    </w:pPr>
  </w:style>
  <w:style w:type="paragraph" w:customStyle="1" w:styleId="29">
    <w:name w:val="正文文本缩进1"/>
    <w:basedOn w:val="1"/>
    <w:qFormat/>
    <w:uiPriority w:val="0"/>
    <w:pPr>
      <w:spacing w:after="120"/>
      <w:ind w:left="420" w:leftChars="200"/>
    </w:pPr>
  </w:style>
  <w:style w:type="paragraph" w:customStyle="1" w:styleId="30">
    <w:name w:val="文本块1"/>
    <w:basedOn w:val="1"/>
    <w:qFormat/>
    <w:uiPriority w:val="0"/>
    <w:pPr>
      <w:spacing w:before="156" w:after="156"/>
      <w:ind w:left="426" w:right="-11" w:hanging="426" w:hangingChars="203"/>
    </w:pPr>
    <w:rPr>
      <w:rFonts w:eastAsia="楷体_GB2312"/>
    </w:rPr>
  </w:style>
  <w:style w:type="paragraph" w:customStyle="1" w:styleId="31">
    <w:name w:val="纯文本11"/>
    <w:basedOn w:val="1"/>
    <w:qFormat/>
    <w:uiPriority w:val="0"/>
    <w:rPr>
      <w:rFonts w:ascii="宋体" w:hAnsi="Courier New"/>
      <w:szCs w:val="20"/>
    </w:rPr>
  </w:style>
  <w:style w:type="paragraph" w:customStyle="1" w:styleId="32">
    <w:name w:val="目录 21"/>
    <w:basedOn w:val="1"/>
    <w:qFormat/>
    <w:uiPriority w:val="0"/>
    <w:pPr>
      <w:ind w:left="420" w:leftChars="200"/>
    </w:pPr>
    <w:rPr>
      <w:szCs w:val="20"/>
    </w:rPr>
  </w:style>
  <w:style w:type="paragraph" w:customStyle="1" w:styleId="33">
    <w:name w:val="日期1"/>
    <w:basedOn w:val="1"/>
    <w:qFormat/>
    <w:uiPriority w:val="0"/>
    <w:pPr>
      <w:ind w:left="100" w:leftChars="2500"/>
    </w:pPr>
    <w:rPr>
      <w:color w:val="000000"/>
      <w:sz w:val="24"/>
    </w:rPr>
  </w:style>
  <w:style w:type="paragraph" w:customStyle="1" w:styleId="34">
    <w:name w:val="正文文本缩进 21"/>
    <w:basedOn w:val="1"/>
    <w:qFormat/>
    <w:uiPriority w:val="0"/>
    <w:pPr>
      <w:widowControl/>
      <w:spacing w:line="480" w:lineRule="atLeast"/>
      <w:ind w:firstLine="480"/>
    </w:pPr>
    <w:rPr>
      <w:rFonts w:ascii="宋体"/>
      <w:kern w:val="0"/>
      <w:sz w:val="24"/>
      <w:szCs w:val="20"/>
    </w:rPr>
  </w:style>
  <w:style w:type="paragraph" w:customStyle="1" w:styleId="35">
    <w:name w:val="批注框文本1"/>
    <w:basedOn w:val="1"/>
    <w:link w:val="36"/>
    <w:qFormat/>
    <w:uiPriority w:val="0"/>
    <w:rPr>
      <w:sz w:val="18"/>
      <w:szCs w:val="18"/>
    </w:rPr>
  </w:style>
  <w:style w:type="character" w:customStyle="1" w:styleId="36">
    <w:name w:val="批注框文本 字符"/>
    <w:basedOn w:val="21"/>
    <w:link w:val="35"/>
    <w:qFormat/>
    <w:uiPriority w:val="0"/>
    <w:rPr>
      <w:kern w:val="2"/>
      <w:sz w:val="18"/>
      <w:szCs w:val="18"/>
    </w:rPr>
  </w:style>
  <w:style w:type="paragraph" w:customStyle="1" w:styleId="37">
    <w:name w:val="页脚1"/>
    <w:basedOn w:val="1"/>
    <w:qFormat/>
    <w:uiPriority w:val="0"/>
    <w:pPr>
      <w:tabs>
        <w:tab w:val="center" w:pos="4153"/>
        <w:tab w:val="right" w:pos="8306"/>
      </w:tabs>
      <w:snapToGrid w:val="0"/>
      <w:jc w:val="left"/>
    </w:pPr>
    <w:rPr>
      <w:sz w:val="18"/>
      <w:szCs w:val="18"/>
    </w:rPr>
  </w:style>
  <w:style w:type="paragraph" w:customStyle="1" w:styleId="38">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39">
    <w:name w:val="目录 11"/>
    <w:basedOn w:val="1"/>
    <w:qFormat/>
    <w:uiPriority w:val="0"/>
    <w:rPr>
      <w:szCs w:val="20"/>
    </w:rPr>
  </w:style>
  <w:style w:type="paragraph" w:customStyle="1" w:styleId="40">
    <w:name w:val="正文文本缩进 31"/>
    <w:basedOn w:val="1"/>
    <w:qFormat/>
    <w:uiPriority w:val="0"/>
    <w:pPr>
      <w:autoSpaceDE w:val="0"/>
      <w:autoSpaceDN w:val="0"/>
      <w:spacing w:line="400" w:lineRule="atLeast"/>
      <w:ind w:firstLine="443" w:firstLineChars="200"/>
    </w:pPr>
    <w:rPr>
      <w:rFonts w:eastAsia="黑体"/>
      <w:color w:val="000000"/>
      <w:sz w:val="24"/>
    </w:rPr>
  </w:style>
  <w:style w:type="paragraph" w:customStyle="1" w:styleId="41">
    <w:name w:val="普通(网站)1"/>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42">
    <w:name w:val="标题1"/>
    <w:basedOn w:val="1"/>
    <w:qFormat/>
    <w:uiPriority w:val="0"/>
    <w:pPr>
      <w:spacing w:before="240" w:after="60" w:line="460" w:lineRule="exact"/>
      <w:jc w:val="center"/>
      <w:outlineLvl w:val="0"/>
    </w:pPr>
    <w:rPr>
      <w:rFonts w:ascii="Arial" w:hAnsi="Arial"/>
      <w:b/>
      <w:spacing w:val="14"/>
      <w:kern w:val="24"/>
      <w:sz w:val="32"/>
      <w:szCs w:val="20"/>
    </w:rPr>
  </w:style>
  <w:style w:type="paragraph" w:customStyle="1" w:styleId="43">
    <w:name w:val="正文首行缩进 211"/>
    <w:basedOn w:val="29"/>
    <w:qFormat/>
    <w:uiPriority w:val="0"/>
    <w:pPr>
      <w:tabs>
        <w:tab w:val="left" w:pos="720"/>
      </w:tabs>
      <w:ind w:firstLine="420" w:firstLineChars="200"/>
    </w:pPr>
    <w:rPr>
      <w:rFonts w:ascii="宋体"/>
      <w:szCs w:val="20"/>
    </w:rPr>
  </w:style>
  <w:style w:type="paragraph" w:customStyle="1" w:styleId="44">
    <w:name w:val="xl53"/>
    <w:basedOn w:val="1"/>
    <w:qFormat/>
    <w:uiPriority w:val="0"/>
    <w:pPr>
      <w:widowControl/>
      <w:pBdr>
        <w:top w:val="single" w:color="000000" w:sz="4" w:space="0"/>
        <w:left w:val="single" w:color="000000" w:sz="8" w:space="0"/>
        <w:bottom w:val="single" w:color="000000" w:sz="8" w:space="0"/>
        <w:right w:val="single" w:color="000000" w:sz="4" w:space="0"/>
      </w:pBdr>
      <w:spacing w:before="100" w:beforeAutospacing="1" w:after="100" w:afterAutospacing="1" w:line="100" w:lineRule="exact"/>
      <w:jc w:val="center"/>
    </w:pPr>
    <w:rPr>
      <w:rFonts w:ascii="宋体" w:hAnsi="宋体"/>
      <w:b/>
      <w:bCs/>
      <w:kern w:val="0"/>
      <w:sz w:val="20"/>
      <w:szCs w:val="20"/>
    </w:rPr>
  </w:style>
  <w:style w:type="table" w:customStyle="1" w:styleId="45">
    <w:name w:val="网格型1"/>
    <w:basedOn w:val="22"/>
    <w:qFormat/>
    <w:uiPriority w:val="0"/>
    <w:pPr>
      <w:widowControl w:val="0"/>
      <w:jc w:val="both"/>
    </w:pPr>
  </w:style>
  <w:style w:type="character" w:customStyle="1" w:styleId="46">
    <w:name w:val="要点1"/>
    <w:basedOn w:val="21"/>
    <w:link w:val="1"/>
    <w:qFormat/>
    <w:uiPriority w:val="0"/>
    <w:rPr>
      <w:b/>
      <w:bCs/>
    </w:rPr>
  </w:style>
  <w:style w:type="character" w:customStyle="1" w:styleId="47">
    <w:name w:val="页码1"/>
    <w:basedOn w:val="21"/>
    <w:link w:val="1"/>
    <w:qFormat/>
    <w:uiPriority w:val="0"/>
  </w:style>
  <w:style w:type="character" w:customStyle="1" w:styleId="48">
    <w:name w:val="已访问的超链接1"/>
    <w:basedOn w:val="21"/>
    <w:link w:val="1"/>
    <w:qFormat/>
    <w:uiPriority w:val="0"/>
    <w:rPr>
      <w:color w:val="4A4A4A"/>
      <w:u w:val="none"/>
    </w:rPr>
  </w:style>
  <w:style w:type="character" w:customStyle="1" w:styleId="49">
    <w:name w:val="强调1"/>
    <w:basedOn w:val="21"/>
    <w:link w:val="1"/>
    <w:qFormat/>
    <w:uiPriority w:val="0"/>
  </w:style>
  <w:style w:type="character" w:customStyle="1" w:styleId="50">
    <w:name w:val="HTML 定义1"/>
    <w:basedOn w:val="21"/>
    <w:link w:val="1"/>
    <w:qFormat/>
    <w:uiPriority w:val="0"/>
  </w:style>
  <w:style w:type="character" w:customStyle="1" w:styleId="51">
    <w:name w:val="HTML 打字机1"/>
    <w:basedOn w:val="21"/>
    <w:link w:val="1"/>
    <w:qFormat/>
    <w:uiPriority w:val="0"/>
    <w:rPr>
      <w:rFonts w:ascii="monospace" w:hAnsi="monospace" w:eastAsia="monospace"/>
      <w:sz w:val="20"/>
    </w:rPr>
  </w:style>
  <w:style w:type="character" w:customStyle="1" w:styleId="52">
    <w:name w:val="HTML 缩写1"/>
    <w:basedOn w:val="21"/>
    <w:link w:val="1"/>
    <w:qFormat/>
    <w:uiPriority w:val="0"/>
  </w:style>
  <w:style w:type="character" w:customStyle="1" w:styleId="53">
    <w:name w:val="HTML 变量1"/>
    <w:basedOn w:val="21"/>
    <w:link w:val="1"/>
    <w:qFormat/>
    <w:uiPriority w:val="0"/>
  </w:style>
  <w:style w:type="character" w:customStyle="1" w:styleId="54">
    <w:name w:val="超链接1"/>
    <w:basedOn w:val="21"/>
    <w:link w:val="1"/>
    <w:qFormat/>
    <w:uiPriority w:val="0"/>
    <w:rPr>
      <w:color w:val="0000FF"/>
      <w:u w:val="single"/>
    </w:rPr>
  </w:style>
  <w:style w:type="character" w:customStyle="1" w:styleId="55">
    <w:name w:val="HTML 代码1"/>
    <w:basedOn w:val="21"/>
    <w:link w:val="1"/>
    <w:qFormat/>
    <w:uiPriority w:val="0"/>
    <w:rPr>
      <w:rFonts w:ascii="monospace" w:hAnsi="monospace" w:eastAsia="monospace"/>
      <w:sz w:val="20"/>
    </w:rPr>
  </w:style>
  <w:style w:type="character" w:customStyle="1" w:styleId="56">
    <w:name w:val="HTML 引文1"/>
    <w:basedOn w:val="21"/>
    <w:link w:val="1"/>
    <w:qFormat/>
    <w:uiPriority w:val="0"/>
  </w:style>
  <w:style w:type="character" w:customStyle="1" w:styleId="57">
    <w:name w:val="HTML 键盘1"/>
    <w:basedOn w:val="21"/>
    <w:link w:val="1"/>
    <w:qFormat/>
    <w:uiPriority w:val="0"/>
    <w:rPr>
      <w:rFonts w:ascii="monospace" w:hAnsi="monospace" w:eastAsia="monospace"/>
      <w:sz w:val="20"/>
    </w:rPr>
  </w:style>
  <w:style w:type="character" w:customStyle="1" w:styleId="58">
    <w:name w:val="HTML 样本1"/>
    <w:basedOn w:val="21"/>
    <w:link w:val="1"/>
    <w:qFormat/>
    <w:uiPriority w:val="0"/>
    <w:rPr>
      <w:rFonts w:ascii="monospace" w:hAnsi="monospace" w:eastAsia="monospace"/>
    </w:rPr>
  </w:style>
  <w:style w:type="paragraph" w:customStyle="1" w:styleId="59">
    <w:name w:val="Fließtext"/>
    <w:basedOn w:val="1"/>
    <w:qFormat/>
    <w:uiPriority w:val="0"/>
    <w:pPr>
      <w:overflowPunct w:val="0"/>
      <w:autoSpaceDE w:val="0"/>
      <w:autoSpaceDN w:val="0"/>
    </w:pPr>
    <w:rPr>
      <w:kern w:val="28"/>
      <w:szCs w:val="20"/>
    </w:rPr>
  </w:style>
  <w:style w:type="paragraph" w:customStyle="1" w:styleId="60">
    <w:name w:val="BodyText1I"/>
    <w:basedOn w:val="61"/>
    <w:qFormat/>
    <w:uiPriority w:val="0"/>
    <w:pPr>
      <w:ind w:firstLine="420" w:firstLineChars="100"/>
    </w:pPr>
  </w:style>
  <w:style w:type="paragraph" w:customStyle="1" w:styleId="61">
    <w:name w:val="BodyText"/>
    <w:basedOn w:val="1"/>
    <w:qFormat/>
    <w:uiPriority w:val="0"/>
    <w:pPr>
      <w:spacing w:after="120"/>
    </w:pPr>
  </w:style>
  <w:style w:type="paragraph" w:customStyle="1" w:styleId="62">
    <w:name w:val="表内文字"/>
    <w:basedOn w:val="1"/>
    <w:qFormat/>
    <w:uiPriority w:val="0"/>
    <w:pPr>
      <w:spacing w:line="500" w:lineRule="atLeast"/>
      <w:jc w:val="center"/>
    </w:pPr>
    <w:rPr>
      <w:rFonts w:ascii="Arial" w:hAnsi="Arial" w:eastAsia="楷体_GB2312"/>
      <w:sz w:val="28"/>
    </w:rPr>
  </w:style>
  <w:style w:type="paragraph" w:customStyle="1" w:styleId="63">
    <w:name w:val="BodyText1I2"/>
    <w:basedOn w:val="64"/>
    <w:qFormat/>
    <w:uiPriority w:val="0"/>
    <w:pPr>
      <w:ind w:firstLine="420" w:firstLineChars="200"/>
    </w:pPr>
  </w:style>
  <w:style w:type="paragraph" w:customStyle="1" w:styleId="64">
    <w:name w:val="BodyTextIndent"/>
    <w:basedOn w:val="1"/>
    <w:qFormat/>
    <w:uiPriority w:val="0"/>
    <w:pPr>
      <w:spacing w:after="120"/>
      <w:ind w:left="420" w:leftChars="200"/>
    </w:pPr>
    <w:rPr>
      <w:color w:val="000000"/>
    </w:rPr>
  </w:style>
  <w:style w:type="character" w:customStyle="1" w:styleId="65">
    <w:name w:val="font11"/>
    <w:basedOn w:val="21"/>
    <w:link w:val="1"/>
    <w:qFormat/>
    <w:uiPriority w:val="0"/>
    <w:rPr>
      <w:rFonts w:ascii="Calibri" w:hAnsi="Calibri"/>
      <w:color w:val="000000"/>
      <w:sz w:val="21"/>
      <w:szCs w:val="21"/>
      <w:u w:val="none"/>
    </w:rPr>
  </w:style>
  <w:style w:type="character" w:customStyle="1" w:styleId="66">
    <w:name w:val="font21"/>
    <w:basedOn w:val="21"/>
    <w:link w:val="1"/>
    <w:qFormat/>
    <w:uiPriority w:val="0"/>
    <w:rPr>
      <w:rFonts w:ascii="Calibri" w:hAnsi="Calibri"/>
      <w:color w:val="000000"/>
      <w:sz w:val="22"/>
      <w:szCs w:val="22"/>
      <w:u w:val="none"/>
    </w:rPr>
  </w:style>
  <w:style w:type="character" w:customStyle="1" w:styleId="67">
    <w:name w:val="font01"/>
    <w:basedOn w:val="21"/>
    <w:link w:val="1"/>
    <w:qFormat/>
    <w:uiPriority w:val="0"/>
    <w:rPr>
      <w:rFonts w:hint="eastAsia" w:ascii="宋体" w:hAnsi="宋体" w:eastAsia="宋体"/>
      <w:color w:val="000000"/>
      <w:sz w:val="21"/>
      <w:szCs w:val="21"/>
      <w:u w:val="none"/>
    </w:rPr>
  </w:style>
  <w:style w:type="character" w:customStyle="1" w:styleId="68">
    <w:name w:val="font41"/>
    <w:basedOn w:val="21"/>
    <w:link w:val="1"/>
    <w:qFormat/>
    <w:uiPriority w:val="0"/>
    <w:rPr>
      <w:rFonts w:hint="eastAsia" w:ascii="宋体" w:hAnsi="宋体" w:eastAsia="宋体"/>
      <w:color w:val="000000"/>
      <w:sz w:val="22"/>
      <w:szCs w:val="22"/>
      <w:u w:val="none"/>
    </w:rPr>
  </w:style>
  <w:style w:type="paragraph" w:customStyle="1" w:styleId="69">
    <w:name w:val="xl7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b/>
      <w:bCs/>
      <w:kern w:val="0"/>
      <w:sz w:val="28"/>
      <w:szCs w:val="28"/>
    </w:rPr>
  </w:style>
  <w:style w:type="paragraph" w:customStyle="1" w:styleId="70">
    <w:name w:val="zw1"/>
    <w:basedOn w:val="1"/>
    <w:qFormat/>
    <w:uiPriority w:val="0"/>
    <w:pPr>
      <w:spacing w:line="360" w:lineRule="auto"/>
      <w:ind w:firstLine="560" w:firstLineChars="200"/>
    </w:pPr>
    <w:rPr>
      <w:sz w:val="28"/>
      <w:szCs w:val="20"/>
    </w:rPr>
  </w:style>
  <w:style w:type="paragraph" w:customStyle="1" w:styleId="71">
    <w:name w:val="列出段落1"/>
    <w:basedOn w:val="1"/>
    <w:qFormat/>
    <w:uiPriority w:val="0"/>
    <w:pPr>
      <w:ind w:firstLine="420" w:firstLineChars="200"/>
    </w:pPr>
  </w:style>
  <w:style w:type="paragraph" w:customStyle="1" w:styleId="72">
    <w:name w:val="正文缩进2"/>
    <w:basedOn w:val="1"/>
    <w:qFormat/>
    <w:uiPriority w:val="0"/>
    <w:pPr>
      <w:spacing w:line="500" w:lineRule="exact"/>
      <w:ind w:firstLine="567"/>
    </w:pPr>
    <w:rPr>
      <w:sz w:val="24"/>
      <w:szCs w:val="20"/>
    </w:rPr>
  </w:style>
  <w:style w:type="paragraph" w:styleId="73">
    <w:name w:val="List Paragraph"/>
    <w:basedOn w:val="1"/>
    <w:qFormat/>
    <w:uiPriority w:val="0"/>
    <w:pPr>
      <w:ind w:firstLine="420" w:firstLineChars="200"/>
    </w:pPr>
    <w:rPr>
      <w:rFonts w:ascii="Calibri" w:hAnsi="Calibri"/>
      <w:szCs w:val="22"/>
    </w:rPr>
  </w:style>
  <w:style w:type="paragraph" w:customStyle="1" w:styleId="74">
    <w:name w:val="xl55"/>
    <w:basedOn w:val="1"/>
    <w:qFormat/>
    <w:uiPriority w:val="0"/>
    <w:pPr>
      <w:widowControl/>
      <w:spacing w:before="100" w:beforeAutospacing="1" w:after="100" w:afterAutospacing="1"/>
      <w:jc w:val="center"/>
    </w:pPr>
    <w:rPr>
      <w:rFonts w:ascii="Arial Unicode MS" w:hAnsi="Arial Unicode MS"/>
      <w:kern w:val="0"/>
      <w:sz w:val="24"/>
    </w:rPr>
  </w:style>
  <w:style w:type="paragraph" w:customStyle="1" w:styleId="75">
    <w:name w:val="正文首行缩进 21"/>
    <w:basedOn w:val="1"/>
    <w:qFormat/>
    <w:uiPriority w:val="0"/>
    <w:pPr>
      <w:spacing w:after="120"/>
      <w:ind w:left="420" w:leftChars="200" w:firstLine="420"/>
    </w:pPr>
    <w:rPr>
      <w:color w:val="000000"/>
      <w:sz w:val="21"/>
      <w:szCs w:val="21"/>
    </w:rPr>
  </w:style>
  <w:style w:type="paragraph" w:customStyle="1" w:styleId="76">
    <w:name w:val="纯文本1"/>
    <w:qFormat/>
    <w:uiPriority w:val="0"/>
    <w:rPr>
      <w:rFonts w:hint="eastAsia" w:ascii="宋体" w:hAnsi="Courier New" w:eastAsia="宋体" w:cs="Times New Roman"/>
      <w:kern w:val="2"/>
      <w:sz w:val="21"/>
      <w:lang w:val="en-US" w:eastAsia="zh-CN" w:bidi="ar-SA"/>
    </w:rPr>
  </w:style>
  <w:style w:type="paragraph" w:customStyle="1" w:styleId="77">
    <w:name w:val="Table Paragraph"/>
    <w:basedOn w:val="1"/>
    <w:qFormat/>
    <w:uiPriority w:val="0"/>
    <w:rPr>
      <w:rFonts w:ascii="宋体" w:hAnsi="宋体"/>
      <w:lang w:val="zh-CN" w:bidi="zh-CN"/>
    </w:rPr>
  </w:style>
  <w:style w:type="paragraph" w:customStyle="1" w:styleId="78">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79">
    <w:name w:val="内文正文"/>
    <w:basedOn w:val="31"/>
    <w:qFormat/>
    <w:uiPriority w:val="0"/>
    <w:pPr>
      <w:widowControl w:val="0"/>
      <w:overflowPunct/>
      <w:autoSpaceDE/>
      <w:autoSpaceDN/>
      <w:snapToGrid w:val="0"/>
      <w:spacing w:line="400" w:lineRule="exact"/>
      <w:ind w:firstLine="200" w:firstLineChars="200"/>
      <w:jc w:val="both"/>
    </w:pPr>
    <w:rPr>
      <w:rFonts w:ascii="Arial" w:hAnsi="Arial"/>
      <w:color w:val="000000"/>
      <w:kern w:val="2"/>
      <w:szCs w:val="20"/>
    </w:rPr>
  </w:style>
  <w:style w:type="paragraph" w:customStyle="1" w:styleId="80">
    <w:name w:val="Body text|1"/>
    <w:basedOn w:val="1"/>
    <w:qFormat/>
    <w:uiPriority w:val="0"/>
    <w:pPr>
      <w:keepNext w:val="0"/>
      <w:keepLines w:val="0"/>
      <w:widowControl w:val="0"/>
      <w:suppressLineNumbers w:val="0"/>
      <w:spacing w:before="0" w:beforeAutospacing="0" w:after="0" w:afterAutospacing="0" w:line="432" w:lineRule="auto"/>
      <w:ind w:left="0" w:right="0" w:firstLine="400"/>
      <w:jc w:val="left"/>
    </w:pPr>
    <w:rPr>
      <w:rFonts w:hint="eastAsia" w:ascii="宋体" w:hAnsi="宋体" w:eastAsia="宋体"/>
      <w:kern w:val="0"/>
      <w:sz w:val="30"/>
      <w:szCs w:val="30"/>
      <w:lang w:val="en-US" w:eastAsia="zh-CN" w:bidi="ar"/>
    </w:rPr>
  </w:style>
  <w:style w:type="paragraph" w:customStyle="1" w:styleId="81">
    <w:name w:val="Body text|5"/>
    <w:basedOn w:val="1"/>
    <w:qFormat/>
    <w:uiPriority w:val="0"/>
    <w:pPr>
      <w:keepNext w:val="0"/>
      <w:keepLines w:val="0"/>
      <w:widowControl w:val="0"/>
      <w:suppressLineNumbers w:val="0"/>
      <w:spacing w:before="0" w:beforeAutospacing="0" w:after="0" w:afterAutospacing="0" w:line="360" w:lineRule="auto"/>
      <w:ind w:left="0" w:right="0" w:hanging="1640"/>
      <w:jc w:val="left"/>
    </w:pPr>
    <w:rPr>
      <w:rFonts w:hint="eastAsia" w:ascii="宋体" w:hAnsi="宋体" w:eastAsia="宋体"/>
      <w:kern w:val="0"/>
      <w:sz w:val="22"/>
      <w:szCs w:val="22"/>
      <w:u w:val="single"/>
      <w:lang w:val="en-US" w:eastAsia="zh-CN" w:bidi="ar"/>
    </w:rPr>
  </w:style>
  <w:style w:type="paragraph" w:customStyle="1" w:styleId="82">
    <w:name w:val="Body text|3"/>
    <w:basedOn w:val="1"/>
    <w:qFormat/>
    <w:uiPriority w:val="0"/>
    <w:pPr>
      <w:keepNext w:val="0"/>
      <w:keepLines w:val="0"/>
      <w:widowControl w:val="0"/>
      <w:suppressLineNumbers w:val="0"/>
      <w:spacing w:before="0" w:beforeAutospacing="0" w:after="60" w:afterAutospacing="0" w:line="360" w:lineRule="auto"/>
      <w:ind w:left="1510" w:right="0"/>
      <w:jc w:val="left"/>
    </w:pPr>
    <w:rPr>
      <w:rFonts w:hint="eastAsia" w:ascii="宋体" w:hAnsi="宋体" w:eastAsia="宋体"/>
      <w:kern w:val="0"/>
      <w:sz w:val="26"/>
      <w:szCs w:val="26"/>
      <w:lang w:val="en-US" w:eastAsia="zh-CN" w:bidi="ar"/>
    </w:rPr>
  </w:style>
  <w:style w:type="paragraph" w:customStyle="1" w:styleId="83">
    <w:name w:val="Default"/>
    <w:qFormat/>
    <w:uiPriority w:val="0"/>
    <w:pPr>
      <w:widowControl w:val="0"/>
      <w:autoSpaceDE w:val="0"/>
      <w:autoSpaceDN w:val="0"/>
    </w:pPr>
    <w:rPr>
      <w:rFonts w:ascii="Arial" w:hAnsi="Arial" w:eastAsia="宋体" w:cs="Times New Roman"/>
      <w:color w:val="000000"/>
      <w:sz w:val="24"/>
      <w:szCs w:val="24"/>
      <w:lang w:val="en-US" w:eastAsia="zh-CN" w:bidi="ar-SA"/>
    </w:rPr>
  </w:style>
  <w:style w:type="paragraph" w:customStyle="1" w:styleId="84">
    <w:name w:val="目录 7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85">
    <w:name w:val="协议书标题2"/>
    <w:basedOn w:val="18"/>
    <w:qFormat/>
    <w:uiPriority w:val="0"/>
    <w:pPr>
      <w:keepNext w:val="0"/>
      <w:keepLines w:val="0"/>
      <w:numPr>
        <w:ilvl w:val="0"/>
        <w:numId w:val="2"/>
      </w:numPr>
      <w:tabs>
        <w:tab w:val="left" w:pos="567"/>
      </w:tabs>
      <w:spacing w:line="360" w:lineRule="auto"/>
      <w:ind w:firstLine="0" w:firstLineChars="0"/>
      <w:jc w:val="left"/>
    </w:pPr>
    <w:rPr>
      <w:rFonts w:ascii="宋体" w:hAnsi="宋体" w:eastAsia="宋体"/>
      <w:sz w:val="24"/>
    </w:rPr>
  </w:style>
  <w:style w:type="paragraph" w:customStyle="1" w:styleId="86">
    <w:name w:val="table"/>
    <w:qFormat/>
    <w:uiPriority w:val="0"/>
    <w:pPr>
      <w:framePr w:hSpace="180" w:wrap="around" w:vAnchor="text" w:hAnchor="margin" w:y="1418"/>
      <w:snapToGrid w:val="0"/>
    </w:pPr>
    <w:rPr>
      <w:rFonts w:ascii="宋体" w:hAnsi="Calibri" w:eastAsia="宋体" w:cs="Times New Roman"/>
      <w:kern w:val="2"/>
      <w:sz w:val="24"/>
      <w:szCs w:val="22"/>
      <w:lang w:val="en-US" w:eastAsia="zh-CN" w:bidi="ar-SA"/>
    </w:rPr>
  </w:style>
  <w:style w:type="paragraph" w:customStyle="1" w:styleId="87">
    <w:name w:val="TOC 标题2"/>
    <w:basedOn w:val="17"/>
    <w:qFormat/>
    <w:uiPriority w:val="0"/>
    <w:pPr>
      <w:keepNext/>
      <w:keepLines/>
      <w:widowControl w:val="0"/>
      <w:snapToGrid/>
      <w:spacing w:before="260" w:after="260" w:line="413" w:lineRule="auto"/>
    </w:pPr>
    <w:rPr>
      <w:rFonts w:ascii="宋体" w:hAnsi="宋体" w:eastAsia="宋体"/>
      <w:sz w:val="36"/>
      <w:szCs w:val="44"/>
      <w:lang w:val="zh-CN"/>
    </w:rPr>
  </w:style>
  <w:style w:type="paragraph" w:customStyle="1" w:styleId="88">
    <w:name w:val="通用标题3"/>
    <w:qFormat/>
    <w:uiPriority w:val="0"/>
    <w:pPr>
      <w:widowControl w:val="0"/>
      <w:numPr>
        <w:ilvl w:val="1"/>
        <w:numId w:val="3"/>
      </w:numPr>
      <w:tabs>
        <w:tab w:val="left" w:pos="851"/>
      </w:tabs>
      <w:snapToGrid w:val="0"/>
      <w:spacing w:after="120" w:line="360" w:lineRule="auto"/>
      <w:jc w:val="both"/>
      <w:outlineLvl w:val="2"/>
    </w:pPr>
    <w:rPr>
      <w:rFonts w:ascii="黑体" w:hAnsi="黑体" w:eastAsia="黑体" w:cs="Times New Roman"/>
      <w:b/>
      <w:kern w:val="2"/>
      <w:sz w:val="24"/>
      <w:szCs w:val="24"/>
      <w:lang w:val="en-US" w:eastAsia="zh-CN" w:bidi="ar-SA"/>
    </w:rPr>
  </w:style>
  <w:style w:type="paragraph" w:customStyle="1" w:styleId="89">
    <w:name w:val="专用标题2"/>
    <w:basedOn w:val="18"/>
    <w:qFormat/>
    <w:uiPriority w:val="0"/>
    <w:pPr>
      <w:keepNext w:val="0"/>
      <w:keepLines w:val="0"/>
      <w:tabs>
        <w:tab w:val="left" w:pos="993"/>
      </w:tabs>
      <w:wordWrap/>
      <w:topLinePunct w:val="0"/>
      <w:spacing w:line="360" w:lineRule="auto"/>
      <w:ind w:firstLine="0" w:firstLineChars="0"/>
    </w:pPr>
    <w:rPr>
      <w:rFonts w:ascii="宋体" w:hAnsi="宋体" w:eastAsia="宋体"/>
    </w:rPr>
  </w:style>
  <w:style w:type="paragraph" w:customStyle="1" w:styleId="90">
    <w:name w:val="附件标题"/>
    <w:basedOn w:val="18"/>
    <w:qFormat/>
    <w:uiPriority w:val="0"/>
    <w:pPr>
      <w:numPr>
        <w:ilvl w:val="0"/>
        <w:numId w:val="4"/>
      </w:numPr>
      <w:tabs>
        <w:tab w:val="left" w:pos="1134"/>
      </w:tabs>
      <w:spacing w:line="360" w:lineRule="auto"/>
      <w:ind w:firstLine="0" w:firstLineChars="0"/>
      <w:jc w:val="center"/>
    </w:pPr>
    <w:rPr>
      <w:rFonts w:ascii="黑体" w:hAnsi="黑体"/>
      <w:sz w:val="30"/>
      <w:szCs w:val="30"/>
    </w:rPr>
  </w:style>
  <w:style w:type="character" w:customStyle="1" w:styleId="91">
    <w:name w:val="NormalCharacter"/>
    <w:link w:val="1"/>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header" Target="header4.xml"/><Relationship Id="rId16" Type="http://schemas.openxmlformats.org/officeDocument/2006/relationships/footer" Target="footer11.xml"/><Relationship Id="rId15" Type="http://schemas.openxmlformats.org/officeDocument/2006/relationships/header" Target="header3.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header" Target="header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125</Pages>
  <Words>2752</Words>
  <Characters>3129</Characters>
  <Lines>0</Lines>
  <Paragraphs>0</Paragraphs>
  <TotalTime>19</TotalTime>
  <ScaleCrop>false</ScaleCrop>
  <LinksUpToDate>false</LinksUpToDate>
  <CharactersWithSpaces>3248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2024-07-22T07:51:00Z</dcterms:created>
  <dc:creator>谢作恒</dc:creator>
  <cp:lastModifiedBy>咕咕鸡</cp:lastModifiedBy>
  <cp:lastPrinted>2024-12-25T00:59:00Z</cp:lastPrinted>
  <dcterms:modified xsi:type="dcterms:W3CDTF">2024-12-25T03:55:21Z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FDF48E45E43848CC9D14A250F8C03CD0_13</vt:lpwstr>
  </property>
</Properties>
</file>