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8"/>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tcPr>
          <w:p>
            <w:pPr>
              <w:tabs>
                <w:tab w:val="left" w:pos="6477"/>
              </w:tabs>
              <w:jc w:val="center"/>
              <w:rPr>
                <w:rFonts w:hint="eastAsia"/>
                <w:b/>
                <w:color w:val="000000"/>
                <w:sz w:val="36"/>
              </w:rPr>
            </w:pPr>
            <w:bookmarkStart w:id="0" w:name="OLE_LINK1"/>
          </w:p>
          <w:p>
            <w:pPr>
              <w:jc w:val="center"/>
              <w:rPr>
                <w:rFonts w:hint="eastAsia"/>
                <w:color w:val="000000"/>
                <w:sz w:val="84"/>
                <w:szCs w:val="84"/>
              </w:rPr>
            </w:pPr>
            <w:r>
              <w:rPr>
                <w:rFonts w:hint="eastAsia"/>
                <w:color w:val="000000"/>
                <w:sz w:val="84"/>
                <w:szCs w:val="84"/>
              </w:rPr>
              <w:t>平  阳  县</w:t>
            </w:r>
          </w:p>
          <w:p>
            <w:pPr>
              <w:jc w:val="center"/>
              <w:rPr>
                <w:rFonts w:hint="eastAsia"/>
                <w:color w:val="000000"/>
                <w:sz w:val="72"/>
                <w:szCs w:val="72"/>
              </w:rPr>
            </w:pPr>
            <w:r>
              <w:rPr>
                <w:rFonts w:hint="eastAsia"/>
                <w:color w:val="000000"/>
                <w:sz w:val="72"/>
                <w:szCs w:val="72"/>
              </w:rPr>
              <w:t>政府采购招标文件</w:t>
            </w:r>
          </w:p>
          <w:p>
            <w:pPr>
              <w:spacing w:line="440" w:lineRule="exact"/>
              <w:ind w:left="1148"/>
              <w:jc w:val="center"/>
              <w:rPr>
                <w:rFonts w:hint="eastAsia"/>
                <w:bCs/>
                <w:color w:val="000000"/>
                <w:sz w:val="28"/>
              </w:rPr>
            </w:pPr>
            <w:r>
              <w:rPr>
                <w:rFonts w:hint="eastAsia"/>
                <w:b/>
                <w:color w:val="000000"/>
                <w:sz w:val="30"/>
              </w:rPr>
              <w:t>（线上电子招投标）</w:t>
            </w:r>
          </w:p>
          <w:p>
            <w:pPr>
              <w:spacing w:line="440" w:lineRule="exact"/>
              <w:ind w:left="1148"/>
              <w:jc w:val="center"/>
              <w:rPr>
                <w:rFonts w:hint="eastAsia"/>
                <w:bCs/>
                <w:color w:val="000000"/>
                <w:sz w:val="28"/>
              </w:rPr>
            </w:pPr>
          </w:p>
          <w:p>
            <w:pPr>
              <w:spacing w:line="440" w:lineRule="exact"/>
              <w:rPr>
                <w:rFonts w:hint="eastAsia"/>
                <w:b/>
                <w:bCs/>
                <w:color w:val="000000"/>
                <w:sz w:val="28"/>
              </w:rPr>
            </w:pPr>
            <w:r>
              <w:rPr>
                <w:rFonts w:hint="eastAsia"/>
                <w:b/>
                <w:bCs/>
                <w:color w:val="000000"/>
                <w:sz w:val="28"/>
              </w:rPr>
              <w:t xml:space="preserve">                                         </w:t>
            </w:r>
          </w:p>
          <w:p>
            <w:pPr>
              <w:tabs>
                <w:tab w:val="left" w:pos="2019"/>
              </w:tabs>
              <w:ind w:left="1205" w:leftChars="502" w:firstLine="894" w:firstLineChars="297"/>
              <w:jc w:val="center"/>
              <w:rPr>
                <w:rFonts w:hint="eastAsia" w:eastAsia="宋体"/>
                <w:b/>
                <w:color w:val="000000"/>
                <w:sz w:val="30"/>
                <w:szCs w:val="30"/>
                <w:lang w:eastAsia="zh-CN"/>
              </w:rPr>
            </w:pPr>
            <w:r>
              <w:rPr>
                <w:rFonts w:hint="eastAsia"/>
                <w:b/>
                <w:color w:val="000000"/>
                <w:sz w:val="30"/>
                <w:szCs w:val="30"/>
              </w:rPr>
              <w:t>项目名称：</w:t>
            </w:r>
            <w:r>
              <w:rPr>
                <w:rFonts w:hint="eastAsia"/>
                <w:b/>
                <w:color w:val="000000"/>
                <w:sz w:val="30"/>
                <w:szCs w:val="30"/>
                <w:lang w:eastAsia="zh-CN"/>
              </w:rPr>
              <w:t>海洋牧歌田园综合体―数字南麂设备采购项目</w:t>
            </w:r>
          </w:p>
          <w:p>
            <w:pPr>
              <w:tabs>
                <w:tab w:val="left" w:pos="2019"/>
              </w:tabs>
              <w:ind w:left="3643" w:leftChars="873" w:hanging="1548" w:hangingChars="514"/>
              <w:rPr>
                <w:rFonts w:hint="eastAsia"/>
                <w:b/>
                <w:color w:val="000000"/>
                <w:sz w:val="30"/>
                <w:szCs w:val="30"/>
              </w:rPr>
            </w:pPr>
            <w:r>
              <w:rPr>
                <w:rFonts w:hint="eastAsia"/>
                <w:b/>
                <w:color w:val="000000"/>
                <w:sz w:val="30"/>
                <w:szCs w:val="30"/>
              </w:rPr>
              <w:t>项目编号：</w:t>
            </w:r>
            <w:r>
              <w:rPr>
                <w:rFonts w:hint="eastAsia"/>
                <w:b/>
                <w:color w:val="000000"/>
                <w:sz w:val="30"/>
                <w:szCs w:val="30"/>
                <w:lang w:eastAsia="zh-CN"/>
              </w:rPr>
              <w:t>PYCG230317021</w:t>
            </w:r>
            <w:r>
              <w:rPr>
                <w:rFonts w:hint="eastAsia"/>
                <w:b/>
                <w:color w:val="000000"/>
                <w:sz w:val="30"/>
                <w:szCs w:val="30"/>
              </w:rPr>
              <w:t xml:space="preserve"> </w:t>
            </w:r>
          </w:p>
          <w:p>
            <w:pPr>
              <w:tabs>
                <w:tab w:val="left" w:pos="2019"/>
              </w:tabs>
              <w:ind w:firstLine="2096" w:firstLineChars="696"/>
              <w:rPr>
                <w:rFonts w:hint="eastAsia"/>
                <w:b/>
                <w:color w:val="000000"/>
                <w:sz w:val="30"/>
                <w:szCs w:val="30"/>
              </w:rPr>
            </w:pPr>
            <w:r>
              <w:rPr>
                <w:rFonts w:hint="eastAsia"/>
                <w:b/>
                <w:color w:val="000000"/>
                <w:sz w:val="30"/>
                <w:szCs w:val="30"/>
              </w:rPr>
              <w:t xml:space="preserve">     </w:t>
            </w:r>
            <w:r>
              <w:rPr>
                <w:b/>
                <w:color w:val="000000"/>
                <w:sz w:val="30"/>
                <w:szCs w:val="30"/>
              </w:rPr>
              <w:t xml:space="preserve"> </w:t>
            </w:r>
            <w:r>
              <w:rPr>
                <w:rFonts w:hint="eastAsia"/>
                <w:b/>
                <w:color w:val="000000"/>
                <w:sz w:val="30"/>
                <w:szCs w:val="30"/>
              </w:rPr>
              <w:t xml:space="preserve"> </w:t>
            </w:r>
          </w:p>
          <w:p>
            <w:pPr>
              <w:spacing w:line="440" w:lineRule="exact"/>
              <w:ind w:left="1440" w:leftChars="600" w:firstLine="904" w:firstLineChars="300"/>
              <w:rPr>
                <w:rFonts w:hint="eastAsia"/>
                <w:b/>
                <w:color w:val="000000"/>
                <w:sz w:val="30"/>
                <w:szCs w:val="30"/>
              </w:rPr>
            </w:pPr>
            <w:r>
              <w:rPr>
                <w:rFonts w:hint="eastAsia"/>
                <w:b/>
                <w:color w:val="000000"/>
                <w:sz w:val="30"/>
                <w:szCs w:val="30"/>
              </w:rPr>
              <w:t xml:space="preserve">                                        </w:t>
            </w:r>
          </w:p>
          <w:p>
            <w:pPr>
              <w:spacing w:line="440" w:lineRule="exact"/>
              <w:ind w:left="1440" w:leftChars="600" w:firstLine="904" w:firstLineChars="300"/>
              <w:rPr>
                <w:rFonts w:hint="eastAsia"/>
                <w:b/>
                <w:color w:val="000000"/>
                <w:sz w:val="30"/>
                <w:szCs w:val="30"/>
              </w:rPr>
            </w:pPr>
            <w:r>
              <w:rPr>
                <w:rFonts w:hint="eastAsia"/>
                <w:b/>
                <w:color w:val="000000"/>
                <w:sz w:val="30"/>
                <w:szCs w:val="30"/>
              </w:rPr>
              <w:t xml:space="preserve">     </w:t>
            </w:r>
          </w:p>
          <w:p>
            <w:pPr>
              <w:spacing w:line="440" w:lineRule="exact"/>
              <w:ind w:firstLine="2117" w:firstLineChars="703"/>
              <w:rPr>
                <w:rFonts w:hint="eastAsia"/>
                <w:b/>
                <w:color w:val="000000"/>
                <w:sz w:val="30"/>
              </w:rPr>
            </w:pPr>
            <w:r>
              <w:rPr>
                <w:rFonts w:hint="eastAsia"/>
                <w:b/>
                <w:color w:val="000000"/>
                <w:sz w:val="30"/>
              </w:rPr>
              <w:t>采 购 人：平阳县南麂镇人民政府</w:t>
            </w:r>
          </w:p>
          <w:p>
            <w:pPr>
              <w:spacing w:line="440" w:lineRule="exact"/>
              <w:ind w:firstLine="2117" w:firstLineChars="703"/>
              <w:rPr>
                <w:rFonts w:hint="eastAsia"/>
                <w:b/>
                <w:color w:val="000000"/>
                <w:sz w:val="30"/>
              </w:rPr>
            </w:pPr>
            <w:r>
              <w:rPr>
                <w:rFonts w:hint="eastAsia"/>
                <w:b/>
                <w:color w:val="000000"/>
                <w:sz w:val="30"/>
              </w:rPr>
              <w:t>联 系 人：</w:t>
            </w:r>
            <w:r>
              <w:rPr>
                <w:rFonts w:hint="eastAsia"/>
                <w:b/>
                <w:color w:val="000000"/>
                <w:sz w:val="30"/>
                <w:lang w:val="en-US" w:eastAsia="zh-CN"/>
              </w:rPr>
              <w:t>胡先生</w:t>
            </w:r>
            <w:r>
              <w:rPr>
                <w:rFonts w:hint="eastAsia"/>
                <w:b/>
                <w:color w:val="000000"/>
                <w:sz w:val="30"/>
              </w:rPr>
              <w:t xml:space="preserve">  </w:t>
            </w:r>
          </w:p>
          <w:p>
            <w:pPr>
              <w:spacing w:line="440" w:lineRule="exact"/>
              <w:ind w:firstLine="2117" w:firstLineChars="703"/>
              <w:rPr>
                <w:rFonts w:hint="default" w:eastAsia="宋体"/>
                <w:b/>
                <w:color w:val="000000"/>
                <w:sz w:val="30"/>
                <w:lang w:val="en-US" w:eastAsia="zh-CN"/>
              </w:rPr>
            </w:pPr>
            <w:r>
              <w:rPr>
                <w:rFonts w:hint="eastAsia"/>
                <w:b/>
                <w:color w:val="000000"/>
                <w:sz w:val="30"/>
              </w:rPr>
              <w:t>联系电话：</w:t>
            </w:r>
            <w:r>
              <w:rPr>
                <w:rFonts w:hint="eastAsia"/>
                <w:b/>
                <w:color w:val="000000"/>
                <w:sz w:val="30"/>
                <w:lang w:val="en-US" w:eastAsia="zh-CN"/>
              </w:rPr>
              <w:t>0577-63709322 </w:t>
            </w:r>
          </w:p>
          <w:p>
            <w:pPr>
              <w:spacing w:line="440" w:lineRule="exact"/>
              <w:ind w:firstLine="2117" w:firstLineChars="703"/>
              <w:rPr>
                <w:rFonts w:hint="eastAsia"/>
                <w:b/>
                <w:color w:val="000000"/>
                <w:sz w:val="30"/>
                <w:szCs w:val="30"/>
              </w:rPr>
            </w:pPr>
          </w:p>
          <w:p>
            <w:pPr>
              <w:spacing w:line="440" w:lineRule="exact"/>
              <w:ind w:left="1148"/>
              <w:rPr>
                <w:rFonts w:hint="eastAsia"/>
                <w:b/>
                <w:color w:val="000000"/>
                <w:sz w:val="30"/>
                <w:szCs w:val="30"/>
              </w:rPr>
            </w:pPr>
            <w:r>
              <w:rPr>
                <w:rFonts w:hint="eastAsia"/>
                <w:b/>
                <w:color w:val="000000"/>
                <w:sz w:val="30"/>
                <w:szCs w:val="30"/>
              </w:rPr>
              <w:t xml:space="preserve">               </w:t>
            </w:r>
          </w:p>
          <w:p>
            <w:pPr>
              <w:spacing w:line="440" w:lineRule="exact"/>
              <w:jc w:val="center"/>
              <w:rPr>
                <w:rFonts w:hint="eastAsia"/>
                <w:b/>
                <w:color w:val="000000"/>
                <w:sz w:val="30"/>
                <w:szCs w:val="30"/>
              </w:rPr>
            </w:pPr>
            <w:r>
              <w:rPr>
                <w:rFonts w:hint="eastAsia"/>
                <w:b/>
                <w:color w:val="000000"/>
                <w:sz w:val="30"/>
                <w:szCs w:val="30"/>
              </w:rPr>
              <w:t xml:space="preserve">   </w:t>
            </w:r>
          </w:p>
          <w:p>
            <w:pPr>
              <w:spacing w:line="440" w:lineRule="exact"/>
              <w:ind w:firstLine="2117" w:firstLineChars="703"/>
              <w:rPr>
                <w:b/>
                <w:color w:val="000000"/>
                <w:sz w:val="30"/>
                <w:szCs w:val="30"/>
              </w:rPr>
            </w:pPr>
            <w:r>
              <w:rPr>
                <w:rFonts w:hint="eastAsia"/>
                <w:b/>
                <w:color w:val="000000"/>
                <w:sz w:val="30"/>
                <w:szCs w:val="30"/>
              </w:rPr>
              <w:t>代理机构：平阳县公共资源交易中心</w:t>
            </w:r>
          </w:p>
          <w:p>
            <w:pPr>
              <w:spacing w:line="440" w:lineRule="exact"/>
              <w:ind w:firstLine="2117" w:firstLineChars="703"/>
              <w:rPr>
                <w:b/>
                <w:color w:val="000000"/>
                <w:sz w:val="30"/>
                <w:szCs w:val="30"/>
              </w:rPr>
            </w:pPr>
            <w:r>
              <w:rPr>
                <w:rFonts w:hint="eastAsia"/>
                <w:b/>
                <w:color w:val="000000"/>
                <w:sz w:val="30"/>
                <w:szCs w:val="30"/>
              </w:rPr>
              <w:t>联 系 人：张女士</w:t>
            </w:r>
          </w:p>
          <w:p>
            <w:pPr>
              <w:spacing w:line="440" w:lineRule="exact"/>
              <w:ind w:firstLine="2117" w:firstLineChars="703"/>
              <w:rPr>
                <w:rFonts w:hint="eastAsia"/>
                <w:b/>
                <w:color w:val="000000"/>
                <w:sz w:val="30"/>
                <w:szCs w:val="30"/>
              </w:rPr>
            </w:pPr>
            <w:r>
              <w:rPr>
                <w:rFonts w:hint="eastAsia"/>
                <w:b/>
                <w:color w:val="000000"/>
                <w:sz w:val="30"/>
                <w:szCs w:val="30"/>
              </w:rPr>
              <w:t>联系电话：</w:t>
            </w:r>
            <w:r>
              <w:rPr>
                <w:b/>
                <w:color w:val="000000"/>
                <w:sz w:val="30"/>
                <w:szCs w:val="30"/>
              </w:rPr>
              <w:t>0577-63193038</w:t>
            </w:r>
          </w:p>
          <w:p>
            <w:pPr>
              <w:pStyle w:val="56"/>
              <w:jc w:val="both"/>
              <w:rPr>
                <w:rFonts w:hint="eastAsia"/>
                <w:color w:val="000000"/>
              </w:rPr>
            </w:pPr>
          </w:p>
          <w:p>
            <w:pPr>
              <w:pStyle w:val="36"/>
              <w:widowControl w:val="0"/>
              <w:ind w:left="0" w:leftChars="0"/>
              <w:jc w:val="center"/>
              <w:rPr>
                <w:rFonts w:hint="eastAsia"/>
                <w:b/>
                <w:kern w:val="2"/>
                <w:sz w:val="30"/>
                <w:szCs w:val="30"/>
              </w:rPr>
            </w:pPr>
            <w:r>
              <w:rPr>
                <w:rFonts w:hint="eastAsia"/>
                <w:b/>
                <w:kern w:val="2"/>
                <w:sz w:val="30"/>
                <w:szCs w:val="30"/>
              </w:rPr>
              <w:t xml:space="preserve">    </w:t>
            </w:r>
          </w:p>
          <w:p>
            <w:pPr>
              <w:pStyle w:val="36"/>
              <w:widowControl w:val="0"/>
              <w:ind w:left="0" w:leftChars="0"/>
              <w:jc w:val="center"/>
              <w:rPr>
                <w:rFonts w:hint="eastAsia"/>
                <w:b/>
                <w:kern w:val="2"/>
                <w:sz w:val="84"/>
              </w:rPr>
            </w:pPr>
            <w:r>
              <w:rPr>
                <w:rFonts w:hint="eastAsia"/>
                <w:b/>
                <w:kern w:val="2"/>
                <w:sz w:val="30"/>
                <w:szCs w:val="30"/>
              </w:rPr>
              <w:t>二零二三年三月</w:t>
            </w:r>
          </w:p>
        </w:tc>
      </w:tr>
    </w:tbl>
    <w:p>
      <w:pPr>
        <w:rPr>
          <w:rFonts w:hint="eastAsia"/>
          <w:color w:val="000000"/>
        </w:rPr>
      </w:pPr>
    </w:p>
    <w:p>
      <w:pPr>
        <w:tabs>
          <w:tab w:val="left" w:pos="0"/>
        </w:tabs>
        <w:spacing w:line="460" w:lineRule="exact"/>
        <w:ind w:left="2" w:firstLine="2"/>
        <w:jc w:val="center"/>
        <w:rPr>
          <w:rFonts w:hint="eastAsia"/>
          <w:b/>
          <w:bCs/>
          <w:color w:val="000000"/>
          <w:sz w:val="32"/>
          <w:szCs w:val="32"/>
        </w:rPr>
      </w:pPr>
      <w:r>
        <w:rPr>
          <w:rFonts w:hint="eastAsia"/>
          <w:b/>
          <w:bCs/>
          <w:color w:val="000000"/>
          <w:sz w:val="32"/>
          <w:szCs w:val="32"/>
        </w:rPr>
        <w:t>平阳县公共资源交易中心关于</w:t>
      </w:r>
      <w:r>
        <w:rPr>
          <w:rFonts w:hint="eastAsia"/>
          <w:b/>
          <w:bCs/>
          <w:color w:val="000000"/>
          <w:sz w:val="32"/>
          <w:szCs w:val="32"/>
          <w:lang w:eastAsia="zh-CN"/>
        </w:rPr>
        <w:t>海洋牧歌田园综合体―数字南麂设备采购项目</w:t>
      </w:r>
      <w:r>
        <w:rPr>
          <w:rFonts w:hint="eastAsia"/>
          <w:b/>
          <w:bCs/>
          <w:color w:val="000000"/>
          <w:sz w:val="32"/>
          <w:szCs w:val="32"/>
        </w:rPr>
        <w:t>公开招标的公告</w:t>
      </w:r>
    </w:p>
    <w:p>
      <w:pPr>
        <w:tabs>
          <w:tab w:val="left" w:pos="0"/>
        </w:tabs>
        <w:spacing w:line="460" w:lineRule="exact"/>
        <w:ind w:left="2" w:firstLine="2"/>
        <w:jc w:val="center"/>
        <w:rPr>
          <w:rFonts w:hint="eastAsia"/>
          <w:b/>
          <w:bCs/>
          <w:color w:val="000000"/>
          <w:sz w:val="32"/>
          <w:szCs w:val="32"/>
        </w:rPr>
      </w:pPr>
      <w:r>
        <w:rPr>
          <w:rFonts w:hint="eastAsia"/>
          <w:b/>
          <w:bCs/>
          <w:color w:val="000000"/>
          <w:sz w:val="32"/>
          <w:szCs w:val="32"/>
        </w:rPr>
        <w:t>（线上电子招投标）</w:t>
      </w:r>
    </w:p>
    <w:p>
      <w:pPr>
        <w:tabs>
          <w:tab w:val="left" w:pos="0"/>
        </w:tabs>
        <w:spacing w:line="460" w:lineRule="exact"/>
        <w:ind w:left="2" w:firstLine="2"/>
        <w:jc w:val="center"/>
        <w:rPr>
          <w:rFonts w:hint="eastAsia"/>
          <w:b/>
          <w:bCs/>
          <w:color w:val="000000"/>
          <w:sz w:val="32"/>
          <w:szCs w:val="32"/>
        </w:rPr>
      </w:pPr>
      <w:r>
        <w:rPr>
          <w:rFonts w:hint="eastAsia"/>
          <w:b/>
          <w:bCs/>
          <w:color w:val="000000"/>
          <w:sz w:val="28"/>
          <w:szCs w:val="28"/>
        </w:rPr>
        <w:t>公告日期：</w:t>
      </w:r>
      <w:r>
        <w:rPr>
          <w:b/>
          <w:bCs/>
          <w:color w:val="000000"/>
          <w:sz w:val="28"/>
          <w:szCs w:val="28"/>
        </w:rPr>
        <w:t>20</w:t>
      </w:r>
      <w:r>
        <w:rPr>
          <w:rFonts w:hint="eastAsia"/>
          <w:b/>
          <w:bCs/>
          <w:color w:val="000000"/>
          <w:sz w:val="28"/>
          <w:szCs w:val="28"/>
        </w:rPr>
        <w:t>23年</w:t>
      </w:r>
      <w:r>
        <w:rPr>
          <w:rFonts w:hint="eastAsia"/>
          <w:b/>
          <w:bCs/>
          <w:color w:val="000000"/>
          <w:sz w:val="28"/>
          <w:szCs w:val="28"/>
          <w:lang w:val="en-US" w:eastAsia="zh-CN"/>
        </w:rPr>
        <w:t>3</w:t>
      </w:r>
      <w:r>
        <w:rPr>
          <w:rFonts w:hint="eastAsia"/>
          <w:b/>
          <w:bCs/>
          <w:color w:val="000000"/>
          <w:sz w:val="28"/>
          <w:szCs w:val="28"/>
        </w:rPr>
        <w:t>月</w:t>
      </w:r>
      <w:r>
        <w:rPr>
          <w:rFonts w:hint="eastAsia"/>
          <w:b/>
          <w:bCs/>
          <w:color w:val="000000"/>
          <w:sz w:val="28"/>
          <w:szCs w:val="28"/>
          <w:lang w:val="en-US" w:eastAsia="zh-CN"/>
        </w:rPr>
        <w:t>20</w:t>
      </w:r>
      <w:r>
        <w:rPr>
          <w:rFonts w:hint="eastAsia"/>
          <w:b/>
          <w:bCs/>
          <w:color w:val="000000"/>
          <w:sz w:val="28"/>
          <w:szCs w:val="28"/>
        </w:rPr>
        <w:t>日</w:t>
      </w:r>
    </w:p>
    <w:p>
      <w:pPr>
        <w:pStyle w:val="54"/>
        <w:keepNext w:val="0"/>
        <w:keepLines w:val="0"/>
        <w:widowControl/>
        <w:suppressLineNumbers w:val="0"/>
        <w:spacing w:before="75" w:beforeAutospacing="0" w:after="75" w:afterAutospacing="0"/>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项目概况                                                    </w:t>
      </w:r>
    </w:p>
    <w:p>
      <w:pPr>
        <w:pStyle w:val="54"/>
        <w:keepNext w:val="0"/>
        <w:keepLines w:val="0"/>
        <w:widowControl/>
        <w:suppressLineNumbers w:val="0"/>
        <w:spacing w:before="75" w:beforeAutospacing="0" w:after="75" w:afterAutospacing="0"/>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海洋牧歌田园综合体——数字南麂设备采购项目招标项目的潜在投标人应在</w:t>
      </w:r>
      <w:r>
        <w:rPr>
          <w:rFonts w:hint="eastAsia" w:ascii="黑体" w:hAnsi="黑体" w:eastAsia="黑体" w:cs="黑体"/>
          <w:i w:val="0"/>
          <w:caps w:val="0"/>
          <w:color w:val="000000"/>
          <w:spacing w:val="0"/>
          <w:sz w:val="22"/>
          <w:szCs w:val="22"/>
          <w:u w:val="none"/>
        </w:rPr>
        <w:t>政采云线上</w:t>
      </w:r>
      <w:r>
        <w:rPr>
          <w:rFonts w:hint="eastAsia" w:ascii="黑体" w:hAnsi="黑体" w:eastAsia="黑体" w:cs="黑体"/>
          <w:i w:val="0"/>
          <w:caps w:val="0"/>
          <w:color w:val="000000"/>
          <w:spacing w:val="0"/>
          <w:sz w:val="22"/>
          <w:szCs w:val="22"/>
        </w:rPr>
        <w:t>获取（下载）招标文件，并于 2023年04月11日 09:30（北京时间）前递交（上传）投标文件。                             </w:t>
      </w:r>
    </w:p>
    <w:p>
      <w:pPr>
        <w:pStyle w:val="54"/>
        <w:keepNext w:val="0"/>
        <w:keepLines w:val="0"/>
        <w:widowControl/>
        <w:suppressLineNumbers w:val="0"/>
        <w:spacing w:before="255" w:beforeAutospacing="0" w:after="255" w:afterAutospacing="0" w:line="300" w:lineRule="atLeast"/>
        <w:ind w:left="0" w:right="0"/>
        <w:jc w:val="both"/>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一、项目基本情况</w:t>
      </w: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项目编号：PYCG230317021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项目名称：海洋牧歌田园综合体——数字南麂设备采购项目</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预算金额（元）：3593978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最高限价（元）：/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采购需求：</w:t>
      </w:r>
    </w:p>
    <w:p>
      <w:pPr>
        <w:pStyle w:val="54"/>
        <w:keepNext w:val="0"/>
        <w:keepLines w:val="0"/>
        <w:widowControl/>
        <w:suppressLineNumbers w:val="0"/>
        <w:spacing w:before="75" w:beforeAutospacing="0" w:after="75" w:afterAutospacing="0" w:line="315"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标项名称: 海洋牧歌田园综合体——数字南麂设备采购项目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数量: 不限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预算金额（元）: 3593978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简要规格描述或项目基本概况介绍、用途：详见招标文件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备注：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合同履约期限：标项 1，详见招标文件</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本项目（否）接受联合体投标。</w:t>
      </w:r>
    </w:p>
    <w:p>
      <w:pPr>
        <w:pStyle w:val="54"/>
        <w:keepNext w:val="0"/>
        <w:keepLines w:val="0"/>
        <w:widowControl/>
        <w:suppressLineNumbers w:val="0"/>
        <w:spacing w:before="225" w:beforeAutospacing="0" w:after="225" w:afterAutospacing="0" w:line="300" w:lineRule="atLeast"/>
        <w:ind w:left="0" w:right="0"/>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二、申请人的资格要求：</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2.落实政府采购政策需满足的资格要求：无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3.本项目的特定资格要求：无 </w:t>
      </w:r>
    </w:p>
    <w:p>
      <w:pPr>
        <w:pStyle w:val="54"/>
        <w:keepNext w:val="0"/>
        <w:keepLines w:val="0"/>
        <w:widowControl/>
        <w:suppressLineNumbers w:val="0"/>
        <w:spacing w:before="255" w:beforeAutospacing="0" w:after="255" w:afterAutospacing="0" w:line="300" w:lineRule="atLeast"/>
        <w:ind w:left="0" w:right="0"/>
        <w:jc w:val="both"/>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三、获取招标文件</w:t>
      </w: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r>
        <w:rPr>
          <w:rFonts w:hint="eastAsia" w:ascii="黑体" w:hAnsi="黑体" w:eastAsia="黑体" w:cs="黑体"/>
          <w:i w:val="0"/>
          <w:caps w:val="0"/>
          <w:color w:val="000000"/>
          <w:spacing w:val="0"/>
          <w:sz w:val="22"/>
          <w:szCs w:val="22"/>
          <w:u w:val="none"/>
        </w:rPr>
        <w:t>时间：/至2023年04月11日 ，每天上午00:00至12:00 ，下午12:00至23:59（北京时间，线上获取法定节假日均可，线下获取文件法定节假日除外）</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地点（网址）：政采云线上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方式：供应商登录政采云平台https://www.zcygov.cn/在线申请获取采购文件（进入“项目采购”应用，在获取采购文件菜单中选择项目，申请获取采购文件）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售价（元）：0 </w:t>
      </w:r>
    </w:p>
    <w:p>
      <w:pPr>
        <w:pStyle w:val="54"/>
        <w:keepNext w:val="0"/>
        <w:keepLines w:val="0"/>
        <w:widowControl/>
        <w:suppressLineNumbers w:val="0"/>
        <w:spacing w:before="255" w:beforeAutospacing="0" w:after="255" w:afterAutospacing="0" w:line="300" w:lineRule="atLeast"/>
        <w:ind w:left="0" w:right="0"/>
        <w:jc w:val="both"/>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四、提交投标文件截止时间、开标时间和地点</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r>
        <w:rPr>
          <w:rFonts w:hint="eastAsia" w:ascii="黑体" w:hAnsi="黑体" w:eastAsia="黑体" w:cs="黑体"/>
          <w:i w:val="0"/>
          <w:caps w:val="0"/>
          <w:color w:val="000000"/>
          <w:spacing w:val="0"/>
          <w:sz w:val="22"/>
          <w:szCs w:val="22"/>
          <w:u w:val="none"/>
        </w:rPr>
        <w:t> 提交投标文件截止时间：2023年04月11日 09:30（北京时间）</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r>
        <w:rPr>
          <w:rFonts w:hint="eastAsia" w:ascii="黑体" w:hAnsi="黑体" w:eastAsia="黑体" w:cs="黑体"/>
          <w:i w:val="0"/>
          <w:caps w:val="0"/>
          <w:color w:val="000000"/>
          <w:spacing w:val="0"/>
          <w:sz w:val="22"/>
          <w:szCs w:val="22"/>
          <w:u w:val="none"/>
        </w:rPr>
        <w:t> 投标地点（网址）：政府采购云平台在线投标，投标供应商无须前往评审现场</w:t>
      </w: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u w:val="none"/>
        </w:rPr>
        <w:t>    开标时间：2023年04月11日 09:30</w:t>
      </w: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u w:val="none"/>
        </w:rPr>
        <w:t>    开标地点（网址）：政采云平台（www.zcygov.cn）</w:t>
      </w: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255" w:beforeAutospacing="0" w:after="255" w:afterAutospacing="0" w:line="300" w:lineRule="atLeast"/>
        <w:ind w:left="0" w:right="0"/>
        <w:jc w:val="both"/>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五、公告期限</w:t>
      </w: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75" w:beforeAutospacing="0" w:after="75" w:afterAutospacing="0"/>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自本公告发布之日起5个工作日。</w:t>
      </w:r>
    </w:p>
    <w:p>
      <w:pPr>
        <w:pStyle w:val="54"/>
        <w:keepNext w:val="0"/>
        <w:keepLines w:val="0"/>
        <w:widowControl/>
        <w:suppressLineNumbers w:val="0"/>
        <w:spacing w:before="255" w:beforeAutospacing="0" w:after="255" w:afterAutospacing="0" w:line="300" w:lineRule="atLeast"/>
        <w:ind w:left="0" w:right="0"/>
        <w:jc w:val="both"/>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六、其他补充事宜</w:t>
      </w:r>
    </w:p>
    <w:p>
      <w:pPr>
        <w:pStyle w:val="54"/>
        <w:keepNext w:val="0"/>
        <w:keepLines w:val="0"/>
        <w:widowControl/>
        <w:suppressLineNumbers w:val="0"/>
        <w:spacing w:before="255" w:beforeAutospacing="0" w:after="255" w:afterAutospacing="0" w:line="300" w:lineRule="atLeast"/>
        <w:ind w:left="0" w:right="0" w:firstLine="420"/>
        <w:jc w:val="both"/>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54"/>
        <w:keepNext w:val="0"/>
        <w:keepLines w:val="0"/>
        <w:widowControl/>
        <w:suppressLineNumbers w:val="0"/>
        <w:spacing w:before="255" w:beforeAutospacing="0" w:after="255" w:afterAutospacing="0" w:line="300" w:lineRule="atLeast"/>
        <w:ind w:left="0" w:right="0" w:firstLine="420"/>
        <w:jc w:val="both"/>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54"/>
        <w:keepNext w:val="0"/>
        <w:keepLines w:val="0"/>
        <w:widowControl/>
        <w:suppressLineNumbers w:val="0"/>
        <w:spacing w:before="75" w:beforeAutospacing="0" w:after="75" w:afterAutospacing="0" w:line="315" w:lineRule="atLeast"/>
        <w:ind w:left="0" w:right="0" w:firstLine="42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上本项目报名供应商。  </w:t>
      </w:r>
    </w:p>
    <w:p>
      <w:pPr>
        <w:pStyle w:val="54"/>
        <w:keepNext w:val="0"/>
        <w:keepLines w:val="0"/>
        <w:widowControl/>
        <w:suppressLineNumbers w:val="0"/>
        <w:spacing w:before="255" w:beforeAutospacing="0" w:after="255" w:afterAutospacing="0" w:line="480" w:lineRule="atLeast"/>
        <w:ind w:left="0" w:right="0"/>
        <w:jc w:val="both"/>
        <w:rPr>
          <w:rFonts w:hint="eastAsia" w:ascii="黑体" w:hAnsi="黑体" w:eastAsia="黑体" w:cs="黑体"/>
          <w:sz w:val="22"/>
          <w:szCs w:val="22"/>
        </w:rPr>
      </w:pPr>
      <w:r>
        <w:rPr>
          <w:rStyle w:val="61"/>
          <w:rFonts w:hint="eastAsia" w:ascii="黑体" w:hAnsi="黑体" w:eastAsia="黑体" w:cs="黑体"/>
          <w:i w:val="0"/>
          <w:caps w:val="0"/>
          <w:color w:val="000000"/>
          <w:spacing w:val="0"/>
          <w:sz w:val="22"/>
          <w:szCs w:val="22"/>
        </w:rPr>
        <w:t>七、对本次采购提出询问、质疑、投诉，请按以下方式联系</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1.采购人信息</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名    称：平阳县南麂镇人民政府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地    址：温州市平阳县南麂镇司令部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传    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项目联系人（询问）：胡先生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项目联系方式（询问）：0577-63709322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质疑联系人：张先生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质疑联系方式：0577-63709323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2.采购代理机构信息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名    称：平阳县公共资源交易中心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地    址：平阳县鳌江镇火车站大道和谐嘉园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传    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项目联系人（询问）：张女士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项目联系方式（询问）：0577-63193038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质疑联系人：史先生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质疑联系方式：0577-63193038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r>
        <w:rPr>
          <w:rFonts w:hint="eastAsia" w:ascii="黑体" w:hAnsi="黑体" w:eastAsia="黑体" w:cs="黑体"/>
          <w:i w:val="0"/>
          <w:caps w:val="0"/>
          <w:color w:val="000000"/>
          <w:spacing w:val="0"/>
          <w:sz w:val="22"/>
          <w:szCs w:val="22"/>
        </w:rPr>
        <w:br w:type="textWrapping"/>
      </w:r>
      <w:r>
        <w:rPr>
          <w:rFonts w:hint="eastAsia" w:ascii="黑体" w:hAnsi="黑体" w:eastAsia="黑体" w:cs="黑体"/>
          <w:i w:val="0"/>
          <w:caps w:val="0"/>
          <w:color w:val="000000"/>
          <w:spacing w:val="0"/>
          <w:sz w:val="22"/>
          <w:szCs w:val="22"/>
        </w:rPr>
        <w:t>    3.同级政府采购监督管理部门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名    称：平阳县财政局政府采购监督管理科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地    址：平阳县昆阳镇人民路373号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传    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联系人 ：吴先生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监督投诉电话：0577-63888115            </w:t>
      </w:r>
    </w:p>
    <w:p>
      <w:pPr>
        <w:pStyle w:val="54"/>
        <w:keepNext w:val="0"/>
        <w:keepLines w:val="0"/>
        <w:widowControl/>
        <w:suppressLineNumbers w:val="0"/>
        <w:spacing w:before="75" w:beforeAutospacing="0" w:after="75" w:afterAutospacing="0" w:line="300" w:lineRule="atLeast"/>
        <w:ind w:left="0" w:right="0"/>
        <w:rPr>
          <w:rFonts w:hint="eastAsia" w:ascii="黑体" w:hAnsi="黑体" w:eastAsia="黑体" w:cs="黑体"/>
          <w:sz w:val="22"/>
          <w:szCs w:val="22"/>
        </w:rPr>
      </w:pPr>
      <w:r>
        <w:rPr>
          <w:rFonts w:hint="eastAsia" w:ascii="黑体" w:hAnsi="黑体" w:eastAsia="黑体" w:cs="黑体"/>
          <w:i w:val="0"/>
          <w:caps w:val="0"/>
          <w:color w:val="000000"/>
          <w:spacing w:val="0"/>
          <w:sz w:val="22"/>
          <w:szCs w:val="22"/>
        </w:rPr>
        <w:t>         </w:t>
      </w:r>
    </w:p>
    <w:p>
      <w:pPr>
        <w:pStyle w:val="54"/>
        <w:keepNext w:val="0"/>
        <w:keepLines w:val="0"/>
        <w:widowControl/>
        <w:suppressLineNumbers w:val="0"/>
        <w:spacing w:before="75" w:beforeAutospacing="0" w:after="75" w:afterAutospacing="0"/>
        <w:ind w:left="0" w:right="0"/>
        <w:rPr>
          <w:rFonts w:hint="eastAsia" w:ascii="黑体" w:hAnsi="黑体" w:eastAsia="黑体" w:cs="黑体"/>
          <w:sz w:val="22"/>
          <w:szCs w:val="22"/>
        </w:rPr>
      </w:pPr>
    </w:p>
    <w:p>
      <w:pPr>
        <w:keepNext w:val="0"/>
        <w:keepLines w:val="0"/>
        <w:widowControl/>
        <w:suppressLineNumbers w:val="0"/>
        <w:ind w:left="0" w:firstLine="0"/>
        <w:jc w:val="left"/>
        <w:rPr>
          <w:rFonts w:hint="eastAsia" w:ascii="黑体" w:hAnsi="黑体" w:eastAsia="黑体" w:cs="黑体"/>
          <w:i w:val="0"/>
          <w:caps w:val="0"/>
          <w:color w:val="000000"/>
          <w:spacing w:val="0"/>
          <w:sz w:val="22"/>
          <w:szCs w:val="22"/>
        </w:rPr>
      </w:pPr>
      <w:r>
        <w:rPr>
          <w:rFonts w:hint="eastAsia" w:ascii="黑体" w:hAnsi="黑体" w:eastAsia="黑体" w:cs="黑体"/>
          <w:i w:val="0"/>
          <w:caps w:val="0"/>
          <w:color w:val="000000"/>
          <w:spacing w:val="0"/>
          <w:kern w:val="0"/>
          <w:sz w:val="22"/>
          <w:szCs w:val="22"/>
          <w:lang w:val="en-US" w:eastAsia="zh-CN" w:bidi="ar"/>
        </w:rPr>
        <w:t>若对项目采购电子交易系统操作有疑问，可登录政采云（https://www.zcygov.cn/），点击右侧咨询小采，获取采小蜜智能服务管家帮助，或拨打政采云服务热线400-881-7190获取热线服务帮助。       </w:t>
      </w:r>
    </w:p>
    <w:p>
      <w:pPr>
        <w:keepNext w:val="0"/>
        <w:keepLines w:val="0"/>
        <w:widowControl/>
        <w:suppressLineNumbers w:val="0"/>
        <w:ind w:left="0" w:firstLine="0"/>
        <w:jc w:val="left"/>
        <w:rPr>
          <w:rFonts w:hint="eastAsia" w:ascii="黑体" w:hAnsi="黑体" w:eastAsia="黑体" w:cs="黑体"/>
          <w:i w:val="0"/>
          <w:caps w:val="0"/>
          <w:color w:val="000000"/>
          <w:spacing w:val="0"/>
          <w:sz w:val="22"/>
          <w:szCs w:val="22"/>
        </w:rPr>
      </w:pPr>
      <w:r>
        <w:rPr>
          <w:rFonts w:hint="eastAsia" w:ascii="黑体" w:hAnsi="黑体" w:eastAsia="黑体" w:cs="黑体"/>
          <w:i w:val="0"/>
          <w:caps w:val="0"/>
          <w:color w:val="000000"/>
          <w:spacing w:val="0"/>
          <w:kern w:val="0"/>
          <w:sz w:val="22"/>
          <w:szCs w:val="22"/>
          <w:lang w:val="en-US" w:eastAsia="zh-CN" w:bidi="ar"/>
        </w:rPr>
        <w:t>CA问题联系电话（人工）：汇信CA 400-888-4636；天谷CA 400-087-8198。</w:t>
      </w:r>
    </w:p>
    <w:p>
      <w:pPr>
        <w:spacing w:line="400" w:lineRule="exact"/>
        <w:rPr>
          <w:color w:val="000000"/>
          <w:sz w:val="22"/>
          <w:szCs w:val="22"/>
        </w:rPr>
      </w:pPr>
    </w:p>
    <w:p>
      <w:pPr>
        <w:pStyle w:val="2"/>
        <w:rPr>
          <w:color w:val="000000"/>
          <w:sz w:val="22"/>
          <w:szCs w:val="22"/>
        </w:rPr>
      </w:pPr>
    </w:p>
    <w:p>
      <w:pPr>
        <w:pStyle w:val="4"/>
        <w:rPr>
          <w:color w:val="000000"/>
          <w:sz w:val="22"/>
          <w:szCs w:val="22"/>
        </w:rPr>
      </w:pPr>
    </w:p>
    <w:p>
      <w:pPr>
        <w:rPr>
          <w:color w:val="000000"/>
          <w:sz w:val="22"/>
          <w:szCs w:val="22"/>
        </w:rPr>
      </w:pPr>
    </w:p>
    <w:p>
      <w:pPr>
        <w:pStyle w:val="2"/>
      </w:pPr>
      <w:bookmarkStart w:id="22" w:name="_GoBack"/>
      <w:bookmarkEnd w:id="22"/>
    </w:p>
    <w:p>
      <w:pPr>
        <w:ind w:firstLine="2873" w:firstLineChars="795"/>
        <w:rPr>
          <w:rFonts w:hint="eastAsia"/>
          <w:b/>
          <w:bCs/>
          <w:color w:val="000000"/>
          <w:sz w:val="36"/>
          <w:szCs w:val="36"/>
        </w:rPr>
      </w:pPr>
    </w:p>
    <w:p>
      <w:pPr>
        <w:ind w:firstLine="2873" w:firstLineChars="795"/>
        <w:rPr>
          <w:rFonts w:hint="eastAsia"/>
          <w:b/>
          <w:bCs/>
          <w:color w:val="000000"/>
          <w:sz w:val="36"/>
          <w:szCs w:val="36"/>
        </w:rPr>
      </w:pPr>
      <w:r>
        <w:rPr>
          <w:rFonts w:hint="eastAsia"/>
          <w:b/>
          <w:bCs/>
          <w:color w:val="000000"/>
          <w:sz w:val="36"/>
          <w:szCs w:val="36"/>
        </w:rPr>
        <w:t>投 标 通 知 (邀 请) 书</w:t>
      </w:r>
    </w:p>
    <w:p>
      <w:pPr>
        <w:adjustRightInd w:val="0"/>
        <w:snapToGrid w:val="0"/>
        <w:spacing w:line="360" w:lineRule="atLeast"/>
        <w:ind w:firstLine="440" w:firstLineChars="200"/>
        <w:rPr>
          <w:rFonts w:hint="eastAsia"/>
          <w:color w:val="000000"/>
          <w:sz w:val="22"/>
          <w:szCs w:val="22"/>
        </w:rPr>
      </w:pPr>
      <w:r>
        <w:rPr>
          <w:rFonts w:hint="eastAsia"/>
          <w:color w:val="000000"/>
          <w:sz w:val="22"/>
          <w:szCs w:val="22"/>
        </w:rPr>
        <w:t>平阳县公共资源交易中心对</w:t>
      </w:r>
      <w:r>
        <w:rPr>
          <w:rFonts w:hint="eastAsia"/>
          <w:color w:val="000000"/>
          <w:sz w:val="22"/>
          <w:szCs w:val="22"/>
          <w:lang w:eastAsia="zh-CN"/>
        </w:rPr>
        <w:t>海洋牧歌田园综合体―数字南麂设备采购项目</w:t>
      </w:r>
      <w:r>
        <w:rPr>
          <w:rFonts w:hint="eastAsia"/>
          <w:color w:val="000000"/>
          <w:sz w:val="22"/>
          <w:szCs w:val="22"/>
        </w:rPr>
        <w:t>进行公开招标，特通知贵公司（企业）前来投标。并请按招标文件的要求认真准备好投标文件，按时前来投标。</w:t>
      </w:r>
    </w:p>
    <w:tbl>
      <w:tblPr>
        <w:tblStyle w:val="58"/>
        <w:tblW w:w="102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681"/>
        <w:gridCol w:w="1559"/>
        <w:gridCol w:w="80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spacing w:line="300" w:lineRule="exact"/>
              <w:jc w:val="center"/>
              <w:rPr>
                <w:color w:val="000000"/>
                <w:sz w:val="22"/>
                <w:szCs w:val="22"/>
              </w:rPr>
            </w:pPr>
            <w:r>
              <w:rPr>
                <w:rFonts w:hint="eastAsia"/>
                <w:color w:val="000000"/>
                <w:sz w:val="22"/>
                <w:szCs w:val="22"/>
              </w:rPr>
              <w:t>序号</w:t>
            </w:r>
          </w:p>
        </w:tc>
        <w:tc>
          <w:tcPr>
            <w:tcW w:w="1559" w:type="dxa"/>
            <w:vAlign w:val="center"/>
          </w:tcPr>
          <w:p>
            <w:pPr>
              <w:spacing w:line="300" w:lineRule="exact"/>
              <w:jc w:val="center"/>
              <w:rPr>
                <w:color w:val="000000"/>
                <w:sz w:val="22"/>
                <w:szCs w:val="22"/>
              </w:rPr>
            </w:pPr>
            <w:r>
              <w:rPr>
                <w:rFonts w:hint="eastAsia"/>
                <w:color w:val="000000"/>
                <w:sz w:val="22"/>
                <w:szCs w:val="22"/>
              </w:rPr>
              <w:t>内容</w:t>
            </w:r>
          </w:p>
        </w:tc>
        <w:tc>
          <w:tcPr>
            <w:tcW w:w="8021" w:type="dxa"/>
            <w:vAlign w:val="center"/>
          </w:tcPr>
          <w:p>
            <w:pPr>
              <w:spacing w:line="300" w:lineRule="exact"/>
              <w:jc w:val="center"/>
              <w:rPr>
                <w:color w:val="000000"/>
                <w:sz w:val="22"/>
                <w:szCs w:val="22"/>
              </w:rPr>
            </w:pPr>
            <w:r>
              <w:rPr>
                <w:rFonts w:hint="eastAsia"/>
                <w:color w:val="000000"/>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项目名称</w:t>
            </w:r>
          </w:p>
        </w:tc>
        <w:tc>
          <w:tcPr>
            <w:tcW w:w="8021" w:type="dxa"/>
            <w:vAlign w:val="center"/>
          </w:tcPr>
          <w:p>
            <w:pPr>
              <w:spacing w:line="300" w:lineRule="exact"/>
              <w:rPr>
                <w:rFonts w:hint="eastAsia" w:eastAsia="宋体"/>
                <w:color w:val="000000"/>
                <w:sz w:val="22"/>
                <w:szCs w:val="22"/>
                <w:lang w:eastAsia="zh-CN"/>
              </w:rPr>
            </w:pPr>
            <w:r>
              <w:rPr>
                <w:rFonts w:hint="eastAsia"/>
                <w:color w:val="000000"/>
                <w:sz w:val="22"/>
                <w:szCs w:val="22"/>
                <w:lang w:eastAsia="zh-CN"/>
              </w:rPr>
              <w:t>海洋牧歌田园综合体―数字南麂设备采购项目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项目编号</w:t>
            </w:r>
          </w:p>
        </w:tc>
        <w:tc>
          <w:tcPr>
            <w:tcW w:w="8021" w:type="dxa"/>
            <w:vAlign w:val="center"/>
          </w:tcPr>
          <w:p>
            <w:pPr>
              <w:spacing w:line="300" w:lineRule="exact"/>
              <w:rPr>
                <w:rFonts w:hint="eastAsia" w:eastAsia="宋体"/>
                <w:color w:val="000000"/>
                <w:sz w:val="22"/>
                <w:szCs w:val="22"/>
                <w:lang w:eastAsia="zh-CN"/>
              </w:rPr>
            </w:pPr>
            <w:r>
              <w:rPr>
                <w:rFonts w:hint="eastAsia"/>
                <w:color w:val="000000"/>
                <w:lang w:eastAsia="zh-CN"/>
              </w:rPr>
              <w:t>PYCG230317021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资金来源</w:t>
            </w:r>
          </w:p>
        </w:tc>
        <w:tc>
          <w:tcPr>
            <w:tcW w:w="8021" w:type="dxa"/>
            <w:vAlign w:val="center"/>
          </w:tcPr>
          <w:p>
            <w:pPr>
              <w:spacing w:line="300" w:lineRule="exact"/>
              <w:rPr>
                <w:color w:val="000000"/>
                <w:sz w:val="22"/>
                <w:szCs w:val="22"/>
              </w:rPr>
            </w:pPr>
            <w:r>
              <w:rPr>
                <w:rFonts w:hint="eastAsia"/>
                <w:color w:val="000000"/>
                <w:sz w:val="22"/>
                <w:szCs w:val="22"/>
              </w:rPr>
              <w:t>财政资金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采购预算（最高限价）</w:t>
            </w:r>
          </w:p>
        </w:tc>
        <w:tc>
          <w:tcPr>
            <w:tcW w:w="8021" w:type="dxa"/>
            <w:vAlign w:val="center"/>
          </w:tcPr>
          <w:p>
            <w:pPr>
              <w:spacing w:line="300" w:lineRule="exact"/>
              <w:rPr>
                <w:color w:val="000000"/>
                <w:sz w:val="22"/>
                <w:szCs w:val="22"/>
              </w:rPr>
            </w:pPr>
            <w:r>
              <w:rPr>
                <w:rFonts w:hint="eastAsia"/>
                <w:color w:val="000000"/>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采购方式</w:t>
            </w:r>
          </w:p>
        </w:tc>
        <w:tc>
          <w:tcPr>
            <w:tcW w:w="8021" w:type="dxa"/>
            <w:vAlign w:val="center"/>
          </w:tcPr>
          <w:p>
            <w:pPr>
              <w:adjustRightInd w:val="0"/>
              <w:spacing w:line="300" w:lineRule="exact"/>
              <w:rPr>
                <w:color w:val="000000"/>
                <w:sz w:val="22"/>
                <w:szCs w:val="22"/>
              </w:rPr>
            </w:pPr>
            <w:r>
              <w:rPr>
                <w:rFonts w:hint="eastAsia"/>
                <w:color w:val="000000"/>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78"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采购人</w:t>
            </w:r>
          </w:p>
        </w:tc>
        <w:tc>
          <w:tcPr>
            <w:tcW w:w="8021" w:type="dxa"/>
            <w:vAlign w:val="center"/>
          </w:tcPr>
          <w:p>
            <w:pPr>
              <w:adjustRightInd w:val="0"/>
              <w:spacing w:line="300" w:lineRule="exact"/>
              <w:rPr>
                <w:rFonts w:hint="eastAsia"/>
                <w:color w:val="000000"/>
                <w:sz w:val="22"/>
                <w:szCs w:val="22"/>
              </w:rPr>
            </w:pPr>
            <w:r>
              <w:rPr>
                <w:rFonts w:hint="eastAsia"/>
                <w:color w:val="000000"/>
                <w:sz w:val="22"/>
                <w:szCs w:val="22"/>
              </w:rPr>
              <w:t>名称：平阳县南麂镇人民政府</w:t>
            </w:r>
          </w:p>
          <w:p>
            <w:pPr>
              <w:adjustRightInd w:val="0"/>
              <w:spacing w:line="300" w:lineRule="exact"/>
              <w:rPr>
                <w:rFonts w:hint="eastAsia" w:cs="Arial"/>
                <w:color w:val="000000"/>
                <w:sz w:val="22"/>
                <w:szCs w:val="22"/>
              </w:rPr>
            </w:pPr>
            <w:r>
              <w:rPr>
                <w:rFonts w:hint="eastAsia"/>
                <w:color w:val="000000"/>
                <w:sz w:val="22"/>
                <w:szCs w:val="22"/>
              </w:rPr>
              <w:t>地址：</w:t>
            </w:r>
            <w:r>
              <w:rPr>
                <w:rFonts w:hint="eastAsia"/>
                <w:sz w:val="22"/>
                <w:szCs w:val="22"/>
              </w:rPr>
              <w:t>温州市平阳县南麂镇司令部</w:t>
            </w:r>
            <w:r>
              <w:rPr>
                <w:sz w:val="22"/>
                <w:szCs w:val="22"/>
              </w:rPr>
              <w:t> </w:t>
            </w:r>
          </w:p>
          <w:p>
            <w:pPr>
              <w:adjustRightInd w:val="0"/>
              <w:spacing w:line="300" w:lineRule="exact"/>
              <w:rPr>
                <w:rFonts w:hint="eastAsia" w:cs="Arial"/>
                <w:color w:val="000000"/>
                <w:sz w:val="22"/>
                <w:szCs w:val="22"/>
              </w:rPr>
            </w:pPr>
            <w:r>
              <w:rPr>
                <w:rFonts w:hint="eastAsia" w:cs="Arial"/>
                <w:color w:val="000000"/>
                <w:sz w:val="22"/>
                <w:szCs w:val="22"/>
              </w:rPr>
              <w:t>联系人：</w:t>
            </w:r>
            <w:r>
              <w:rPr>
                <w:rFonts w:hint="eastAsia"/>
                <w:sz w:val="22"/>
                <w:szCs w:val="22"/>
                <w:lang w:val="en-US" w:eastAsia="zh-CN"/>
              </w:rPr>
              <w:t>胡先生</w:t>
            </w:r>
            <w:r>
              <w:rPr>
                <w:sz w:val="22"/>
                <w:szCs w:val="22"/>
              </w:rPr>
              <w:t> </w:t>
            </w:r>
            <w:r>
              <w:rPr>
                <w:rFonts w:hint="eastAsia" w:cs="Arial"/>
                <w:color w:val="000000"/>
                <w:sz w:val="22"/>
                <w:szCs w:val="22"/>
              </w:rPr>
              <w:t xml:space="preserve">   </w:t>
            </w:r>
          </w:p>
          <w:p>
            <w:pPr>
              <w:adjustRightInd w:val="0"/>
              <w:spacing w:line="300" w:lineRule="exact"/>
              <w:rPr>
                <w:rFonts w:hint="default" w:eastAsia="宋体"/>
                <w:color w:val="000000"/>
                <w:sz w:val="22"/>
                <w:szCs w:val="22"/>
                <w:lang w:val="en-US" w:eastAsia="zh-CN"/>
              </w:rPr>
            </w:pPr>
            <w:r>
              <w:rPr>
                <w:rFonts w:hint="eastAsia" w:cs="Arial"/>
                <w:color w:val="000000"/>
                <w:sz w:val="22"/>
                <w:szCs w:val="22"/>
              </w:rPr>
              <w:t>联系电话：</w:t>
            </w:r>
            <w:r>
              <w:rPr>
                <w:rFonts w:hint="eastAsia" w:cs="Arial"/>
                <w:color w:val="000000"/>
                <w:sz w:val="22"/>
                <w:szCs w:val="22"/>
                <w:lang w:val="en-US" w:eastAsia="zh-CN"/>
              </w:rPr>
              <w:t>0577-63709322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采购代理机构</w:t>
            </w:r>
          </w:p>
        </w:tc>
        <w:tc>
          <w:tcPr>
            <w:tcW w:w="8021" w:type="dxa"/>
            <w:vAlign w:val="center"/>
          </w:tcPr>
          <w:p>
            <w:pPr>
              <w:adjustRightInd w:val="0"/>
              <w:spacing w:line="300" w:lineRule="exact"/>
              <w:rPr>
                <w:color w:val="000000"/>
                <w:sz w:val="22"/>
                <w:szCs w:val="22"/>
              </w:rPr>
            </w:pPr>
            <w:r>
              <w:rPr>
                <w:rFonts w:hint="eastAsia"/>
                <w:color w:val="000000"/>
                <w:sz w:val="22"/>
                <w:szCs w:val="22"/>
              </w:rPr>
              <w:t>名称：平阳县公共资源交易中心</w:t>
            </w:r>
          </w:p>
          <w:p>
            <w:pPr>
              <w:adjustRightInd w:val="0"/>
              <w:spacing w:line="300" w:lineRule="exact"/>
              <w:rPr>
                <w:color w:val="000000"/>
                <w:sz w:val="22"/>
                <w:szCs w:val="22"/>
              </w:rPr>
            </w:pPr>
            <w:r>
              <w:rPr>
                <w:rFonts w:hint="eastAsia"/>
                <w:color w:val="000000"/>
                <w:sz w:val="22"/>
                <w:szCs w:val="22"/>
              </w:rPr>
              <w:t>地址：</w:t>
            </w:r>
            <w:r>
              <w:rPr>
                <w:color w:val="000000"/>
                <w:sz w:val="22"/>
                <w:szCs w:val="22"/>
              </w:rPr>
              <w:t>平阳县鳌江镇火车站大道和谐嘉园 </w:t>
            </w:r>
          </w:p>
          <w:p>
            <w:pPr>
              <w:adjustRightInd w:val="0"/>
              <w:spacing w:line="300" w:lineRule="exact"/>
              <w:rPr>
                <w:color w:val="000000"/>
                <w:sz w:val="22"/>
                <w:szCs w:val="22"/>
              </w:rPr>
            </w:pPr>
            <w:r>
              <w:rPr>
                <w:color w:val="000000"/>
                <w:sz w:val="22"/>
                <w:szCs w:val="22"/>
              </w:rPr>
              <w:t>项目联系人：</w:t>
            </w:r>
            <w:r>
              <w:rPr>
                <w:rFonts w:hint="eastAsia"/>
                <w:color w:val="000000"/>
                <w:sz w:val="22"/>
                <w:szCs w:val="22"/>
              </w:rPr>
              <w:t>张女士</w:t>
            </w:r>
            <w:r>
              <w:rPr>
                <w:color w:val="000000"/>
                <w:sz w:val="22"/>
                <w:szCs w:val="22"/>
              </w:rPr>
              <w:t> </w:t>
            </w:r>
          </w:p>
          <w:p>
            <w:pPr>
              <w:adjustRightInd w:val="0"/>
              <w:spacing w:line="300" w:lineRule="exact"/>
              <w:rPr>
                <w:color w:val="000000"/>
                <w:sz w:val="22"/>
                <w:szCs w:val="22"/>
              </w:rPr>
            </w:pPr>
            <w:r>
              <w:rPr>
                <w:color w:val="000000"/>
                <w:sz w:val="22"/>
                <w:szCs w:val="22"/>
              </w:rPr>
              <w:t>项目联系方式：0577-63193038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评标办法</w:t>
            </w:r>
          </w:p>
        </w:tc>
        <w:tc>
          <w:tcPr>
            <w:tcW w:w="8021" w:type="dxa"/>
            <w:vAlign w:val="center"/>
          </w:tcPr>
          <w:p>
            <w:pPr>
              <w:adjustRightInd w:val="0"/>
              <w:spacing w:line="300" w:lineRule="exact"/>
              <w:rPr>
                <w:color w:val="000000"/>
                <w:sz w:val="22"/>
                <w:szCs w:val="22"/>
              </w:rPr>
            </w:pPr>
            <w:r>
              <w:rPr>
                <w:rFonts w:hint="eastAsia"/>
                <w:color w:val="000000"/>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招标内容</w:t>
            </w:r>
          </w:p>
        </w:tc>
        <w:tc>
          <w:tcPr>
            <w:tcW w:w="8021" w:type="dxa"/>
            <w:vAlign w:val="center"/>
          </w:tcPr>
          <w:p>
            <w:pPr>
              <w:adjustRightInd w:val="0"/>
              <w:spacing w:line="300" w:lineRule="exact"/>
              <w:rPr>
                <w:color w:val="000000"/>
                <w:sz w:val="22"/>
                <w:szCs w:val="22"/>
              </w:rPr>
            </w:pPr>
            <w:r>
              <w:rPr>
                <w:rFonts w:hint="eastAsia"/>
                <w:color w:val="000000"/>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投标供应商</w:t>
            </w:r>
          </w:p>
          <w:p>
            <w:pPr>
              <w:spacing w:line="300" w:lineRule="exact"/>
              <w:rPr>
                <w:color w:val="000000"/>
                <w:sz w:val="22"/>
                <w:szCs w:val="22"/>
              </w:rPr>
            </w:pPr>
            <w:r>
              <w:rPr>
                <w:rFonts w:hint="eastAsia"/>
                <w:color w:val="000000"/>
                <w:sz w:val="22"/>
                <w:szCs w:val="22"/>
              </w:rPr>
              <w:t>资格要求</w:t>
            </w:r>
          </w:p>
        </w:tc>
        <w:tc>
          <w:tcPr>
            <w:tcW w:w="8021" w:type="dxa"/>
            <w:vAlign w:val="center"/>
          </w:tcPr>
          <w:p>
            <w:pPr>
              <w:adjustRightInd w:val="0"/>
              <w:spacing w:line="300" w:lineRule="exact"/>
              <w:rPr>
                <w:color w:val="000000"/>
                <w:kern w:val="28"/>
                <w:sz w:val="22"/>
                <w:szCs w:val="22"/>
              </w:rPr>
            </w:pPr>
            <w:r>
              <w:rPr>
                <w:rFonts w:hint="eastAsia"/>
                <w:color w:val="000000"/>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是否接受联合体投标</w:t>
            </w:r>
          </w:p>
        </w:tc>
        <w:tc>
          <w:tcPr>
            <w:tcW w:w="8021" w:type="dxa"/>
            <w:vAlign w:val="center"/>
          </w:tcPr>
          <w:p>
            <w:pPr>
              <w:adjustRightInd w:val="0"/>
              <w:spacing w:line="300" w:lineRule="exact"/>
              <w:rPr>
                <w:i/>
                <w:color w:val="00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i/>
                <w:color w:val="000000"/>
                <w:sz w:val="22"/>
                <w:szCs w:val="22"/>
              </w:rPr>
              <w:t>不接受</w:t>
            </w:r>
          </w:p>
          <w:p>
            <w:pPr>
              <w:adjustRightInd w:val="0"/>
              <w:spacing w:line="300" w:lineRule="exact"/>
              <w:rPr>
                <w:i/>
                <w:color w:val="000000"/>
                <w:sz w:val="22"/>
                <w:szCs w:val="22"/>
              </w:rPr>
            </w:pPr>
            <w:r>
              <w:rPr>
                <w:rFonts w:hint="eastAsia"/>
                <w:color w:val="000000"/>
                <w:sz w:val="22"/>
                <w:szCs w:val="22"/>
              </w:rPr>
              <w:t>□</w:t>
            </w:r>
            <w:r>
              <w:rPr>
                <w:rFonts w:hint="eastAsia"/>
                <w:i/>
                <w:color w:val="000000"/>
                <w:sz w:val="22"/>
                <w:szCs w:val="22"/>
              </w:rPr>
              <w:t>接受，应满足下列要求：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踏勘现场</w:t>
            </w:r>
          </w:p>
        </w:tc>
        <w:tc>
          <w:tcPr>
            <w:tcW w:w="8021" w:type="dxa"/>
            <w:vAlign w:val="center"/>
          </w:tcPr>
          <w:p>
            <w:pPr>
              <w:adjustRightInd w:val="0"/>
              <w:spacing w:line="300" w:lineRule="exact"/>
              <w:rPr>
                <w:i/>
                <w:color w:val="00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i/>
                <w:color w:val="000000"/>
                <w:sz w:val="22"/>
                <w:szCs w:val="22"/>
              </w:rPr>
              <w:t>不组织</w:t>
            </w:r>
          </w:p>
          <w:p>
            <w:pPr>
              <w:adjustRightInd w:val="0"/>
              <w:spacing w:line="300" w:lineRule="exact"/>
              <w:rPr>
                <w:i/>
                <w:color w:val="000000"/>
                <w:sz w:val="22"/>
                <w:szCs w:val="22"/>
              </w:rPr>
            </w:pPr>
            <w:r>
              <w:rPr>
                <w:rFonts w:hint="eastAsia"/>
                <w:color w:val="000000"/>
                <w:sz w:val="22"/>
                <w:szCs w:val="22"/>
              </w:rPr>
              <w:t>□</w:t>
            </w:r>
            <w:r>
              <w:rPr>
                <w:rFonts w:hint="eastAsia"/>
                <w:i/>
                <w:color w:val="000000"/>
                <w:sz w:val="22"/>
                <w:szCs w:val="22"/>
              </w:rPr>
              <w:t>组</w:t>
            </w:r>
            <w:r>
              <w:rPr>
                <w:rFonts w:hint="eastAsia"/>
                <w:color w:val="000000"/>
                <w:sz w:val="22"/>
                <w:szCs w:val="22"/>
              </w:rPr>
              <w:t>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是否允许递交备选投标方案</w:t>
            </w:r>
          </w:p>
        </w:tc>
        <w:tc>
          <w:tcPr>
            <w:tcW w:w="8021" w:type="dxa"/>
            <w:vAlign w:val="center"/>
          </w:tcPr>
          <w:p>
            <w:pPr>
              <w:adjustRightInd w:val="0"/>
              <w:spacing w:line="300" w:lineRule="exact"/>
              <w:rPr>
                <w:i/>
                <w:color w:val="00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i/>
                <w:color w:val="000000"/>
                <w:sz w:val="22"/>
                <w:szCs w:val="22"/>
              </w:rPr>
              <w:t>不允许</w:t>
            </w:r>
          </w:p>
          <w:p>
            <w:pPr>
              <w:adjustRightInd w:val="0"/>
              <w:spacing w:line="300" w:lineRule="exact"/>
              <w:rPr>
                <w:color w:val="000000"/>
                <w:sz w:val="22"/>
                <w:szCs w:val="22"/>
              </w:rPr>
            </w:pPr>
            <w:r>
              <w:rPr>
                <w:rFonts w:hint="eastAsia"/>
                <w:color w:val="000000"/>
                <w:sz w:val="22"/>
                <w:szCs w:val="22"/>
              </w:rPr>
              <w:t xml:space="preserve">□ </w:t>
            </w:r>
            <w:r>
              <w:rPr>
                <w:rFonts w:hint="eastAsia"/>
                <w:i/>
                <w:color w:val="000000"/>
                <w:sz w:val="22"/>
                <w:szCs w:val="22"/>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6"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投标货币</w:t>
            </w:r>
          </w:p>
        </w:tc>
        <w:tc>
          <w:tcPr>
            <w:tcW w:w="8021" w:type="dxa"/>
            <w:vAlign w:val="center"/>
          </w:tcPr>
          <w:p>
            <w:pPr>
              <w:adjustRightInd w:val="0"/>
              <w:spacing w:line="300" w:lineRule="exact"/>
              <w:rPr>
                <w:color w:val="000000"/>
                <w:sz w:val="22"/>
                <w:szCs w:val="22"/>
              </w:rPr>
            </w:pPr>
            <w:r>
              <w:rPr>
                <w:rFonts w:hint="eastAsia"/>
                <w:color w:val="000000"/>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投标语言</w:t>
            </w:r>
          </w:p>
        </w:tc>
        <w:tc>
          <w:tcPr>
            <w:tcW w:w="8021" w:type="dxa"/>
            <w:vAlign w:val="center"/>
          </w:tcPr>
          <w:p>
            <w:pPr>
              <w:adjustRightInd w:val="0"/>
              <w:spacing w:line="300" w:lineRule="exact"/>
              <w:rPr>
                <w:color w:val="000000"/>
                <w:sz w:val="22"/>
                <w:szCs w:val="22"/>
              </w:rPr>
            </w:pPr>
            <w:r>
              <w:rPr>
                <w:rFonts w:hint="eastAsia"/>
                <w:color w:val="000000"/>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rFonts w:hint="eastAsia"/>
                <w:color w:val="000000"/>
                <w:sz w:val="22"/>
                <w:szCs w:val="22"/>
              </w:rPr>
            </w:pPr>
            <w:r>
              <w:rPr>
                <w:rFonts w:hint="eastAsia"/>
                <w:color w:val="000000"/>
                <w:sz w:val="22"/>
                <w:szCs w:val="22"/>
              </w:rPr>
              <w:t>投标文件的组成</w:t>
            </w:r>
          </w:p>
        </w:tc>
        <w:tc>
          <w:tcPr>
            <w:tcW w:w="8021" w:type="dxa"/>
            <w:vAlign w:val="center"/>
          </w:tcPr>
          <w:p>
            <w:pPr>
              <w:adjustRightInd w:val="0"/>
              <w:spacing w:line="300" w:lineRule="exact"/>
              <w:rPr>
                <w:rFonts w:hint="eastAsia"/>
                <w:color w:val="000000"/>
                <w:sz w:val="22"/>
                <w:szCs w:val="22"/>
              </w:rPr>
            </w:pPr>
            <w:r>
              <w:rPr>
                <w:color w:val="000000"/>
                <w:sz w:val="22"/>
                <w:szCs w:val="22"/>
              </w:rPr>
              <w:t>完整的《投标文件》由</w:t>
            </w:r>
            <w:r>
              <w:rPr>
                <w:rFonts w:hint="eastAsia"/>
                <w:color w:val="000000"/>
                <w:sz w:val="22"/>
                <w:szCs w:val="22"/>
              </w:rPr>
              <w:t>“资格文件”、</w:t>
            </w:r>
            <w:r>
              <w:rPr>
                <w:color w:val="000000"/>
                <w:sz w:val="22"/>
                <w:szCs w:val="22"/>
              </w:rPr>
              <w:t>“报价文件”</w:t>
            </w:r>
            <w:r>
              <w:rPr>
                <w:rFonts w:hint="eastAsia"/>
                <w:color w:val="000000"/>
                <w:sz w:val="22"/>
                <w:szCs w:val="22"/>
              </w:rPr>
              <w:t>和</w:t>
            </w:r>
            <w:r>
              <w:rPr>
                <w:color w:val="000000"/>
                <w:sz w:val="22"/>
                <w:szCs w:val="22"/>
              </w:rPr>
              <w:t>“</w:t>
            </w:r>
            <w:r>
              <w:rPr>
                <w:rFonts w:hint="eastAsia"/>
                <w:color w:val="000000"/>
                <w:sz w:val="22"/>
                <w:szCs w:val="22"/>
              </w:rPr>
              <w:t>商务</w:t>
            </w:r>
            <w:r>
              <w:rPr>
                <w:color w:val="000000"/>
                <w:sz w:val="22"/>
                <w:szCs w:val="22"/>
              </w:rPr>
              <w:t>技术文件”</w:t>
            </w:r>
            <w:r>
              <w:rPr>
                <w:rFonts w:hint="eastAsia"/>
                <w:color w:val="000000"/>
                <w:sz w:val="22"/>
                <w:szCs w:val="22"/>
              </w:rPr>
              <w:t>三</w:t>
            </w:r>
            <w:r>
              <w:rPr>
                <w:color w:val="000000"/>
                <w:sz w:val="22"/>
                <w:szCs w:val="22"/>
              </w:rPr>
              <w:t>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5"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投标文件的编制</w:t>
            </w:r>
          </w:p>
        </w:tc>
        <w:tc>
          <w:tcPr>
            <w:tcW w:w="8021" w:type="dxa"/>
            <w:vAlign w:val="center"/>
          </w:tcPr>
          <w:p>
            <w:pPr>
              <w:spacing w:line="300" w:lineRule="exact"/>
              <w:rPr>
                <w:color w:val="000000"/>
                <w:sz w:val="22"/>
                <w:szCs w:val="22"/>
              </w:rPr>
            </w:pPr>
            <w:r>
              <w:rPr>
                <w:rFonts w:hint="eastAsia"/>
                <w:color w:val="000000"/>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6"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签字或盖章要求</w:t>
            </w:r>
          </w:p>
        </w:tc>
        <w:tc>
          <w:tcPr>
            <w:tcW w:w="8021" w:type="dxa"/>
            <w:vAlign w:val="center"/>
          </w:tcPr>
          <w:p>
            <w:pPr>
              <w:snapToGrid w:val="0"/>
              <w:spacing w:line="360" w:lineRule="atLeast"/>
              <w:rPr>
                <w:rFonts w:hint="eastAsia"/>
                <w:color w:val="000000"/>
                <w:sz w:val="22"/>
                <w:szCs w:val="22"/>
              </w:rPr>
            </w:pPr>
            <w:r>
              <w:rPr>
                <w:rFonts w:hint="eastAsia"/>
                <w:b/>
                <w:color w:val="000000"/>
                <w:sz w:val="22"/>
                <w:szCs w:val="22"/>
              </w:rPr>
              <w:t>电子签章。</w:t>
            </w:r>
            <w:r>
              <w:rPr>
                <w:rFonts w:hint="eastAsia"/>
                <w:color w:val="000000"/>
                <w:sz w:val="22"/>
                <w:szCs w:val="22"/>
              </w:rPr>
              <w:t>采购文件所指的加盖单位公章为电子签章。</w:t>
            </w:r>
          </w:p>
          <w:p>
            <w:pPr>
              <w:spacing w:line="300" w:lineRule="exact"/>
              <w:rPr>
                <w:color w:val="000000"/>
                <w:sz w:val="22"/>
                <w:szCs w:val="22"/>
              </w:rPr>
            </w:pPr>
            <w:r>
              <w:rPr>
                <w:rFonts w:hint="eastAsia"/>
                <w:color w:val="000000"/>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6"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rFonts w:hint="eastAsia"/>
                <w:color w:val="000000"/>
                <w:sz w:val="22"/>
                <w:szCs w:val="22"/>
              </w:rPr>
            </w:pPr>
            <w:r>
              <w:rPr>
                <w:rFonts w:hint="eastAsia"/>
                <w:color w:val="000000"/>
                <w:sz w:val="22"/>
                <w:szCs w:val="22"/>
              </w:rPr>
              <w:t>投标文件的形式</w:t>
            </w:r>
          </w:p>
        </w:tc>
        <w:tc>
          <w:tcPr>
            <w:tcW w:w="8021" w:type="dxa"/>
            <w:vAlign w:val="center"/>
          </w:tcPr>
          <w:p>
            <w:pPr>
              <w:adjustRightInd w:val="0"/>
              <w:spacing w:line="360" w:lineRule="auto"/>
              <w:rPr>
                <w:rFonts w:hint="eastAsia"/>
                <w:color w:val="000000"/>
                <w:sz w:val="22"/>
                <w:szCs w:val="22"/>
              </w:rPr>
            </w:pPr>
            <w:r>
              <w:rPr>
                <w:color w:val="000000"/>
                <w:sz w:val="22"/>
                <w:szCs w:val="22"/>
              </w:rPr>
              <w:t>☑</w:t>
            </w:r>
            <w:r>
              <w:rPr>
                <w:rFonts w:hint="eastAsia"/>
                <w:color w:val="000000"/>
                <w:sz w:val="22"/>
                <w:szCs w:val="22"/>
              </w:rPr>
              <w:t>电子投标文件（包括“电子加密投标文件”和“备份投标文件”，在投标文件编制完成后同时生成）；</w:t>
            </w:r>
          </w:p>
          <w:p>
            <w:pPr>
              <w:adjustRightInd w:val="0"/>
              <w:spacing w:line="360" w:lineRule="auto"/>
              <w:rPr>
                <w:rFonts w:hint="eastAsia"/>
                <w:color w:val="000000"/>
                <w:sz w:val="22"/>
                <w:szCs w:val="22"/>
              </w:rPr>
            </w:pPr>
            <w:r>
              <w:rPr>
                <w:rFonts w:hint="eastAsia"/>
                <w:color w:val="000000"/>
                <w:sz w:val="22"/>
                <w:szCs w:val="22"/>
              </w:rPr>
              <w:t>（1）“电子加密投标文件”是指通过“政采云电子交易客户端”完成投标文件编制后生成并加密的数据电文形式的投标文件。</w:t>
            </w:r>
          </w:p>
          <w:p>
            <w:pPr>
              <w:adjustRightInd w:val="0"/>
              <w:snapToGrid w:val="0"/>
              <w:spacing w:line="360" w:lineRule="atLeast"/>
              <w:rPr>
                <w:rFonts w:hint="eastAsia"/>
                <w:color w:val="000000"/>
                <w:sz w:val="22"/>
                <w:szCs w:val="22"/>
              </w:rPr>
            </w:pPr>
            <w:r>
              <w:rPr>
                <w:rFonts w:hint="eastAsia"/>
                <w:color w:val="000000"/>
                <w:sz w:val="22"/>
                <w:szCs w:val="22"/>
              </w:rPr>
              <w:t>（2）“备份投标文件”是指与“电子加密投标文件”同时生成的数据电文形式的电子文件（备份标书），其他方式编制的备份投标文件视为无效备份投标文件。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投标文件份数</w:t>
            </w:r>
          </w:p>
        </w:tc>
        <w:tc>
          <w:tcPr>
            <w:tcW w:w="8021" w:type="dxa"/>
            <w:vAlign w:val="center"/>
          </w:tcPr>
          <w:p>
            <w:pPr>
              <w:pStyle w:val="42"/>
              <w:widowControl w:val="0"/>
              <w:tabs>
                <w:tab w:val="right" w:leader="dot" w:pos="9118"/>
              </w:tabs>
              <w:adjustRightInd w:val="0"/>
              <w:spacing w:line="300" w:lineRule="exact"/>
              <w:jc w:val="both"/>
              <w:rPr>
                <w:color w:val="000000"/>
                <w:sz w:val="22"/>
                <w:szCs w:val="22"/>
              </w:rPr>
            </w:pPr>
            <w:r>
              <w:rPr>
                <w:rFonts w:hint="eastAsia"/>
                <w:color w:val="000000"/>
                <w:sz w:val="22"/>
                <w:szCs w:val="22"/>
              </w:rPr>
              <w:t>（1）“电子加密投标文件”：在线上传递交、一份。（2）“备份投标文件”：密封包装后（邮寄形式投标截止时间前递交、一份（邮寄地址：</w:t>
            </w:r>
            <w:r>
              <w:rPr>
                <w:color w:val="000000"/>
                <w:sz w:val="22"/>
                <w:szCs w:val="22"/>
              </w:rPr>
              <w:t>平阳县鳌江镇火车站大道和谐嘉园</w:t>
            </w:r>
            <w:r>
              <w:rPr>
                <w:rFonts w:hint="eastAsia"/>
                <w:color w:val="000000"/>
                <w:sz w:val="22"/>
                <w:szCs w:val="22"/>
              </w:rPr>
              <w:t>三楼平阳县公共资源交易中心政府采购科 史先生收0577-63193038））。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81"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color w:val="000000"/>
                <w:sz w:val="22"/>
                <w:szCs w:val="22"/>
              </w:rPr>
            </w:pPr>
            <w:r>
              <w:rPr>
                <w:rFonts w:hint="eastAsia"/>
                <w:color w:val="000000"/>
                <w:sz w:val="22"/>
                <w:szCs w:val="22"/>
              </w:rPr>
              <w:t>投标文件的上传和递交</w:t>
            </w:r>
          </w:p>
        </w:tc>
        <w:tc>
          <w:tcPr>
            <w:tcW w:w="8021" w:type="dxa"/>
            <w:vAlign w:val="center"/>
          </w:tcPr>
          <w:p>
            <w:pPr>
              <w:adjustRightInd w:val="0"/>
              <w:spacing w:line="360" w:lineRule="auto"/>
              <w:rPr>
                <w:rFonts w:hint="eastAsia"/>
                <w:color w:val="000000"/>
                <w:sz w:val="22"/>
                <w:szCs w:val="22"/>
              </w:rPr>
            </w:pPr>
            <w:r>
              <w:rPr>
                <w:rFonts w:hint="eastAsia"/>
                <w:color w:val="000000"/>
                <w:sz w:val="22"/>
                <w:szCs w:val="22"/>
              </w:rPr>
              <w:t>（1）“电子加密投标文件”的上传、递交：</w:t>
            </w:r>
          </w:p>
          <w:p>
            <w:pPr>
              <w:adjustRightInd w:val="0"/>
              <w:spacing w:line="360" w:lineRule="auto"/>
              <w:rPr>
                <w:rFonts w:hint="eastAsia"/>
                <w:color w:val="000000"/>
                <w:sz w:val="22"/>
                <w:szCs w:val="22"/>
              </w:rPr>
            </w:pPr>
            <w:r>
              <w:rPr>
                <w:rFonts w:hint="eastAsia"/>
                <w:color w:val="000000"/>
                <w:sz w:val="22"/>
                <w:szCs w:val="22"/>
              </w:rPr>
              <w:t>a.投标供应商应在投标截止时间前将“电子加密投标文件”成功上传递交至“政府采购云平台”，否则投标无效。</w:t>
            </w:r>
          </w:p>
          <w:p>
            <w:pPr>
              <w:adjustRightInd w:val="0"/>
              <w:spacing w:line="360" w:lineRule="auto"/>
              <w:rPr>
                <w:rFonts w:hint="eastAsia"/>
                <w:color w:val="000000"/>
                <w:sz w:val="22"/>
                <w:szCs w:val="22"/>
              </w:rPr>
            </w:pPr>
            <w:r>
              <w:rPr>
                <w:rFonts w:hint="eastAsia"/>
                <w:color w:val="000000"/>
                <w:sz w:val="22"/>
                <w:szCs w:val="22"/>
              </w:rPr>
              <w:t>b.“电子加密投标文件”成功上传递交后，供应商可自行打印投标文件接收回执。</w:t>
            </w:r>
          </w:p>
          <w:p>
            <w:pPr>
              <w:adjustRightInd w:val="0"/>
              <w:spacing w:line="360" w:lineRule="auto"/>
              <w:rPr>
                <w:rFonts w:hint="eastAsia"/>
                <w:color w:val="000000"/>
                <w:sz w:val="22"/>
                <w:szCs w:val="22"/>
              </w:rPr>
            </w:pPr>
            <w:r>
              <w:rPr>
                <w:rFonts w:hint="eastAsia"/>
                <w:color w:val="000000"/>
                <w:sz w:val="22"/>
                <w:szCs w:val="22"/>
              </w:rPr>
              <w:t>（2）“备份投标文件”的密封包装、递交：</w:t>
            </w:r>
          </w:p>
          <w:p>
            <w:pPr>
              <w:adjustRightInd w:val="0"/>
              <w:spacing w:line="360" w:lineRule="auto"/>
              <w:rPr>
                <w:rFonts w:hint="eastAsia"/>
                <w:color w:val="000000"/>
                <w:sz w:val="22"/>
                <w:szCs w:val="22"/>
              </w:rPr>
            </w:pPr>
            <w:r>
              <w:rPr>
                <w:rFonts w:hint="eastAsia"/>
                <w:color w:val="000000"/>
                <w:sz w:val="22"/>
                <w:szCs w:val="22"/>
              </w:rPr>
              <w:t>a.投标供应商在“政府采购云平台”完成“电子加密投标文件”的上传递交后，还可以（邮寄形式）在投标截止时间前递交以介质（U盘）存储的 “备份投标文件”（一份）；</w:t>
            </w:r>
          </w:p>
          <w:p>
            <w:pPr>
              <w:adjustRightInd w:val="0"/>
              <w:spacing w:line="360" w:lineRule="auto"/>
              <w:rPr>
                <w:rFonts w:hint="eastAsia"/>
                <w:color w:val="000000"/>
                <w:sz w:val="22"/>
                <w:szCs w:val="22"/>
              </w:rPr>
            </w:pPr>
            <w:r>
              <w:rPr>
                <w:rFonts w:hint="eastAsia"/>
                <w:color w:val="000000"/>
                <w:sz w:val="22"/>
                <w:szCs w:val="22"/>
              </w:rPr>
              <w:t>b.邮寄“备份投标文件”应当密封包装，并在包装上标注投标项目名称、投标单位名称并加盖公章。没有密封包装或者逾期邮寄送达至投标地点的“备份投标文件”将不予接收；</w:t>
            </w:r>
          </w:p>
          <w:p>
            <w:pPr>
              <w:adjustRightInd w:val="0"/>
              <w:spacing w:line="300" w:lineRule="exact"/>
              <w:rPr>
                <w:color w:val="000000"/>
                <w:sz w:val="22"/>
                <w:szCs w:val="22"/>
              </w:rPr>
            </w:pPr>
            <w:r>
              <w:rPr>
                <w:rFonts w:hint="eastAsia"/>
                <w:color w:val="000000"/>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rPr>
                <w:rFonts w:hint="eastAsia"/>
                <w:color w:val="000000"/>
                <w:sz w:val="22"/>
                <w:szCs w:val="22"/>
              </w:rPr>
            </w:pPr>
            <w:r>
              <w:rPr>
                <w:rFonts w:hint="eastAsia"/>
                <w:color w:val="000000"/>
                <w:sz w:val="22"/>
                <w:szCs w:val="22"/>
              </w:rPr>
              <w:t>电子加密投标文件的解密和异常情况处理</w:t>
            </w:r>
          </w:p>
        </w:tc>
        <w:tc>
          <w:tcPr>
            <w:tcW w:w="8021" w:type="dxa"/>
            <w:vAlign w:val="center"/>
          </w:tcPr>
          <w:p>
            <w:pPr>
              <w:adjustRightInd w:val="0"/>
              <w:spacing w:line="360" w:lineRule="auto"/>
              <w:rPr>
                <w:rFonts w:hint="eastAsia"/>
                <w:color w:val="000000"/>
                <w:sz w:val="22"/>
                <w:szCs w:val="22"/>
              </w:rPr>
            </w:pPr>
            <w:r>
              <w:rPr>
                <w:rFonts w:hint="eastAsia"/>
                <w:color w:val="000000"/>
                <w:sz w:val="22"/>
                <w:szCs w:val="22"/>
              </w:rPr>
              <w:t>（1）开标后，采购组织机构将向各投标供应商发出“电子加密投标文件”的解密通知，各投标供应商代表应当在接到解密通知后30分钟内自行完成“电子加密投标文件”的在线解密。</w:t>
            </w:r>
          </w:p>
          <w:p>
            <w:pPr>
              <w:adjustRightInd w:val="0"/>
              <w:spacing w:line="360" w:lineRule="auto"/>
              <w:rPr>
                <w:rFonts w:hint="eastAsia"/>
                <w:color w:val="000000"/>
                <w:sz w:val="22"/>
                <w:szCs w:val="22"/>
              </w:rPr>
            </w:pPr>
            <w:r>
              <w:rPr>
                <w:rFonts w:hint="eastAsia"/>
                <w:color w:val="000000"/>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spacing w:line="360" w:lineRule="auto"/>
              <w:rPr>
                <w:rFonts w:hint="eastAsia"/>
                <w:color w:val="000000"/>
                <w:sz w:val="22"/>
                <w:szCs w:val="22"/>
              </w:rPr>
            </w:pPr>
            <w:r>
              <w:rPr>
                <w:rFonts w:hint="eastAsia"/>
                <w:color w:val="000000"/>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81"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投标有效期</w:t>
            </w:r>
          </w:p>
        </w:tc>
        <w:tc>
          <w:tcPr>
            <w:tcW w:w="8021" w:type="dxa"/>
            <w:vAlign w:val="center"/>
          </w:tcPr>
          <w:p>
            <w:pPr>
              <w:adjustRightInd w:val="0"/>
              <w:spacing w:line="360" w:lineRule="auto"/>
              <w:rPr>
                <w:rFonts w:hint="eastAsia"/>
                <w:color w:val="000000"/>
                <w:sz w:val="22"/>
                <w:szCs w:val="22"/>
              </w:rPr>
            </w:pPr>
            <w:r>
              <w:rPr>
                <w:rFonts w:hint="eastAsia"/>
                <w:color w:val="000000"/>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投标样品</w:t>
            </w:r>
          </w:p>
        </w:tc>
        <w:tc>
          <w:tcPr>
            <w:tcW w:w="8021" w:type="dxa"/>
            <w:vAlign w:val="center"/>
          </w:tcPr>
          <w:p>
            <w:pPr>
              <w:spacing w:line="300" w:lineRule="exact"/>
              <w:rPr>
                <w:color w:val="00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color w:val="000000"/>
                <w:sz w:val="22"/>
                <w:szCs w:val="22"/>
              </w:rPr>
              <w:t>不需要</w:t>
            </w:r>
          </w:p>
          <w:p>
            <w:pPr>
              <w:spacing w:line="300" w:lineRule="exact"/>
              <w:rPr>
                <w:color w:val="00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color w:val="000000"/>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74"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jc w:val="center"/>
              <w:rPr>
                <w:color w:val="000000"/>
                <w:sz w:val="22"/>
                <w:szCs w:val="22"/>
              </w:rPr>
            </w:pPr>
            <w:r>
              <w:rPr>
                <w:rFonts w:hint="eastAsia"/>
                <w:color w:val="000000"/>
                <w:sz w:val="22"/>
                <w:szCs w:val="22"/>
              </w:rPr>
              <w:t>履约担保</w:t>
            </w:r>
          </w:p>
        </w:tc>
        <w:tc>
          <w:tcPr>
            <w:tcW w:w="8021" w:type="dxa"/>
            <w:vAlign w:val="center"/>
          </w:tcPr>
          <w:p>
            <w:pPr>
              <w:spacing w:line="300" w:lineRule="exact"/>
              <w:rPr>
                <w:color w:val="FF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color w:val="000000"/>
                <w:sz w:val="22"/>
                <w:szCs w:val="22"/>
              </w:rPr>
              <w:t>不需要</w:t>
            </w:r>
          </w:p>
          <w:p>
            <w:pPr>
              <w:adjustRightInd w:val="0"/>
              <w:spacing w:line="300" w:lineRule="exact"/>
              <w:rPr>
                <w:color w:val="000000"/>
                <w:sz w:val="22"/>
                <w:szCs w:val="22"/>
              </w:rPr>
            </w:pPr>
            <w:r>
              <w:rPr>
                <w:rFonts w:hint="eastAsia"/>
                <w:color w:val="000000"/>
                <w:sz w:val="22"/>
                <w:szCs w:val="22"/>
                <w:lang w:eastAsia="zh-CN"/>
              </w:rPr>
              <w:t>☑</w:t>
            </w:r>
            <w:r>
              <w:rPr>
                <w:rFonts w:hint="eastAsia"/>
                <w:color w:val="000000"/>
                <w:sz w:val="22"/>
                <w:szCs w:val="22"/>
              </w:rPr>
              <w:t xml:space="preserve">需要 </w:t>
            </w:r>
            <w:r>
              <w:rPr>
                <w:rFonts w:hint="eastAsia"/>
                <w:bCs/>
                <w:color w:val="000000"/>
                <w:sz w:val="22"/>
                <w:szCs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jc w:val="center"/>
              <w:rPr>
                <w:rFonts w:hint="eastAsia"/>
                <w:color w:val="000000"/>
                <w:sz w:val="22"/>
                <w:szCs w:val="22"/>
              </w:rPr>
            </w:pPr>
            <w:r>
              <w:rPr>
                <w:rFonts w:hint="eastAsia"/>
                <w:color w:val="000000"/>
                <w:sz w:val="22"/>
                <w:szCs w:val="22"/>
              </w:rPr>
              <w:t>投标保证金</w:t>
            </w:r>
          </w:p>
        </w:tc>
        <w:tc>
          <w:tcPr>
            <w:tcW w:w="8021" w:type="dxa"/>
            <w:vAlign w:val="center"/>
          </w:tcPr>
          <w:p>
            <w:pPr>
              <w:spacing w:line="300" w:lineRule="exact"/>
              <w:rPr>
                <w:color w:val="000000"/>
                <w:sz w:val="22"/>
                <w:szCs w:val="22"/>
              </w:rPr>
            </w:pPr>
            <w:r>
              <w:rPr>
                <w:rFonts w:hint="eastAsia"/>
                <w:color w:val="000000"/>
                <w:sz w:val="22"/>
                <w:szCs w:val="22"/>
                <w:lang w:eastAsia="zh-CN"/>
              </w:rPr>
              <w:t>☑</w:t>
            </w:r>
            <w:r>
              <w:rPr>
                <w:rFonts w:hint="eastAsia"/>
                <w:color w:val="000000"/>
                <w:sz w:val="22"/>
                <w:szCs w:val="22"/>
              </w:rPr>
              <w:t>不需要</w:t>
            </w:r>
          </w:p>
          <w:p>
            <w:pPr>
              <w:adjustRightInd w:val="0"/>
              <w:spacing w:line="300" w:lineRule="exact"/>
              <w:rPr>
                <w:rFonts w:hint="eastAsia"/>
                <w:color w:val="000000"/>
                <w:sz w:val="22"/>
                <w:szCs w:val="22"/>
              </w:rPr>
            </w:pPr>
            <w:r>
              <w:rPr>
                <w:rFonts w:hint="eastAsia"/>
                <w:color w:val="000000"/>
                <w:sz w:val="22"/>
                <w:szCs w:val="22"/>
              </w:rPr>
              <w:fldChar w:fldCharType="begin"/>
            </w:r>
            <w:r>
              <w:rPr>
                <w:rFonts w:hint="eastAsia"/>
                <w:color w:val="000000"/>
                <w:sz w:val="22"/>
                <w:szCs w:val="22"/>
              </w:rPr>
              <w:instrText xml:space="preserve"> eq \o\ac(</w:instrText>
            </w:r>
            <w:r>
              <w:rPr>
                <w:rFonts w:hint="eastAsia"/>
                <w:color w:val="000000"/>
                <w:position w:val="-4"/>
                <w:sz w:val="22"/>
                <w:szCs w:val="22"/>
              </w:rPr>
              <w:instrText xml:space="preserve">□</w:instrText>
            </w:r>
            <w:r>
              <w:rPr>
                <w:rFonts w:hint="eastAsia"/>
                <w:color w:val="000000"/>
                <w:sz w:val="22"/>
                <w:szCs w:val="22"/>
              </w:rPr>
              <w:instrText xml:space="preserve">)</w:instrText>
            </w:r>
            <w:r>
              <w:rPr>
                <w:rFonts w:hint="eastAsia"/>
                <w:color w:val="000000"/>
                <w:sz w:val="22"/>
                <w:szCs w:val="22"/>
              </w:rPr>
              <w:fldChar w:fldCharType="end"/>
            </w:r>
            <w:r>
              <w:rPr>
                <w:rFonts w:hint="eastAsia"/>
                <w:color w:val="000000"/>
                <w:sz w:val="22"/>
                <w:szCs w:val="22"/>
              </w:rPr>
              <w:t xml:space="preserve">需要 </w:t>
            </w:r>
            <w:r>
              <w:rPr>
                <w:rFonts w:hint="eastAsia"/>
                <w:bCs/>
                <w:color w:val="000000"/>
                <w:sz w:val="22"/>
                <w:szCs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53"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napToGrid w:val="0"/>
              <w:spacing w:line="300" w:lineRule="exact"/>
              <w:rPr>
                <w:color w:val="000000"/>
                <w:sz w:val="22"/>
                <w:szCs w:val="22"/>
              </w:rPr>
            </w:pPr>
            <w:r>
              <w:rPr>
                <w:rFonts w:hint="eastAsia"/>
                <w:color w:val="000000"/>
                <w:sz w:val="22"/>
                <w:szCs w:val="22"/>
              </w:rPr>
              <w:t>质疑受理联系方式</w:t>
            </w:r>
          </w:p>
        </w:tc>
        <w:tc>
          <w:tcPr>
            <w:tcW w:w="8021" w:type="dxa"/>
            <w:vAlign w:val="center"/>
          </w:tcPr>
          <w:p>
            <w:pPr>
              <w:snapToGrid w:val="0"/>
              <w:spacing w:line="320" w:lineRule="exact"/>
              <w:rPr>
                <w:color w:val="000000"/>
                <w:sz w:val="22"/>
                <w:szCs w:val="22"/>
              </w:rPr>
            </w:pPr>
            <w:r>
              <w:rPr>
                <w:color w:val="000000"/>
                <w:sz w:val="22"/>
                <w:szCs w:val="22"/>
              </w:rPr>
              <w:t>代理机构名称：平阳县公共资源交易中心</w:t>
            </w:r>
          </w:p>
          <w:p>
            <w:pPr>
              <w:snapToGrid w:val="0"/>
              <w:spacing w:line="320" w:lineRule="exact"/>
              <w:rPr>
                <w:color w:val="000000"/>
                <w:sz w:val="22"/>
                <w:szCs w:val="22"/>
              </w:rPr>
            </w:pPr>
            <w:r>
              <w:rPr>
                <w:color w:val="000000"/>
                <w:sz w:val="22"/>
                <w:szCs w:val="22"/>
              </w:rPr>
              <w:t>机构地点：平阳县鳌江镇火车站大道和谐嘉园</w:t>
            </w:r>
          </w:p>
          <w:p>
            <w:pPr>
              <w:snapToGrid w:val="0"/>
              <w:spacing w:line="320" w:lineRule="exact"/>
              <w:rPr>
                <w:color w:val="000000"/>
                <w:sz w:val="22"/>
                <w:szCs w:val="22"/>
              </w:rPr>
            </w:pPr>
            <w:r>
              <w:rPr>
                <w:color w:val="000000"/>
                <w:sz w:val="22"/>
                <w:szCs w:val="22"/>
              </w:rPr>
              <w:t>联系人：史先生              </w:t>
            </w:r>
          </w:p>
          <w:p>
            <w:pPr>
              <w:snapToGrid w:val="0"/>
              <w:spacing w:line="320" w:lineRule="exact"/>
              <w:rPr>
                <w:color w:val="000000"/>
                <w:sz w:val="22"/>
                <w:szCs w:val="22"/>
              </w:rPr>
            </w:pPr>
            <w:r>
              <w:rPr>
                <w:color w:val="000000"/>
                <w:sz w:val="22"/>
                <w:szCs w:val="22"/>
              </w:rPr>
              <w:t>联系方式：0577-63193038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napToGrid w:val="0"/>
              <w:spacing w:line="300" w:lineRule="exact"/>
              <w:rPr>
                <w:color w:val="000000"/>
                <w:sz w:val="22"/>
                <w:szCs w:val="22"/>
              </w:rPr>
            </w:pPr>
            <w:r>
              <w:rPr>
                <w:rFonts w:hint="eastAsia"/>
                <w:color w:val="000000"/>
                <w:sz w:val="22"/>
                <w:szCs w:val="22"/>
              </w:rPr>
              <w:t>投诉</w:t>
            </w:r>
          </w:p>
        </w:tc>
        <w:tc>
          <w:tcPr>
            <w:tcW w:w="8021" w:type="dxa"/>
            <w:vAlign w:val="center"/>
          </w:tcPr>
          <w:p>
            <w:pPr>
              <w:snapToGrid w:val="0"/>
              <w:spacing w:line="300" w:lineRule="exact"/>
              <w:rPr>
                <w:color w:val="000000"/>
                <w:sz w:val="22"/>
                <w:szCs w:val="22"/>
              </w:rPr>
            </w:pPr>
            <w:r>
              <w:rPr>
                <w:rFonts w:hint="eastAsia"/>
                <w:color w:val="000000"/>
                <w:sz w:val="22"/>
                <w:szCs w:val="22"/>
                <w:shd w:val="clear" w:color="auto" w:fill="FFFFFF"/>
              </w:rPr>
              <w:t>根据</w:t>
            </w:r>
            <w:r>
              <w:rPr>
                <w:rFonts w:hint="eastAsia"/>
                <w:color w:val="000000"/>
                <w:sz w:val="22"/>
                <w:szCs w:val="22"/>
              </w:rPr>
              <w:t>《政府采购质疑和投诉办法》的规定，</w:t>
            </w:r>
            <w:r>
              <w:rPr>
                <w:rFonts w:hint="eastAsia"/>
                <w:color w:val="000000"/>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napToGrid w:val="0"/>
              <w:spacing w:line="300" w:lineRule="exact"/>
              <w:rPr>
                <w:color w:val="000000"/>
                <w:sz w:val="22"/>
                <w:szCs w:val="22"/>
              </w:rPr>
            </w:pPr>
            <w:r>
              <w:rPr>
                <w:rFonts w:hint="eastAsia"/>
                <w:color w:val="000000"/>
                <w:sz w:val="22"/>
                <w:szCs w:val="22"/>
              </w:rPr>
              <w:t>投诉受理联系方式</w:t>
            </w:r>
          </w:p>
        </w:tc>
        <w:tc>
          <w:tcPr>
            <w:tcW w:w="8021" w:type="dxa"/>
            <w:vAlign w:val="center"/>
          </w:tcPr>
          <w:p>
            <w:pPr>
              <w:snapToGrid w:val="0"/>
              <w:spacing w:line="300" w:lineRule="exact"/>
              <w:rPr>
                <w:color w:val="000000"/>
                <w:sz w:val="22"/>
                <w:szCs w:val="22"/>
              </w:rPr>
            </w:pPr>
            <w:r>
              <w:rPr>
                <w:color w:val="000000"/>
                <w:sz w:val="22"/>
                <w:szCs w:val="22"/>
              </w:rPr>
              <w:t>平阳县财政局政府采购监督管理科</w:t>
            </w:r>
          </w:p>
          <w:p>
            <w:pPr>
              <w:snapToGrid w:val="0"/>
              <w:spacing w:line="300" w:lineRule="exact"/>
              <w:rPr>
                <w:color w:val="000000"/>
                <w:sz w:val="22"/>
                <w:szCs w:val="22"/>
              </w:rPr>
            </w:pPr>
            <w:r>
              <w:rPr>
                <w:color w:val="000000"/>
                <w:sz w:val="22"/>
                <w:szCs w:val="22"/>
              </w:rPr>
              <w:t>联系人：</w:t>
            </w:r>
            <w:r>
              <w:rPr>
                <w:rFonts w:hint="eastAsia"/>
                <w:color w:val="000000"/>
                <w:sz w:val="22"/>
                <w:szCs w:val="22"/>
              </w:rPr>
              <w:t>吴</w:t>
            </w:r>
            <w:r>
              <w:rPr>
                <w:color w:val="000000"/>
                <w:sz w:val="22"/>
                <w:szCs w:val="22"/>
              </w:rPr>
              <w:t>先生</w:t>
            </w:r>
          </w:p>
          <w:p>
            <w:pPr>
              <w:snapToGrid w:val="0"/>
              <w:spacing w:line="300" w:lineRule="exact"/>
              <w:rPr>
                <w:color w:val="000000"/>
                <w:sz w:val="22"/>
                <w:szCs w:val="22"/>
              </w:rPr>
            </w:pPr>
            <w:r>
              <w:rPr>
                <w:color w:val="000000"/>
                <w:sz w:val="22"/>
                <w:szCs w:val="22"/>
              </w:rPr>
              <w:t>监督投诉电话：0577-63889763</w:t>
            </w:r>
          </w:p>
          <w:p>
            <w:pPr>
              <w:snapToGrid w:val="0"/>
              <w:spacing w:line="300" w:lineRule="exact"/>
              <w:rPr>
                <w:color w:val="000000"/>
                <w:sz w:val="22"/>
                <w:szCs w:val="22"/>
              </w:rPr>
            </w:pPr>
            <w:r>
              <w:rPr>
                <w:color w:val="000000"/>
                <w:sz w:val="22"/>
                <w:szCs w:val="22"/>
              </w:rPr>
              <w:t>传真：0577-63889959</w:t>
            </w:r>
          </w:p>
          <w:p>
            <w:pPr>
              <w:snapToGrid w:val="0"/>
              <w:spacing w:line="300" w:lineRule="exact"/>
              <w:rPr>
                <w:color w:val="000000"/>
                <w:sz w:val="22"/>
                <w:szCs w:val="22"/>
              </w:rPr>
            </w:pPr>
            <w:r>
              <w:rPr>
                <w:color w:val="000000"/>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投标截止时间</w:t>
            </w:r>
          </w:p>
        </w:tc>
        <w:tc>
          <w:tcPr>
            <w:tcW w:w="8021" w:type="dxa"/>
            <w:vAlign w:val="center"/>
          </w:tcPr>
          <w:p>
            <w:pPr>
              <w:spacing w:line="300" w:lineRule="exact"/>
              <w:rPr>
                <w:color w:val="000000"/>
                <w:sz w:val="22"/>
                <w:szCs w:val="22"/>
              </w:rPr>
            </w:pPr>
            <w:r>
              <w:rPr>
                <w:rFonts w:hint="eastAsia"/>
                <w:sz w:val="22"/>
                <w:szCs w:val="22"/>
              </w:rPr>
              <w:t>2023年</w:t>
            </w:r>
            <w:r>
              <w:rPr>
                <w:rFonts w:hint="eastAsia"/>
                <w:sz w:val="22"/>
                <w:szCs w:val="22"/>
                <w:lang w:val="en-US" w:eastAsia="zh-CN"/>
              </w:rPr>
              <w:t>4</w:t>
            </w:r>
            <w:r>
              <w:rPr>
                <w:rFonts w:hint="eastAsia"/>
                <w:sz w:val="22"/>
                <w:szCs w:val="22"/>
              </w:rPr>
              <w:t>月</w:t>
            </w:r>
            <w:r>
              <w:rPr>
                <w:rFonts w:hint="eastAsia"/>
                <w:sz w:val="22"/>
                <w:szCs w:val="22"/>
                <w:lang w:val="en-US" w:eastAsia="zh-CN"/>
              </w:rPr>
              <w:t>11</w:t>
            </w:r>
            <w:r>
              <w:rPr>
                <w:rFonts w:hint="eastAsia"/>
                <w:sz w:val="22"/>
                <w:szCs w:val="22"/>
              </w:rPr>
              <w:t>日</w:t>
            </w:r>
            <w:r>
              <w:rPr>
                <w:rFonts w:hint="eastAsia"/>
                <w:color w:val="000000"/>
                <w:sz w:val="22"/>
                <w:szCs w:val="22"/>
              </w:rPr>
              <w:t xml:space="preserve"> 　上午09：30</w:t>
            </w:r>
            <w:r>
              <w:rPr>
                <w:rFonts w:hint="eastAsia"/>
                <w:i/>
                <w:color w:val="000000"/>
                <w:sz w:val="22"/>
                <w:szCs w:val="22"/>
              </w:rPr>
              <w:t>截止(北京</w:t>
            </w:r>
            <w:r>
              <w:rPr>
                <w:rFonts w:hint="eastAsia"/>
                <w:color w:val="000000"/>
                <w:sz w:val="22"/>
                <w:szCs w:val="22"/>
              </w:rPr>
              <w:t>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6"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开标时间</w:t>
            </w:r>
          </w:p>
          <w:p>
            <w:pPr>
              <w:spacing w:line="300" w:lineRule="exact"/>
              <w:jc w:val="center"/>
              <w:rPr>
                <w:color w:val="000000"/>
                <w:sz w:val="22"/>
                <w:szCs w:val="22"/>
              </w:rPr>
            </w:pPr>
            <w:r>
              <w:rPr>
                <w:rFonts w:hint="eastAsia"/>
                <w:color w:val="000000"/>
                <w:sz w:val="22"/>
                <w:szCs w:val="22"/>
              </w:rPr>
              <w:t>评审地点</w:t>
            </w:r>
          </w:p>
        </w:tc>
        <w:tc>
          <w:tcPr>
            <w:tcW w:w="8021" w:type="dxa"/>
            <w:vAlign w:val="center"/>
          </w:tcPr>
          <w:p>
            <w:pPr>
              <w:spacing w:line="300" w:lineRule="exact"/>
              <w:rPr>
                <w:color w:val="000000"/>
                <w:sz w:val="22"/>
                <w:szCs w:val="22"/>
              </w:rPr>
            </w:pPr>
            <w:r>
              <w:rPr>
                <w:rFonts w:hint="eastAsia"/>
                <w:color w:val="000000"/>
                <w:sz w:val="22"/>
                <w:szCs w:val="22"/>
              </w:rPr>
              <w:t>开标时间：</w:t>
            </w:r>
            <w:r>
              <w:rPr>
                <w:rFonts w:hint="eastAsia"/>
                <w:sz w:val="22"/>
                <w:szCs w:val="22"/>
              </w:rPr>
              <w:t>2023年</w:t>
            </w:r>
            <w:r>
              <w:rPr>
                <w:rFonts w:hint="eastAsia"/>
                <w:sz w:val="22"/>
                <w:szCs w:val="22"/>
                <w:lang w:val="en-US" w:eastAsia="zh-CN"/>
              </w:rPr>
              <w:t>4</w:t>
            </w:r>
            <w:r>
              <w:rPr>
                <w:rFonts w:hint="eastAsia"/>
                <w:sz w:val="22"/>
                <w:szCs w:val="22"/>
              </w:rPr>
              <w:t>月</w:t>
            </w:r>
            <w:r>
              <w:rPr>
                <w:rFonts w:hint="eastAsia"/>
                <w:sz w:val="22"/>
                <w:szCs w:val="22"/>
                <w:lang w:val="en-US" w:eastAsia="zh-CN"/>
              </w:rPr>
              <w:t>11</w:t>
            </w:r>
            <w:r>
              <w:rPr>
                <w:rFonts w:hint="eastAsia"/>
                <w:sz w:val="22"/>
                <w:szCs w:val="22"/>
              </w:rPr>
              <w:t>日</w:t>
            </w:r>
            <w:r>
              <w:rPr>
                <w:rFonts w:hint="eastAsia"/>
                <w:color w:val="000000"/>
                <w:sz w:val="22"/>
                <w:szCs w:val="22"/>
              </w:rPr>
              <w:t>　上午09：30</w:t>
            </w:r>
            <w:r>
              <w:rPr>
                <w:rFonts w:hint="eastAsia"/>
                <w:i/>
                <w:color w:val="000000"/>
                <w:sz w:val="22"/>
                <w:szCs w:val="22"/>
              </w:rPr>
              <w:t xml:space="preserve">正 </w:t>
            </w:r>
            <w:r>
              <w:rPr>
                <w:rFonts w:hint="eastAsia"/>
                <w:color w:val="000000"/>
                <w:sz w:val="22"/>
                <w:szCs w:val="22"/>
              </w:rPr>
              <w:t>(北京时间)</w:t>
            </w:r>
          </w:p>
          <w:p>
            <w:pPr>
              <w:spacing w:line="300" w:lineRule="exact"/>
              <w:rPr>
                <w:color w:val="000000"/>
                <w:sz w:val="22"/>
                <w:szCs w:val="22"/>
              </w:rPr>
            </w:pPr>
            <w:r>
              <w:rPr>
                <w:rFonts w:hint="eastAsia"/>
                <w:color w:val="000000"/>
                <w:sz w:val="22"/>
                <w:szCs w:val="22"/>
              </w:rPr>
              <w:t>开标地点：平阳县公共资源交易中心三楼评标室1（</w:t>
            </w:r>
            <w:r>
              <w:rPr>
                <w:color w:val="000000"/>
                <w:sz w:val="22"/>
                <w:szCs w:val="22"/>
              </w:rPr>
              <w:t>平阳县鳌江镇</w:t>
            </w:r>
            <w:r>
              <w:rPr>
                <w:rFonts w:hint="eastAsia"/>
                <w:color w:val="000000"/>
                <w:sz w:val="22"/>
                <w:szCs w:val="22"/>
              </w:rPr>
              <w:t>火车站大道和谐家园三</w:t>
            </w:r>
            <w:r>
              <w:rPr>
                <w:color w:val="000000"/>
                <w:sz w:val="22"/>
                <w:szCs w:val="22"/>
              </w:rPr>
              <w:t>楼</w:t>
            </w:r>
            <w:r>
              <w:rPr>
                <w:rFonts w:hint="eastAsia"/>
                <w:color w:val="000000"/>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评审委员会的</w:t>
            </w:r>
          </w:p>
          <w:p>
            <w:pPr>
              <w:spacing w:line="300" w:lineRule="exact"/>
              <w:jc w:val="center"/>
              <w:rPr>
                <w:color w:val="000000"/>
                <w:sz w:val="22"/>
                <w:szCs w:val="22"/>
              </w:rPr>
            </w:pPr>
            <w:r>
              <w:rPr>
                <w:rFonts w:hint="eastAsia"/>
                <w:color w:val="000000"/>
                <w:sz w:val="22"/>
                <w:szCs w:val="22"/>
              </w:rPr>
              <w:t>组建</w:t>
            </w:r>
          </w:p>
        </w:tc>
        <w:tc>
          <w:tcPr>
            <w:tcW w:w="8021" w:type="dxa"/>
            <w:vAlign w:val="center"/>
          </w:tcPr>
          <w:p>
            <w:pPr>
              <w:spacing w:line="300" w:lineRule="exact"/>
              <w:rPr>
                <w:color w:val="000000"/>
                <w:sz w:val="22"/>
                <w:szCs w:val="22"/>
              </w:rPr>
            </w:pPr>
            <w:r>
              <w:rPr>
                <w:rFonts w:hint="eastAsia"/>
                <w:color w:val="000000"/>
                <w:sz w:val="22"/>
                <w:szCs w:val="22"/>
              </w:rPr>
              <w:t>评审委员会构成：采购人依法组建，成员为5人及以上单数，其中评审专家不得少于总人数的2/3；评标专家确定方式：按相关规定从专家库中抽取。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adjustRightInd w:val="0"/>
              <w:spacing w:line="300" w:lineRule="exact"/>
              <w:jc w:val="center"/>
              <w:rPr>
                <w:color w:val="000000"/>
                <w:sz w:val="22"/>
                <w:szCs w:val="22"/>
              </w:rPr>
            </w:pPr>
            <w:r>
              <w:rPr>
                <w:rFonts w:hint="eastAsia"/>
                <w:color w:val="000000"/>
                <w:sz w:val="22"/>
                <w:szCs w:val="22"/>
              </w:rPr>
              <w:t>政府采购</w:t>
            </w:r>
          </w:p>
          <w:p>
            <w:pPr>
              <w:adjustRightInd w:val="0"/>
              <w:spacing w:line="300" w:lineRule="exact"/>
              <w:jc w:val="center"/>
              <w:rPr>
                <w:color w:val="000000"/>
                <w:sz w:val="22"/>
                <w:szCs w:val="22"/>
              </w:rPr>
            </w:pPr>
            <w:r>
              <w:rPr>
                <w:rFonts w:hint="eastAsia"/>
                <w:color w:val="000000"/>
                <w:sz w:val="22"/>
                <w:szCs w:val="22"/>
              </w:rPr>
              <w:t>扶持政策</w:t>
            </w:r>
          </w:p>
        </w:tc>
        <w:tc>
          <w:tcPr>
            <w:tcW w:w="8021" w:type="dxa"/>
            <w:vAlign w:val="center"/>
          </w:tcPr>
          <w:p>
            <w:pPr>
              <w:spacing w:line="300" w:lineRule="exact"/>
              <w:rPr>
                <w:color w:val="000000"/>
                <w:sz w:val="22"/>
                <w:szCs w:val="22"/>
              </w:rPr>
            </w:pPr>
            <w:r>
              <w:rPr>
                <w:rFonts w:hint="eastAsia"/>
                <w:color w:val="000000"/>
                <w:sz w:val="22"/>
                <w:szCs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8"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rPr>
                <w:color w:val="000000"/>
                <w:sz w:val="22"/>
                <w:szCs w:val="22"/>
              </w:rPr>
            </w:pPr>
            <w:r>
              <w:rPr>
                <w:rFonts w:hint="eastAsia"/>
                <w:color w:val="000000"/>
                <w:sz w:val="22"/>
                <w:szCs w:val="22"/>
              </w:rPr>
              <w:t>供应商信用查询</w:t>
            </w:r>
          </w:p>
        </w:tc>
        <w:tc>
          <w:tcPr>
            <w:tcW w:w="8021" w:type="dxa"/>
            <w:vAlign w:val="center"/>
          </w:tcPr>
          <w:p>
            <w:pPr>
              <w:spacing w:line="300" w:lineRule="exact"/>
              <w:rPr>
                <w:color w:val="000000"/>
                <w:sz w:val="22"/>
                <w:szCs w:val="22"/>
              </w:rPr>
            </w:pPr>
            <w:r>
              <w:rPr>
                <w:rFonts w:hint="eastAsia"/>
                <w:color w:val="000000"/>
                <w:sz w:val="22"/>
                <w:szCs w:val="22"/>
              </w:rPr>
              <w:t>1、投标供应商信用信息查询的查询渠道：“信用中国”(</w:t>
            </w:r>
            <w:r>
              <w:fldChar w:fldCharType="begin"/>
            </w:r>
            <w:r>
              <w:instrText xml:space="preserve"> HYPERLINK "http://www.creditchina.gov.cn" </w:instrText>
            </w:r>
            <w:r>
              <w:fldChar w:fldCharType="separate"/>
            </w:r>
            <w:r>
              <w:rPr>
                <w:rFonts w:hint="eastAsia"/>
                <w:color w:val="000000"/>
                <w:sz w:val="22"/>
                <w:szCs w:val="22"/>
              </w:rPr>
              <w:t>www.creditchina.gov.cn</w:t>
            </w:r>
            <w:r>
              <w:rPr>
                <w:rFonts w:hint="eastAsia"/>
                <w:color w:val="000000"/>
                <w:sz w:val="22"/>
                <w:szCs w:val="22"/>
              </w:rPr>
              <w:fldChar w:fldCharType="end"/>
            </w:r>
            <w:r>
              <w:rPr>
                <w:rFonts w:hint="eastAsia"/>
                <w:color w:val="000000"/>
                <w:sz w:val="22"/>
                <w:szCs w:val="22"/>
              </w:rPr>
              <w:t>)；“中国政府采购网”（http://www.ccgp.gov.cn/）；</w:t>
            </w:r>
          </w:p>
          <w:p>
            <w:pPr>
              <w:spacing w:line="300" w:lineRule="exact"/>
              <w:rPr>
                <w:color w:val="000000"/>
                <w:sz w:val="22"/>
                <w:szCs w:val="22"/>
              </w:rPr>
            </w:pPr>
            <w:r>
              <w:rPr>
                <w:rFonts w:hint="eastAsia"/>
                <w:color w:val="000000"/>
                <w:sz w:val="22"/>
                <w:szCs w:val="22"/>
              </w:rPr>
              <w:t>2、投标供应商信用信息查询截止时点：采购公告至本项目投标截止时间前均可。</w:t>
            </w:r>
          </w:p>
          <w:p>
            <w:pPr>
              <w:spacing w:line="300" w:lineRule="exact"/>
              <w:rPr>
                <w:color w:val="000000"/>
                <w:sz w:val="22"/>
                <w:szCs w:val="22"/>
              </w:rPr>
            </w:pPr>
            <w:r>
              <w:rPr>
                <w:rFonts w:hint="eastAsia"/>
                <w:color w:val="000000"/>
                <w:sz w:val="22"/>
                <w:szCs w:val="22"/>
              </w:rPr>
              <w:t>3、投标供应商信用信息查询记录和证据留存的具体方式：网页截图打印；</w:t>
            </w:r>
          </w:p>
          <w:p>
            <w:pPr>
              <w:spacing w:line="300" w:lineRule="exact"/>
              <w:rPr>
                <w:color w:val="000000"/>
                <w:sz w:val="22"/>
                <w:szCs w:val="22"/>
              </w:rPr>
            </w:pPr>
            <w:r>
              <w:rPr>
                <w:rFonts w:hint="eastAsia"/>
                <w:color w:val="000000"/>
                <w:sz w:val="22"/>
                <w:szCs w:val="22"/>
              </w:rPr>
              <w:t>4、信用信息的使用规则：</w:t>
            </w:r>
            <w:r>
              <w:rPr>
                <w:color w:val="000000"/>
                <w:sz w:val="22"/>
                <w:szCs w:val="22"/>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合同备案</w:t>
            </w:r>
          </w:p>
        </w:tc>
        <w:tc>
          <w:tcPr>
            <w:tcW w:w="8021" w:type="dxa"/>
            <w:vAlign w:val="center"/>
          </w:tcPr>
          <w:p>
            <w:pPr>
              <w:spacing w:line="300" w:lineRule="exact"/>
              <w:rPr>
                <w:color w:val="000000"/>
                <w:sz w:val="22"/>
                <w:szCs w:val="22"/>
              </w:rPr>
            </w:pPr>
            <w:r>
              <w:rPr>
                <w:rFonts w:hint="eastAsia"/>
                <w:color w:val="000000"/>
                <w:sz w:val="22"/>
                <w:szCs w:val="22"/>
              </w:rPr>
              <w:t>1、中标供应商须在中标通知书发出之日起30日内与采购人签订合同。</w:t>
            </w:r>
          </w:p>
          <w:p>
            <w:pPr>
              <w:spacing w:line="300" w:lineRule="exact"/>
              <w:rPr>
                <w:color w:val="000000"/>
                <w:sz w:val="22"/>
                <w:szCs w:val="22"/>
              </w:rPr>
            </w:pPr>
            <w:r>
              <w:rPr>
                <w:rFonts w:hint="eastAsia"/>
                <w:color w:val="000000"/>
                <w:sz w:val="22"/>
                <w:szCs w:val="22"/>
              </w:rPr>
              <w:t>2、中标供应商与采购人签订合同后，采购人按要求给予合同备案。</w:t>
            </w:r>
          </w:p>
          <w:p>
            <w:pPr>
              <w:spacing w:line="300" w:lineRule="exact"/>
              <w:rPr>
                <w:color w:val="000000"/>
                <w:sz w:val="22"/>
                <w:szCs w:val="22"/>
              </w:rPr>
            </w:pPr>
            <w:r>
              <w:rPr>
                <w:rFonts w:hint="eastAsia"/>
                <w:color w:val="000000"/>
                <w:sz w:val="22"/>
                <w:szCs w:val="22"/>
              </w:rPr>
              <w:t>3、本项目政府采购合同按规定在浙江政府采购网（</w:t>
            </w:r>
            <w:r>
              <w:fldChar w:fldCharType="begin"/>
            </w:r>
            <w:r>
              <w:instrText xml:space="preserve"> HYPERLINK "http://www.zjzfcg.gov.cn" </w:instrText>
            </w:r>
            <w:r>
              <w:fldChar w:fldCharType="separate"/>
            </w:r>
            <w:r>
              <w:rPr>
                <w:rFonts w:hint="eastAsia"/>
                <w:color w:val="000000"/>
                <w:sz w:val="22"/>
                <w:szCs w:val="22"/>
              </w:rPr>
              <w:t>http://www.zjzfcg.gov.cn</w:t>
            </w:r>
            <w:r>
              <w:rPr>
                <w:rFonts w:hint="eastAsia"/>
                <w:color w:val="000000"/>
                <w:sz w:val="22"/>
                <w:szCs w:val="22"/>
              </w:rPr>
              <w:fldChar w:fldCharType="end"/>
            </w:r>
            <w:r>
              <w:rPr>
                <w:rFonts w:hint="eastAsia"/>
                <w:color w:val="000000"/>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合同履约管理</w:t>
            </w:r>
          </w:p>
        </w:tc>
        <w:tc>
          <w:tcPr>
            <w:tcW w:w="8021" w:type="dxa"/>
            <w:vAlign w:val="center"/>
          </w:tcPr>
          <w:p>
            <w:pPr>
              <w:spacing w:line="300" w:lineRule="exact"/>
              <w:rPr>
                <w:color w:val="000000"/>
                <w:sz w:val="22"/>
                <w:szCs w:val="22"/>
              </w:rPr>
            </w:pPr>
            <w:r>
              <w:rPr>
                <w:rFonts w:hint="eastAsia"/>
                <w:color w:val="000000"/>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免则声明</w:t>
            </w:r>
          </w:p>
        </w:tc>
        <w:tc>
          <w:tcPr>
            <w:tcW w:w="8021" w:type="dxa"/>
            <w:vAlign w:val="center"/>
          </w:tcPr>
          <w:p>
            <w:pPr>
              <w:spacing w:line="300" w:lineRule="exact"/>
              <w:rPr>
                <w:color w:val="000000"/>
                <w:sz w:val="22"/>
                <w:szCs w:val="22"/>
              </w:rPr>
            </w:pPr>
            <w:r>
              <w:rPr>
                <w:rFonts w:hint="eastAsia"/>
                <w:color w:val="000000"/>
                <w:sz w:val="22"/>
                <w:szCs w:val="22"/>
              </w:rPr>
              <w:t>1、投标供应商自行承担投标过程中产生的费用。无论何种因素导致采购项目延期开标、废标（流标）、投标供应商未中标、项目终止采购的，采购人与代理机构均不承担供应商投标费用。</w:t>
            </w:r>
          </w:p>
          <w:p>
            <w:pPr>
              <w:spacing w:line="300" w:lineRule="exact"/>
              <w:rPr>
                <w:color w:val="000000"/>
                <w:sz w:val="22"/>
                <w:szCs w:val="22"/>
              </w:rPr>
            </w:pPr>
            <w:r>
              <w:rPr>
                <w:rFonts w:hint="eastAsia"/>
                <w:color w:val="000000"/>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vAlign w:val="center"/>
          </w:tcPr>
          <w:p>
            <w:pPr>
              <w:numPr>
                <w:ilvl w:val="0"/>
                <w:numId w:val="14"/>
              </w:numPr>
              <w:tabs>
                <w:tab w:val="left" w:pos="420"/>
                <w:tab w:val="clear" w:pos="720"/>
              </w:tabs>
              <w:spacing w:line="300" w:lineRule="exact"/>
              <w:ind w:left="420" w:hanging="420"/>
              <w:jc w:val="right"/>
              <w:rPr>
                <w:color w:val="000000"/>
                <w:sz w:val="22"/>
                <w:szCs w:val="22"/>
              </w:rPr>
            </w:pPr>
          </w:p>
        </w:tc>
        <w:tc>
          <w:tcPr>
            <w:tcW w:w="1559" w:type="dxa"/>
            <w:vAlign w:val="center"/>
          </w:tcPr>
          <w:p>
            <w:pPr>
              <w:spacing w:line="300" w:lineRule="exact"/>
              <w:jc w:val="center"/>
              <w:rPr>
                <w:color w:val="000000"/>
                <w:sz w:val="22"/>
                <w:szCs w:val="22"/>
              </w:rPr>
            </w:pPr>
            <w:r>
              <w:rPr>
                <w:rFonts w:hint="eastAsia"/>
                <w:color w:val="000000"/>
                <w:sz w:val="22"/>
                <w:szCs w:val="22"/>
              </w:rPr>
              <w:t>解释权</w:t>
            </w:r>
          </w:p>
        </w:tc>
        <w:tc>
          <w:tcPr>
            <w:tcW w:w="8021" w:type="dxa"/>
            <w:vAlign w:val="center"/>
          </w:tcPr>
          <w:p>
            <w:pPr>
              <w:spacing w:line="300" w:lineRule="exact"/>
              <w:rPr>
                <w:color w:val="000000"/>
                <w:sz w:val="22"/>
                <w:szCs w:val="22"/>
              </w:rPr>
            </w:pPr>
            <w:r>
              <w:rPr>
                <w:rFonts w:hint="eastAsia"/>
                <w:color w:val="000000"/>
                <w:sz w:val="22"/>
                <w:szCs w:val="22"/>
              </w:rPr>
              <w:t>构成本招标文件的各个组成文件应互为解释，互为说明；如有不明确或不一致，构成合同文件组成内容的，以中标后签订的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bl>
    <w:p>
      <w:pPr>
        <w:jc w:val="center"/>
        <w:rPr>
          <w:rFonts w:hint="eastAsia"/>
          <w:bCs/>
          <w:color w:val="000000"/>
        </w:rPr>
      </w:pPr>
      <w:r>
        <w:rPr>
          <w:rFonts w:hint="eastAsia"/>
          <w:bCs/>
          <w:color w:val="000000"/>
          <w:sz w:val="22"/>
          <w:szCs w:val="22"/>
        </w:rPr>
        <w:t xml:space="preserve">                                              </w:t>
      </w:r>
    </w:p>
    <w:p>
      <w:pPr>
        <w:rPr>
          <w:rFonts w:hint="eastAsia"/>
          <w:color w:val="000000"/>
        </w:rPr>
      </w:pPr>
    </w:p>
    <w:p>
      <w:pPr>
        <w:pStyle w:val="56"/>
        <w:rPr>
          <w:rFonts w:hint="eastAsia"/>
          <w:color w:val="000000"/>
        </w:rPr>
      </w:pPr>
    </w:p>
    <w:p>
      <w:pPr>
        <w:rPr>
          <w:rFonts w:hint="eastAsia"/>
          <w:color w:val="000000"/>
        </w:rPr>
      </w:pPr>
    </w:p>
    <w:p>
      <w:pPr>
        <w:pStyle w:val="56"/>
        <w:rPr>
          <w:rFonts w:hint="eastAsia"/>
          <w:color w:val="000000"/>
        </w:rPr>
      </w:pPr>
    </w:p>
    <w:p>
      <w:pPr>
        <w:rPr>
          <w:rFonts w:hint="eastAsia"/>
          <w:color w:val="000000"/>
        </w:rPr>
      </w:pPr>
    </w:p>
    <w:p>
      <w:pPr>
        <w:pStyle w:val="56"/>
        <w:rPr>
          <w:rFonts w:hint="eastAsia"/>
          <w:color w:val="000000"/>
        </w:rPr>
      </w:pPr>
    </w:p>
    <w:p>
      <w:pPr>
        <w:rPr>
          <w:rFonts w:hint="eastAsia"/>
          <w:color w:val="000000"/>
        </w:rPr>
      </w:pPr>
    </w:p>
    <w:p>
      <w:pPr>
        <w:pStyle w:val="56"/>
        <w:rPr>
          <w:rFonts w:hint="eastAsia"/>
          <w:color w:val="000000"/>
        </w:rPr>
      </w:pPr>
    </w:p>
    <w:p>
      <w:pPr>
        <w:rPr>
          <w:rFonts w:hint="eastAsia"/>
          <w:color w:val="000000"/>
        </w:rPr>
      </w:pPr>
    </w:p>
    <w:p>
      <w:pPr>
        <w:pStyle w:val="56"/>
        <w:rPr>
          <w:rFonts w:hint="eastAsia"/>
          <w:color w:val="000000"/>
        </w:rPr>
      </w:pPr>
    </w:p>
    <w:p>
      <w:pPr>
        <w:rPr>
          <w:rFonts w:hint="eastAsia"/>
          <w:color w:val="000000"/>
        </w:rPr>
      </w:pPr>
    </w:p>
    <w:p>
      <w:pPr>
        <w:pStyle w:val="56"/>
        <w:rPr>
          <w:rFonts w:hint="eastAsia"/>
          <w:color w:val="000000"/>
        </w:rPr>
      </w:pPr>
    </w:p>
    <w:p>
      <w:pPr>
        <w:rPr>
          <w:rFonts w:hint="eastAsia"/>
          <w:color w:val="000000"/>
        </w:rPr>
      </w:pPr>
    </w:p>
    <w:p>
      <w:pPr>
        <w:pStyle w:val="56"/>
        <w:rPr>
          <w:rFonts w:hint="eastAsia"/>
          <w:color w:val="000000"/>
        </w:rPr>
      </w:pPr>
    </w:p>
    <w:p>
      <w:pPr>
        <w:pStyle w:val="56"/>
        <w:rPr>
          <w:rFonts w:hint="eastAsia"/>
          <w:color w:val="000000"/>
        </w:rPr>
      </w:pPr>
    </w:p>
    <w:p>
      <w:pPr>
        <w:autoSpaceDE w:val="0"/>
        <w:autoSpaceDN w:val="0"/>
        <w:spacing w:line="440" w:lineRule="atLeast"/>
        <w:jc w:val="center"/>
        <w:textAlignment w:val="bottom"/>
        <w:rPr>
          <w:rFonts w:hint="eastAsia"/>
          <w:color w:val="000000"/>
          <w:sz w:val="36"/>
        </w:rPr>
      </w:pPr>
    </w:p>
    <w:p>
      <w:pPr>
        <w:autoSpaceDE w:val="0"/>
        <w:autoSpaceDN w:val="0"/>
        <w:spacing w:line="440" w:lineRule="atLeast"/>
        <w:jc w:val="center"/>
        <w:textAlignment w:val="bottom"/>
        <w:rPr>
          <w:rFonts w:hint="eastAsia"/>
          <w:color w:val="000000"/>
          <w:sz w:val="36"/>
        </w:rPr>
      </w:pPr>
      <w:r>
        <w:rPr>
          <w:rFonts w:hint="eastAsia"/>
          <w:color w:val="000000"/>
          <w:sz w:val="36"/>
        </w:rPr>
        <w:t>招标文件目录</w:t>
      </w:r>
    </w:p>
    <w:p>
      <w:pPr>
        <w:autoSpaceDE w:val="0"/>
        <w:autoSpaceDN w:val="0"/>
        <w:snapToGrid w:val="0"/>
        <w:spacing w:line="440" w:lineRule="atLeast"/>
        <w:textAlignment w:val="bottom"/>
        <w:rPr>
          <w:rFonts w:hint="eastAsia"/>
          <w:color w:val="000000"/>
          <w:sz w:val="28"/>
        </w:rPr>
      </w:pPr>
      <w:r>
        <w:rPr>
          <w:rFonts w:hint="eastAsia"/>
          <w:color w:val="000000"/>
          <w:sz w:val="28"/>
        </w:rPr>
        <w:t xml:space="preserve"> </w:t>
      </w:r>
    </w:p>
    <w:p>
      <w:pPr>
        <w:autoSpaceDE w:val="0"/>
        <w:autoSpaceDN w:val="0"/>
        <w:spacing w:line="440" w:lineRule="atLeast"/>
        <w:ind w:firstLine="323" w:firstLineChars="147"/>
        <w:textAlignment w:val="bottom"/>
        <w:rPr>
          <w:rFonts w:hint="eastAsia"/>
          <w:color w:val="000000"/>
          <w:sz w:val="36"/>
        </w:rPr>
      </w:pPr>
      <w:r>
        <w:rPr>
          <w:rFonts w:hint="eastAsia"/>
          <w:color w:val="000000"/>
          <w:sz w:val="22"/>
          <w:szCs w:val="22"/>
        </w:rPr>
        <w:t>第一部分、项目简介</w:t>
      </w:r>
    </w:p>
    <w:p>
      <w:pPr>
        <w:autoSpaceDE w:val="0"/>
        <w:autoSpaceDN w:val="0"/>
        <w:snapToGrid w:val="0"/>
        <w:spacing w:line="440" w:lineRule="atLeast"/>
        <w:textAlignment w:val="bottom"/>
        <w:rPr>
          <w:rFonts w:hint="eastAsia"/>
          <w:color w:val="000000"/>
          <w:sz w:val="22"/>
          <w:szCs w:val="22"/>
        </w:rPr>
      </w:pPr>
      <w:r>
        <w:rPr>
          <w:rFonts w:hint="eastAsia"/>
          <w:color w:val="000000"/>
          <w:sz w:val="22"/>
          <w:szCs w:val="22"/>
        </w:rPr>
        <w:t xml:space="preserve">   第二部分、招标内容及要求</w:t>
      </w:r>
    </w:p>
    <w:p>
      <w:pPr>
        <w:autoSpaceDE w:val="0"/>
        <w:autoSpaceDN w:val="0"/>
        <w:snapToGrid w:val="0"/>
        <w:spacing w:line="440" w:lineRule="atLeast"/>
        <w:textAlignment w:val="bottom"/>
        <w:rPr>
          <w:rFonts w:hint="eastAsia"/>
          <w:color w:val="000000"/>
          <w:sz w:val="22"/>
          <w:szCs w:val="22"/>
        </w:rPr>
      </w:pPr>
      <w:r>
        <w:rPr>
          <w:rFonts w:hint="eastAsia"/>
          <w:color w:val="000000"/>
          <w:sz w:val="22"/>
          <w:szCs w:val="22"/>
        </w:rPr>
        <w:t xml:space="preserve">   第三部分、供应商须知</w:t>
      </w:r>
    </w:p>
    <w:p>
      <w:pPr>
        <w:autoSpaceDE w:val="0"/>
        <w:autoSpaceDN w:val="0"/>
        <w:snapToGrid w:val="0"/>
        <w:spacing w:line="440" w:lineRule="atLeast"/>
        <w:textAlignment w:val="bottom"/>
        <w:rPr>
          <w:rFonts w:hint="eastAsia"/>
          <w:color w:val="000000"/>
          <w:sz w:val="22"/>
          <w:szCs w:val="22"/>
        </w:rPr>
      </w:pPr>
      <w:r>
        <w:rPr>
          <w:rFonts w:hint="eastAsia"/>
          <w:color w:val="000000"/>
          <w:sz w:val="22"/>
          <w:szCs w:val="22"/>
        </w:rPr>
        <w:t xml:space="preserve">   第四部分、政府采购政策功能相关说明</w:t>
      </w:r>
    </w:p>
    <w:p>
      <w:pPr>
        <w:autoSpaceDE w:val="0"/>
        <w:autoSpaceDN w:val="0"/>
        <w:snapToGrid w:val="0"/>
        <w:spacing w:line="440" w:lineRule="atLeast"/>
        <w:ind w:firstLine="330" w:firstLineChars="150"/>
        <w:textAlignment w:val="bottom"/>
        <w:rPr>
          <w:rFonts w:hint="eastAsia"/>
          <w:color w:val="000000"/>
          <w:sz w:val="22"/>
          <w:szCs w:val="22"/>
        </w:rPr>
      </w:pPr>
      <w:r>
        <w:rPr>
          <w:rFonts w:hint="eastAsia"/>
          <w:color w:val="000000"/>
          <w:sz w:val="22"/>
          <w:szCs w:val="22"/>
        </w:rPr>
        <w:t>第五部分、合同格式</w:t>
      </w:r>
    </w:p>
    <w:p>
      <w:pPr>
        <w:autoSpaceDE w:val="0"/>
        <w:autoSpaceDN w:val="0"/>
        <w:snapToGrid w:val="0"/>
        <w:spacing w:line="440" w:lineRule="atLeast"/>
        <w:textAlignment w:val="bottom"/>
        <w:rPr>
          <w:rFonts w:hint="eastAsia"/>
          <w:color w:val="000000"/>
          <w:sz w:val="22"/>
          <w:szCs w:val="22"/>
        </w:rPr>
      </w:pPr>
      <w:r>
        <w:rPr>
          <w:rFonts w:hint="eastAsia"/>
          <w:color w:val="000000"/>
          <w:sz w:val="22"/>
          <w:szCs w:val="22"/>
        </w:rPr>
        <w:t xml:space="preserve">   第六部分、附件：投标文件格式</w:t>
      </w:r>
    </w:p>
    <w:p>
      <w:pPr>
        <w:autoSpaceDE w:val="0"/>
        <w:autoSpaceDN w:val="0"/>
        <w:snapToGrid w:val="0"/>
        <w:spacing w:line="440" w:lineRule="atLeast"/>
        <w:textAlignment w:val="bottom"/>
        <w:rPr>
          <w:rFonts w:hint="eastAsia"/>
          <w:color w:val="000000"/>
          <w:sz w:val="22"/>
          <w:szCs w:val="22"/>
        </w:rPr>
      </w:pPr>
      <w:r>
        <w:rPr>
          <w:rFonts w:hint="eastAsia"/>
          <w:color w:val="000000"/>
          <w:sz w:val="22"/>
          <w:szCs w:val="22"/>
        </w:rPr>
        <w:t xml:space="preserve">   第七部分、评标办法</w:t>
      </w:r>
    </w:p>
    <w:p>
      <w:pPr>
        <w:autoSpaceDE w:val="0"/>
        <w:autoSpaceDN w:val="0"/>
        <w:snapToGrid w:val="0"/>
        <w:spacing w:line="440" w:lineRule="atLeast"/>
        <w:ind w:firstLine="431" w:firstLineChars="196"/>
        <w:textAlignment w:val="bottom"/>
        <w:rPr>
          <w:rFonts w:hint="eastAsia"/>
          <w:color w:val="000000"/>
          <w:sz w:val="22"/>
          <w:szCs w:val="22"/>
        </w:rPr>
      </w:pPr>
      <w:r>
        <w:rPr>
          <w:rFonts w:hint="eastAsia"/>
          <w:color w:val="000000"/>
          <w:sz w:val="22"/>
          <w:szCs w:val="22"/>
        </w:rPr>
        <w:t>附：质疑函范本</w:t>
      </w:r>
    </w:p>
    <w:p>
      <w:pPr>
        <w:pStyle w:val="56"/>
        <w:spacing w:before="0" w:after="0" w:line="420" w:lineRule="exact"/>
        <w:rPr>
          <w:rFonts w:hint="eastAsia"/>
          <w:color w:val="000000"/>
          <w:lang w:val="zh-CN"/>
        </w:rPr>
      </w:pPr>
    </w:p>
    <w:p>
      <w:pPr>
        <w:rPr>
          <w:rFonts w:hint="eastAsia"/>
          <w:color w:val="000000"/>
          <w:lang w:val="zh-CN"/>
        </w:rPr>
      </w:pPr>
    </w:p>
    <w:p>
      <w:pPr>
        <w:pStyle w:val="56"/>
        <w:rPr>
          <w:rFonts w:hint="eastAsia"/>
          <w:color w:val="000000"/>
          <w:lang w:val="zh-CN"/>
        </w:rPr>
      </w:pPr>
    </w:p>
    <w:p>
      <w:pPr>
        <w:rPr>
          <w:rFonts w:hint="eastAsia"/>
          <w:color w:val="000000"/>
          <w:lang w:val="zh-CN"/>
        </w:rPr>
      </w:pPr>
    </w:p>
    <w:p>
      <w:pPr>
        <w:pStyle w:val="56"/>
        <w:rPr>
          <w:rFonts w:hint="eastAsia"/>
          <w:color w:val="000000"/>
          <w:lang w:val="zh-CN"/>
        </w:rPr>
      </w:pPr>
    </w:p>
    <w:p>
      <w:pPr>
        <w:rPr>
          <w:rFonts w:hint="eastAsia"/>
          <w:color w:val="000000"/>
          <w:lang w:val="zh-CN"/>
        </w:rPr>
      </w:pPr>
    </w:p>
    <w:p>
      <w:pPr>
        <w:pStyle w:val="56"/>
        <w:rPr>
          <w:rFonts w:hint="eastAsia"/>
          <w:color w:val="000000"/>
          <w:lang w:val="zh-CN"/>
        </w:rPr>
      </w:pPr>
    </w:p>
    <w:p>
      <w:pPr>
        <w:rPr>
          <w:rFonts w:hint="eastAsia"/>
          <w:color w:val="000000"/>
          <w:lang w:val="zh-CN"/>
        </w:rPr>
      </w:pPr>
    </w:p>
    <w:p>
      <w:pPr>
        <w:pStyle w:val="56"/>
        <w:rPr>
          <w:rFonts w:hint="eastAsia"/>
          <w:color w:val="000000"/>
          <w:lang w:val="zh-CN"/>
        </w:rPr>
      </w:pPr>
    </w:p>
    <w:p>
      <w:pPr>
        <w:rPr>
          <w:rFonts w:hint="eastAsia"/>
          <w:color w:val="000000"/>
          <w:lang w:val="zh-CN"/>
        </w:rPr>
      </w:pPr>
    </w:p>
    <w:p>
      <w:pPr>
        <w:pStyle w:val="56"/>
        <w:rPr>
          <w:rFonts w:hint="eastAsia"/>
          <w:color w:val="000000"/>
          <w:lang w:val="zh-CN"/>
        </w:rPr>
      </w:pPr>
    </w:p>
    <w:p>
      <w:pPr>
        <w:rPr>
          <w:rFonts w:hint="eastAsia"/>
          <w:color w:val="000000"/>
          <w:lang w:val="zh-CN"/>
        </w:rPr>
      </w:pPr>
    </w:p>
    <w:p>
      <w:pPr>
        <w:pStyle w:val="56"/>
        <w:rPr>
          <w:rFonts w:hint="eastAsia"/>
          <w:color w:val="000000"/>
          <w:lang w:val="zh-CN"/>
        </w:rPr>
      </w:pPr>
    </w:p>
    <w:p>
      <w:pPr>
        <w:rPr>
          <w:rFonts w:hint="eastAsia"/>
          <w:color w:val="000000"/>
          <w:lang w:val="zh-CN"/>
        </w:rPr>
      </w:pPr>
    </w:p>
    <w:p>
      <w:pPr>
        <w:pStyle w:val="56"/>
        <w:spacing w:before="0" w:after="0" w:line="420" w:lineRule="exact"/>
        <w:rPr>
          <w:rFonts w:hint="eastAsia"/>
          <w:color w:val="000000"/>
          <w:lang w:val="zh-CN"/>
        </w:rPr>
      </w:pPr>
    </w:p>
    <w:p>
      <w:pPr>
        <w:rPr>
          <w:rFonts w:hint="eastAsia"/>
          <w:color w:val="000000"/>
          <w:lang w:val="zh-CN"/>
        </w:rPr>
      </w:pPr>
    </w:p>
    <w:p>
      <w:pPr>
        <w:pStyle w:val="56"/>
        <w:spacing w:before="0" w:after="0" w:line="420" w:lineRule="exact"/>
        <w:rPr>
          <w:rFonts w:hint="eastAsia"/>
          <w:color w:val="000000"/>
          <w:lang w:val="zh-CN"/>
        </w:rPr>
      </w:pPr>
    </w:p>
    <w:p>
      <w:pPr>
        <w:pStyle w:val="56"/>
        <w:spacing w:before="0" w:after="0" w:line="420" w:lineRule="exact"/>
        <w:rPr>
          <w:rFonts w:hint="eastAsia"/>
          <w:color w:val="000000"/>
          <w:lang w:val="zh-CN"/>
        </w:rPr>
      </w:pPr>
      <w:r>
        <w:rPr>
          <w:rFonts w:hint="eastAsia"/>
          <w:color w:val="000000"/>
          <w:lang w:val="zh-CN"/>
        </w:rPr>
        <w:t>第一部分     项目简介</w:t>
      </w:r>
    </w:p>
    <w:p>
      <w:pPr>
        <w:pStyle w:val="48"/>
        <w:adjustRightInd w:val="0"/>
        <w:snapToGrid w:val="0"/>
        <w:spacing w:line="460" w:lineRule="exact"/>
        <w:ind w:firstLine="0" w:firstLineChars="0"/>
        <w:outlineLvl w:val="0"/>
        <w:rPr>
          <w:rFonts w:hint="eastAsia" w:ascii="宋体" w:hAnsi="宋体" w:eastAsia="宋体"/>
          <w:b/>
          <w:sz w:val="22"/>
          <w:szCs w:val="22"/>
        </w:rPr>
      </w:pPr>
      <w:bookmarkStart w:id="1" w:name="_Toc444066171"/>
      <w:r>
        <w:rPr>
          <w:rFonts w:hint="eastAsia" w:ascii="宋体" w:hAnsi="宋体" w:eastAsia="宋体"/>
          <w:b/>
          <w:sz w:val="22"/>
          <w:szCs w:val="22"/>
        </w:rPr>
        <w:t>一、项目简介</w:t>
      </w:r>
    </w:p>
    <w:p>
      <w:pPr>
        <w:snapToGrid w:val="0"/>
        <w:spacing w:line="460" w:lineRule="exact"/>
        <w:ind w:firstLine="541" w:firstLineChars="246"/>
        <w:rPr>
          <w:rFonts w:hint="eastAsia"/>
          <w:bCs/>
          <w:color w:val="000000"/>
          <w:sz w:val="22"/>
          <w:szCs w:val="22"/>
        </w:rPr>
      </w:pPr>
      <w:r>
        <w:rPr>
          <w:rFonts w:hint="eastAsia"/>
          <w:color w:val="000000"/>
          <w:sz w:val="22"/>
          <w:szCs w:val="22"/>
        </w:rPr>
        <w:t>平阳县公共资源交易中心受平阳县南麂镇人民政府委托，</w:t>
      </w:r>
      <w:r>
        <w:rPr>
          <w:color w:val="000000"/>
          <w:sz w:val="22"/>
          <w:szCs w:val="22"/>
        </w:rPr>
        <w:t>以公开招标方式采购</w:t>
      </w:r>
      <w:r>
        <w:rPr>
          <w:rFonts w:hint="eastAsia"/>
          <w:color w:val="000000"/>
          <w:sz w:val="22"/>
          <w:szCs w:val="22"/>
          <w:lang w:eastAsia="zh-CN"/>
        </w:rPr>
        <w:t>海洋牧歌田园综合体―数字南麂设备采购项目</w:t>
      </w:r>
      <w:r>
        <w:rPr>
          <w:rFonts w:hint="eastAsia"/>
          <w:color w:val="000000"/>
          <w:sz w:val="22"/>
          <w:szCs w:val="22"/>
        </w:rPr>
        <w:t>，本次招标资金已经落实。</w:t>
      </w:r>
    </w:p>
    <w:p>
      <w:pPr>
        <w:autoSpaceDE w:val="0"/>
        <w:autoSpaceDN w:val="0"/>
        <w:adjustRightInd w:val="0"/>
        <w:snapToGrid w:val="0"/>
        <w:spacing w:line="460" w:lineRule="exact"/>
        <w:ind w:firstLine="545" w:firstLineChars="248"/>
        <w:textAlignment w:val="bottom"/>
        <w:rPr>
          <w:rFonts w:hint="eastAsia"/>
          <w:color w:val="000000"/>
          <w:sz w:val="22"/>
          <w:szCs w:val="22"/>
        </w:rPr>
      </w:pPr>
      <w:r>
        <w:rPr>
          <w:rFonts w:hint="eastAsia"/>
          <w:color w:val="000000"/>
          <w:sz w:val="22"/>
          <w:szCs w:val="22"/>
        </w:rPr>
        <w:t>我们热情欢迎有关公司（企业）前来进行投标。</w:t>
      </w:r>
    </w:p>
    <w:p>
      <w:pPr>
        <w:autoSpaceDE w:val="0"/>
        <w:autoSpaceDN w:val="0"/>
        <w:adjustRightInd w:val="0"/>
        <w:snapToGrid w:val="0"/>
        <w:spacing w:line="460" w:lineRule="exact"/>
        <w:jc w:val="center"/>
        <w:textAlignment w:val="bottom"/>
        <w:rPr>
          <w:rFonts w:hint="eastAsia"/>
          <w:b/>
          <w:color w:val="000000"/>
          <w:sz w:val="36"/>
        </w:rPr>
      </w:pPr>
      <w:r>
        <w:rPr>
          <w:rFonts w:hint="eastAsia"/>
          <w:b/>
          <w:color w:val="000000"/>
          <w:sz w:val="36"/>
        </w:rPr>
        <w:t>第二部分     招标内容及技术要求</w:t>
      </w:r>
      <w:bookmarkStart w:id="2" w:name="_Toc142902564"/>
    </w:p>
    <w:bookmarkEnd w:id="2"/>
    <w:p>
      <w:pPr>
        <w:autoSpaceDE w:val="0"/>
        <w:autoSpaceDN w:val="0"/>
        <w:adjustRightInd w:val="0"/>
        <w:snapToGrid w:val="0"/>
        <w:spacing w:line="460" w:lineRule="exact"/>
        <w:outlineLvl w:val="0"/>
        <w:rPr>
          <w:rFonts w:hint="eastAsia"/>
          <w:b/>
          <w:color w:val="000000"/>
          <w:sz w:val="22"/>
          <w:szCs w:val="22"/>
        </w:rPr>
      </w:pPr>
      <w:r>
        <w:rPr>
          <w:rFonts w:hint="eastAsia"/>
          <w:b/>
          <w:color w:val="000000"/>
          <w:sz w:val="22"/>
          <w:szCs w:val="22"/>
        </w:rPr>
        <w:t>一、总则</w:t>
      </w:r>
    </w:p>
    <w:p>
      <w:pPr>
        <w:pStyle w:val="33"/>
        <w:adjustRightInd w:val="0"/>
        <w:snapToGrid w:val="0"/>
        <w:spacing w:line="460" w:lineRule="exact"/>
        <w:ind w:firstLine="482"/>
        <w:rPr>
          <w:rFonts w:hint="eastAsia" w:hAnsi="宋体"/>
          <w:color w:val="000000"/>
          <w:sz w:val="22"/>
          <w:szCs w:val="22"/>
        </w:rPr>
      </w:pPr>
      <w:r>
        <w:rPr>
          <w:rFonts w:hint="eastAsia" w:hAnsi="宋体"/>
          <w:color w:val="000000"/>
          <w:sz w:val="22"/>
          <w:szCs w:val="22"/>
        </w:rPr>
        <w:t>1.1本技术规范要求提出的是最低限度的基本技术要求，并未对所有技术细节作出规定，供应商应提供符合本技术要求和国家标准、行业标准的优质产品。</w:t>
      </w:r>
    </w:p>
    <w:p>
      <w:pPr>
        <w:pStyle w:val="33"/>
        <w:adjustRightInd w:val="0"/>
        <w:snapToGrid w:val="0"/>
        <w:spacing w:line="460" w:lineRule="exact"/>
        <w:ind w:firstLine="482"/>
        <w:rPr>
          <w:rFonts w:hint="eastAsia" w:hAnsi="宋体"/>
          <w:color w:val="000000"/>
          <w:sz w:val="22"/>
          <w:szCs w:val="22"/>
        </w:rPr>
      </w:pPr>
      <w:r>
        <w:rPr>
          <w:rFonts w:hint="eastAsia" w:hAnsi="宋体"/>
          <w:color w:val="000000"/>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33"/>
        <w:adjustRightInd w:val="0"/>
        <w:snapToGrid w:val="0"/>
        <w:spacing w:line="460" w:lineRule="exact"/>
        <w:ind w:firstLine="482"/>
        <w:rPr>
          <w:rFonts w:hint="eastAsia" w:hAnsi="宋体"/>
          <w:color w:val="000000"/>
          <w:sz w:val="22"/>
          <w:szCs w:val="22"/>
        </w:rPr>
      </w:pPr>
      <w:r>
        <w:rPr>
          <w:rFonts w:hint="eastAsia" w:hAnsi="宋体"/>
          <w:color w:val="000000"/>
          <w:sz w:val="22"/>
          <w:szCs w:val="22"/>
        </w:rPr>
        <w:t>2、技术要求及标准的执行</w:t>
      </w:r>
    </w:p>
    <w:p>
      <w:pPr>
        <w:pStyle w:val="33"/>
        <w:adjustRightInd w:val="0"/>
        <w:snapToGrid w:val="0"/>
        <w:spacing w:line="460" w:lineRule="exact"/>
        <w:ind w:firstLine="482"/>
        <w:rPr>
          <w:rFonts w:hint="eastAsia" w:hAnsi="宋体"/>
          <w:color w:val="000000"/>
          <w:sz w:val="22"/>
          <w:szCs w:val="22"/>
        </w:rPr>
      </w:pPr>
      <w:r>
        <w:rPr>
          <w:rFonts w:hint="eastAsia" w:hAnsi="宋体"/>
          <w:color w:val="000000"/>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autoSpaceDE w:val="0"/>
        <w:autoSpaceDN w:val="0"/>
        <w:snapToGrid w:val="0"/>
        <w:spacing w:line="420" w:lineRule="exact"/>
        <w:ind w:firstLine="440" w:firstLineChars="200"/>
        <w:textAlignment w:val="bottom"/>
        <w:rPr>
          <w:rFonts w:hint="eastAsia"/>
          <w:color w:val="000000"/>
          <w:sz w:val="22"/>
          <w:szCs w:val="22"/>
          <w:lang w:val="zh-CN"/>
        </w:rPr>
      </w:pPr>
      <w:r>
        <w:rPr>
          <w:rFonts w:hint="eastAsia"/>
          <w:color w:val="000000"/>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cs="Arial"/>
          <w:color w:val="000000"/>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color w:val="000000"/>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autoSpaceDE w:val="0"/>
        <w:autoSpaceDN w:val="0"/>
        <w:snapToGrid w:val="0"/>
        <w:spacing w:line="420" w:lineRule="exact"/>
        <w:ind w:firstLine="442" w:firstLineChars="200"/>
        <w:textAlignment w:val="bottom"/>
        <w:rPr>
          <w:rFonts w:hint="eastAsia"/>
          <w:b/>
          <w:color w:val="000000"/>
          <w:sz w:val="22"/>
        </w:rPr>
      </w:pPr>
      <w:r>
        <w:rPr>
          <w:rFonts w:hint="eastAsia"/>
          <w:b/>
          <w:color w:val="000000"/>
          <w:sz w:val="22"/>
          <w:szCs w:val="22"/>
        </w:rPr>
        <w:t>二、 采购总内容</w:t>
      </w:r>
      <w:r>
        <w:rPr>
          <w:rFonts w:hint="eastAsia"/>
          <w:b/>
          <w:color w:val="000000"/>
          <w:sz w:val="22"/>
        </w:rPr>
        <w:t>（</w:t>
      </w:r>
      <w:r>
        <w:rPr>
          <w:rFonts w:hint="eastAsia"/>
          <w:b/>
          <w:color w:val="000000"/>
          <w:sz w:val="22"/>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b/>
          <w:color w:val="000000"/>
          <w:sz w:val="22"/>
        </w:rPr>
        <w:t>）</w:t>
      </w:r>
      <w:bookmarkEnd w:id="1"/>
    </w:p>
    <w:p>
      <w:pPr>
        <w:autoSpaceDE w:val="0"/>
        <w:autoSpaceDN w:val="0"/>
        <w:adjustRightInd w:val="0"/>
        <w:snapToGrid w:val="0"/>
        <w:spacing w:line="420" w:lineRule="exact"/>
        <w:rPr>
          <w:rFonts w:hint="eastAsia" w:cs="Arial"/>
          <w:b/>
          <w:color w:val="000000"/>
          <w:sz w:val="22"/>
          <w:szCs w:val="22"/>
        </w:rPr>
      </w:pPr>
      <w:r>
        <w:rPr>
          <w:rFonts w:hint="eastAsia" w:cs="Arial"/>
          <w:b/>
          <w:color w:val="000000"/>
          <w:sz w:val="22"/>
          <w:szCs w:val="22"/>
        </w:rPr>
        <w:t>1、采购清单及详细技术要求</w:t>
      </w:r>
    </w:p>
    <w:tbl>
      <w:tblPr>
        <w:tblStyle w:val="58"/>
        <w:tblW w:w="9434" w:type="dxa"/>
        <w:tblInd w:w="93" w:type="dxa"/>
        <w:tblLayout w:type="fixed"/>
        <w:tblCellMar>
          <w:top w:w="0" w:type="dxa"/>
          <w:left w:w="108" w:type="dxa"/>
          <w:bottom w:w="0" w:type="dxa"/>
          <w:right w:w="108" w:type="dxa"/>
        </w:tblCellMar>
      </w:tblPr>
      <w:tblGrid>
        <w:gridCol w:w="816"/>
        <w:gridCol w:w="1080"/>
        <w:gridCol w:w="5340"/>
        <w:gridCol w:w="1279"/>
        <w:gridCol w:w="919"/>
      </w:tblGrid>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b/>
                <w:bCs/>
                <w:color w:val="000000"/>
                <w:sz w:val="20"/>
                <w:szCs w:val="20"/>
              </w:rPr>
            </w:pPr>
            <w:r>
              <w:rPr>
                <w:rFonts w:hint="eastAsia"/>
                <w:b/>
                <w:bCs/>
                <w:color w:val="000000"/>
                <w:sz w:val="20"/>
                <w:szCs w:val="20"/>
              </w:rPr>
              <w:t>序号</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b/>
                <w:bCs/>
                <w:color w:val="000000"/>
                <w:sz w:val="20"/>
                <w:szCs w:val="20"/>
              </w:rPr>
            </w:pPr>
            <w:r>
              <w:rPr>
                <w:rFonts w:hint="eastAsia"/>
                <w:b/>
                <w:bCs/>
                <w:color w:val="000000"/>
                <w:sz w:val="20"/>
                <w:szCs w:val="20"/>
              </w:rPr>
              <w:t>名称</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b/>
                <w:bCs/>
                <w:color w:val="000000"/>
                <w:sz w:val="20"/>
                <w:szCs w:val="20"/>
              </w:rPr>
            </w:pPr>
            <w:r>
              <w:rPr>
                <w:rFonts w:hint="eastAsia"/>
                <w:b/>
                <w:bCs/>
                <w:color w:val="000000"/>
                <w:sz w:val="20"/>
                <w:szCs w:val="20"/>
              </w:rPr>
              <w:t>技术规格</w:t>
            </w:r>
          </w:p>
        </w:tc>
        <w:tc>
          <w:tcPr>
            <w:tcW w:w="1279"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b/>
                <w:bCs/>
                <w:color w:val="000000"/>
                <w:sz w:val="20"/>
                <w:szCs w:val="20"/>
              </w:rPr>
            </w:pPr>
            <w:r>
              <w:rPr>
                <w:rFonts w:hint="eastAsia"/>
                <w:b/>
                <w:bCs/>
                <w:color w:val="000000"/>
                <w:sz w:val="20"/>
                <w:szCs w:val="20"/>
              </w:rPr>
              <w:t>单位</w:t>
            </w:r>
          </w:p>
        </w:tc>
        <w:tc>
          <w:tcPr>
            <w:tcW w:w="9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b/>
                <w:bCs/>
                <w:color w:val="000000"/>
                <w:sz w:val="20"/>
                <w:szCs w:val="20"/>
              </w:rPr>
            </w:pPr>
            <w:r>
              <w:rPr>
                <w:rFonts w:hint="eastAsia"/>
                <w:b/>
                <w:bCs/>
                <w:color w:val="000000"/>
                <w:sz w:val="20"/>
                <w:szCs w:val="20"/>
              </w:rPr>
              <w:t>数量</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b/>
                <w:bCs/>
                <w:color w:val="000000"/>
                <w:sz w:val="20"/>
                <w:szCs w:val="20"/>
              </w:rPr>
            </w:pPr>
            <w:r>
              <w:rPr>
                <w:rFonts w:hint="eastAsia"/>
                <w:b/>
                <w:bCs/>
                <w:color w:val="000000"/>
                <w:sz w:val="20"/>
                <w:szCs w:val="20"/>
              </w:rPr>
              <w:t>一、一层展示中心</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b/>
                <w:bCs/>
                <w:color w:val="000000"/>
                <w:sz w:val="20"/>
                <w:szCs w:val="20"/>
              </w:rPr>
            </w:pPr>
            <w:r>
              <w:rPr>
                <w:rFonts w:hint="eastAsia"/>
                <w:b/>
                <w:bCs/>
                <w:color w:val="000000"/>
                <w:sz w:val="20"/>
                <w:szCs w:val="20"/>
              </w:rPr>
              <w:t>1.1、大屏展示系统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室内全彩显示屏</w:t>
            </w:r>
          </w:p>
        </w:tc>
        <w:tc>
          <w:tcPr>
            <w:tcW w:w="5340" w:type="dxa"/>
            <w:tcBorders>
              <w:top w:val="single" w:color="000000" w:sz="4" w:space="0"/>
              <w:left w:val="single" w:color="000000" w:sz="4" w:space="0"/>
              <w:bottom w:val="single" w:color="000000" w:sz="4" w:space="0"/>
              <w:right w:val="single" w:color="000000" w:sz="4" w:space="0"/>
            </w:tcBorders>
            <w:vAlign w:val="center"/>
          </w:tcPr>
          <w:p>
            <w:pPr>
              <w:rPr>
                <w:rFonts w:hint="eastAsia"/>
                <w:color w:val="000000"/>
                <w:sz w:val="20"/>
                <w:szCs w:val="20"/>
                <w:highlight w:val="none"/>
              </w:rPr>
            </w:pPr>
            <w:r>
              <w:rPr>
                <w:rFonts w:hint="eastAsia"/>
                <w:color w:val="000000"/>
                <w:sz w:val="20"/>
                <w:szCs w:val="20"/>
                <w:highlight w:val="none"/>
                <w:lang w:val="en-US" w:eastAsia="zh-CN"/>
              </w:rPr>
              <w:t>1、</w:t>
            </w:r>
            <w:r>
              <w:rPr>
                <w:rFonts w:hint="eastAsia"/>
                <w:color w:val="000000"/>
                <w:sz w:val="20"/>
                <w:szCs w:val="20"/>
                <w:highlight w:val="none"/>
              </w:rPr>
              <w:t>显示屏尺寸≥4.16m*2.24m</w:t>
            </w:r>
            <w:r>
              <w:rPr>
                <w:rFonts w:hint="eastAsia"/>
                <w:color w:val="000000"/>
                <w:sz w:val="20"/>
                <w:szCs w:val="20"/>
                <w:highlight w:val="none"/>
              </w:rPr>
              <w:br w:type="textWrapping"/>
            </w:r>
            <w:r>
              <w:rPr>
                <w:rFonts w:hint="eastAsia"/>
                <w:color w:val="000000"/>
                <w:sz w:val="20"/>
                <w:szCs w:val="20"/>
                <w:highlight w:val="none"/>
              </w:rPr>
              <w:t>▲2、像素点间距≤1.66mm</w:t>
            </w:r>
            <w:r>
              <w:rPr>
                <w:rFonts w:hint="eastAsia"/>
                <w:color w:val="000000"/>
                <w:sz w:val="20"/>
                <w:szCs w:val="20"/>
                <w:highlight w:val="none"/>
              </w:rPr>
              <w:br w:type="textWrapping"/>
            </w:r>
            <w:r>
              <w:rPr>
                <w:rFonts w:hint="eastAsia"/>
                <w:color w:val="000000"/>
                <w:sz w:val="20"/>
                <w:szCs w:val="20"/>
                <w:highlight w:val="none"/>
              </w:rPr>
              <w:t>3、像素密度：单元大小为320mm×160mm的像素密度</w:t>
            </w:r>
            <w:r>
              <w:rPr>
                <w:rFonts w:hint="eastAsia"/>
                <w:color w:val="000000"/>
                <w:sz w:val="20"/>
                <w:szCs w:val="20"/>
                <w:highlight w:val="none"/>
              </w:rPr>
              <w:br w:type="textWrapping"/>
            </w:r>
            <w:r>
              <w:rPr>
                <w:rFonts w:hint="eastAsia"/>
                <w:color w:val="000000"/>
                <w:sz w:val="20"/>
                <w:szCs w:val="20"/>
                <w:highlight w:val="none"/>
              </w:rPr>
              <w:t>4、模组平整度≤0.05mm，拼接缝≤0.05mm</w:t>
            </w:r>
            <w:r>
              <w:rPr>
                <w:rFonts w:hint="eastAsia"/>
                <w:color w:val="000000"/>
                <w:sz w:val="20"/>
                <w:szCs w:val="20"/>
                <w:highlight w:val="none"/>
              </w:rPr>
              <w:br w:type="textWrapping"/>
            </w:r>
            <w:r>
              <w:rPr>
                <w:rFonts w:hint="eastAsia"/>
                <w:color w:val="000000"/>
                <w:sz w:val="20"/>
                <w:szCs w:val="20"/>
                <w:highlight w:val="none"/>
              </w:rPr>
              <w:t>★5、驱动芯片功能：具有列下消隐功能、倍频刷新率提升2/4/8倍、低灰偏色改善（需提供第三方有资质机构出具的检测报告并加盖供应商公章）</w:t>
            </w:r>
          </w:p>
          <w:p>
            <w:pPr>
              <w:rPr>
                <w:rFonts w:hint="eastAsia"/>
                <w:sz w:val="21"/>
                <w:szCs w:val="21"/>
                <w:highlight w:val="none"/>
              </w:rPr>
            </w:pPr>
            <w:r>
              <w:rPr>
                <w:rFonts w:hint="eastAsia"/>
                <w:color w:val="000000"/>
                <w:sz w:val="20"/>
                <w:szCs w:val="20"/>
                <w:highlight w:val="none"/>
              </w:rPr>
              <w:t>6、调节软件设置项：支持鬼影消除、首行暗亮消除、低灰偏色补偿、低灰均匀性、低灰横条纹消除、慢速开启、十字架消除、去坏点、毛毛虫消除、余辉消除、亮度缓慢变亮功能</w:t>
            </w:r>
            <w:r>
              <w:rPr>
                <w:rFonts w:hint="eastAsia"/>
                <w:color w:val="000000"/>
                <w:sz w:val="20"/>
                <w:szCs w:val="20"/>
                <w:highlight w:val="none"/>
              </w:rPr>
              <w:br w:type="textWrapping"/>
            </w:r>
            <w:r>
              <w:rPr>
                <w:rFonts w:hint="eastAsia"/>
                <w:color w:val="000000"/>
                <w:sz w:val="20"/>
                <w:szCs w:val="20"/>
                <w:highlight w:val="none"/>
              </w:rPr>
              <w:t>7、亮度≥700Cd/m²，亮度均匀性≥98%</w:t>
            </w:r>
            <w:r>
              <w:rPr>
                <w:rFonts w:hint="eastAsia"/>
                <w:color w:val="000000"/>
                <w:sz w:val="20"/>
                <w:szCs w:val="20"/>
                <w:highlight w:val="none"/>
              </w:rPr>
              <w:br w:type="textWrapping"/>
            </w:r>
            <w:r>
              <w:rPr>
                <w:rFonts w:hint="eastAsia"/>
                <w:color w:val="000000"/>
                <w:sz w:val="20"/>
                <w:szCs w:val="20"/>
                <w:highlight w:val="none"/>
              </w:rPr>
              <w:t>8、色温：1000-18000K</w:t>
            </w:r>
            <w:r>
              <w:rPr>
                <w:rFonts w:hint="eastAsia"/>
                <w:color w:val="000000"/>
                <w:sz w:val="20"/>
                <w:szCs w:val="20"/>
                <w:highlight w:val="none"/>
              </w:rPr>
              <w:br w:type="textWrapping"/>
            </w:r>
            <w:r>
              <w:rPr>
                <w:rFonts w:hint="eastAsia"/>
                <w:color w:val="000000"/>
                <w:sz w:val="20"/>
                <w:szCs w:val="20"/>
                <w:highlight w:val="none"/>
              </w:rPr>
              <w:t>9、水平视角≥160°，垂直视角≥160°</w:t>
            </w:r>
            <w:r>
              <w:rPr>
                <w:rFonts w:hint="eastAsia"/>
                <w:color w:val="000000"/>
                <w:sz w:val="20"/>
                <w:szCs w:val="20"/>
                <w:highlight w:val="none"/>
              </w:rPr>
              <w:br w:type="textWrapping"/>
            </w:r>
            <w:r>
              <w:rPr>
                <w:rFonts w:hint="eastAsia"/>
                <w:color w:val="000000"/>
                <w:sz w:val="20"/>
                <w:szCs w:val="20"/>
                <w:highlight w:val="none"/>
              </w:rPr>
              <w:t>10、对比度≥7000：1</w:t>
            </w:r>
            <w:r>
              <w:rPr>
                <w:rFonts w:hint="eastAsia"/>
                <w:color w:val="000000"/>
                <w:sz w:val="20"/>
                <w:szCs w:val="20"/>
                <w:highlight w:val="none"/>
              </w:rPr>
              <w:br w:type="textWrapping"/>
            </w:r>
            <w:r>
              <w:rPr>
                <w:rFonts w:hint="eastAsia"/>
                <w:color w:val="000000"/>
                <w:sz w:val="20"/>
                <w:szCs w:val="20"/>
                <w:highlight w:val="none"/>
              </w:rPr>
              <w:t>11、灰度等级：采用16bit技术</w:t>
            </w:r>
            <w:r>
              <w:rPr>
                <w:rFonts w:hint="eastAsia"/>
                <w:color w:val="000000"/>
                <w:sz w:val="20"/>
                <w:szCs w:val="20"/>
                <w:highlight w:val="none"/>
              </w:rPr>
              <w:br w:type="textWrapping"/>
            </w:r>
            <w:r>
              <w:rPr>
                <w:rFonts w:hint="eastAsia"/>
                <w:color w:val="000000"/>
                <w:sz w:val="20"/>
                <w:szCs w:val="20"/>
                <w:highlight w:val="none"/>
              </w:rPr>
              <w:t>12、刷新率：刷新率达到3840Hz</w:t>
            </w:r>
            <w:r>
              <w:rPr>
                <w:rFonts w:hint="eastAsia"/>
                <w:color w:val="000000"/>
                <w:sz w:val="20"/>
                <w:szCs w:val="20"/>
                <w:highlight w:val="none"/>
              </w:rPr>
              <w:br w:type="textWrapping"/>
            </w:r>
            <w:r>
              <w:rPr>
                <w:rFonts w:hint="eastAsia"/>
                <w:color w:val="000000"/>
                <w:sz w:val="20"/>
                <w:szCs w:val="20"/>
                <w:highlight w:val="none"/>
              </w:rPr>
              <w:t>13、画面延时≤500ns（纳秒级）</w:t>
            </w:r>
            <w:r>
              <w:rPr>
                <w:rFonts w:hint="eastAsia"/>
                <w:color w:val="000000"/>
                <w:sz w:val="20"/>
                <w:szCs w:val="20"/>
                <w:highlight w:val="none"/>
              </w:rPr>
              <w:br w:type="textWrapping"/>
            </w:r>
            <w:r>
              <w:rPr>
                <w:rFonts w:hint="eastAsia"/>
                <w:color w:val="000000"/>
                <w:sz w:val="20"/>
                <w:szCs w:val="20"/>
                <w:highlight w:val="none"/>
              </w:rPr>
              <w:t>14、噪声：1m范围内，测试4个位置（前后左右）噪音不大于2dB</w:t>
            </w:r>
            <w:r>
              <w:rPr>
                <w:rFonts w:hint="eastAsia"/>
                <w:color w:val="000000"/>
                <w:sz w:val="20"/>
                <w:szCs w:val="20"/>
                <w:highlight w:val="none"/>
              </w:rPr>
              <w:br w:type="textWrapping"/>
            </w:r>
            <w:r>
              <w:rPr>
                <w:rFonts w:hint="eastAsia"/>
                <w:color w:val="000000"/>
                <w:sz w:val="20"/>
                <w:szCs w:val="20"/>
                <w:highlight w:val="none"/>
              </w:rPr>
              <w:t>15、信噪比≥47dB</w:t>
            </w:r>
            <w:r>
              <w:rPr>
                <w:rFonts w:hint="eastAsia"/>
                <w:color w:val="000000"/>
                <w:sz w:val="20"/>
                <w:szCs w:val="20"/>
                <w:highlight w:val="none"/>
              </w:rPr>
              <w:br w:type="textWrapping"/>
            </w:r>
            <w:r>
              <w:rPr>
                <w:rFonts w:hint="eastAsia"/>
                <w:color w:val="000000"/>
                <w:sz w:val="20"/>
                <w:szCs w:val="20"/>
                <w:highlight w:val="none"/>
              </w:rPr>
              <w:t>16、峰值功耗≤400W/m²，平均功耗≤160W/m²</w:t>
            </w:r>
            <w:r>
              <w:rPr>
                <w:rFonts w:hint="eastAsia"/>
                <w:color w:val="000000"/>
                <w:sz w:val="20"/>
                <w:szCs w:val="20"/>
                <w:highlight w:val="none"/>
              </w:rPr>
              <w:br w:type="textWrapping"/>
            </w:r>
            <w:r>
              <w:rPr>
                <w:rFonts w:hint="eastAsia"/>
                <w:color w:val="000000"/>
                <w:sz w:val="20"/>
                <w:szCs w:val="20"/>
                <w:highlight w:val="none"/>
              </w:rPr>
              <w:t>17、模组表面绝缘：绝缘电阻应为5000MΩ</w:t>
            </w:r>
            <w:r>
              <w:rPr>
                <w:rFonts w:hint="eastAsia"/>
                <w:color w:val="000000"/>
                <w:sz w:val="20"/>
                <w:szCs w:val="20"/>
                <w:highlight w:val="none"/>
              </w:rPr>
              <w:br w:type="textWrapping"/>
            </w:r>
            <w:r>
              <w:rPr>
                <w:rFonts w:hint="eastAsia"/>
                <w:color w:val="000000"/>
                <w:sz w:val="20"/>
                <w:szCs w:val="20"/>
                <w:highlight w:val="none"/>
              </w:rPr>
              <w:t>18、屈服强度：170Mpa</w:t>
            </w:r>
            <w:r>
              <w:rPr>
                <w:rFonts w:hint="eastAsia"/>
                <w:color w:val="000000"/>
                <w:sz w:val="20"/>
                <w:szCs w:val="20"/>
                <w:highlight w:val="none"/>
              </w:rPr>
              <w:br w:type="textWrapping"/>
            </w:r>
            <w:r>
              <w:rPr>
                <w:rFonts w:hint="eastAsia"/>
                <w:color w:val="000000"/>
                <w:sz w:val="20"/>
                <w:szCs w:val="20"/>
                <w:highlight w:val="none"/>
              </w:rPr>
              <w:t>19、统一管理：可对所有LED显示模块进行统一管理，设置亮度、色温、灰度等参数</w:t>
            </w:r>
          </w:p>
          <w:p>
            <w:pPr>
              <w:textAlignment w:val="center"/>
              <w:rPr>
                <w:rFonts w:hint="eastAsia"/>
                <w:color w:val="000000"/>
                <w:sz w:val="20"/>
                <w:szCs w:val="20"/>
                <w:highlight w:val="none"/>
              </w:rPr>
            </w:pPr>
            <w:r>
              <w:rPr>
                <w:rFonts w:hint="eastAsia"/>
                <w:color w:val="000000"/>
                <w:sz w:val="20"/>
                <w:szCs w:val="20"/>
                <w:highlight w:val="none"/>
              </w:rPr>
              <w:t>★20、防护性能：具有防静电、防电磁干扰、防腐蚀、防霉菌、防虫、防潮、抗震动、抗雷击等功能；具有电源过压、过流、断电保护、分布上电措施、防护等级达到IP60</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p>
          <w:p>
            <w:pPr>
              <w:textAlignment w:val="center"/>
              <w:rPr>
                <w:rFonts w:hint="eastAsia"/>
                <w:color w:val="000000"/>
                <w:sz w:val="20"/>
                <w:szCs w:val="20"/>
                <w:highlight w:val="none"/>
              </w:rPr>
            </w:pPr>
            <w:r>
              <w:rPr>
                <w:rFonts w:hint="eastAsia"/>
                <w:color w:val="000000"/>
                <w:sz w:val="20"/>
                <w:szCs w:val="20"/>
                <w:highlight w:val="none"/>
              </w:rPr>
              <w:t>★21、具有单点亮度校正，校正后亮度损失≤8%；具有颜色校正功能，具有灰度校正，支持模组校正，具有校正数据存储及自动回读功能</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p>
          <w:p>
            <w:pPr>
              <w:numPr>
                <w:ilvl w:val="0"/>
                <w:numId w:val="0"/>
              </w:numPr>
              <w:textAlignment w:val="center"/>
              <w:rPr>
                <w:rFonts w:hint="eastAsia"/>
                <w:color w:val="000000"/>
                <w:sz w:val="20"/>
                <w:szCs w:val="20"/>
                <w:highlight w:val="none"/>
              </w:rPr>
            </w:pPr>
            <w:r>
              <w:rPr>
                <w:rFonts w:hint="eastAsia"/>
                <w:color w:val="000000"/>
                <w:sz w:val="20"/>
                <w:szCs w:val="20"/>
                <w:highlight w:val="none"/>
                <w:lang w:val="en-US" w:eastAsia="zh-CN"/>
              </w:rPr>
              <w:t>22、</w:t>
            </w:r>
            <w:r>
              <w:rPr>
                <w:rFonts w:hint="eastAsia"/>
                <w:color w:val="000000"/>
                <w:sz w:val="20"/>
                <w:szCs w:val="20"/>
                <w:highlight w:val="none"/>
              </w:rPr>
              <w:t>亮暗线调整：采用高端芯片，可去除亮、暗线，可从软、硬件两方面彻底改善LED安装精度造成的亮、暗线问题</w:t>
            </w:r>
            <w:r>
              <w:rPr>
                <w:rFonts w:hint="eastAsia"/>
                <w:color w:val="000000"/>
                <w:sz w:val="20"/>
                <w:szCs w:val="20"/>
                <w:highlight w:val="none"/>
              </w:rPr>
              <w:br w:type="textWrapping"/>
            </w:r>
            <w:r>
              <w:rPr>
                <w:rFonts w:hint="eastAsia"/>
                <w:color w:val="000000"/>
                <w:sz w:val="20"/>
                <w:szCs w:val="20"/>
                <w:highlight w:val="none"/>
              </w:rPr>
              <w:t>★23、采用EPWM 灰阶控制技术提升低灰视觉效果，100%亮度时，16bit灰度；70%亮度，16bit灰度；50%亮度，16bit灰度；20%亮度，14bit灰度，显示画面无单列或单行像素失控现象；支持0-100%亮度时，8-16bits灰度自定义设置</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24、图像补偿：具备视频降噪、运动补偿、色彩变换等图像处理功能；具有亮度/对比度/色度调节/视觉修正等图像调整功能；LED显示屏图像无失真现象。</w:t>
            </w:r>
            <w:r>
              <w:rPr>
                <w:rFonts w:hint="eastAsia"/>
                <w:color w:val="000000"/>
                <w:sz w:val="20"/>
                <w:szCs w:val="20"/>
                <w:highlight w:val="none"/>
              </w:rPr>
              <w:br w:type="textWrapping"/>
            </w:r>
            <w:r>
              <w:rPr>
                <w:rFonts w:hint="eastAsia"/>
                <w:color w:val="000000"/>
                <w:sz w:val="20"/>
                <w:szCs w:val="20"/>
                <w:highlight w:val="none"/>
              </w:rPr>
              <w:t>25、图像质量：LED显示屏图像质量主观评价优、支持4K超清技术、HDR高动态光照渲染技术；符合LED显示屏绿色健康分级认证技术</w:t>
            </w:r>
            <w:r>
              <w:rPr>
                <w:rFonts w:hint="eastAsia"/>
                <w:color w:val="000000"/>
                <w:sz w:val="20"/>
                <w:szCs w:val="20"/>
                <w:highlight w:val="none"/>
              </w:rPr>
              <w:br w:type="textWrapping"/>
            </w:r>
            <w:r>
              <w:rPr>
                <w:rFonts w:hint="eastAsia"/>
                <w:color w:val="000000"/>
                <w:sz w:val="20"/>
                <w:szCs w:val="20"/>
                <w:highlight w:val="none"/>
              </w:rPr>
              <w:t>26、数据备份：数据记忆储存于LED显示模块箱体中，更换箱体设备时，无需重新设定参数。</w:t>
            </w:r>
            <w:r>
              <w:rPr>
                <w:rFonts w:hint="eastAsia"/>
                <w:color w:val="000000"/>
                <w:sz w:val="20"/>
                <w:szCs w:val="20"/>
                <w:highlight w:val="none"/>
              </w:rPr>
              <w:br w:type="textWrapping"/>
            </w:r>
            <w:r>
              <w:rPr>
                <w:rFonts w:hint="eastAsia"/>
                <w:color w:val="000000"/>
                <w:sz w:val="20"/>
                <w:szCs w:val="20"/>
                <w:highlight w:val="none"/>
              </w:rPr>
              <w:t>27、自检技术：可实现LED单点检测，通讯检测、温度检测、电源检测、温度监控等功能。</w:t>
            </w:r>
            <w:r>
              <w:rPr>
                <w:rFonts w:hint="eastAsia"/>
                <w:color w:val="000000"/>
                <w:sz w:val="20"/>
                <w:szCs w:val="20"/>
                <w:highlight w:val="none"/>
              </w:rPr>
              <w:br w:type="textWrapping"/>
            </w:r>
            <w:r>
              <w:rPr>
                <w:rFonts w:hint="eastAsia"/>
                <w:color w:val="000000"/>
                <w:sz w:val="20"/>
                <w:szCs w:val="20"/>
                <w:highlight w:val="none"/>
              </w:rPr>
              <w:t>★28、智能节能：产品采用高端芯片，可智能调节正常工作与睡眠状态下的节能效果（动态节能，智能息屏），开启节能功能比没有开启节能45%以上</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p>
          <w:p>
            <w:pPr>
              <w:numPr>
                <w:ilvl w:val="0"/>
                <w:numId w:val="0"/>
              </w:numPr>
              <w:textAlignment w:val="center"/>
              <w:rPr>
                <w:rFonts w:hint="eastAsia"/>
                <w:color w:val="000000"/>
                <w:sz w:val="20"/>
                <w:szCs w:val="20"/>
                <w:highlight w:val="none"/>
              </w:rPr>
            </w:pPr>
            <w:r>
              <w:rPr>
                <w:rFonts w:hint="eastAsia"/>
                <w:color w:val="000000"/>
                <w:sz w:val="20"/>
                <w:szCs w:val="20"/>
                <w:highlight w:val="none"/>
              </w:rPr>
              <w:t>29、输入信号支持：支持DVI、VGA输入；支持HDMI视频输入；支持视频PAL/NTSC制式自适应；支持复合视频信号；支持USB输出；支持IP输入；支持CVBS/DP/HDBASE输入；支持光纤/网络等接口输入</w:t>
            </w:r>
            <w:r>
              <w:rPr>
                <w:rFonts w:hint="eastAsia"/>
                <w:color w:val="000000"/>
                <w:sz w:val="20"/>
                <w:szCs w:val="20"/>
                <w:highlight w:val="none"/>
              </w:rPr>
              <w:br w:type="textWrapping"/>
            </w:r>
            <w:r>
              <w:rPr>
                <w:rFonts w:hint="eastAsia"/>
                <w:color w:val="000000"/>
                <w:sz w:val="20"/>
                <w:szCs w:val="20"/>
                <w:highlight w:val="none"/>
              </w:rPr>
              <w:t>30、连续工作时间：连续工作时间：≥7×24hrs，支持连续不间断显示</w:t>
            </w:r>
            <w:r>
              <w:rPr>
                <w:rFonts w:hint="eastAsia"/>
                <w:color w:val="000000"/>
                <w:sz w:val="20"/>
                <w:szCs w:val="20"/>
                <w:highlight w:val="none"/>
              </w:rPr>
              <w:br w:type="textWrapping"/>
            </w:r>
            <w:r>
              <w:rPr>
                <w:rFonts w:hint="eastAsia"/>
                <w:color w:val="000000"/>
                <w:sz w:val="20"/>
                <w:szCs w:val="20"/>
                <w:highlight w:val="none"/>
              </w:rPr>
              <w:t>31、使用寿命≥100000h</w:t>
            </w:r>
            <w:r>
              <w:rPr>
                <w:rFonts w:hint="eastAsia"/>
                <w:color w:val="000000"/>
                <w:sz w:val="20"/>
                <w:szCs w:val="20"/>
                <w:highlight w:val="none"/>
              </w:rPr>
              <w:br w:type="textWrapping"/>
            </w:r>
            <w:r>
              <w:rPr>
                <w:rFonts w:hint="eastAsia"/>
                <w:color w:val="000000"/>
                <w:sz w:val="20"/>
                <w:szCs w:val="20"/>
                <w:highlight w:val="none"/>
              </w:rPr>
              <w:t>32、平均无故障时间：MTBF平均无故障时间≥20000h；MTTR平均修复时间≤20分钟</w:t>
            </w:r>
            <w:r>
              <w:rPr>
                <w:rFonts w:hint="eastAsia"/>
                <w:color w:val="000000"/>
                <w:sz w:val="20"/>
                <w:szCs w:val="20"/>
                <w:highlight w:val="none"/>
              </w:rPr>
              <w:br w:type="textWrapping"/>
            </w:r>
            <w:r>
              <w:rPr>
                <w:rFonts w:hint="eastAsia"/>
                <w:color w:val="000000"/>
                <w:sz w:val="20"/>
                <w:szCs w:val="20"/>
                <w:highlight w:val="none"/>
              </w:rPr>
              <w:t>33、自动gamma设置：支持自动GAMMA校正技术，16bit自动调节，通过构造非线性校正曲线和色坐标变换系数矩阵实现了显示效果的不断改善，各项重要指标如彩色还原性、色温调节范围、亮度均匀性、色度均匀性、刷新率、换帧频率等，均符合广电级标准</w:t>
            </w:r>
            <w:r>
              <w:rPr>
                <w:rFonts w:hint="eastAsia"/>
                <w:color w:val="000000"/>
                <w:sz w:val="20"/>
                <w:szCs w:val="20"/>
                <w:highlight w:val="none"/>
              </w:rPr>
              <w:br w:type="textWrapping"/>
            </w:r>
            <w:r>
              <w:rPr>
                <w:rFonts w:hint="eastAsia"/>
                <w:color w:val="000000"/>
                <w:sz w:val="20"/>
                <w:szCs w:val="20"/>
                <w:highlight w:val="none"/>
              </w:rPr>
              <w:t>34、盐雾：符合盐雾10级。</w:t>
            </w:r>
            <w:r>
              <w:rPr>
                <w:rFonts w:hint="eastAsia"/>
                <w:color w:val="000000"/>
                <w:sz w:val="20"/>
                <w:szCs w:val="20"/>
                <w:highlight w:val="none"/>
              </w:rPr>
              <w:br w:type="textWrapping"/>
            </w:r>
            <w:r>
              <w:rPr>
                <w:rFonts w:hint="eastAsia"/>
                <w:color w:val="000000"/>
                <w:sz w:val="20"/>
                <w:szCs w:val="20"/>
                <w:highlight w:val="none"/>
              </w:rPr>
              <w:t>35、阻燃：PCB板、防火保护外壳及内部其他元器件均达到V-0等级</w:t>
            </w:r>
            <w:r>
              <w:rPr>
                <w:rFonts w:hint="eastAsia"/>
                <w:color w:val="000000"/>
                <w:sz w:val="20"/>
                <w:szCs w:val="20"/>
                <w:highlight w:val="none"/>
              </w:rPr>
              <w:br w:type="textWrapping"/>
            </w:r>
            <w:r>
              <w:rPr>
                <w:rFonts w:hint="eastAsia"/>
                <w:color w:val="000000"/>
                <w:sz w:val="20"/>
                <w:szCs w:val="20"/>
                <w:highlight w:val="none"/>
              </w:rPr>
              <w:t>36、摩擦起电电压≤100V，辐射骚扰（EMC）  30MHZ~1000MHZ，符合GB/T9254-2008 Class B标准</w:t>
            </w:r>
            <w:r>
              <w:rPr>
                <w:rFonts w:hint="eastAsia"/>
                <w:color w:val="000000"/>
                <w:sz w:val="20"/>
                <w:szCs w:val="20"/>
                <w:highlight w:val="none"/>
              </w:rPr>
              <w:br w:type="textWrapping"/>
            </w:r>
            <w:r>
              <w:rPr>
                <w:rFonts w:hint="eastAsia"/>
                <w:color w:val="000000"/>
                <w:sz w:val="20"/>
                <w:szCs w:val="20"/>
                <w:highlight w:val="none"/>
              </w:rPr>
              <w:t>37、抗干扰：符合GB/T9254-2008规定</w:t>
            </w:r>
            <w:r>
              <w:rPr>
                <w:rFonts w:hint="eastAsia"/>
                <w:color w:val="000000"/>
                <w:sz w:val="20"/>
                <w:szCs w:val="20"/>
                <w:highlight w:val="none"/>
              </w:rPr>
              <w:br w:type="textWrapping"/>
            </w:r>
            <w:r>
              <w:rPr>
                <w:rFonts w:hint="eastAsia"/>
                <w:color w:val="000000"/>
                <w:sz w:val="20"/>
                <w:szCs w:val="20"/>
                <w:highlight w:val="none"/>
              </w:rPr>
              <w:t>38、安全性：符合GB4793规定</w:t>
            </w:r>
            <w:r>
              <w:rPr>
                <w:rFonts w:hint="eastAsia"/>
                <w:color w:val="000000"/>
                <w:sz w:val="20"/>
                <w:szCs w:val="20"/>
                <w:highlight w:val="none"/>
              </w:rPr>
              <w:br w:type="textWrapping"/>
            </w:r>
            <w:r>
              <w:rPr>
                <w:rFonts w:hint="eastAsia"/>
                <w:color w:val="000000"/>
                <w:sz w:val="20"/>
                <w:szCs w:val="20"/>
                <w:highlight w:val="none"/>
              </w:rPr>
              <w:t>39、一键点屏：支持一键点屏技术，开机后自动识别系统连接，无需重置系统配置</w:t>
            </w:r>
            <w:r>
              <w:rPr>
                <w:rFonts w:hint="eastAsia"/>
                <w:color w:val="000000"/>
                <w:sz w:val="20"/>
                <w:szCs w:val="20"/>
                <w:highlight w:val="none"/>
              </w:rPr>
              <w:br w:type="textWrapping"/>
            </w:r>
            <w:r>
              <w:rPr>
                <w:rFonts w:hint="eastAsia"/>
                <w:color w:val="000000"/>
                <w:sz w:val="20"/>
                <w:szCs w:val="20"/>
                <w:highlight w:val="none"/>
              </w:rPr>
              <w:t>40、SELV电路：具备SELV电路</w:t>
            </w:r>
            <w:r>
              <w:rPr>
                <w:rFonts w:hint="eastAsia"/>
                <w:color w:val="000000"/>
                <w:sz w:val="20"/>
                <w:szCs w:val="20"/>
                <w:highlight w:val="none"/>
              </w:rPr>
              <w:br w:type="textWrapping"/>
            </w:r>
            <w:r>
              <w:rPr>
                <w:rFonts w:hint="eastAsia"/>
                <w:color w:val="000000"/>
                <w:sz w:val="20"/>
                <w:szCs w:val="20"/>
                <w:highlight w:val="none"/>
              </w:rPr>
              <w:t>41、人眼视觉舒适度：VICO指数≤1</w:t>
            </w:r>
            <w:r>
              <w:rPr>
                <w:rFonts w:hint="eastAsia"/>
                <w:color w:val="000000"/>
                <w:sz w:val="20"/>
                <w:szCs w:val="20"/>
                <w:highlight w:val="none"/>
              </w:rPr>
              <w:br w:type="textWrapping"/>
            </w:r>
            <w:r>
              <w:rPr>
                <w:rFonts w:hint="eastAsia"/>
                <w:color w:val="000000"/>
                <w:sz w:val="20"/>
                <w:szCs w:val="20"/>
                <w:highlight w:val="none"/>
              </w:rPr>
              <w:t>42、多图层显示：支持手机添加LOGO、时间、日期、文字标语、滚动字幕、图片、视频窗口</w:t>
            </w:r>
            <w:r>
              <w:rPr>
                <w:rFonts w:hint="eastAsia"/>
                <w:color w:val="000000"/>
                <w:sz w:val="20"/>
                <w:szCs w:val="20"/>
                <w:highlight w:val="none"/>
              </w:rPr>
              <w:br w:type="textWrapping"/>
            </w:r>
            <w:r>
              <w:rPr>
                <w:rFonts w:hint="eastAsia"/>
                <w:color w:val="000000"/>
                <w:sz w:val="20"/>
                <w:szCs w:val="20"/>
                <w:highlight w:val="none"/>
              </w:rPr>
              <w:t>43、软件功能：LED 显示屏可实时监控显示屏工作状态，具有故障自动告警功能，发生故障立即发消息到指定邮箱，及时处理</w:t>
            </w:r>
            <w:r>
              <w:rPr>
                <w:rFonts w:hint="eastAsia"/>
                <w:color w:val="000000"/>
                <w:sz w:val="20"/>
                <w:szCs w:val="20"/>
                <w:highlight w:val="none"/>
              </w:rPr>
              <w:br w:type="textWrapping"/>
            </w:r>
            <w:r>
              <w:rPr>
                <w:rFonts w:hint="eastAsia"/>
                <w:color w:val="000000"/>
                <w:sz w:val="20"/>
                <w:szCs w:val="20"/>
                <w:highlight w:val="none"/>
              </w:rPr>
              <w:t>44、软件功能：LED 显示屏具有多点测温系统，均衡散热，防止局部温度过高造成色彩漂移，并提高显示屏寿命</w:t>
            </w:r>
            <w:r>
              <w:rPr>
                <w:rFonts w:hint="eastAsia"/>
                <w:color w:val="000000"/>
                <w:sz w:val="20"/>
                <w:szCs w:val="20"/>
                <w:highlight w:val="none"/>
              </w:rPr>
              <w:br w:type="textWrapping"/>
            </w:r>
            <w:r>
              <w:rPr>
                <w:rFonts w:hint="eastAsia"/>
                <w:color w:val="000000"/>
                <w:sz w:val="20"/>
                <w:szCs w:val="20"/>
                <w:highlight w:val="none"/>
              </w:rPr>
              <w:t>45、软件功能：LED 显示屏具有电源温度控制系统，提供电源实时温度监控，超出设定温度自动报警，防止过温失效</w:t>
            </w:r>
            <w:r>
              <w:rPr>
                <w:rFonts w:hint="eastAsia"/>
                <w:color w:val="000000"/>
                <w:sz w:val="20"/>
                <w:szCs w:val="20"/>
                <w:highlight w:val="none"/>
              </w:rPr>
              <w:br w:type="textWrapping"/>
            </w:r>
            <w:r>
              <w:rPr>
                <w:rFonts w:hint="eastAsia"/>
                <w:color w:val="000000"/>
                <w:sz w:val="20"/>
                <w:szCs w:val="20"/>
                <w:highlight w:val="none"/>
              </w:rPr>
              <w:t>46、灯管抗静电（ESD）测试：HBM模式∶ESD&gt;2000V，灯珠点亮无异常</w:t>
            </w:r>
            <w:r>
              <w:rPr>
                <w:rFonts w:hint="eastAsia"/>
                <w:color w:val="000000"/>
                <w:sz w:val="20"/>
                <w:szCs w:val="20"/>
                <w:highlight w:val="none"/>
              </w:rPr>
              <w:br w:type="textWrapping"/>
            </w:r>
            <w:r>
              <w:rPr>
                <w:rFonts w:hint="eastAsia"/>
                <w:color w:val="000000"/>
                <w:sz w:val="20"/>
                <w:szCs w:val="20"/>
                <w:highlight w:val="none"/>
              </w:rPr>
              <w:t>★47、为确保屏体在不同的环境下仍可正常启动工作，要求投标人所投LED显示屏须通过零下40℃和高温80℃的环境运行12h产品能正常工作。（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9.31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视频处理器一体机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1、支持常见的视频接口，包括 1 路 3G-SDI，2 路 HDMI1.3，1 路 DVI，1路选配VGA子卡。</w:t>
            </w:r>
            <w:r>
              <w:rPr>
                <w:rFonts w:hint="eastAsia"/>
                <w:color w:val="000000"/>
                <w:sz w:val="20"/>
                <w:szCs w:val="20"/>
              </w:rPr>
              <w:br w:type="textWrapping"/>
            </w:r>
            <w:r>
              <w:rPr>
                <w:rFonts w:hint="eastAsia"/>
                <w:color w:val="000000"/>
                <w:sz w:val="20"/>
                <w:szCs w:val="20"/>
              </w:rPr>
              <w:t xml:space="preserve">2、支持选配投屏输入子卡2.0，子卡支持AP/WIFI无线模式，可实现手机，电脑的无线投屏和U盘播放。 </w:t>
            </w:r>
            <w:r>
              <w:rPr>
                <w:rFonts w:hint="eastAsia"/>
                <w:color w:val="000000"/>
                <w:sz w:val="20"/>
                <w:szCs w:val="20"/>
              </w:rPr>
              <w:br w:type="textWrapping"/>
            </w:r>
            <w:r>
              <w:rPr>
                <w:rFonts w:hint="eastAsia"/>
                <w:color w:val="000000"/>
                <w:sz w:val="20"/>
                <w:szCs w:val="20"/>
              </w:rPr>
              <w:t>3、支持 3 个窗口和 1 路 OSD。</w:t>
            </w:r>
            <w:r>
              <w:rPr>
                <w:rFonts w:hint="eastAsia"/>
                <w:color w:val="000000"/>
                <w:sz w:val="20"/>
                <w:szCs w:val="20"/>
              </w:rPr>
              <w:br w:type="textWrapping"/>
            </w:r>
            <w:r>
              <w:rPr>
                <w:rFonts w:hint="eastAsia"/>
                <w:color w:val="000000"/>
                <w:sz w:val="20"/>
                <w:szCs w:val="20"/>
              </w:rPr>
              <w:t>4、支持快捷配屏和高级配屏功能。</w:t>
            </w:r>
            <w:r>
              <w:rPr>
                <w:rFonts w:hint="eastAsia"/>
                <w:color w:val="000000"/>
                <w:sz w:val="20"/>
                <w:szCs w:val="20"/>
              </w:rPr>
              <w:br w:type="textWrapping"/>
            </w:r>
            <w:r>
              <w:rPr>
                <w:rFonts w:hint="eastAsia"/>
                <w:color w:val="000000"/>
                <w:sz w:val="20"/>
                <w:szCs w:val="20"/>
              </w:rPr>
              <w:t>5、支持 HDMI、DVI 输入分辨率自定义调节。</w:t>
            </w:r>
            <w:r>
              <w:rPr>
                <w:rFonts w:hint="eastAsia"/>
                <w:color w:val="000000"/>
                <w:sz w:val="20"/>
                <w:szCs w:val="20"/>
              </w:rPr>
              <w:br w:type="textWrapping"/>
            </w:r>
            <w:r>
              <w:rPr>
                <w:rFonts w:hint="eastAsia"/>
                <w:color w:val="000000"/>
                <w:sz w:val="20"/>
                <w:szCs w:val="20"/>
              </w:rPr>
              <w:t>6、支持设备间备份设置。</w:t>
            </w:r>
            <w:r>
              <w:rPr>
                <w:rFonts w:hint="eastAsia"/>
                <w:color w:val="000000"/>
                <w:sz w:val="20"/>
                <w:szCs w:val="20"/>
              </w:rPr>
              <w:br w:type="textWrapping"/>
            </w:r>
            <w:r>
              <w:rPr>
                <w:rFonts w:hint="eastAsia"/>
                <w:color w:val="000000"/>
                <w:sz w:val="20"/>
                <w:szCs w:val="20"/>
              </w:rPr>
              <w:t>7、视频输出最大带载高达 390 万像素。</w:t>
            </w:r>
            <w:r>
              <w:rPr>
                <w:rFonts w:hint="eastAsia"/>
                <w:color w:val="000000"/>
                <w:sz w:val="20"/>
                <w:szCs w:val="20"/>
              </w:rPr>
              <w:br w:type="textWrapping"/>
            </w:r>
            <w:r>
              <w:rPr>
                <w:rFonts w:hint="eastAsia"/>
                <w:color w:val="000000"/>
                <w:sz w:val="20"/>
                <w:szCs w:val="20"/>
              </w:rPr>
              <w:t>8、支持一键将优先级最低的窗口全屏自动缩放，增强产品实用性能。</w:t>
            </w:r>
            <w:r>
              <w:rPr>
                <w:rFonts w:hint="eastAsia"/>
                <w:color w:val="000000"/>
                <w:sz w:val="20"/>
                <w:szCs w:val="20"/>
              </w:rPr>
              <w:br w:type="textWrapping"/>
            </w:r>
            <w:r>
              <w:rPr>
                <w:rFonts w:hint="eastAsia"/>
                <w:color w:val="000000"/>
                <w:sz w:val="20"/>
                <w:szCs w:val="20"/>
              </w:rPr>
              <w:t xml:space="preserve">9、支持创建 10 个用户场景作为模板保存，方便使用。 </w:t>
            </w:r>
            <w:r>
              <w:rPr>
                <w:rFonts w:hint="eastAsia"/>
                <w:color w:val="000000"/>
                <w:sz w:val="20"/>
                <w:szCs w:val="20"/>
              </w:rPr>
              <w:br w:type="textWrapping"/>
            </w:r>
            <w:r>
              <w:rPr>
                <w:rFonts w:hint="eastAsia"/>
                <w:color w:val="000000"/>
                <w:sz w:val="20"/>
                <w:szCs w:val="20"/>
              </w:rPr>
              <w:t>10、扩展子卡支持 AP+WiFi 无线模式，可实现手机，电脑的无线投屏。</w:t>
            </w:r>
            <w:r>
              <w:rPr>
                <w:rFonts w:hint="eastAsia"/>
                <w:color w:val="000000"/>
                <w:sz w:val="20"/>
                <w:szCs w:val="20"/>
              </w:rPr>
              <w:br w:type="textWrapping"/>
            </w:r>
            <w:r>
              <w:rPr>
                <w:rFonts w:hint="eastAsia"/>
                <w:color w:val="000000"/>
                <w:sz w:val="20"/>
                <w:szCs w:val="20"/>
              </w:rPr>
              <w:t>11、支持创建 10 个用户场景作为模板保存，方便使用。</w:t>
            </w:r>
            <w:r>
              <w:rPr>
                <w:rFonts w:hint="eastAsia"/>
                <w:color w:val="000000"/>
                <w:sz w:val="20"/>
                <w:szCs w:val="20"/>
              </w:rPr>
              <w:br w:type="textWrapping"/>
            </w:r>
            <w:r>
              <w:rPr>
                <w:rFonts w:hint="eastAsia"/>
                <w:color w:val="000000"/>
                <w:sz w:val="20"/>
                <w:szCs w:val="20"/>
              </w:rPr>
              <w:t>12、产品本身集成视频处理器与发送卡于一体。</w:t>
            </w:r>
            <w:r>
              <w:rPr>
                <w:rFonts w:hint="eastAsia"/>
                <w:color w:val="000000"/>
                <w:sz w:val="20"/>
                <w:szCs w:val="20"/>
              </w:rPr>
              <w:br w:type="textWrapping"/>
            </w:r>
            <w:r>
              <w:rPr>
                <w:rFonts w:hint="eastAsia"/>
                <w:color w:val="000000"/>
                <w:sz w:val="20"/>
                <w:szCs w:val="20"/>
              </w:rPr>
              <w:t>13、支持逐点亮色度校正技术，校正过程快速高效，支持直接现场校正。</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支架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定制，钢架结构</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9.31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配电柜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具有三相指示灯、运行指示灯，可实时监控设备运行状态。三相工业限流保护，过载过流、短路、断路保护。定时开关。一键远程控制，自带维修插座</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86寸触摸一体机</w:t>
            </w:r>
          </w:p>
        </w:tc>
        <w:tc>
          <w:tcPr>
            <w:tcW w:w="5340" w:type="dxa"/>
            <w:tcBorders>
              <w:top w:val="single" w:color="000000" w:sz="4" w:space="0"/>
              <w:left w:val="single" w:color="000000" w:sz="4" w:space="0"/>
              <w:bottom w:val="single" w:color="000000" w:sz="4" w:space="0"/>
              <w:right w:val="single" w:color="000000" w:sz="4" w:space="0"/>
            </w:tcBorders>
          </w:tcPr>
          <w:p>
            <w:pPr>
              <w:textAlignment w:val="top"/>
              <w:rPr>
                <w:rFonts w:hint="eastAsia"/>
                <w:color w:val="000000"/>
                <w:sz w:val="20"/>
                <w:szCs w:val="20"/>
              </w:rPr>
            </w:pPr>
            <w:r>
              <w:rPr>
                <w:rFonts w:hint="eastAsia"/>
                <w:color w:val="000000"/>
                <w:sz w:val="20"/>
                <w:szCs w:val="20"/>
              </w:rPr>
              <w:t>1、86英寸，采用红外触控，A规超窄边框面板设计，0贴合显示效果更佳，4mm可触控防眩光钢化高透玻璃，内置一体化环绕立体声音箱前置出音。                                                                      2、存储：4G+32G，安卓9.0； 预留OPS插拔口，支持系统：Win10/Win8/Win7/Android/WindowsXP/Linux/Mac OS ；触摸寿命≥30000 小时，面板分辨率3840*2160(4K*2K),亮度350cd/m2²,DLED点阵背光源，色彩；1.07B(10bit)，对比度1100:1，透光率98%，显示比例16:9，响应时间6.5ms；                                                                                                           3、最大显示尺寸 1895.04(H)×1065.96(V)mm。                                                              4、丰富接口：HDMI IN*2,；USB 2.0*4；TOUCH 2.0*1；AUDIO OUT*1；RS232*1；RJ45 IN*1；VGA IN*1；标配双WiFi模块，集控软件，无线或一键传屏； 4K UI界面，20 点触摸，1MM高精度触摸，识别2MM物体，相应时间：≤10ms；                                                                                           5、安卓书写笔锋效果和windows原笔迹书写，安卓白板书写笔迹4K超高清分辨率，前置双通道USB，一根网线双系统同时上网，支持4画面投屏和windows保密性扩展，支持多系统手机平板电脑投屏，悬浮菜单，屏左右两边快捷隐藏栏。 支持画中画功能，支持任意通道下触摸菜单，含有：返回、安卓主页、运行程序、信号源选择、菜单、批注、音量调节、静音、节能模式、触摸菜单隐藏、等触摸选项，安卓默认浏览器导航：支持浏览器导航设置，方便使用查询相关信息，支持一键转换Windows系统；                                                                                                                                                                                     6、工作温度 ；0℃~40℃；工作湿度 ；10%~90%RH；存储温度 ；-20℃~60℃；存储湿度 ：10%~90%RH；工作高度 ；5000 米以下</w:t>
            </w:r>
            <w:r>
              <w:rPr>
                <w:rFonts w:hint="eastAsia"/>
                <w:color w:val="000000"/>
                <w:sz w:val="20"/>
                <w:szCs w:val="20"/>
              </w:rPr>
              <w:br w:type="textWrapping"/>
            </w:r>
            <w:r>
              <w:rPr>
                <w:rFonts w:hint="eastAsia"/>
                <w:color w:val="000000"/>
                <w:sz w:val="20"/>
                <w:szCs w:val="20"/>
              </w:rPr>
              <w:t>7、主机：I5处理器、内存8G、硬盘128G</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3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65寸触摸一体机</w:t>
            </w:r>
          </w:p>
        </w:tc>
        <w:tc>
          <w:tcPr>
            <w:tcW w:w="5340" w:type="dxa"/>
            <w:tcBorders>
              <w:top w:val="single" w:color="000000" w:sz="4" w:space="0"/>
              <w:left w:val="single" w:color="000000" w:sz="4" w:space="0"/>
              <w:bottom w:val="single" w:color="000000" w:sz="4" w:space="0"/>
              <w:right w:val="single" w:color="000000" w:sz="4" w:space="0"/>
            </w:tcBorders>
          </w:tcPr>
          <w:p>
            <w:pPr>
              <w:textAlignment w:val="top"/>
              <w:rPr>
                <w:rFonts w:hint="eastAsia"/>
                <w:color w:val="000000"/>
                <w:sz w:val="20"/>
                <w:szCs w:val="20"/>
              </w:rPr>
            </w:pPr>
            <w:r>
              <w:rPr>
                <w:rFonts w:hint="eastAsia"/>
                <w:color w:val="000000"/>
                <w:sz w:val="20"/>
                <w:szCs w:val="20"/>
              </w:rPr>
              <w:t xml:space="preserve">1、65英寸，采用红外触控，A规超窄边框面板设计，0贴合显示效果更佳，4mm可触控防眩光钢化高透玻璃，内置一体化环绕立体声音箱前置出音。                                                                      2、存储：4G+32G，安卓9.0； 预留OPS插拔口，支持系统：Win10/Win8/Win7/Android/WindowsXP/Linux/Mac OS ；触摸寿命≥30000 小时，面板分辨率3840*2160(4K*2K),亮度350cd/m2²,DLED点阵背光源，色彩；1.07B(10bit)，对比度1100:1，透光率98%，显示比例16:9，响应时间6.5ms；                                                                                                           3、最大显示尺寸 1428.48(H)×803.52(V)mm                                                          </w:t>
            </w:r>
            <w:r>
              <w:rPr>
                <w:rFonts w:hint="eastAsia"/>
                <w:color w:val="000000"/>
                <w:sz w:val="20"/>
                <w:szCs w:val="20"/>
              </w:rPr>
              <w:br w:type="textWrapping"/>
            </w:r>
            <w:r>
              <w:rPr>
                <w:rFonts w:hint="eastAsia"/>
                <w:color w:val="000000"/>
                <w:sz w:val="20"/>
                <w:szCs w:val="20"/>
              </w:rPr>
              <w:t>4、丰富接口：HDMI IN*2,；USB 2.0*4；TOUCH 2.0*1；AUDIO OUT*1；RS232*1；RJ45 IN*1；VGA IN*1；标配双WiFi模块，集控软件，无线或一键传屏； 4K UI界面，20 点触摸，1MM高精度触摸，识别2MM物体，相应时间：≤10ms；                                                                                           5、安卓书写笔锋效果和windows原笔迹书写，安卓白板书写笔迹4K超高清分辨率，前置双通道USB，一根网线双系统同时上网，支持4画面投屏和windows保密性扩展，支持多系统手机平板电脑投屏，悬浮菜单，屏左右两边快捷隐藏栏。 支持画中画功能，支持任意通道下触摸菜单，含有：返回、安卓主页、运行程序、信号源选择、菜单、批注、音量调节、静音、节能模式、触摸菜单隐藏、等触摸选项，安卓默认浏览器导航：支持浏览器导航设置，方便使用查询相关信息，支持一键转换Windows系统；                                                                                          6、工作温度 ；0℃~40℃；工作湿度 ；10%~90%RH；存储温度 ；-20℃~60℃；存储湿度 ：10%~90%RH；工作高度 ；5000 米以下</w:t>
            </w:r>
            <w:r>
              <w:rPr>
                <w:rFonts w:hint="eastAsia"/>
                <w:color w:val="000000"/>
                <w:sz w:val="20"/>
                <w:szCs w:val="20"/>
              </w:rPr>
              <w:br w:type="textWrapping"/>
            </w:r>
            <w:r>
              <w:rPr>
                <w:rFonts w:hint="eastAsia"/>
                <w:color w:val="000000"/>
                <w:sz w:val="20"/>
                <w:szCs w:val="20"/>
              </w:rPr>
              <w:t>7、主机：I5处理器、内存8G、硬盘128G</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32寸触摸一体机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 xml:space="preserve">1、32寸壁挂式电容式触摸一体机（16：9）LED屏 </w:t>
            </w:r>
            <w:r>
              <w:rPr>
                <w:rFonts w:hint="eastAsia"/>
                <w:color w:val="000000"/>
                <w:sz w:val="20"/>
                <w:szCs w:val="20"/>
              </w:rPr>
              <w:br w:type="textWrapping"/>
            </w:r>
            <w:r>
              <w:rPr>
                <w:rFonts w:hint="eastAsia"/>
                <w:color w:val="000000"/>
                <w:sz w:val="20"/>
                <w:szCs w:val="20"/>
              </w:rPr>
              <w:t xml:space="preserve">2、开机卡：主机带开机卡支持中控统一开关机 </w:t>
            </w:r>
            <w:r>
              <w:rPr>
                <w:rFonts w:hint="eastAsia"/>
                <w:color w:val="000000"/>
                <w:sz w:val="20"/>
                <w:szCs w:val="20"/>
              </w:rPr>
              <w:br w:type="textWrapping"/>
            </w:r>
            <w:r>
              <w:rPr>
                <w:rFonts w:hint="eastAsia"/>
                <w:color w:val="000000"/>
                <w:sz w:val="20"/>
                <w:szCs w:val="20"/>
              </w:rPr>
              <w:t xml:space="preserve">3、最佳分辨率：1920x1080； </w:t>
            </w:r>
            <w:r>
              <w:rPr>
                <w:rFonts w:hint="eastAsia"/>
                <w:color w:val="000000"/>
                <w:sz w:val="20"/>
                <w:szCs w:val="20"/>
              </w:rPr>
              <w:br w:type="textWrapping"/>
            </w:r>
            <w:r>
              <w:rPr>
                <w:rFonts w:hint="eastAsia"/>
                <w:color w:val="000000"/>
                <w:sz w:val="20"/>
                <w:szCs w:val="20"/>
              </w:rPr>
              <w:t xml:space="preserve">4、耐久性：承受单点触摸超过60,000,000次以上 </w:t>
            </w:r>
            <w:r>
              <w:rPr>
                <w:rFonts w:hint="eastAsia"/>
                <w:color w:val="000000"/>
                <w:sz w:val="20"/>
                <w:szCs w:val="20"/>
              </w:rPr>
              <w:br w:type="textWrapping"/>
            </w:r>
            <w:r>
              <w:rPr>
                <w:rFonts w:hint="eastAsia"/>
                <w:color w:val="000000"/>
                <w:sz w:val="20"/>
                <w:szCs w:val="20"/>
              </w:rPr>
              <w:t xml:space="preserve">5、定位精度：测试笔附件+1mm </w:t>
            </w:r>
            <w:r>
              <w:rPr>
                <w:rFonts w:hint="eastAsia"/>
                <w:color w:val="000000"/>
                <w:sz w:val="20"/>
                <w:szCs w:val="20"/>
              </w:rPr>
              <w:br w:type="textWrapping"/>
            </w:r>
            <w:r>
              <w:rPr>
                <w:rFonts w:hint="eastAsia"/>
                <w:color w:val="000000"/>
                <w:sz w:val="20"/>
                <w:szCs w:val="20"/>
              </w:rPr>
              <w:t xml:space="preserve">6、玻璃种类：化学强化玻璃；不怕刮伤 ，具有防爆功能 </w:t>
            </w:r>
            <w:r>
              <w:rPr>
                <w:rFonts w:hint="eastAsia"/>
                <w:color w:val="000000"/>
                <w:sz w:val="20"/>
                <w:szCs w:val="20"/>
              </w:rPr>
              <w:br w:type="textWrapping"/>
            </w:r>
            <w:r>
              <w:rPr>
                <w:rFonts w:hint="eastAsia"/>
                <w:color w:val="000000"/>
                <w:sz w:val="20"/>
                <w:szCs w:val="20"/>
              </w:rPr>
              <w:t>7、主机配置：酷睿I5工控主板 内存8G固态硬盘 SSD120G 品牌电源 高速芯片组，集成HD Graphic显示核心，支持动态内存分配。</w:t>
            </w:r>
            <w:r>
              <w:rPr>
                <w:rFonts w:hint="eastAsia"/>
                <w:color w:val="000000"/>
                <w:sz w:val="20"/>
                <w:szCs w:val="20"/>
              </w:rPr>
              <w:br w:type="textWrapping"/>
            </w:r>
            <w:r>
              <w:rPr>
                <w:rFonts w:hint="eastAsia"/>
                <w:color w:val="000000"/>
                <w:sz w:val="20"/>
                <w:szCs w:val="20"/>
              </w:rPr>
              <w:t xml:space="preserve">8、外形：钢制金属烤漆机柜； </w:t>
            </w:r>
            <w:r>
              <w:rPr>
                <w:rFonts w:hint="eastAsia"/>
                <w:color w:val="000000"/>
                <w:sz w:val="20"/>
                <w:szCs w:val="20"/>
              </w:rPr>
              <w:br w:type="textWrapping"/>
            </w:r>
            <w:r>
              <w:rPr>
                <w:rFonts w:hint="eastAsia"/>
                <w:color w:val="000000"/>
                <w:sz w:val="20"/>
                <w:szCs w:val="20"/>
              </w:rPr>
              <w:t xml:space="preserve">9、表层处理：防锈、防腐、耐磨，不易沾污损坏，亚光漆； </w:t>
            </w:r>
            <w:r>
              <w:rPr>
                <w:rFonts w:hint="eastAsia"/>
                <w:color w:val="000000"/>
                <w:sz w:val="20"/>
                <w:szCs w:val="20"/>
              </w:rPr>
              <w:br w:type="textWrapping"/>
            </w:r>
            <w:r>
              <w:rPr>
                <w:rFonts w:hint="eastAsia"/>
                <w:color w:val="000000"/>
                <w:sz w:val="20"/>
                <w:szCs w:val="20"/>
              </w:rPr>
              <w:t xml:space="preserve">10、内部结构：模块定位，布线规范整齐； </w:t>
            </w:r>
            <w:r>
              <w:rPr>
                <w:rFonts w:hint="eastAsia"/>
                <w:color w:val="000000"/>
                <w:sz w:val="20"/>
                <w:szCs w:val="20"/>
              </w:rPr>
              <w:br w:type="textWrapping"/>
            </w:r>
            <w:r>
              <w:rPr>
                <w:rFonts w:hint="eastAsia"/>
                <w:color w:val="000000"/>
                <w:sz w:val="20"/>
                <w:szCs w:val="20"/>
              </w:rPr>
              <w:t xml:space="preserve">11、外部结构：各部件模块与机柜结合紧密，布局合理，工艺精细。装有立体音响、机柜材料为1.5mm锌板、1.5mm冷钢板，内置音响等。 </w:t>
            </w:r>
            <w:r>
              <w:rPr>
                <w:rFonts w:hint="eastAsia"/>
                <w:color w:val="000000"/>
                <w:sz w:val="20"/>
                <w:szCs w:val="20"/>
              </w:rPr>
              <w:br w:type="textWrapping"/>
            </w:r>
            <w:r>
              <w:rPr>
                <w:rFonts w:hint="eastAsia"/>
                <w:color w:val="000000"/>
                <w:sz w:val="20"/>
                <w:szCs w:val="20"/>
              </w:rPr>
              <w:t>12、散热技术：显示器部件散热问题充分考虑显示器部件、主机散热问题，提供散热解决方案，无噪音。</w:t>
            </w:r>
            <w:r>
              <w:rPr>
                <w:rFonts w:hint="eastAsia"/>
                <w:color w:val="000000"/>
                <w:sz w:val="20"/>
                <w:szCs w:val="20"/>
              </w:rPr>
              <w:br w:type="textWrapping"/>
            </w:r>
            <w:r>
              <w:rPr>
                <w:rFonts w:hint="eastAsia"/>
                <w:color w:val="000000"/>
                <w:sz w:val="20"/>
                <w:szCs w:val="20"/>
              </w:rPr>
              <w:t>13、含壁挂支架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21.5寸触摸一体机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 xml:space="preserve">1、21.5寸壁挂式电容式触摸一体机（16：9）LED屏 </w:t>
            </w:r>
            <w:r>
              <w:rPr>
                <w:rFonts w:hint="eastAsia"/>
                <w:color w:val="000000"/>
                <w:sz w:val="20"/>
                <w:szCs w:val="20"/>
              </w:rPr>
              <w:br w:type="textWrapping"/>
            </w:r>
            <w:r>
              <w:rPr>
                <w:rFonts w:hint="eastAsia"/>
                <w:color w:val="000000"/>
                <w:sz w:val="20"/>
                <w:szCs w:val="20"/>
              </w:rPr>
              <w:t xml:space="preserve">2、开机卡：主机带开机卡支持中控统一开关机 </w:t>
            </w:r>
            <w:r>
              <w:rPr>
                <w:rFonts w:hint="eastAsia"/>
                <w:color w:val="000000"/>
                <w:sz w:val="20"/>
                <w:szCs w:val="20"/>
              </w:rPr>
              <w:br w:type="textWrapping"/>
            </w:r>
            <w:r>
              <w:rPr>
                <w:rFonts w:hint="eastAsia"/>
                <w:color w:val="000000"/>
                <w:sz w:val="20"/>
                <w:szCs w:val="20"/>
              </w:rPr>
              <w:t xml:space="preserve">3、最佳分辨率：1920x1080； </w:t>
            </w:r>
            <w:r>
              <w:rPr>
                <w:rFonts w:hint="eastAsia"/>
                <w:color w:val="000000"/>
                <w:sz w:val="20"/>
                <w:szCs w:val="20"/>
              </w:rPr>
              <w:br w:type="textWrapping"/>
            </w:r>
            <w:r>
              <w:rPr>
                <w:rFonts w:hint="eastAsia"/>
                <w:color w:val="000000"/>
                <w:sz w:val="20"/>
                <w:szCs w:val="20"/>
              </w:rPr>
              <w:t xml:space="preserve">4、耐久性：承受单点触摸超过60,000,000次以上 </w:t>
            </w:r>
            <w:r>
              <w:rPr>
                <w:rFonts w:hint="eastAsia"/>
                <w:color w:val="000000"/>
                <w:sz w:val="20"/>
                <w:szCs w:val="20"/>
              </w:rPr>
              <w:br w:type="textWrapping"/>
            </w:r>
            <w:r>
              <w:rPr>
                <w:rFonts w:hint="eastAsia"/>
                <w:color w:val="000000"/>
                <w:sz w:val="20"/>
                <w:szCs w:val="20"/>
              </w:rPr>
              <w:t xml:space="preserve">5、定位精度：测试笔附件+1mm </w:t>
            </w:r>
            <w:r>
              <w:rPr>
                <w:rFonts w:hint="eastAsia"/>
                <w:color w:val="000000"/>
                <w:sz w:val="20"/>
                <w:szCs w:val="20"/>
              </w:rPr>
              <w:br w:type="textWrapping"/>
            </w:r>
            <w:r>
              <w:rPr>
                <w:rFonts w:hint="eastAsia"/>
                <w:color w:val="000000"/>
                <w:sz w:val="20"/>
                <w:szCs w:val="20"/>
              </w:rPr>
              <w:t xml:space="preserve">6、玻璃种类：化学强化玻璃；不怕刮伤 ，具有防爆功能 </w:t>
            </w:r>
            <w:r>
              <w:rPr>
                <w:rFonts w:hint="eastAsia"/>
                <w:color w:val="000000"/>
                <w:sz w:val="20"/>
                <w:szCs w:val="20"/>
              </w:rPr>
              <w:br w:type="textWrapping"/>
            </w:r>
            <w:r>
              <w:rPr>
                <w:rFonts w:hint="eastAsia"/>
                <w:color w:val="000000"/>
                <w:sz w:val="20"/>
                <w:szCs w:val="20"/>
              </w:rPr>
              <w:t>7、主机配置：酷睿I5工控主板 内存8G固态硬盘 SSD120G 品牌电源 高速芯片组，集成HD Graphic显示核心，支持动态内存分配。</w:t>
            </w:r>
            <w:r>
              <w:rPr>
                <w:rFonts w:hint="eastAsia"/>
                <w:color w:val="000000"/>
                <w:sz w:val="20"/>
                <w:szCs w:val="20"/>
              </w:rPr>
              <w:br w:type="textWrapping"/>
            </w:r>
            <w:r>
              <w:rPr>
                <w:rFonts w:hint="eastAsia"/>
                <w:color w:val="000000"/>
                <w:sz w:val="20"/>
                <w:szCs w:val="20"/>
              </w:rPr>
              <w:t xml:space="preserve">8、外形：钢制金属烤漆机柜； </w:t>
            </w:r>
            <w:r>
              <w:rPr>
                <w:rFonts w:hint="eastAsia"/>
                <w:color w:val="000000"/>
                <w:sz w:val="20"/>
                <w:szCs w:val="20"/>
              </w:rPr>
              <w:br w:type="textWrapping"/>
            </w:r>
            <w:r>
              <w:rPr>
                <w:rFonts w:hint="eastAsia"/>
                <w:color w:val="000000"/>
                <w:sz w:val="20"/>
                <w:szCs w:val="20"/>
              </w:rPr>
              <w:t xml:space="preserve">9、表层处理：防锈、防腐、耐磨，不易沾污损坏，亚光漆； </w:t>
            </w:r>
            <w:r>
              <w:rPr>
                <w:rFonts w:hint="eastAsia"/>
                <w:color w:val="000000"/>
                <w:sz w:val="20"/>
                <w:szCs w:val="20"/>
              </w:rPr>
              <w:br w:type="textWrapping"/>
            </w:r>
            <w:r>
              <w:rPr>
                <w:rFonts w:hint="eastAsia"/>
                <w:color w:val="000000"/>
                <w:sz w:val="20"/>
                <w:szCs w:val="20"/>
              </w:rPr>
              <w:t xml:space="preserve">10、内部结构：模块定位，布线规范整齐； </w:t>
            </w:r>
            <w:r>
              <w:rPr>
                <w:rFonts w:hint="eastAsia"/>
                <w:color w:val="000000"/>
                <w:sz w:val="20"/>
                <w:szCs w:val="20"/>
              </w:rPr>
              <w:br w:type="textWrapping"/>
            </w:r>
            <w:r>
              <w:rPr>
                <w:rFonts w:hint="eastAsia"/>
                <w:color w:val="000000"/>
                <w:sz w:val="20"/>
                <w:szCs w:val="20"/>
              </w:rPr>
              <w:t xml:space="preserve">11、外部结构：各部件模块与机柜结合紧密，布局合理，工艺精细。装有立体音响、机柜材料为1.5mm锌板、1.5mm冷钢板，内置音响等。 </w:t>
            </w:r>
            <w:r>
              <w:rPr>
                <w:rFonts w:hint="eastAsia"/>
                <w:color w:val="000000"/>
                <w:sz w:val="20"/>
                <w:szCs w:val="20"/>
              </w:rPr>
              <w:br w:type="textWrapping"/>
            </w:r>
            <w:r>
              <w:rPr>
                <w:rFonts w:hint="eastAsia"/>
                <w:color w:val="000000"/>
                <w:sz w:val="20"/>
                <w:szCs w:val="20"/>
              </w:rPr>
              <w:t>12、散热技术：显示器部件散热问题充分考虑显示器部件、主机散热问题，提供散热解决方案，无噪音。</w:t>
            </w:r>
            <w:r>
              <w:rPr>
                <w:rFonts w:hint="eastAsia"/>
                <w:color w:val="000000"/>
                <w:sz w:val="20"/>
                <w:szCs w:val="20"/>
              </w:rPr>
              <w:br w:type="textWrapping"/>
            </w:r>
            <w:r>
              <w:rPr>
                <w:rFonts w:hint="eastAsia"/>
                <w:color w:val="000000"/>
                <w:sz w:val="20"/>
                <w:szCs w:val="20"/>
              </w:rPr>
              <w:t>13、含壁挂支架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高清激光投影机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1、投影技术：1-chip 0.67" DMD。</w:t>
            </w:r>
            <w:r>
              <w:rPr>
                <w:rFonts w:hint="eastAsia"/>
                <w:color w:val="000000"/>
                <w:sz w:val="20"/>
                <w:szCs w:val="20"/>
              </w:rPr>
              <w:br w:type="textWrapping"/>
            </w:r>
            <w:r>
              <w:rPr>
                <w:rFonts w:hint="eastAsia"/>
                <w:color w:val="000000"/>
                <w:sz w:val="20"/>
                <w:szCs w:val="20"/>
              </w:rPr>
              <w:t>2、光源类型：单色激光（激光荧光粉材料）。</w:t>
            </w:r>
            <w:r>
              <w:rPr>
                <w:rFonts w:hint="eastAsia"/>
                <w:color w:val="000000"/>
                <w:sz w:val="20"/>
                <w:szCs w:val="20"/>
              </w:rPr>
              <w:br w:type="textWrapping"/>
            </w:r>
            <w:r>
              <w:rPr>
                <w:rFonts w:hint="eastAsia"/>
                <w:color w:val="000000"/>
                <w:sz w:val="20"/>
                <w:szCs w:val="20"/>
              </w:rPr>
              <w:t>3、光源使用寿命：标准模式：20000 小时，节能模式：25000小时。</w:t>
            </w:r>
            <w:r>
              <w:rPr>
                <w:rFonts w:hint="eastAsia"/>
                <w:color w:val="000000"/>
                <w:sz w:val="20"/>
                <w:szCs w:val="20"/>
              </w:rPr>
              <w:br w:type="textWrapping"/>
            </w:r>
            <w:r>
              <w:rPr>
                <w:rFonts w:hint="eastAsia"/>
                <w:color w:val="000000"/>
                <w:sz w:val="20"/>
                <w:szCs w:val="20"/>
              </w:rPr>
              <w:t>4、1级激光光源产品。</w:t>
            </w:r>
            <w:r>
              <w:rPr>
                <w:rFonts w:hint="eastAsia"/>
                <w:color w:val="000000"/>
                <w:sz w:val="20"/>
                <w:szCs w:val="20"/>
              </w:rPr>
              <w:br w:type="textWrapping"/>
            </w:r>
            <w:r>
              <w:rPr>
                <w:rFonts w:hint="eastAsia"/>
                <w:color w:val="000000"/>
                <w:sz w:val="20"/>
                <w:szCs w:val="20"/>
              </w:rPr>
              <w:t>5、色轮：4段（RGBY）高效转速。</w:t>
            </w:r>
            <w:r>
              <w:rPr>
                <w:rFonts w:hint="eastAsia"/>
                <w:color w:val="000000"/>
                <w:sz w:val="20"/>
                <w:szCs w:val="20"/>
              </w:rPr>
              <w:br w:type="textWrapping"/>
            </w:r>
            <w:r>
              <w:rPr>
                <w:rFonts w:hint="eastAsia"/>
                <w:color w:val="000000"/>
                <w:sz w:val="20"/>
                <w:szCs w:val="20"/>
              </w:rPr>
              <w:t>6、亮度≥7600lm（中心亮度），≥7400（ISO21118标准）。</w:t>
            </w:r>
            <w:r>
              <w:rPr>
                <w:rFonts w:hint="eastAsia"/>
                <w:color w:val="000000"/>
                <w:sz w:val="20"/>
                <w:szCs w:val="20"/>
              </w:rPr>
              <w:br w:type="textWrapping"/>
            </w:r>
            <w:r>
              <w:rPr>
                <w:rFonts w:hint="eastAsia"/>
                <w:color w:val="000000"/>
                <w:sz w:val="20"/>
                <w:szCs w:val="20"/>
              </w:rPr>
              <w:t>7、显示模式支持中国红</w:t>
            </w:r>
            <w:r>
              <w:rPr>
                <w:rFonts w:hint="eastAsia"/>
                <w:color w:val="000000"/>
                <w:sz w:val="20"/>
                <w:szCs w:val="20"/>
              </w:rPr>
              <w:br w:type="textWrapping"/>
            </w:r>
            <w:r>
              <w:rPr>
                <w:rFonts w:hint="eastAsia"/>
                <w:color w:val="000000"/>
                <w:sz w:val="20"/>
                <w:szCs w:val="20"/>
              </w:rPr>
              <w:t>8、分辨率：≥1920×1200兼容4096x2160，3840x2160，1920×1080，1280×800，1024×768。</w:t>
            </w:r>
            <w:r>
              <w:rPr>
                <w:rFonts w:hint="eastAsia"/>
                <w:color w:val="000000"/>
                <w:sz w:val="20"/>
                <w:szCs w:val="20"/>
              </w:rPr>
              <w:br w:type="textWrapping"/>
            </w:r>
            <w:r>
              <w:rPr>
                <w:rFonts w:hint="eastAsia"/>
                <w:color w:val="000000"/>
                <w:sz w:val="20"/>
                <w:szCs w:val="20"/>
              </w:rPr>
              <w:t>9、对比度：1,800:1 静态; 10,0000:1动态; 300,0000:1极致黑。</w:t>
            </w:r>
            <w:r>
              <w:rPr>
                <w:rFonts w:hint="eastAsia"/>
                <w:color w:val="000000"/>
                <w:sz w:val="20"/>
                <w:szCs w:val="20"/>
              </w:rPr>
              <w:br w:type="textWrapping"/>
            </w:r>
            <w:r>
              <w:rPr>
                <w:rFonts w:hint="eastAsia"/>
                <w:color w:val="000000"/>
                <w:sz w:val="20"/>
                <w:szCs w:val="20"/>
              </w:rPr>
              <w:t>10、投射比1.21-1.52:1,1.25倍变焦，支持电动位移/聚焦/变焦功能。</w:t>
            </w:r>
            <w:r>
              <w:rPr>
                <w:rFonts w:hint="eastAsia"/>
                <w:color w:val="000000"/>
                <w:sz w:val="20"/>
                <w:szCs w:val="20"/>
              </w:rPr>
              <w:br w:type="textWrapping"/>
            </w:r>
            <w:r>
              <w:rPr>
                <w:rFonts w:hint="eastAsia"/>
                <w:color w:val="000000"/>
                <w:sz w:val="20"/>
                <w:szCs w:val="20"/>
              </w:rPr>
              <w:t>11、镜头移位精度：每步 0.5 像素。</w:t>
            </w:r>
            <w:r>
              <w:rPr>
                <w:rFonts w:hint="eastAsia"/>
                <w:color w:val="000000"/>
                <w:sz w:val="20"/>
                <w:szCs w:val="20"/>
              </w:rPr>
              <w:br w:type="textWrapping"/>
            </w:r>
            <w:r>
              <w:rPr>
                <w:rFonts w:hint="eastAsia"/>
                <w:color w:val="000000"/>
                <w:sz w:val="20"/>
                <w:szCs w:val="20"/>
              </w:rPr>
              <w:t>12、输入接口：HDMI 1(V2.0兼容4K支持HDCPx1，HDMI 2 （v1.4支持HDCP）x1 ，15-pin Mini-Dsubx1，HDBaseTx1，AUDIOx1 (3.5mm端口) 。</w:t>
            </w:r>
            <w:r>
              <w:rPr>
                <w:rFonts w:hint="eastAsia"/>
                <w:color w:val="000000"/>
                <w:sz w:val="20"/>
                <w:szCs w:val="20"/>
              </w:rPr>
              <w:br w:type="textWrapping"/>
            </w:r>
            <w:r>
              <w:rPr>
                <w:rFonts w:hint="eastAsia"/>
                <w:color w:val="000000"/>
                <w:sz w:val="20"/>
                <w:szCs w:val="20"/>
              </w:rPr>
              <w:t>13、输出接口：3D-SyncInx1，Wiredx1 3.5mm（用于有线遥控器），RJ451x1（用于网络控制），RS232(D-sub 9pin)x1，USB-Ax2(DC5V)，USB-Bx1(用于软件升级)，12V，15-pin Mini-Dsubx1，HDMI 1.4(支持HDCP) x1，3D-Sync x1，AUDIOx1(3.5mm端口)。</w:t>
            </w:r>
            <w:r>
              <w:rPr>
                <w:rFonts w:hint="eastAsia"/>
                <w:color w:val="000000"/>
                <w:sz w:val="20"/>
                <w:szCs w:val="20"/>
              </w:rPr>
              <w:br w:type="textWrapping"/>
            </w:r>
            <w:r>
              <w:rPr>
                <w:rFonts w:hint="eastAsia"/>
                <w:color w:val="000000"/>
                <w:sz w:val="20"/>
                <w:szCs w:val="20"/>
              </w:rPr>
              <w:t>14、整机功率：标准模式：405W+/-15%,节能模式195W+/-15%。</w:t>
            </w:r>
            <w:r>
              <w:rPr>
                <w:rFonts w:hint="eastAsia"/>
                <w:color w:val="000000"/>
                <w:sz w:val="20"/>
                <w:szCs w:val="20"/>
              </w:rPr>
              <w:br w:type="textWrapping"/>
            </w:r>
            <w:r>
              <w:rPr>
                <w:rFonts w:hint="eastAsia"/>
                <w:color w:val="000000"/>
                <w:sz w:val="20"/>
                <w:szCs w:val="20"/>
              </w:rPr>
              <w:t>15、待机功率：0.5W。</w:t>
            </w:r>
            <w:r>
              <w:rPr>
                <w:rFonts w:hint="eastAsia"/>
                <w:color w:val="000000"/>
                <w:sz w:val="20"/>
                <w:szCs w:val="20"/>
              </w:rPr>
              <w:br w:type="textWrapping"/>
            </w:r>
            <w:r>
              <w:rPr>
                <w:rFonts w:hint="eastAsia"/>
                <w:color w:val="000000"/>
                <w:sz w:val="20"/>
                <w:szCs w:val="20"/>
              </w:rPr>
              <w:t>16、产品内置17*17多点几何校正功能及MxN拼接融合功能。</w:t>
            </w:r>
            <w:r>
              <w:rPr>
                <w:rFonts w:hint="eastAsia"/>
                <w:color w:val="000000"/>
                <w:sz w:val="20"/>
                <w:szCs w:val="20"/>
              </w:rPr>
              <w:br w:type="textWrapping"/>
            </w:r>
            <w:r>
              <w:rPr>
                <w:rFonts w:hint="eastAsia"/>
                <w:color w:val="000000"/>
                <w:sz w:val="20"/>
                <w:szCs w:val="20"/>
              </w:rPr>
              <w:t>17、色彩管理功能用于多台拼接融合后的色彩一致性调整。</w:t>
            </w:r>
            <w:r>
              <w:rPr>
                <w:rFonts w:hint="eastAsia"/>
                <w:color w:val="000000"/>
                <w:sz w:val="20"/>
                <w:szCs w:val="20"/>
              </w:rPr>
              <w:br w:type="textWrapping"/>
            </w:r>
            <w:r>
              <w:rPr>
                <w:rFonts w:hint="eastAsia"/>
                <w:color w:val="000000"/>
                <w:sz w:val="20"/>
                <w:szCs w:val="20"/>
              </w:rPr>
              <w:t>18、色温调整功能，用于多台拼接融合后的色温一致性调整。</w:t>
            </w:r>
            <w:r>
              <w:rPr>
                <w:rFonts w:hint="eastAsia"/>
                <w:color w:val="000000"/>
                <w:sz w:val="20"/>
                <w:szCs w:val="20"/>
              </w:rPr>
              <w:br w:type="textWrapping"/>
            </w:r>
            <w:r>
              <w:rPr>
                <w:rFonts w:hint="eastAsia"/>
                <w:color w:val="000000"/>
                <w:sz w:val="20"/>
                <w:szCs w:val="20"/>
              </w:rPr>
              <w:t>19、3D信号收发支持 红外发射器、射频发射器、DLP Link眼镜。</w:t>
            </w:r>
            <w:r>
              <w:rPr>
                <w:rFonts w:hint="eastAsia"/>
                <w:color w:val="000000"/>
                <w:sz w:val="20"/>
                <w:szCs w:val="20"/>
              </w:rPr>
              <w:br w:type="textWrapping"/>
            </w:r>
            <w:r>
              <w:rPr>
                <w:rFonts w:hint="eastAsia"/>
                <w:color w:val="000000"/>
                <w:sz w:val="20"/>
                <w:szCs w:val="20"/>
              </w:rPr>
              <w:t>20、支持时间调度智能关机（自定义设定开关机时间）、通电后直接开机、信号源激活开机运行。</w:t>
            </w:r>
            <w:r>
              <w:rPr>
                <w:rFonts w:hint="eastAsia"/>
                <w:color w:val="000000"/>
                <w:sz w:val="20"/>
                <w:szCs w:val="20"/>
              </w:rPr>
              <w:br w:type="textWrapping"/>
            </w:r>
            <w:r>
              <w:rPr>
                <w:rFonts w:hint="eastAsia"/>
                <w:color w:val="000000"/>
                <w:sz w:val="20"/>
                <w:szCs w:val="20"/>
              </w:rPr>
              <w:t>21、HDBaseT接口支持RS232控制协议、IR控制。</w:t>
            </w:r>
            <w:r>
              <w:rPr>
                <w:rFonts w:hint="eastAsia"/>
                <w:color w:val="000000"/>
                <w:sz w:val="20"/>
                <w:szCs w:val="20"/>
              </w:rPr>
              <w:br w:type="textWrapping"/>
            </w:r>
            <w:r>
              <w:rPr>
                <w:rFonts w:hint="eastAsia"/>
                <w:color w:val="000000"/>
                <w:sz w:val="20"/>
                <w:szCs w:val="20"/>
              </w:rPr>
              <w:t>22、串行端口控制路径支持RS232&amp;HDBaseT通道。</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短焦镜头</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根据实际环境选择短焦定焦镜头投射比：0.5:1/0.6:1/0.8:1</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投影机吊架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具有良好的伸缩调节功能，头部装配十字节的结构，可以前后、左右±90°调节</w:t>
            </w:r>
            <w:r>
              <w:rPr>
                <w:rFonts w:hint="eastAsia"/>
                <w:color w:val="000000"/>
                <w:sz w:val="20"/>
                <w:szCs w:val="20"/>
              </w:rPr>
              <w:br w:type="textWrapping"/>
            </w:r>
            <w:r>
              <w:rPr>
                <w:rFonts w:hint="eastAsia"/>
                <w:color w:val="000000"/>
                <w:sz w:val="20"/>
                <w:szCs w:val="20"/>
              </w:rPr>
              <w:t>载重：20kg</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融合软件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1、投影异形融合软件沉浸式融合软件，使投影画面融合模型形状山体形状或建筑；</w:t>
            </w:r>
            <w:r>
              <w:rPr>
                <w:rFonts w:hint="eastAsia"/>
                <w:color w:val="000000"/>
                <w:sz w:val="20"/>
                <w:szCs w:val="20"/>
              </w:rPr>
              <w:br w:type="textWrapping"/>
            </w:r>
            <w:r>
              <w:rPr>
                <w:rFonts w:hint="eastAsia"/>
                <w:color w:val="000000"/>
                <w:sz w:val="20"/>
                <w:szCs w:val="20"/>
              </w:rPr>
              <w:t>2、桌面无缝融合支持几何校正（包括曲面几何校正和球面几何校正）；</w:t>
            </w:r>
            <w:r>
              <w:rPr>
                <w:rFonts w:hint="eastAsia"/>
                <w:color w:val="000000"/>
                <w:sz w:val="20"/>
                <w:szCs w:val="20"/>
              </w:rPr>
              <w:br w:type="textWrapping"/>
            </w:r>
            <w:r>
              <w:rPr>
                <w:rFonts w:hint="eastAsia"/>
                <w:color w:val="000000"/>
                <w:sz w:val="20"/>
                <w:szCs w:val="20"/>
              </w:rPr>
              <w:t>3、支持投影仪颜色一致性，支持投影机亮度差调节；</w:t>
            </w:r>
            <w:r>
              <w:rPr>
                <w:rFonts w:hint="eastAsia"/>
                <w:color w:val="000000"/>
                <w:sz w:val="20"/>
                <w:szCs w:val="20"/>
              </w:rPr>
              <w:br w:type="textWrapping"/>
            </w:r>
            <w:r>
              <w:rPr>
                <w:rFonts w:hint="eastAsia"/>
                <w:color w:val="000000"/>
                <w:sz w:val="20"/>
                <w:szCs w:val="20"/>
              </w:rPr>
              <w:t>4、支持网络远程控制；</w:t>
            </w:r>
            <w:r>
              <w:rPr>
                <w:rFonts w:hint="eastAsia"/>
                <w:color w:val="000000"/>
                <w:sz w:val="20"/>
                <w:szCs w:val="20"/>
              </w:rPr>
              <w:br w:type="textWrapping"/>
            </w:r>
            <w:r>
              <w:rPr>
                <w:rFonts w:hint="eastAsia"/>
                <w:color w:val="000000"/>
                <w:sz w:val="20"/>
                <w:szCs w:val="20"/>
              </w:rPr>
              <w:t>5、支持黑暗场景下的黑亮度调节功能，在全黑室内场景下能完全消除黑亮带；</w:t>
            </w:r>
            <w:r>
              <w:rPr>
                <w:rFonts w:hint="eastAsia"/>
                <w:color w:val="000000"/>
                <w:sz w:val="20"/>
                <w:szCs w:val="20"/>
              </w:rPr>
              <w:br w:type="textWrapping"/>
            </w:r>
            <w:r>
              <w:rPr>
                <w:rFonts w:hint="eastAsia"/>
                <w:color w:val="000000"/>
                <w:sz w:val="20"/>
                <w:szCs w:val="20"/>
              </w:rPr>
              <w:t>6、支持控制显示终端的实时回显功能，回显分辨率为1920×1080，帧率不小于每秒30帧，要求回显内容与投影到幕上内容完全一致）；</w:t>
            </w:r>
            <w:r>
              <w:rPr>
                <w:rFonts w:hint="eastAsia"/>
                <w:color w:val="000000"/>
                <w:sz w:val="20"/>
                <w:szCs w:val="20"/>
              </w:rPr>
              <w:br w:type="textWrapping"/>
            </w:r>
            <w:r>
              <w:rPr>
                <w:rFonts w:hint="eastAsia"/>
                <w:color w:val="000000"/>
                <w:sz w:val="20"/>
                <w:szCs w:val="20"/>
              </w:rPr>
              <w:t>7、支持同屏多窗口显示（任意缩放、漫游、叠加、覆盖、分层），同时支持多窗口等比例分屏显示；</w:t>
            </w:r>
            <w:r>
              <w:rPr>
                <w:rFonts w:hint="eastAsia"/>
                <w:color w:val="000000"/>
                <w:sz w:val="20"/>
                <w:szCs w:val="20"/>
              </w:rPr>
              <w:br w:type="textWrapping"/>
            </w:r>
            <w:r>
              <w:rPr>
                <w:rFonts w:hint="eastAsia"/>
                <w:color w:val="000000"/>
                <w:sz w:val="20"/>
                <w:szCs w:val="20"/>
              </w:rPr>
              <w:t>8、支持预案调用模式，支持显示内容的脚本编辑功能，能够保证开机之后调用编辑好的脚本和预案进行预定内容的显示；</w:t>
            </w:r>
            <w:r>
              <w:rPr>
                <w:rFonts w:hint="eastAsia"/>
                <w:color w:val="000000"/>
                <w:sz w:val="20"/>
                <w:szCs w:val="20"/>
              </w:rPr>
              <w:br w:type="textWrapping"/>
            </w:r>
            <w:r>
              <w:rPr>
                <w:rFonts w:hint="eastAsia"/>
                <w:color w:val="000000"/>
                <w:sz w:val="20"/>
                <w:szCs w:val="20"/>
              </w:rPr>
              <w:t>9、支持系统意外停电设置保存功能，保证下次开机后仍然运行相同配置和预案。</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通道</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融合主机服务器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CPU：Intel 酷睿I7；内存:16GB；硬盘:240G固态硬盘；显卡：1050；电源:650w；机箱：4U工控机箱，标配高清HDMI 转接头</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操控终端</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I5/8G/256G固态/2G显卡/Win10/23"显示器</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移动操控终端</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I7处理器 集成显卡 Intel Iris Xe 16+512G 触屏</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无人机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一、无人机技术要求</w:t>
            </w:r>
            <w:r>
              <w:rPr>
                <w:rFonts w:hint="eastAsia"/>
                <w:color w:val="000000"/>
                <w:sz w:val="20"/>
                <w:szCs w:val="20"/>
              </w:rPr>
              <w:br w:type="textWrapping"/>
            </w:r>
            <w:r>
              <w:rPr>
                <w:rFonts w:hint="eastAsia"/>
                <w:color w:val="000000"/>
                <w:sz w:val="20"/>
                <w:szCs w:val="20"/>
              </w:rPr>
              <w:t>1、飞行器裸机重量（带桨叶）≤1000g</w:t>
            </w:r>
            <w:r>
              <w:rPr>
                <w:rFonts w:hint="eastAsia"/>
                <w:color w:val="000000"/>
                <w:sz w:val="20"/>
                <w:szCs w:val="20"/>
              </w:rPr>
              <w:br w:type="textWrapping"/>
            </w:r>
            <w:r>
              <w:rPr>
                <w:rFonts w:hint="eastAsia"/>
                <w:color w:val="000000"/>
                <w:sz w:val="20"/>
                <w:szCs w:val="20"/>
              </w:rPr>
              <w:t>2、尺寸展开（不带桨）：≤350*300*150mm</w:t>
            </w:r>
            <w:r>
              <w:rPr>
                <w:rFonts w:hint="eastAsia"/>
                <w:color w:val="000000"/>
                <w:sz w:val="20"/>
                <w:szCs w:val="20"/>
              </w:rPr>
              <w:br w:type="textWrapping"/>
            </w:r>
            <w:r>
              <w:rPr>
                <w:rFonts w:hint="eastAsia"/>
                <w:color w:val="000000"/>
                <w:sz w:val="20"/>
                <w:szCs w:val="20"/>
              </w:rPr>
              <w:t>3、轴距对角线≤400mm</w:t>
            </w:r>
            <w:r>
              <w:rPr>
                <w:rFonts w:hint="eastAsia"/>
                <w:color w:val="000000"/>
                <w:sz w:val="20"/>
                <w:szCs w:val="20"/>
              </w:rPr>
              <w:br w:type="textWrapping"/>
            </w:r>
            <w:r>
              <w:rPr>
                <w:rFonts w:hint="eastAsia"/>
                <w:color w:val="000000"/>
                <w:sz w:val="20"/>
                <w:szCs w:val="20"/>
              </w:rPr>
              <w:t>4、最大上升速度≥8 米/秒</w:t>
            </w:r>
            <w:r>
              <w:rPr>
                <w:rFonts w:hint="eastAsia"/>
                <w:color w:val="000000"/>
                <w:sz w:val="20"/>
                <w:szCs w:val="20"/>
              </w:rPr>
              <w:br w:type="textWrapping"/>
            </w:r>
            <w:r>
              <w:rPr>
                <w:rFonts w:hint="eastAsia"/>
                <w:color w:val="000000"/>
                <w:sz w:val="20"/>
                <w:szCs w:val="20"/>
              </w:rPr>
              <w:t>5、最大下降速度≥6 米/秒</w:t>
            </w:r>
            <w:r>
              <w:rPr>
                <w:rFonts w:hint="eastAsia"/>
                <w:color w:val="000000"/>
                <w:sz w:val="20"/>
                <w:szCs w:val="20"/>
              </w:rPr>
              <w:br w:type="textWrapping"/>
            </w:r>
            <w:r>
              <w:rPr>
                <w:rFonts w:hint="eastAsia"/>
                <w:color w:val="000000"/>
                <w:sz w:val="20"/>
                <w:szCs w:val="20"/>
              </w:rPr>
              <w:t>6、最大水平前飞速度≥20 米/秒</w:t>
            </w:r>
            <w:r>
              <w:rPr>
                <w:rFonts w:hint="eastAsia"/>
                <w:color w:val="000000"/>
                <w:sz w:val="20"/>
                <w:szCs w:val="20"/>
              </w:rPr>
              <w:br w:type="textWrapping"/>
            </w:r>
            <w:r>
              <w:rPr>
                <w:rFonts w:hint="eastAsia"/>
                <w:color w:val="000000"/>
                <w:sz w:val="20"/>
                <w:szCs w:val="20"/>
              </w:rPr>
              <w:t>7、最大抗风速度≥12 米/秒</w:t>
            </w:r>
            <w:r>
              <w:rPr>
                <w:rFonts w:hint="eastAsia"/>
                <w:color w:val="000000"/>
                <w:sz w:val="20"/>
                <w:szCs w:val="20"/>
              </w:rPr>
              <w:br w:type="textWrapping"/>
            </w:r>
            <w:r>
              <w:rPr>
                <w:rFonts w:hint="eastAsia"/>
                <w:color w:val="000000"/>
                <w:sz w:val="20"/>
                <w:szCs w:val="20"/>
              </w:rPr>
              <w:t>8、最长飞行时间≥45 分钟</w:t>
            </w:r>
            <w:r>
              <w:rPr>
                <w:rFonts w:hint="eastAsia"/>
                <w:color w:val="000000"/>
                <w:sz w:val="20"/>
                <w:szCs w:val="20"/>
              </w:rPr>
              <w:br w:type="textWrapping"/>
            </w:r>
            <w:r>
              <w:rPr>
                <w:rFonts w:hint="eastAsia"/>
                <w:color w:val="000000"/>
                <w:sz w:val="20"/>
                <w:szCs w:val="20"/>
              </w:rPr>
              <w:t>9、最大续航里程≥30 公里</w:t>
            </w:r>
            <w:r>
              <w:rPr>
                <w:rFonts w:hint="eastAsia"/>
                <w:color w:val="000000"/>
                <w:sz w:val="20"/>
                <w:szCs w:val="20"/>
              </w:rPr>
              <w:br w:type="textWrapping"/>
            </w:r>
            <w:r>
              <w:rPr>
                <w:rFonts w:hint="eastAsia"/>
                <w:color w:val="000000"/>
                <w:sz w:val="20"/>
                <w:szCs w:val="20"/>
              </w:rPr>
              <w:t>10、GNSS系统：支撑GPS 、Galileo 、BeiDou 、GLONASS</w:t>
            </w:r>
            <w:r>
              <w:rPr>
                <w:rFonts w:hint="eastAsia"/>
                <w:color w:val="000000"/>
                <w:sz w:val="20"/>
                <w:szCs w:val="20"/>
              </w:rPr>
              <w:br w:type="textWrapping"/>
            </w:r>
            <w:r>
              <w:rPr>
                <w:rFonts w:hint="eastAsia"/>
                <w:color w:val="000000"/>
                <w:sz w:val="20"/>
                <w:szCs w:val="20"/>
              </w:rPr>
              <w:t>11、.悬停精度：垂直：±0.1 米、水平：±0.3 米</w:t>
            </w:r>
            <w:r>
              <w:rPr>
                <w:rFonts w:hint="eastAsia"/>
                <w:color w:val="000000"/>
                <w:sz w:val="20"/>
                <w:szCs w:val="20"/>
              </w:rPr>
              <w:br w:type="textWrapping"/>
            </w:r>
            <w:r>
              <w:rPr>
                <w:rFonts w:hint="eastAsia"/>
                <w:color w:val="000000"/>
                <w:sz w:val="20"/>
                <w:szCs w:val="20"/>
              </w:rPr>
              <w:t>12、广角相机影像传感器</w:t>
            </w:r>
            <w:r>
              <w:rPr>
                <w:rFonts w:hint="eastAsia"/>
                <w:color w:val="000000"/>
                <w:sz w:val="20"/>
                <w:szCs w:val="20"/>
              </w:rPr>
              <w:br w:type="textWrapping"/>
            </w:r>
            <w:r>
              <w:rPr>
                <w:rFonts w:hint="eastAsia"/>
                <w:color w:val="000000"/>
                <w:sz w:val="20"/>
                <w:szCs w:val="20"/>
              </w:rPr>
              <w:t>13、广角相机影像传感器有效像素≥4800万</w:t>
            </w:r>
            <w:r>
              <w:rPr>
                <w:rFonts w:hint="eastAsia"/>
                <w:color w:val="000000"/>
                <w:sz w:val="20"/>
                <w:szCs w:val="20"/>
              </w:rPr>
              <w:br w:type="textWrapping"/>
            </w:r>
            <w:r>
              <w:rPr>
                <w:rFonts w:hint="eastAsia"/>
                <w:color w:val="000000"/>
                <w:sz w:val="20"/>
                <w:szCs w:val="20"/>
              </w:rPr>
              <w:t>14、广角相机影像传感器等效焦距≥24 mm</w:t>
            </w:r>
            <w:r>
              <w:rPr>
                <w:rFonts w:hint="eastAsia"/>
                <w:color w:val="000000"/>
                <w:sz w:val="20"/>
                <w:szCs w:val="20"/>
              </w:rPr>
              <w:br w:type="textWrapping"/>
            </w:r>
            <w:r>
              <w:rPr>
                <w:rFonts w:hint="eastAsia"/>
                <w:color w:val="000000"/>
                <w:sz w:val="20"/>
                <w:szCs w:val="20"/>
              </w:rPr>
              <w:t>15、长焦相机影像传感器有效像素≥ 1200 万</w:t>
            </w:r>
            <w:r>
              <w:rPr>
                <w:rFonts w:hint="eastAsia"/>
                <w:color w:val="000000"/>
                <w:sz w:val="20"/>
                <w:szCs w:val="20"/>
              </w:rPr>
              <w:br w:type="textWrapping"/>
            </w:r>
            <w:r>
              <w:rPr>
                <w:rFonts w:hint="eastAsia"/>
                <w:color w:val="000000"/>
                <w:sz w:val="20"/>
                <w:szCs w:val="20"/>
              </w:rPr>
              <w:t>16、长焦相机影像传感器等效焦距≥162 mm</w:t>
            </w:r>
            <w:r>
              <w:rPr>
                <w:rFonts w:hint="eastAsia"/>
                <w:color w:val="000000"/>
                <w:sz w:val="20"/>
                <w:szCs w:val="20"/>
              </w:rPr>
              <w:br w:type="textWrapping"/>
            </w:r>
            <w:r>
              <w:rPr>
                <w:rFonts w:hint="eastAsia"/>
                <w:color w:val="000000"/>
                <w:sz w:val="20"/>
                <w:szCs w:val="20"/>
              </w:rPr>
              <w:t>17、云台稳定系统：三轴机械云台（俯仰、横滚、平移）</w:t>
            </w:r>
            <w:r>
              <w:rPr>
                <w:rFonts w:hint="eastAsia"/>
                <w:color w:val="000000"/>
                <w:sz w:val="20"/>
                <w:szCs w:val="20"/>
              </w:rPr>
              <w:br w:type="textWrapping"/>
            </w:r>
            <w:r>
              <w:rPr>
                <w:rFonts w:hint="eastAsia"/>
                <w:color w:val="000000"/>
                <w:sz w:val="20"/>
                <w:szCs w:val="20"/>
              </w:rPr>
              <w:t>18、感知系统类型：全向双目视觉系统，辅以机身底部红外传感器</w:t>
            </w:r>
            <w:r>
              <w:rPr>
                <w:rFonts w:hint="eastAsia"/>
                <w:color w:val="000000"/>
                <w:sz w:val="20"/>
                <w:szCs w:val="20"/>
              </w:rPr>
              <w:br w:type="textWrapping"/>
            </w:r>
            <w:r>
              <w:rPr>
                <w:rFonts w:hint="eastAsia"/>
                <w:color w:val="000000"/>
                <w:sz w:val="20"/>
                <w:szCs w:val="20"/>
              </w:rPr>
              <w:t>19、最大信号有效距离≥15 公里</w:t>
            </w:r>
            <w:r>
              <w:rPr>
                <w:rFonts w:hint="eastAsia"/>
                <w:color w:val="000000"/>
                <w:sz w:val="20"/>
                <w:szCs w:val="20"/>
              </w:rPr>
              <w:br w:type="textWrapping"/>
            </w:r>
            <w:r>
              <w:rPr>
                <w:rFonts w:hint="eastAsia"/>
                <w:color w:val="000000"/>
                <w:sz w:val="20"/>
                <w:szCs w:val="20"/>
              </w:rPr>
              <w:t>20、遥控器屏幕尺寸≥5.英寸</w:t>
            </w:r>
            <w:r>
              <w:rPr>
                <w:rFonts w:hint="eastAsia"/>
                <w:color w:val="000000"/>
                <w:sz w:val="20"/>
                <w:szCs w:val="20"/>
              </w:rPr>
              <w:br w:type="textWrapping"/>
            </w:r>
            <w:r>
              <w:rPr>
                <w:rFonts w:hint="eastAsia"/>
                <w:color w:val="000000"/>
                <w:sz w:val="20"/>
                <w:szCs w:val="20"/>
              </w:rPr>
              <w:t>21、遥控器屏幕亮度≥1000 尼特</w:t>
            </w:r>
            <w:r>
              <w:rPr>
                <w:rFonts w:hint="eastAsia"/>
                <w:color w:val="000000"/>
                <w:sz w:val="20"/>
                <w:szCs w:val="20"/>
              </w:rPr>
              <w:br w:type="textWrapping"/>
            </w:r>
            <w:r>
              <w:rPr>
                <w:rFonts w:hint="eastAsia"/>
                <w:color w:val="000000"/>
                <w:sz w:val="20"/>
                <w:szCs w:val="20"/>
              </w:rPr>
              <w:t>22、无人机电池容量≥5000 毫安时</w:t>
            </w:r>
            <w:r>
              <w:rPr>
                <w:rFonts w:hint="eastAsia"/>
                <w:color w:val="000000"/>
                <w:sz w:val="20"/>
                <w:szCs w:val="20"/>
              </w:rPr>
              <w:br w:type="textWrapping"/>
            </w:r>
            <w:r>
              <w:rPr>
                <w:rFonts w:hint="eastAsia"/>
                <w:color w:val="000000"/>
                <w:sz w:val="20"/>
                <w:szCs w:val="20"/>
              </w:rPr>
              <w:t>23、提供一年内无人机意外飞行损坏增值服务维修/置换，额度20000元，额度之内不限次数；提供一年内无人机意外造成第三方损失赔付保险，额度100万。</w:t>
            </w:r>
            <w:r>
              <w:rPr>
                <w:rFonts w:hint="eastAsia"/>
                <w:color w:val="000000"/>
                <w:sz w:val="20"/>
                <w:szCs w:val="20"/>
              </w:rPr>
              <w:br w:type="textWrapping"/>
            </w:r>
            <w:r>
              <w:rPr>
                <w:rFonts w:hint="eastAsia"/>
                <w:color w:val="000000"/>
                <w:sz w:val="20"/>
                <w:szCs w:val="20"/>
              </w:rPr>
              <w:t>24、额外提供3组电池和无人机电池充电管家。</w:t>
            </w:r>
            <w:r>
              <w:rPr>
                <w:rFonts w:hint="eastAsia"/>
                <w:color w:val="000000"/>
                <w:sz w:val="20"/>
                <w:szCs w:val="20"/>
              </w:rPr>
              <w:br w:type="textWrapping"/>
            </w:r>
            <w:r>
              <w:rPr>
                <w:rFonts w:hint="eastAsia"/>
                <w:color w:val="000000"/>
                <w:sz w:val="20"/>
                <w:szCs w:val="20"/>
              </w:rPr>
              <w:t>二、图传平台技术要求</w:t>
            </w:r>
            <w:r>
              <w:rPr>
                <w:rFonts w:hint="eastAsia"/>
                <w:color w:val="000000"/>
                <w:sz w:val="20"/>
                <w:szCs w:val="20"/>
              </w:rPr>
              <w:br w:type="textWrapping"/>
            </w:r>
            <w:r>
              <w:rPr>
                <w:rFonts w:hint="eastAsia"/>
                <w:color w:val="000000"/>
                <w:sz w:val="20"/>
                <w:szCs w:val="20"/>
              </w:rPr>
              <w:t>1、平台支持进行组织管理</w:t>
            </w:r>
            <w:r>
              <w:rPr>
                <w:rFonts w:hint="eastAsia"/>
                <w:color w:val="000000"/>
                <w:sz w:val="20"/>
                <w:szCs w:val="20"/>
              </w:rPr>
              <w:br w:type="textWrapping"/>
            </w:r>
            <w:r>
              <w:rPr>
                <w:rFonts w:hint="eastAsia"/>
                <w:color w:val="000000"/>
                <w:sz w:val="20"/>
                <w:szCs w:val="20"/>
              </w:rPr>
              <w:t>2、支持人员管理和设备管理</w:t>
            </w:r>
            <w:r>
              <w:rPr>
                <w:rFonts w:hint="eastAsia"/>
                <w:color w:val="000000"/>
                <w:sz w:val="20"/>
                <w:szCs w:val="20"/>
              </w:rPr>
              <w:br w:type="textWrapping"/>
            </w:r>
            <w:r>
              <w:rPr>
                <w:rFonts w:hint="eastAsia"/>
                <w:color w:val="000000"/>
                <w:sz w:val="20"/>
                <w:szCs w:val="20"/>
              </w:rPr>
              <w:t>3、支持更换平台LOGO</w:t>
            </w:r>
            <w:r>
              <w:rPr>
                <w:rFonts w:hint="eastAsia"/>
                <w:color w:val="000000"/>
                <w:sz w:val="20"/>
                <w:szCs w:val="20"/>
              </w:rPr>
              <w:br w:type="textWrapping"/>
            </w:r>
            <w:r>
              <w:rPr>
                <w:rFonts w:hint="eastAsia"/>
                <w:color w:val="000000"/>
                <w:sz w:val="20"/>
                <w:szCs w:val="20"/>
              </w:rPr>
              <w:t>4、支持地图标注功能和设备位置共享</w:t>
            </w:r>
            <w:r>
              <w:rPr>
                <w:rFonts w:hint="eastAsia"/>
                <w:color w:val="000000"/>
                <w:sz w:val="20"/>
                <w:szCs w:val="20"/>
              </w:rPr>
              <w:br w:type="textWrapping"/>
            </w:r>
            <w:r>
              <w:rPr>
                <w:rFonts w:hint="eastAsia"/>
                <w:color w:val="000000"/>
                <w:sz w:val="20"/>
                <w:szCs w:val="20"/>
              </w:rPr>
              <w:t>5、支持二维/三维模型暂时功能</w:t>
            </w:r>
            <w:r>
              <w:rPr>
                <w:rFonts w:hint="eastAsia"/>
                <w:color w:val="000000"/>
                <w:sz w:val="20"/>
                <w:szCs w:val="20"/>
              </w:rPr>
              <w:br w:type="textWrapping"/>
            </w:r>
            <w:r>
              <w:rPr>
                <w:rFonts w:hint="eastAsia"/>
                <w:color w:val="000000"/>
                <w:sz w:val="20"/>
                <w:szCs w:val="20"/>
              </w:rPr>
              <w:t>6、支持对无人机进行航线规划</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物联网卡</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4G物联网卡，每月流量50G（3年）</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辅材</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定制，高清视频专业线缆、控制线、管材、接头等安装材料</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批</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1.2、音响系统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吸顶喇叭</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1、8"圆形窄边吸顶式扬声器；</w:t>
            </w:r>
            <w:r>
              <w:rPr>
                <w:rFonts w:hint="eastAsia"/>
                <w:color w:val="000000"/>
                <w:sz w:val="20"/>
                <w:szCs w:val="20"/>
              </w:rPr>
              <w:br w:type="textWrapping"/>
            </w:r>
            <w:r>
              <w:rPr>
                <w:rFonts w:hint="eastAsia"/>
                <w:color w:val="000000"/>
                <w:sz w:val="20"/>
                <w:szCs w:val="20"/>
              </w:rPr>
              <w:t>2、组成方式:同轴复合；</w:t>
            </w:r>
            <w:r>
              <w:rPr>
                <w:rFonts w:hint="eastAsia"/>
                <w:color w:val="000000"/>
                <w:sz w:val="20"/>
                <w:szCs w:val="20"/>
              </w:rPr>
              <w:br w:type="textWrapping"/>
            </w:r>
            <w:r>
              <w:rPr>
                <w:rFonts w:hint="eastAsia"/>
                <w:color w:val="000000"/>
                <w:sz w:val="20"/>
                <w:szCs w:val="20"/>
              </w:rPr>
              <w:t>3、振膜材料:非纸质；</w:t>
            </w:r>
            <w:r>
              <w:rPr>
                <w:rFonts w:hint="eastAsia"/>
                <w:color w:val="000000"/>
                <w:sz w:val="20"/>
                <w:szCs w:val="20"/>
              </w:rPr>
              <w:br w:type="textWrapping"/>
            </w:r>
            <w:r>
              <w:rPr>
                <w:rFonts w:hint="eastAsia"/>
                <w:color w:val="000000"/>
                <w:sz w:val="20"/>
                <w:szCs w:val="20"/>
              </w:rPr>
              <w:t>4、磁路形式:外磁式；</w:t>
            </w:r>
            <w:r>
              <w:rPr>
                <w:rFonts w:hint="eastAsia"/>
                <w:color w:val="000000"/>
                <w:sz w:val="20"/>
                <w:szCs w:val="20"/>
              </w:rPr>
              <w:br w:type="textWrapping"/>
            </w:r>
            <w:r>
              <w:rPr>
                <w:rFonts w:hint="eastAsia"/>
                <w:color w:val="000000"/>
                <w:sz w:val="20"/>
                <w:szCs w:val="20"/>
              </w:rPr>
              <w:t>5、额定功率80W，额定阻抗8Ω；</w:t>
            </w:r>
            <w:r>
              <w:rPr>
                <w:rFonts w:hint="eastAsia"/>
                <w:color w:val="000000"/>
                <w:sz w:val="20"/>
                <w:szCs w:val="20"/>
              </w:rPr>
              <w:br w:type="textWrapping"/>
            </w:r>
            <w:r>
              <w:rPr>
                <w:rFonts w:hint="eastAsia"/>
                <w:color w:val="000000"/>
                <w:sz w:val="20"/>
                <w:szCs w:val="20"/>
              </w:rPr>
              <w:t>6、频率响应40Hz-20（kHz）；</w:t>
            </w:r>
            <w:r>
              <w:rPr>
                <w:rFonts w:hint="eastAsia"/>
                <w:color w:val="000000"/>
                <w:sz w:val="20"/>
                <w:szCs w:val="20"/>
              </w:rPr>
              <w:br w:type="textWrapping"/>
            </w:r>
            <w:r>
              <w:rPr>
                <w:rFonts w:hint="eastAsia"/>
                <w:color w:val="000000"/>
                <w:sz w:val="20"/>
                <w:szCs w:val="20"/>
              </w:rPr>
              <w:t>7、灵敏度90（dB/W）；</w:t>
            </w:r>
            <w:r>
              <w:rPr>
                <w:rFonts w:hint="eastAsia"/>
                <w:color w:val="000000"/>
                <w:sz w:val="20"/>
                <w:szCs w:val="20"/>
              </w:rPr>
              <w:br w:type="textWrapping"/>
            </w:r>
            <w:r>
              <w:rPr>
                <w:rFonts w:hint="eastAsia"/>
                <w:color w:val="000000"/>
                <w:sz w:val="20"/>
                <w:szCs w:val="20"/>
              </w:rPr>
              <w:t>8、性噪比90（dB）；</w:t>
            </w:r>
            <w:r>
              <w:rPr>
                <w:rFonts w:hint="eastAsia"/>
                <w:color w:val="000000"/>
                <w:sz w:val="20"/>
                <w:szCs w:val="20"/>
              </w:rPr>
              <w:br w:type="textWrapping"/>
            </w:r>
            <w:r>
              <w:rPr>
                <w:rFonts w:hint="eastAsia"/>
                <w:color w:val="000000"/>
                <w:sz w:val="20"/>
                <w:szCs w:val="20"/>
              </w:rPr>
              <w:t>9、谐波失真 ≦5%（TMD%）；</w:t>
            </w:r>
            <w:r>
              <w:rPr>
                <w:rFonts w:hint="eastAsia"/>
                <w:color w:val="000000"/>
                <w:sz w:val="20"/>
                <w:szCs w:val="20"/>
              </w:rPr>
              <w:br w:type="textWrapping"/>
            </w:r>
            <w:r>
              <w:rPr>
                <w:rFonts w:hint="eastAsia"/>
                <w:color w:val="000000"/>
                <w:sz w:val="20"/>
                <w:szCs w:val="20"/>
              </w:rPr>
              <w:t>10、内直径/开孔直径244mm。</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8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四声道专业功放(2U)</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1、额定功率:4*500/8欧，4*750/4欧,桥接2*1500W/8欧。</w:t>
            </w:r>
            <w:r>
              <w:rPr>
                <w:rFonts w:hint="eastAsia"/>
                <w:color w:val="000000"/>
                <w:sz w:val="20"/>
                <w:szCs w:val="20"/>
              </w:rPr>
              <w:br w:type="textWrapping"/>
            </w:r>
            <w:r>
              <w:rPr>
                <w:rFonts w:hint="eastAsia"/>
                <w:color w:val="000000"/>
                <w:sz w:val="20"/>
                <w:szCs w:val="20"/>
              </w:rPr>
              <w:t>2、频响20Hz-20kHz；</w:t>
            </w:r>
            <w:r>
              <w:rPr>
                <w:rFonts w:hint="eastAsia"/>
                <w:color w:val="000000"/>
                <w:sz w:val="20"/>
                <w:szCs w:val="20"/>
              </w:rPr>
              <w:br w:type="textWrapping"/>
            </w:r>
            <w:r>
              <w:rPr>
                <w:rFonts w:hint="eastAsia"/>
                <w:color w:val="000000"/>
                <w:sz w:val="20"/>
                <w:szCs w:val="20"/>
              </w:rPr>
              <w:t>3、输入灵敏度1.3V；</w:t>
            </w:r>
            <w:r>
              <w:rPr>
                <w:rFonts w:hint="eastAsia"/>
                <w:color w:val="000000"/>
                <w:sz w:val="20"/>
                <w:szCs w:val="20"/>
              </w:rPr>
              <w:br w:type="textWrapping"/>
            </w:r>
            <w:r>
              <w:rPr>
                <w:rFonts w:hint="eastAsia"/>
                <w:color w:val="000000"/>
                <w:sz w:val="20"/>
                <w:szCs w:val="20"/>
              </w:rPr>
              <w:t>4、信噪比≥102dB；</w:t>
            </w:r>
            <w:r>
              <w:rPr>
                <w:rFonts w:hint="eastAsia"/>
                <w:color w:val="000000"/>
                <w:sz w:val="20"/>
                <w:szCs w:val="20"/>
              </w:rPr>
              <w:br w:type="textWrapping"/>
            </w:r>
            <w:r>
              <w:rPr>
                <w:rFonts w:hint="eastAsia"/>
                <w:color w:val="000000"/>
                <w:sz w:val="20"/>
                <w:szCs w:val="20"/>
              </w:rPr>
              <w:t>5、失真度≤0.02%；</w:t>
            </w:r>
            <w:r>
              <w:rPr>
                <w:rFonts w:hint="eastAsia"/>
                <w:color w:val="000000"/>
                <w:sz w:val="20"/>
                <w:szCs w:val="20"/>
              </w:rPr>
              <w:br w:type="textWrapping"/>
            </w:r>
            <w:r>
              <w:rPr>
                <w:rFonts w:hint="eastAsia"/>
                <w:color w:val="000000"/>
                <w:sz w:val="20"/>
                <w:szCs w:val="20"/>
              </w:rPr>
              <w:t>6、转换速率15V/uS；</w:t>
            </w:r>
            <w:r>
              <w:rPr>
                <w:rFonts w:hint="eastAsia"/>
                <w:color w:val="000000"/>
                <w:sz w:val="20"/>
                <w:szCs w:val="20"/>
              </w:rPr>
              <w:br w:type="textWrapping"/>
            </w:r>
            <w:r>
              <w:rPr>
                <w:rFonts w:hint="eastAsia"/>
                <w:color w:val="000000"/>
                <w:sz w:val="20"/>
                <w:szCs w:val="20"/>
              </w:rPr>
              <w:t>7、输出接口SPEAKON；</w:t>
            </w:r>
            <w:r>
              <w:rPr>
                <w:rFonts w:hint="eastAsia"/>
                <w:color w:val="000000"/>
                <w:sz w:val="20"/>
                <w:szCs w:val="20"/>
              </w:rPr>
              <w:br w:type="textWrapping"/>
            </w:r>
            <w:r>
              <w:rPr>
                <w:rFonts w:hint="eastAsia"/>
                <w:color w:val="000000"/>
                <w:sz w:val="20"/>
                <w:szCs w:val="20"/>
              </w:rPr>
              <w:t>8、采用环行变压器，大容量电解电容，整机静态功耗低，动态输出能量充沛；</w:t>
            </w:r>
            <w:r>
              <w:rPr>
                <w:rFonts w:hint="eastAsia"/>
                <w:color w:val="000000"/>
                <w:sz w:val="20"/>
                <w:szCs w:val="20"/>
              </w:rPr>
              <w:br w:type="textWrapping"/>
            </w:r>
            <w:r>
              <w:rPr>
                <w:rFonts w:hint="eastAsia"/>
                <w:color w:val="000000"/>
                <w:sz w:val="20"/>
                <w:szCs w:val="20"/>
              </w:rPr>
              <w:t>9、采用经典脉冲宽度调制放大电路，效率高达90%；</w:t>
            </w:r>
            <w:r>
              <w:rPr>
                <w:rFonts w:hint="eastAsia"/>
                <w:color w:val="000000"/>
                <w:sz w:val="20"/>
                <w:szCs w:val="20"/>
              </w:rPr>
              <w:br w:type="textWrapping"/>
            </w:r>
            <w:r>
              <w:rPr>
                <w:rFonts w:hint="eastAsia"/>
                <w:color w:val="000000"/>
                <w:sz w:val="20"/>
                <w:szCs w:val="20"/>
              </w:rPr>
              <w:t>10、元器件采用HIFI级标准，声音表完更加完美；</w:t>
            </w:r>
            <w:r>
              <w:rPr>
                <w:rFonts w:hint="eastAsia"/>
                <w:color w:val="000000"/>
                <w:sz w:val="20"/>
                <w:szCs w:val="20"/>
              </w:rPr>
              <w:br w:type="textWrapping"/>
            </w:r>
            <w:r>
              <w:rPr>
                <w:rFonts w:hint="eastAsia"/>
                <w:color w:val="000000"/>
                <w:sz w:val="20"/>
                <w:szCs w:val="20"/>
              </w:rPr>
              <w:t>11、采用先进的自动增益控制技术（AGC）,保证信号高保真放大，并能有效保护功放和扬声器免受削波失真损害；</w:t>
            </w:r>
            <w:r>
              <w:rPr>
                <w:rFonts w:hint="eastAsia"/>
                <w:color w:val="000000"/>
                <w:sz w:val="20"/>
                <w:szCs w:val="20"/>
              </w:rPr>
              <w:br w:type="textWrapping"/>
            </w:r>
            <w:r>
              <w:rPr>
                <w:rFonts w:hint="eastAsia"/>
                <w:color w:val="000000"/>
                <w:sz w:val="20"/>
                <w:szCs w:val="20"/>
              </w:rPr>
              <w:t>12、完善的保护电路包括开机软启动，欠压，过压，过热，过流，直流保护。</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带USB和蓝牙调音台</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1、6路MIC/单声道输入；</w:t>
            </w:r>
            <w:r>
              <w:rPr>
                <w:rFonts w:hint="eastAsia"/>
                <w:color w:val="000000"/>
                <w:sz w:val="20"/>
                <w:szCs w:val="20"/>
              </w:rPr>
              <w:br w:type="textWrapping"/>
            </w:r>
            <w:r>
              <w:rPr>
                <w:rFonts w:hint="eastAsia"/>
                <w:color w:val="000000"/>
                <w:sz w:val="20"/>
                <w:szCs w:val="20"/>
              </w:rPr>
              <w:t>2、1辅助+1立体声返回；</w:t>
            </w:r>
            <w:r>
              <w:rPr>
                <w:rFonts w:hint="eastAsia"/>
                <w:color w:val="000000"/>
                <w:sz w:val="20"/>
                <w:szCs w:val="20"/>
              </w:rPr>
              <w:br w:type="textWrapping"/>
            </w:r>
            <w:r>
              <w:rPr>
                <w:rFonts w:hint="eastAsia"/>
                <w:color w:val="000000"/>
                <w:sz w:val="20"/>
                <w:szCs w:val="20"/>
              </w:rPr>
              <w:t>3、256/24比特DSP数字效果器；</w:t>
            </w:r>
            <w:r>
              <w:rPr>
                <w:rFonts w:hint="eastAsia"/>
                <w:color w:val="000000"/>
                <w:sz w:val="20"/>
                <w:szCs w:val="20"/>
              </w:rPr>
              <w:br w:type="textWrapping"/>
            </w:r>
            <w:r>
              <w:rPr>
                <w:rFonts w:hint="eastAsia"/>
                <w:color w:val="000000"/>
                <w:sz w:val="20"/>
                <w:szCs w:val="20"/>
              </w:rPr>
              <w:t>4、每通道3段EQ,7段主控均衡；</w:t>
            </w:r>
            <w:r>
              <w:rPr>
                <w:rFonts w:hint="eastAsia"/>
                <w:color w:val="000000"/>
                <w:sz w:val="20"/>
                <w:szCs w:val="20"/>
              </w:rPr>
              <w:br w:type="textWrapping"/>
            </w:r>
            <w:r>
              <w:rPr>
                <w:rFonts w:hint="eastAsia"/>
                <w:color w:val="000000"/>
                <w:sz w:val="20"/>
                <w:szCs w:val="20"/>
              </w:rPr>
              <w:t>5、48V幻像电源；</w:t>
            </w:r>
            <w:r>
              <w:rPr>
                <w:rFonts w:hint="eastAsia"/>
                <w:color w:val="000000"/>
                <w:sz w:val="20"/>
                <w:szCs w:val="20"/>
              </w:rPr>
              <w:br w:type="textWrapping"/>
            </w:r>
            <w:r>
              <w:rPr>
                <w:rFonts w:hint="eastAsia"/>
                <w:color w:val="000000"/>
                <w:sz w:val="20"/>
                <w:szCs w:val="20"/>
              </w:rPr>
              <w:t>6、每个通道都有静音控制、音量控制，每个通道均可独立监听；</w:t>
            </w:r>
            <w:r>
              <w:rPr>
                <w:rFonts w:hint="eastAsia"/>
                <w:color w:val="000000"/>
                <w:sz w:val="20"/>
                <w:szCs w:val="20"/>
              </w:rPr>
              <w:br w:type="textWrapping"/>
            </w:r>
            <w:r>
              <w:rPr>
                <w:rFonts w:hint="eastAsia"/>
                <w:color w:val="000000"/>
                <w:sz w:val="20"/>
                <w:szCs w:val="20"/>
              </w:rPr>
              <w:t>7、带USB接口，支持蓝牙，面板带MP3播放、录音控制和蓝牙切换按键，带液晶屏显示MP3信息；</w:t>
            </w:r>
            <w:r>
              <w:rPr>
                <w:rFonts w:hint="eastAsia"/>
                <w:color w:val="000000"/>
                <w:sz w:val="20"/>
                <w:szCs w:val="20"/>
              </w:rPr>
              <w:br w:type="textWrapping"/>
            </w:r>
            <w:r>
              <w:rPr>
                <w:rFonts w:hint="eastAsia"/>
                <w:color w:val="000000"/>
                <w:sz w:val="20"/>
                <w:szCs w:val="20"/>
              </w:rPr>
              <w:t>8、可放进19"机柜。</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数字媒体矩阵/音频处理器（4入4出)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1、4进4出专业音频处理系统。</w:t>
            </w:r>
            <w:r>
              <w:rPr>
                <w:rFonts w:hint="eastAsia"/>
                <w:color w:val="000000"/>
                <w:sz w:val="20"/>
                <w:szCs w:val="20"/>
              </w:rPr>
              <w:br w:type="textWrapping"/>
            </w:r>
            <w:r>
              <w:rPr>
                <w:rFonts w:hint="eastAsia"/>
                <w:color w:val="000000"/>
                <w:sz w:val="20"/>
                <w:szCs w:val="20"/>
              </w:rPr>
              <w:t>2、采用SMT贴片技术，处理器芯片采用ADI 架构，不低于40bit DSP浮点运算引擎ADI SHARC 21489@450 MHz SIMDx2。</w:t>
            </w:r>
            <w:r>
              <w:rPr>
                <w:rFonts w:hint="eastAsia"/>
                <w:color w:val="000000"/>
                <w:sz w:val="20"/>
                <w:szCs w:val="20"/>
              </w:rPr>
              <w:br w:type="textWrapping"/>
            </w:r>
            <w:r>
              <w:rPr>
                <w:rFonts w:hint="eastAsia"/>
                <w:color w:val="000000"/>
                <w:sz w:val="20"/>
                <w:szCs w:val="20"/>
              </w:rPr>
              <w:t>3、DSP 处理能力:400 MIPS，1.6 GFLOPS。</w:t>
            </w:r>
            <w:r>
              <w:rPr>
                <w:rFonts w:hint="eastAsia"/>
                <w:color w:val="000000"/>
                <w:sz w:val="20"/>
                <w:szCs w:val="20"/>
              </w:rPr>
              <w:br w:type="textWrapping"/>
            </w:r>
            <w:r>
              <w:rPr>
                <w:rFonts w:hint="eastAsia"/>
                <w:color w:val="000000"/>
                <w:sz w:val="20"/>
                <w:szCs w:val="20"/>
              </w:rPr>
              <w:t>4、总线式AEC，尾长时间：512ms，收敛率：60dB/S, 回声消除幅度：60dB。</w:t>
            </w:r>
            <w:r>
              <w:rPr>
                <w:rFonts w:hint="eastAsia"/>
                <w:color w:val="000000"/>
                <w:sz w:val="20"/>
                <w:szCs w:val="20"/>
              </w:rPr>
              <w:br w:type="textWrapping"/>
            </w:r>
            <w:r>
              <w:rPr>
                <w:rFonts w:hint="eastAsia"/>
                <w:color w:val="000000"/>
                <w:sz w:val="20"/>
                <w:szCs w:val="20"/>
              </w:rPr>
              <w:t>5、支持10x 7矩阵配置。</w:t>
            </w:r>
            <w:r>
              <w:rPr>
                <w:rFonts w:hint="eastAsia"/>
                <w:color w:val="000000"/>
                <w:sz w:val="20"/>
                <w:szCs w:val="20"/>
              </w:rPr>
              <w:br w:type="textWrapping"/>
            </w:r>
            <w:r>
              <w:rPr>
                <w:rFonts w:hint="eastAsia"/>
                <w:color w:val="000000"/>
                <w:sz w:val="20"/>
                <w:szCs w:val="20"/>
              </w:rPr>
              <w:t>6、内置二进二出的USB声卡，支持音乐播放、录制和软视频会议（如：ZOOM，腾讯会议，钉钉会议等）。</w:t>
            </w:r>
            <w:r>
              <w:rPr>
                <w:rFonts w:hint="eastAsia"/>
                <w:color w:val="000000"/>
                <w:sz w:val="20"/>
                <w:szCs w:val="20"/>
              </w:rPr>
              <w:br w:type="textWrapping"/>
            </w:r>
            <w:r>
              <w:rPr>
                <w:rFonts w:hint="eastAsia"/>
                <w:color w:val="000000"/>
                <w:sz w:val="20"/>
                <w:szCs w:val="20"/>
              </w:rPr>
              <w:t>7、总谐波失真(THD+N)不低于 0.002% @1kHz，+4dB。</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全自动数字高速反馈抑制器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1、两路MIC输入并具有48V幻像供电开关，可选1路LINE输入（输出）。</w:t>
            </w:r>
            <w:r>
              <w:rPr>
                <w:rFonts w:hint="eastAsia"/>
                <w:color w:val="000000"/>
                <w:sz w:val="20"/>
                <w:szCs w:val="20"/>
              </w:rPr>
              <w:br w:type="textWrapping"/>
            </w:r>
            <w:r>
              <w:rPr>
                <w:rFonts w:hint="eastAsia"/>
                <w:color w:val="000000"/>
                <w:sz w:val="20"/>
                <w:szCs w:val="20"/>
              </w:rPr>
              <w:t>2、全自动检测现场啸叫点，通过DSP系统对声音进行过滤、低音补偿、自动混音、智能高速反馈和校正，无需调校，保证音质，减少延时，可提高麦克风的拾音距离至300mm-450mm并高效防啸叫，系统以极低的噪声运行。</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U段插卡式4无线麦克风接收机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1、U段（一拖四），可快速置换的通道模块插卡，方便维护维修。</w:t>
            </w:r>
            <w:r>
              <w:rPr>
                <w:rFonts w:hint="eastAsia"/>
                <w:color w:val="000000"/>
                <w:sz w:val="20"/>
                <w:szCs w:val="20"/>
              </w:rPr>
              <w:br w:type="textWrapping"/>
            </w:r>
            <w:r>
              <w:rPr>
                <w:rFonts w:hint="eastAsia"/>
                <w:color w:val="000000"/>
                <w:sz w:val="20"/>
                <w:szCs w:val="20"/>
              </w:rPr>
              <w:t>2、有效接收距离达到50-100米，支持16只无线话筒（4套系统）同室使用，100只同楼里使用。</w:t>
            </w:r>
            <w:r>
              <w:rPr>
                <w:rFonts w:hint="eastAsia"/>
                <w:color w:val="000000"/>
                <w:sz w:val="20"/>
                <w:szCs w:val="20"/>
              </w:rPr>
              <w:br w:type="textWrapping"/>
            </w:r>
            <w:r>
              <w:rPr>
                <w:rFonts w:hint="eastAsia"/>
                <w:color w:val="000000"/>
                <w:sz w:val="20"/>
                <w:szCs w:val="20"/>
              </w:rPr>
              <w:t>3、四LCD屏显示频率/频道，接收信号电平等。</w:t>
            </w:r>
            <w:r>
              <w:rPr>
                <w:rFonts w:hint="eastAsia"/>
                <w:color w:val="000000"/>
                <w:sz w:val="20"/>
                <w:szCs w:val="20"/>
              </w:rPr>
              <w:br w:type="textWrapping"/>
            </w:r>
            <w:r>
              <w:rPr>
                <w:rFonts w:hint="eastAsia"/>
                <w:color w:val="000000"/>
                <w:sz w:val="20"/>
                <w:szCs w:val="20"/>
              </w:rPr>
              <w:t>4、ACT红外对频。无线麦克风可选择手持咪、领夹咪、头戴咪、会议咪，或任意混搭。</w:t>
            </w:r>
            <w:r>
              <w:rPr>
                <w:rFonts w:hint="eastAsia"/>
                <w:color w:val="000000"/>
                <w:sz w:val="20"/>
                <w:szCs w:val="20"/>
              </w:rPr>
              <w:br w:type="textWrapping"/>
            </w:r>
            <w:r>
              <w:rPr>
                <w:rFonts w:hint="eastAsia"/>
                <w:color w:val="000000"/>
                <w:sz w:val="20"/>
                <w:szCs w:val="20"/>
              </w:rPr>
              <w:t>5、1U标准机箱</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U段无线领夹麦克风</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腰包发射机+领夹咪，可控音量。</w:t>
            </w:r>
            <w:r>
              <w:rPr>
                <w:rFonts w:hint="eastAsia"/>
                <w:color w:val="000000"/>
                <w:sz w:val="20"/>
                <w:szCs w:val="20"/>
              </w:rPr>
              <w:br w:type="textWrapping"/>
            </w:r>
            <w:r>
              <w:rPr>
                <w:rFonts w:hint="eastAsia"/>
                <w:color w:val="000000"/>
                <w:sz w:val="20"/>
                <w:szCs w:val="20"/>
              </w:rPr>
              <w:t>高低发射功率转换开/关，可使用干电池或充电电池。</w:t>
            </w:r>
            <w:r>
              <w:rPr>
                <w:rFonts w:hint="eastAsia"/>
                <w:color w:val="000000"/>
                <w:sz w:val="20"/>
                <w:szCs w:val="20"/>
              </w:rPr>
              <w:br w:type="textWrapping"/>
            </w:r>
            <w:r>
              <w:rPr>
                <w:rFonts w:hint="eastAsia"/>
                <w:color w:val="000000"/>
                <w:sz w:val="20"/>
                <w:szCs w:val="20"/>
              </w:rPr>
              <w:t>可使用选配的二位充电座整机充电。</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U段无线腰包发射机含头戴麦克风</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腰包发射机+头戴咪（黑色），可控音量。</w:t>
            </w:r>
            <w:r>
              <w:rPr>
                <w:rFonts w:hint="eastAsia"/>
                <w:color w:val="000000"/>
                <w:sz w:val="20"/>
                <w:szCs w:val="20"/>
              </w:rPr>
              <w:br w:type="textWrapping"/>
            </w:r>
            <w:r>
              <w:rPr>
                <w:rFonts w:hint="eastAsia"/>
                <w:color w:val="000000"/>
                <w:sz w:val="20"/>
                <w:szCs w:val="20"/>
              </w:rPr>
              <w:t>高低发射功率转换开/关，可使用干电池或充电电池。</w:t>
            </w:r>
            <w:r>
              <w:rPr>
                <w:rFonts w:hint="eastAsia"/>
                <w:color w:val="000000"/>
                <w:sz w:val="20"/>
                <w:szCs w:val="20"/>
              </w:rPr>
              <w:br w:type="textWrapping"/>
            </w:r>
            <w:r>
              <w:rPr>
                <w:rFonts w:hint="eastAsia"/>
                <w:color w:val="000000"/>
                <w:sz w:val="20"/>
                <w:szCs w:val="20"/>
              </w:rPr>
              <w:t>可使用选配的二位充电座整机充电。</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天线分配系统</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含1台天线分配器，2个天线放大器，2个全向天线</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电源时序器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 xml:space="preserve">1、3x4mm2高纯度电源专用线，超低内阻，最大输入电流 30A </w:t>
            </w:r>
            <w:r>
              <w:rPr>
                <w:rFonts w:hint="eastAsia"/>
                <w:color w:val="000000"/>
                <w:sz w:val="20"/>
                <w:szCs w:val="20"/>
              </w:rPr>
              <w:br w:type="textWrapping"/>
            </w:r>
            <w:r>
              <w:rPr>
                <w:rFonts w:hint="eastAsia"/>
                <w:color w:val="000000"/>
                <w:sz w:val="20"/>
                <w:szCs w:val="20"/>
              </w:rPr>
              <w:t xml:space="preserve">2、8 路纯银触点继电器，令音色表现更顺滑，单路最大输出电流 16A </w:t>
            </w:r>
            <w:r>
              <w:rPr>
                <w:rFonts w:hint="eastAsia"/>
                <w:color w:val="000000"/>
                <w:sz w:val="20"/>
                <w:szCs w:val="20"/>
              </w:rPr>
              <w:br w:type="textWrapping"/>
            </w:r>
            <w:r>
              <w:rPr>
                <w:rFonts w:hint="eastAsia"/>
                <w:color w:val="000000"/>
                <w:sz w:val="20"/>
                <w:szCs w:val="20"/>
              </w:rPr>
              <w:t xml:space="preserve">3、防雷防浪涌保护设计，彻底杜绝雷电浪涌损坏设备的可能性 </w:t>
            </w:r>
            <w:r>
              <w:rPr>
                <w:rFonts w:hint="eastAsia"/>
                <w:color w:val="000000"/>
                <w:sz w:val="20"/>
                <w:szCs w:val="20"/>
              </w:rPr>
              <w:br w:type="textWrapping"/>
            </w:r>
            <w:r>
              <w:rPr>
                <w:rFonts w:hint="eastAsia"/>
                <w:color w:val="000000"/>
                <w:sz w:val="20"/>
                <w:szCs w:val="20"/>
              </w:rPr>
              <w:t xml:space="preserve">4、以太网接口，支持协议包括 ETHERNET、ARP、IP、ICMP、UDP、TCP </w:t>
            </w:r>
            <w:r>
              <w:rPr>
                <w:rFonts w:hint="eastAsia"/>
                <w:color w:val="000000"/>
                <w:sz w:val="20"/>
                <w:szCs w:val="20"/>
              </w:rPr>
              <w:br w:type="textWrapping"/>
            </w:r>
            <w:r>
              <w:rPr>
                <w:rFonts w:hint="eastAsia"/>
                <w:color w:val="000000"/>
                <w:sz w:val="20"/>
                <w:szCs w:val="20"/>
              </w:rPr>
              <w:t xml:space="preserve">5、RS485 接口，多机级联，可选配 86 开关、触摸屏和读卡器 </w:t>
            </w:r>
            <w:r>
              <w:rPr>
                <w:rFonts w:hint="eastAsia"/>
                <w:color w:val="000000"/>
                <w:sz w:val="20"/>
                <w:szCs w:val="20"/>
              </w:rPr>
              <w:br w:type="textWrapping"/>
            </w:r>
            <w:r>
              <w:rPr>
                <w:rFonts w:hint="eastAsia"/>
                <w:color w:val="000000"/>
                <w:sz w:val="20"/>
                <w:szCs w:val="20"/>
              </w:rPr>
              <w:t xml:space="preserve">6、RS232 接口，可与中控主机连接，一体化智能联控 </w:t>
            </w:r>
            <w:r>
              <w:rPr>
                <w:rFonts w:hint="eastAsia"/>
                <w:color w:val="000000"/>
                <w:sz w:val="20"/>
                <w:szCs w:val="20"/>
              </w:rPr>
              <w:br w:type="textWrapping"/>
            </w:r>
            <w:r>
              <w:rPr>
                <w:rFonts w:hint="eastAsia"/>
                <w:color w:val="000000"/>
                <w:sz w:val="20"/>
                <w:szCs w:val="20"/>
              </w:rPr>
              <w:t xml:space="preserve">7、2.4G 无线网络，可通过手机 APP 控制 </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辅材</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定制，专业音频线缆、音箱线、控制线、管材、接头等安装材料</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批</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1.3、中控系统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软件云控制主机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1、ARM11 CPU，512M 内存，8G Flash闪存；</w:t>
            </w:r>
            <w:r>
              <w:rPr>
                <w:rFonts w:hint="eastAsia"/>
                <w:color w:val="000000"/>
                <w:sz w:val="20"/>
                <w:szCs w:val="20"/>
              </w:rPr>
              <w:br w:type="textWrapping"/>
            </w:r>
            <w:r>
              <w:rPr>
                <w:rFonts w:hint="eastAsia"/>
                <w:color w:val="000000"/>
                <w:sz w:val="20"/>
                <w:szCs w:val="20"/>
              </w:rPr>
              <w:t>2、组合处理能力1.4GHz的多线程多核处理器；</w:t>
            </w:r>
            <w:r>
              <w:rPr>
                <w:rFonts w:hint="eastAsia"/>
                <w:color w:val="000000"/>
                <w:sz w:val="20"/>
                <w:szCs w:val="20"/>
              </w:rPr>
              <w:br w:type="textWrapping"/>
            </w:r>
            <w:r>
              <w:rPr>
                <w:rFonts w:hint="eastAsia"/>
                <w:color w:val="000000"/>
                <w:sz w:val="20"/>
                <w:szCs w:val="20"/>
              </w:rPr>
              <w:t>3、多种网络通讯：CAN、Ethernet、WIFI、TCP/IP；</w:t>
            </w:r>
            <w:r>
              <w:rPr>
                <w:rFonts w:hint="eastAsia"/>
                <w:color w:val="000000"/>
                <w:sz w:val="20"/>
                <w:szCs w:val="20"/>
              </w:rPr>
              <w:br w:type="textWrapping"/>
            </w:r>
            <w:r>
              <w:rPr>
                <w:rFonts w:hint="eastAsia"/>
                <w:color w:val="000000"/>
                <w:sz w:val="20"/>
                <w:szCs w:val="20"/>
              </w:rPr>
              <w:t>4、协议控制端口支持8路可自定义协议的串口，RS-232、RS-485、DMX512可任意实时自定义；</w:t>
            </w:r>
            <w:r>
              <w:rPr>
                <w:rFonts w:hint="eastAsia"/>
                <w:color w:val="000000"/>
                <w:sz w:val="20"/>
                <w:szCs w:val="20"/>
              </w:rPr>
              <w:br w:type="textWrapping"/>
            </w:r>
            <w:r>
              <w:rPr>
                <w:rFonts w:hint="eastAsia"/>
                <w:color w:val="000000"/>
                <w:sz w:val="20"/>
                <w:szCs w:val="20"/>
              </w:rPr>
              <w:t>5、4路触点，每路都可支持30V/1A DC，125V/0.5A AC负载；</w:t>
            </w:r>
            <w:r>
              <w:rPr>
                <w:rFonts w:hint="eastAsia"/>
                <w:color w:val="000000"/>
                <w:sz w:val="20"/>
                <w:szCs w:val="20"/>
              </w:rPr>
              <w:br w:type="textWrapping"/>
            </w:r>
            <w:r>
              <w:rPr>
                <w:rFonts w:hint="eastAsia"/>
                <w:color w:val="000000"/>
                <w:sz w:val="20"/>
                <w:szCs w:val="20"/>
              </w:rPr>
              <w:t>6、支持8路可自定义的IO输入，输出及红外输出，支持全频段载波的红外调制信号发送；</w:t>
            </w:r>
            <w:r>
              <w:rPr>
                <w:rFonts w:hint="eastAsia"/>
                <w:color w:val="000000"/>
                <w:sz w:val="20"/>
                <w:szCs w:val="20"/>
              </w:rPr>
              <w:br w:type="textWrapping"/>
            </w:r>
            <w:r>
              <w:rPr>
                <w:rFonts w:hint="eastAsia"/>
                <w:color w:val="000000"/>
                <w:sz w:val="20"/>
                <w:szCs w:val="20"/>
              </w:rPr>
              <w:t>7、系统可通过有线进行扩充；</w:t>
            </w:r>
            <w:r>
              <w:rPr>
                <w:rFonts w:hint="eastAsia"/>
                <w:color w:val="000000"/>
                <w:sz w:val="20"/>
                <w:szCs w:val="20"/>
              </w:rPr>
              <w:br w:type="textWrapping"/>
            </w:r>
            <w:r>
              <w:rPr>
                <w:rFonts w:hint="eastAsia"/>
                <w:color w:val="000000"/>
                <w:sz w:val="20"/>
                <w:szCs w:val="20"/>
              </w:rPr>
              <w:t>8、增选全功能外置扩展模块，可扩充独立模块卡；</w:t>
            </w:r>
            <w:r>
              <w:rPr>
                <w:rFonts w:hint="eastAsia"/>
                <w:color w:val="000000"/>
                <w:sz w:val="20"/>
                <w:szCs w:val="20"/>
              </w:rPr>
              <w:br w:type="textWrapping"/>
            </w:r>
            <w:r>
              <w:rPr>
                <w:rFonts w:hint="eastAsia"/>
                <w:color w:val="000000"/>
                <w:sz w:val="20"/>
                <w:szCs w:val="20"/>
              </w:rPr>
              <w:t>9、自动时钟定时设置功能，可精准执行用户自定义的时间预约功能，预约动作可精确到年月日时分秒；</w:t>
            </w:r>
            <w:r>
              <w:rPr>
                <w:rFonts w:hint="eastAsia"/>
                <w:color w:val="000000"/>
                <w:sz w:val="20"/>
                <w:szCs w:val="20"/>
              </w:rPr>
              <w:br w:type="textWrapping"/>
            </w:r>
            <w:r>
              <w:rPr>
                <w:rFonts w:hint="eastAsia"/>
                <w:color w:val="000000"/>
                <w:sz w:val="20"/>
                <w:szCs w:val="20"/>
              </w:rPr>
              <w:t>10、主机支持对工程程序的宏导入、导出；</w:t>
            </w:r>
            <w:r>
              <w:rPr>
                <w:rFonts w:hint="eastAsia"/>
                <w:color w:val="000000"/>
                <w:sz w:val="20"/>
                <w:szCs w:val="20"/>
              </w:rPr>
              <w:br w:type="textWrapping"/>
            </w:r>
            <w:r>
              <w:rPr>
                <w:rFonts w:hint="eastAsia"/>
                <w:color w:val="000000"/>
                <w:sz w:val="20"/>
                <w:szCs w:val="20"/>
              </w:rPr>
              <w:t>11、中控软件的用户管理中心通过建立主帐号和子帐号，实现权限转移、分配；账号控制列表的查看，实现远程互通互控；</w:t>
            </w:r>
            <w:r>
              <w:rPr>
                <w:rFonts w:hint="eastAsia"/>
                <w:color w:val="000000"/>
                <w:sz w:val="20"/>
                <w:szCs w:val="20"/>
              </w:rPr>
              <w:br w:type="textWrapping"/>
            </w:r>
            <w:r>
              <w:rPr>
                <w:rFonts w:hint="eastAsia"/>
                <w:color w:val="000000"/>
                <w:sz w:val="20"/>
                <w:szCs w:val="20"/>
              </w:rPr>
              <w:t>12、云端管理，支持远程对主机的控制程序的上传、下载、恢复；</w:t>
            </w:r>
            <w:r>
              <w:rPr>
                <w:rFonts w:hint="eastAsia"/>
                <w:color w:val="000000"/>
                <w:sz w:val="20"/>
                <w:szCs w:val="20"/>
              </w:rPr>
              <w:br w:type="textWrapping"/>
            </w:r>
            <w:r>
              <w:rPr>
                <w:rFonts w:hint="eastAsia"/>
                <w:color w:val="000000"/>
                <w:sz w:val="20"/>
                <w:szCs w:val="20"/>
              </w:rPr>
              <w:t>13、支持Android、IOS、Windows三平台同时控制；</w:t>
            </w:r>
            <w:r>
              <w:rPr>
                <w:rFonts w:hint="eastAsia"/>
                <w:color w:val="000000"/>
                <w:sz w:val="20"/>
                <w:szCs w:val="20"/>
              </w:rPr>
              <w:br w:type="textWrapping"/>
            </w:r>
            <w:r>
              <w:rPr>
                <w:rFonts w:hint="eastAsia"/>
                <w:color w:val="000000"/>
                <w:sz w:val="20"/>
                <w:szCs w:val="20"/>
              </w:rPr>
              <w:t>14、支持2路带供电CAN总线信号管理，最大管理终端数量可达110台；</w:t>
            </w:r>
            <w:r>
              <w:rPr>
                <w:rFonts w:hint="eastAsia"/>
                <w:color w:val="000000"/>
                <w:sz w:val="20"/>
                <w:szCs w:val="20"/>
              </w:rPr>
              <w:br w:type="textWrapping"/>
            </w:r>
            <w:r>
              <w:rPr>
                <w:rFonts w:hint="eastAsia"/>
                <w:color w:val="000000"/>
                <w:sz w:val="20"/>
                <w:szCs w:val="20"/>
              </w:rPr>
              <w:t>15、接口过压过流保护，抗20KV静电冲击；</w:t>
            </w:r>
            <w:r>
              <w:rPr>
                <w:rFonts w:hint="eastAsia"/>
                <w:color w:val="000000"/>
                <w:sz w:val="20"/>
                <w:szCs w:val="20"/>
              </w:rPr>
              <w:br w:type="textWrapping"/>
            </w:r>
            <w:r>
              <w:rPr>
                <w:rFonts w:hint="eastAsia"/>
                <w:color w:val="000000"/>
                <w:sz w:val="20"/>
                <w:szCs w:val="20"/>
              </w:rPr>
              <w:t>16、内部供电电压24V，功耗&lt;5W；</w:t>
            </w:r>
            <w:r>
              <w:rPr>
                <w:rFonts w:hint="eastAsia"/>
                <w:color w:val="000000"/>
                <w:sz w:val="20"/>
                <w:szCs w:val="20"/>
              </w:rPr>
              <w:br w:type="textWrapping"/>
            </w:r>
            <w:r>
              <w:rPr>
                <w:rFonts w:hint="eastAsia"/>
                <w:color w:val="000000"/>
                <w:sz w:val="20"/>
                <w:szCs w:val="20"/>
              </w:rPr>
              <w:t>17、具备时间轴多线程事件编辑功能；</w:t>
            </w:r>
            <w:r>
              <w:rPr>
                <w:rFonts w:hint="eastAsia"/>
                <w:color w:val="000000"/>
                <w:sz w:val="20"/>
                <w:szCs w:val="20"/>
              </w:rPr>
              <w:br w:type="textWrapping"/>
            </w:r>
            <w:r>
              <w:rPr>
                <w:rFonts w:hint="eastAsia"/>
                <w:color w:val="000000"/>
                <w:sz w:val="20"/>
                <w:szCs w:val="20"/>
              </w:rPr>
              <w:t>18、支持自定义语音控制、语音反馈功能；</w:t>
            </w:r>
            <w:r>
              <w:rPr>
                <w:rFonts w:hint="eastAsia"/>
                <w:color w:val="000000"/>
                <w:sz w:val="20"/>
                <w:szCs w:val="20"/>
              </w:rPr>
              <w:br w:type="textWrapping"/>
            </w:r>
            <w:r>
              <w:rPr>
                <w:rFonts w:hint="eastAsia"/>
                <w:color w:val="000000"/>
                <w:sz w:val="20"/>
                <w:szCs w:val="20"/>
              </w:rPr>
              <w:t>19、支持系统自动云诊断、云备份、云恢复；</w:t>
            </w:r>
            <w:r>
              <w:rPr>
                <w:rFonts w:hint="eastAsia"/>
                <w:color w:val="000000"/>
                <w:sz w:val="20"/>
                <w:szCs w:val="20"/>
              </w:rPr>
              <w:br w:type="textWrapping"/>
            </w:r>
            <w:r>
              <w:rPr>
                <w:rFonts w:hint="eastAsia"/>
                <w:color w:val="000000"/>
                <w:sz w:val="20"/>
                <w:szCs w:val="20"/>
              </w:rPr>
              <w:t>20、系统支持主机自备份功能；</w:t>
            </w:r>
            <w:r>
              <w:rPr>
                <w:rFonts w:hint="eastAsia"/>
                <w:color w:val="000000"/>
                <w:sz w:val="20"/>
                <w:szCs w:val="20"/>
              </w:rPr>
              <w:br w:type="textWrapping"/>
            </w:r>
            <w:r>
              <w:rPr>
                <w:rFonts w:hint="eastAsia"/>
                <w:color w:val="000000"/>
                <w:sz w:val="20"/>
                <w:szCs w:val="20"/>
              </w:rPr>
              <w:t>21、支持TCP/UDP网络控制协议，可定义客户端与服务端；</w:t>
            </w:r>
            <w:r>
              <w:rPr>
                <w:rFonts w:hint="eastAsia"/>
                <w:color w:val="000000"/>
                <w:sz w:val="20"/>
                <w:szCs w:val="20"/>
              </w:rPr>
              <w:br w:type="textWrapping"/>
            </w:r>
            <w:r>
              <w:rPr>
                <w:rFonts w:hint="eastAsia"/>
                <w:color w:val="000000"/>
                <w:sz w:val="20"/>
                <w:szCs w:val="20"/>
              </w:rPr>
              <w:t>22、支持发送远程唤醒数据包；</w:t>
            </w:r>
            <w:r>
              <w:rPr>
                <w:rFonts w:hint="eastAsia"/>
                <w:color w:val="000000"/>
                <w:sz w:val="20"/>
                <w:szCs w:val="20"/>
              </w:rPr>
              <w:br w:type="textWrapping"/>
            </w:r>
            <w:r>
              <w:rPr>
                <w:rFonts w:hint="eastAsia"/>
                <w:color w:val="000000"/>
                <w:sz w:val="20"/>
                <w:szCs w:val="20"/>
              </w:rPr>
              <w:t>23、支持双机热备份功能；</w:t>
            </w:r>
            <w:r>
              <w:rPr>
                <w:rFonts w:hint="eastAsia"/>
                <w:color w:val="000000"/>
                <w:sz w:val="20"/>
                <w:szCs w:val="20"/>
              </w:rPr>
              <w:br w:type="textWrapping"/>
            </w:r>
            <w:r>
              <w:rPr>
                <w:rFonts w:hint="eastAsia"/>
                <w:color w:val="000000"/>
                <w:sz w:val="20"/>
                <w:szCs w:val="20"/>
              </w:rPr>
              <w:t>24、支持单系统、多系统本地或异地集群管理，实现系统之间互联互通互控，支持分级权限管理；</w:t>
            </w:r>
            <w:r>
              <w:rPr>
                <w:rFonts w:hint="eastAsia"/>
                <w:color w:val="000000"/>
                <w:sz w:val="20"/>
                <w:szCs w:val="20"/>
              </w:rPr>
              <w:br w:type="textWrapping"/>
            </w:r>
            <w:r>
              <w:rPr>
                <w:rFonts w:hint="eastAsia"/>
                <w:color w:val="000000"/>
                <w:sz w:val="20"/>
                <w:szCs w:val="20"/>
              </w:rPr>
              <w:t>25、支持操作记录的保存、查询功能；</w:t>
            </w:r>
            <w:r>
              <w:rPr>
                <w:rFonts w:hint="eastAsia"/>
                <w:color w:val="000000"/>
                <w:sz w:val="20"/>
                <w:szCs w:val="20"/>
              </w:rPr>
              <w:br w:type="textWrapping"/>
            </w:r>
            <w:r>
              <w:rPr>
                <w:rFonts w:hint="eastAsia"/>
                <w:color w:val="000000"/>
                <w:sz w:val="20"/>
                <w:szCs w:val="20"/>
              </w:rPr>
              <w:t>26、可监测受控设备的实时运行状态，故障反馈。</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播放控制程序</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播放控制软件。接头、开机自动运行，可中控控制，可控制图片、影片切换，静音、音量大小、播放、暂停、停止等功能。</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电源时序器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1、通道数量：8路；</w:t>
            </w:r>
            <w:r>
              <w:rPr>
                <w:rFonts w:hint="eastAsia"/>
                <w:color w:val="000000"/>
                <w:sz w:val="20"/>
                <w:szCs w:val="20"/>
              </w:rPr>
              <w:br w:type="textWrapping"/>
            </w:r>
            <w:r>
              <w:rPr>
                <w:rFonts w:hint="eastAsia"/>
                <w:color w:val="000000"/>
                <w:sz w:val="20"/>
                <w:szCs w:val="20"/>
              </w:rPr>
              <w:t>2、最大输入电流：60A；</w:t>
            </w:r>
            <w:r>
              <w:rPr>
                <w:rFonts w:hint="eastAsia"/>
                <w:color w:val="000000"/>
                <w:sz w:val="20"/>
                <w:szCs w:val="20"/>
              </w:rPr>
              <w:br w:type="textWrapping"/>
            </w:r>
            <w:r>
              <w:rPr>
                <w:rFonts w:hint="eastAsia"/>
                <w:color w:val="000000"/>
                <w:sz w:val="20"/>
                <w:szCs w:val="20"/>
              </w:rPr>
              <w:t>3、单路最大输出电流：30A；</w:t>
            </w:r>
            <w:r>
              <w:rPr>
                <w:rFonts w:hint="eastAsia"/>
                <w:color w:val="000000"/>
                <w:sz w:val="20"/>
                <w:szCs w:val="20"/>
              </w:rPr>
              <w:br w:type="textWrapping"/>
            </w:r>
            <w:r>
              <w:rPr>
                <w:rFonts w:hint="eastAsia"/>
                <w:color w:val="000000"/>
                <w:sz w:val="20"/>
                <w:szCs w:val="20"/>
              </w:rPr>
              <w:t>4、工作电压：220V/50-60Hz每一路功率：可达3000W；每一路开关间隔时间：1秒，每一路带开关指示灯，前端配置一个保险开关按钮；</w:t>
            </w:r>
            <w:r>
              <w:rPr>
                <w:rFonts w:hint="eastAsia"/>
                <w:color w:val="000000"/>
                <w:sz w:val="20"/>
                <w:szCs w:val="20"/>
              </w:rPr>
              <w:br w:type="textWrapping"/>
            </w:r>
            <w:r>
              <w:rPr>
                <w:rFonts w:hint="eastAsia"/>
                <w:color w:val="000000"/>
                <w:sz w:val="20"/>
                <w:szCs w:val="20"/>
              </w:rPr>
              <w:t>5、中控接口RS232：有，后置RS232中控接口；</w:t>
            </w:r>
            <w:r>
              <w:rPr>
                <w:rFonts w:hint="eastAsia"/>
                <w:color w:val="000000"/>
                <w:sz w:val="20"/>
                <w:szCs w:val="20"/>
              </w:rPr>
              <w:br w:type="textWrapping"/>
            </w:r>
            <w:r>
              <w:rPr>
                <w:rFonts w:hint="eastAsia"/>
                <w:color w:val="000000"/>
                <w:sz w:val="20"/>
                <w:szCs w:val="20"/>
              </w:rPr>
              <w:t>6、机箱高度：1.5U（符合机柜安装标准）；</w:t>
            </w:r>
            <w:r>
              <w:rPr>
                <w:rFonts w:hint="eastAsia"/>
                <w:color w:val="000000"/>
                <w:sz w:val="20"/>
                <w:szCs w:val="20"/>
              </w:rPr>
              <w:br w:type="textWrapping"/>
            </w:r>
            <w:r>
              <w:rPr>
                <w:rFonts w:hint="eastAsia"/>
                <w:color w:val="000000"/>
                <w:sz w:val="20"/>
                <w:szCs w:val="20"/>
              </w:rPr>
              <w:t>7、开关：船形开关；</w:t>
            </w:r>
            <w:r>
              <w:rPr>
                <w:rFonts w:hint="eastAsia"/>
                <w:color w:val="000000"/>
                <w:sz w:val="20"/>
                <w:szCs w:val="20"/>
              </w:rPr>
              <w:br w:type="textWrapping"/>
            </w:r>
            <w:r>
              <w:rPr>
                <w:rFonts w:hint="eastAsia"/>
                <w:color w:val="000000"/>
                <w:sz w:val="20"/>
                <w:szCs w:val="20"/>
              </w:rPr>
              <w:t>8、联机支持：是，（可支持8台设备同时联机使用）联机端口：6.3米芯线插口；</w:t>
            </w:r>
            <w:r>
              <w:rPr>
                <w:rFonts w:hint="eastAsia"/>
                <w:color w:val="000000"/>
                <w:sz w:val="20"/>
                <w:szCs w:val="20"/>
              </w:rPr>
              <w:br w:type="textWrapping"/>
            </w:r>
            <w:r>
              <w:rPr>
                <w:rFonts w:hint="eastAsia"/>
                <w:color w:val="000000"/>
                <w:sz w:val="20"/>
                <w:szCs w:val="20"/>
              </w:rPr>
              <w:t>9、受控功能：有，（每通道可以单独受控）；</w:t>
            </w:r>
            <w:r>
              <w:rPr>
                <w:rFonts w:hint="eastAsia"/>
                <w:color w:val="000000"/>
                <w:sz w:val="20"/>
                <w:szCs w:val="20"/>
              </w:rPr>
              <w:br w:type="textWrapping"/>
            </w:r>
            <w:r>
              <w:rPr>
                <w:rFonts w:hint="eastAsia"/>
                <w:color w:val="000000"/>
                <w:sz w:val="20"/>
                <w:szCs w:val="20"/>
              </w:rPr>
              <w:t>10、滤波器：电容滤波器。</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导轨强电控制器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1、标准配电箱导轨式继电器开关模块，6P规格，支持6组220V开关控制；</w:t>
            </w:r>
            <w:r>
              <w:rPr>
                <w:rFonts w:hint="eastAsia"/>
                <w:color w:val="000000"/>
                <w:sz w:val="20"/>
                <w:szCs w:val="20"/>
              </w:rPr>
              <w:br w:type="textWrapping"/>
            </w:r>
            <w:r>
              <w:rPr>
                <w:rFonts w:hint="eastAsia"/>
                <w:color w:val="000000"/>
                <w:sz w:val="20"/>
                <w:szCs w:val="20"/>
              </w:rPr>
              <w:t>2、支持CAN总线/RS485总线控制方式(可选)；</w:t>
            </w:r>
            <w:r>
              <w:rPr>
                <w:rFonts w:hint="eastAsia"/>
                <w:color w:val="000000"/>
                <w:sz w:val="20"/>
                <w:szCs w:val="20"/>
              </w:rPr>
              <w:br w:type="textWrapping"/>
            </w:r>
            <w:r>
              <w:rPr>
                <w:rFonts w:hint="eastAsia"/>
                <w:color w:val="000000"/>
                <w:sz w:val="20"/>
                <w:szCs w:val="20"/>
              </w:rPr>
              <w:t>3、支持本地按键控制；</w:t>
            </w:r>
            <w:r>
              <w:rPr>
                <w:rFonts w:hint="eastAsia"/>
                <w:color w:val="000000"/>
                <w:sz w:val="20"/>
                <w:szCs w:val="20"/>
              </w:rPr>
              <w:br w:type="textWrapping"/>
            </w:r>
            <w:r>
              <w:rPr>
                <w:rFonts w:hint="eastAsia"/>
                <w:color w:val="000000"/>
                <w:sz w:val="20"/>
                <w:szCs w:val="20"/>
              </w:rPr>
              <w:t>4、支持红外控制(选配)；</w:t>
            </w:r>
            <w:r>
              <w:rPr>
                <w:rFonts w:hint="eastAsia"/>
                <w:color w:val="000000"/>
                <w:sz w:val="20"/>
                <w:szCs w:val="20"/>
              </w:rPr>
              <w:br w:type="textWrapping"/>
            </w:r>
            <w:r>
              <w:rPr>
                <w:rFonts w:hint="eastAsia"/>
                <w:color w:val="000000"/>
                <w:sz w:val="20"/>
                <w:szCs w:val="20"/>
              </w:rPr>
              <w:t>5、支持IO协议控制；</w:t>
            </w:r>
            <w:r>
              <w:rPr>
                <w:rFonts w:hint="eastAsia"/>
                <w:color w:val="000000"/>
                <w:sz w:val="20"/>
                <w:szCs w:val="20"/>
              </w:rPr>
              <w:br w:type="textWrapping"/>
            </w:r>
            <w:r>
              <w:rPr>
                <w:rFonts w:hint="eastAsia"/>
                <w:color w:val="000000"/>
                <w:sz w:val="20"/>
                <w:szCs w:val="20"/>
              </w:rPr>
              <w:t>6、6路独立电源控制输出，单路最大电流10A。</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485待反馈开关模块</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电脑主机一体机待反馈开关控制模块</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灯光控制程序</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全馆分区域灯光灯带等照明设施控制，可实现一键开馆一键闭馆、绿色环保模式等以及客户需定制模式</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中控系统控制软件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开发，集中管理展馆所有多媒体展项设备；整体功能支持：所有电脑集中状态管理，各路电脑集中分控开关、强制开关，各组投影仪集中分控开关，各路电脑与关联投影仪同步开关控制，所有电脑一键开关、状态查询，所有电脑投影设备展厅平面图图形化设备展现、状态显现远程电脑内容管理系统。其中内容管理系统包括：远程电脑桌面管理、远程文件传输（资料与软件更新）、操作系统远程管理。</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操作终端UserUI</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ipad UI控制界面设计</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无线平板</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10.4英寸WIFI版，分辨率2000*1200dpi，内存6G，存储SSD128GB</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无线路由器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无线速率：3000M，4个全千兆有线网口，无线协议：Wi-Fi 6，支持IPv6，支持APP控制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1.4、配套设施</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机柜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定制，高度42U，宽600mm*深600mm，含1个8位PDU</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网络监控半球</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1、200万1/2.7”CMOS ICR日夜型半球型网络摄像机</w:t>
            </w:r>
            <w:r>
              <w:rPr>
                <w:rFonts w:hint="eastAsia"/>
                <w:color w:val="000000"/>
                <w:sz w:val="20"/>
                <w:szCs w:val="20"/>
              </w:rPr>
              <w:br w:type="textWrapping"/>
            </w:r>
            <w:r>
              <w:rPr>
                <w:rFonts w:hint="eastAsia"/>
                <w:color w:val="000000"/>
                <w:sz w:val="20"/>
                <w:szCs w:val="20"/>
              </w:rPr>
              <w:t>2、最低照度: 0.01Lux @（F1.2，AGC ON），0 Lux with IR</w:t>
            </w:r>
            <w:r>
              <w:rPr>
                <w:rFonts w:hint="eastAsia"/>
                <w:color w:val="000000"/>
                <w:sz w:val="20"/>
                <w:szCs w:val="20"/>
              </w:rPr>
              <w:br w:type="textWrapping"/>
            </w:r>
            <w:r>
              <w:rPr>
                <w:rFonts w:hint="eastAsia"/>
                <w:color w:val="000000"/>
                <w:sz w:val="20"/>
                <w:szCs w:val="20"/>
              </w:rPr>
              <w:t>镜头焦距: 2.8 mm，水平视场角：113.5°（4 mm、6 mm、8 mm可选）</w:t>
            </w:r>
            <w:r>
              <w:rPr>
                <w:rFonts w:hint="eastAsia"/>
                <w:color w:val="000000"/>
                <w:sz w:val="20"/>
                <w:szCs w:val="20"/>
              </w:rPr>
              <w:br w:type="textWrapping"/>
            </w:r>
            <w:r>
              <w:rPr>
                <w:rFonts w:hint="eastAsia"/>
                <w:color w:val="000000"/>
                <w:sz w:val="20"/>
                <w:szCs w:val="20"/>
              </w:rPr>
              <w:t>3、三轴或两轴调节角度: 水平：0°~360°；垂直：0°~75°；旋转：0°~360°</w:t>
            </w:r>
            <w:r>
              <w:rPr>
                <w:rFonts w:hint="eastAsia"/>
                <w:color w:val="000000"/>
                <w:sz w:val="20"/>
                <w:szCs w:val="20"/>
              </w:rPr>
              <w:br w:type="textWrapping"/>
            </w:r>
            <w:r>
              <w:rPr>
                <w:rFonts w:hint="eastAsia"/>
                <w:color w:val="000000"/>
                <w:sz w:val="20"/>
                <w:szCs w:val="20"/>
              </w:rPr>
              <w:t>4、宽动态范围: 120 dB</w:t>
            </w:r>
            <w:r>
              <w:rPr>
                <w:rFonts w:hint="eastAsia"/>
                <w:color w:val="000000"/>
                <w:sz w:val="20"/>
                <w:szCs w:val="20"/>
              </w:rPr>
              <w:br w:type="textWrapping"/>
            </w:r>
            <w:r>
              <w:rPr>
                <w:rFonts w:hint="eastAsia"/>
                <w:color w:val="000000"/>
                <w:sz w:val="20"/>
                <w:szCs w:val="20"/>
              </w:rPr>
              <w:t>5、视频压缩标准: H.265/H.264/MJPEG</w:t>
            </w:r>
            <w:r>
              <w:rPr>
                <w:rFonts w:hint="eastAsia"/>
                <w:color w:val="000000"/>
                <w:sz w:val="20"/>
                <w:szCs w:val="20"/>
              </w:rPr>
              <w:br w:type="textWrapping"/>
            </w:r>
            <w:r>
              <w:rPr>
                <w:rFonts w:hint="eastAsia"/>
                <w:color w:val="000000"/>
                <w:sz w:val="20"/>
                <w:szCs w:val="20"/>
              </w:rPr>
              <w:t>6、最大图像尺寸: 1920 × 1080</w:t>
            </w:r>
            <w:r>
              <w:rPr>
                <w:rFonts w:hint="eastAsia"/>
                <w:color w:val="000000"/>
                <w:sz w:val="20"/>
                <w:szCs w:val="20"/>
              </w:rPr>
              <w:br w:type="textWrapping"/>
            </w:r>
            <w:r>
              <w:rPr>
                <w:rFonts w:hint="eastAsia"/>
                <w:color w:val="000000"/>
                <w:sz w:val="20"/>
                <w:szCs w:val="20"/>
              </w:rPr>
              <w:t>7、网络存储功能: 支持Micro SD(即TF卡)/Micro SDHC/Micro SDXC（128 G）断网本地存储，NAS（NFS，SMB/CIFS均支持）</w:t>
            </w:r>
            <w:r>
              <w:rPr>
                <w:rFonts w:hint="eastAsia"/>
                <w:color w:val="000000"/>
                <w:sz w:val="20"/>
                <w:szCs w:val="20"/>
              </w:rPr>
              <w:br w:type="textWrapping"/>
            </w:r>
            <w:r>
              <w:rPr>
                <w:rFonts w:hint="eastAsia"/>
                <w:color w:val="000000"/>
                <w:sz w:val="20"/>
                <w:szCs w:val="20"/>
              </w:rPr>
              <w:t>8、补光距离: EXIR：20-30米</w:t>
            </w:r>
            <w:r>
              <w:rPr>
                <w:rFonts w:hint="eastAsia"/>
                <w:color w:val="000000"/>
                <w:sz w:val="20"/>
                <w:szCs w:val="20"/>
              </w:rPr>
              <w:br w:type="textWrapping"/>
            </w:r>
            <w:r>
              <w:rPr>
                <w:rFonts w:hint="eastAsia"/>
                <w:color w:val="000000"/>
                <w:sz w:val="20"/>
                <w:szCs w:val="20"/>
              </w:rPr>
              <w:t>9、通讯接口: 1个RJ45 10 M/100 M自适应以太网口</w:t>
            </w:r>
            <w:r>
              <w:rPr>
                <w:rFonts w:hint="eastAsia"/>
                <w:color w:val="000000"/>
                <w:sz w:val="20"/>
                <w:szCs w:val="20"/>
              </w:rPr>
              <w:br w:type="textWrapping"/>
            </w:r>
            <w:r>
              <w:rPr>
                <w:rFonts w:hint="eastAsia"/>
                <w:color w:val="000000"/>
                <w:sz w:val="20"/>
                <w:szCs w:val="20"/>
              </w:rPr>
              <w:t>10、音频: 1个内置麦克风，1路输入（Line in），1路输出（Line out）</w:t>
            </w:r>
            <w:r>
              <w:rPr>
                <w:rFonts w:hint="eastAsia"/>
                <w:color w:val="000000"/>
                <w:sz w:val="20"/>
                <w:szCs w:val="20"/>
              </w:rPr>
              <w:br w:type="textWrapping"/>
            </w:r>
            <w:r>
              <w:rPr>
                <w:rFonts w:hint="eastAsia"/>
                <w:color w:val="000000"/>
                <w:sz w:val="20"/>
                <w:szCs w:val="20"/>
              </w:rPr>
              <w:t>11、报警: 1路输入，1路输出</w:t>
            </w:r>
            <w:r>
              <w:rPr>
                <w:rFonts w:hint="eastAsia"/>
                <w:color w:val="000000"/>
                <w:sz w:val="20"/>
                <w:szCs w:val="20"/>
              </w:rPr>
              <w:br w:type="textWrapping"/>
            </w:r>
            <w:r>
              <w:rPr>
                <w:rFonts w:hint="eastAsia"/>
                <w:color w:val="000000"/>
                <w:sz w:val="20"/>
                <w:szCs w:val="20"/>
              </w:rPr>
              <w:t>12、工作温度和湿度: -10 ℃~40 ℃，湿度小于95%（无凝结）</w:t>
            </w:r>
            <w:r>
              <w:rPr>
                <w:rFonts w:hint="eastAsia"/>
                <w:color w:val="000000"/>
                <w:sz w:val="20"/>
                <w:szCs w:val="20"/>
              </w:rPr>
              <w:br w:type="textWrapping"/>
            </w:r>
            <w:r>
              <w:rPr>
                <w:rFonts w:hint="eastAsia"/>
                <w:color w:val="000000"/>
                <w:sz w:val="20"/>
                <w:szCs w:val="20"/>
              </w:rPr>
              <w:t>13、电源接口类型: 圆头电源接口</w:t>
            </w:r>
            <w:r>
              <w:rPr>
                <w:rFonts w:hint="eastAsia"/>
                <w:color w:val="000000"/>
                <w:sz w:val="20"/>
                <w:szCs w:val="20"/>
              </w:rPr>
              <w:br w:type="textWrapping"/>
            </w:r>
            <w:r>
              <w:rPr>
                <w:rFonts w:hint="eastAsia"/>
                <w:color w:val="000000"/>
                <w:sz w:val="20"/>
                <w:szCs w:val="20"/>
              </w:rPr>
              <w:t>14、电源供应: DC12V ± 25%；PoE（802.3af）</w:t>
            </w:r>
            <w:r>
              <w:rPr>
                <w:rFonts w:hint="eastAsia"/>
                <w:color w:val="000000"/>
                <w:sz w:val="20"/>
                <w:szCs w:val="20"/>
              </w:rPr>
              <w:br w:type="textWrapping"/>
            </w:r>
            <w:r>
              <w:rPr>
                <w:rFonts w:hint="eastAsia"/>
                <w:color w:val="000000"/>
                <w:sz w:val="20"/>
                <w:szCs w:val="20"/>
              </w:rPr>
              <w:t>15、电流及功耗: PoE：Max. 7 W</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4</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NVR</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1、1盘位，已内置1块4T盘</w:t>
            </w:r>
            <w:r>
              <w:rPr>
                <w:rFonts w:hint="eastAsia"/>
                <w:color w:val="000000"/>
                <w:sz w:val="20"/>
                <w:szCs w:val="20"/>
              </w:rPr>
              <w:br w:type="textWrapping"/>
            </w:r>
            <w:r>
              <w:rPr>
                <w:rFonts w:hint="eastAsia"/>
                <w:color w:val="000000"/>
                <w:sz w:val="20"/>
                <w:szCs w:val="20"/>
              </w:rPr>
              <w:t>2、支持1个HDMI+1个VGA同源高清1080P输出</w:t>
            </w:r>
            <w:r>
              <w:rPr>
                <w:rFonts w:hint="eastAsia"/>
                <w:color w:val="000000"/>
                <w:sz w:val="20"/>
                <w:szCs w:val="20"/>
              </w:rPr>
              <w:br w:type="textWrapping"/>
            </w:r>
            <w:r>
              <w:rPr>
                <w:rFonts w:hint="eastAsia"/>
                <w:color w:val="000000"/>
                <w:sz w:val="20"/>
                <w:szCs w:val="20"/>
              </w:rPr>
              <w:t>3、支持4路1080P解码显示</w:t>
            </w:r>
            <w:r>
              <w:rPr>
                <w:rFonts w:hint="eastAsia"/>
                <w:color w:val="000000"/>
                <w:sz w:val="20"/>
                <w:szCs w:val="20"/>
              </w:rPr>
              <w:br w:type="textWrapping"/>
            </w:r>
            <w:r>
              <w:rPr>
                <w:rFonts w:hint="eastAsia"/>
                <w:color w:val="000000"/>
                <w:sz w:val="20"/>
                <w:szCs w:val="20"/>
              </w:rPr>
              <w:t>4、支持H.265、H.264混合解码，最大支持6MP高清IPC</w:t>
            </w:r>
            <w:r>
              <w:rPr>
                <w:rFonts w:hint="eastAsia"/>
                <w:color w:val="000000"/>
                <w:sz w:val="20"/>
                <w:szCs w:val="20"/>
              </w:rPr>
              <w:br w:type="textWrapping"/>
            </w:r>
            <w:r>
              <w:rPr>
                <w:rFonts w:hint="eastAsia"/>
                <w:color w:val="000000"/>
                <w:sz w:val="20"/>
                <w:szCs w:val="20"/>
              </w:rPr>
              <w:t>5、1个百兆网口+4个百兆POE网口</w:t>
            </w:r>
            <w:r>
              <w:rPr>
                <w:rFonts w:hint="eastAsia"/>
                <w:color w:val="000000"/>
                <w:sz w:val="20"/>
                <w:szCs w:val="20"/>
              </w:rPr>
              <w:br w:type="textWrapping"/>
            </w:r>
            <w:r>
              <w:rPr>
                <w:rFonts w:hint="eastAsia"/>
                <w:color w:val="000000"/>
                <w:sz w:val="20"/>
                <w:szCs w:val="20"/>
              </w:rPr>
              <w:t>6、2个USB2.0接口</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1</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门禁系统</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1、设备外观：采用7英寸LCD触摸显示屏，200万像素双目摄像头，面部识别距离0.2-3m，支持照片视频防假；</w:t>
            </w:r>
            <w:r>
              <w:rPr>
                <w:rFonts w:hint="eastAsia"/>
                <w:color w:val="000000"/>
                <w:sz w:val="20"/>
                <w:szCs w:val="20"/>
              </w:rPr>
              <w:br w:type="textWrapping"/>
            </w:r>
            <w:r>
              <w:rPr>
                <w:rFonts w:hint="eastAsia"/>
                <w:color w:val="000000"/>
                <w:sz w:val="20"/>
                <w:szCs w:val="20"/>
              </w:rPr>
              <w:t>2、设备容量：支持5000张人脸白名单，1：N人脸比对时间＜0.2S/人，支持6000张卡片，50000条记录；</w:t>
            </w:r>
            <w:r>
              <w:rPr>
                <w:rFonts w:hint="eastAsia"/>
                <w:color w:val="000000"/>
                <w:sz w:val="20"/>
                <w:szCs w:val="20"/>
              </w:rPr>
              <w:br w:type="textWrapping"/>
            </w:r>
            <w:r>
              <w:rPr>
                <w:rFonts w:hint="eastAsia"/>
                <w:color w:val="000000"/>
                <w:sz w:val="20"/>
                <w:szCs w:val="20"/>
              </w:rPr>
              <w:t>3、认证方式：支持人脸、刷卡、密码（超级密码）及其组合的认证方式；可读取Mifare卡（IC卡）、CPU卡序列号/内容、身份证序列号；</w:t>
            </w:r>
            <w:r>
              <w:rPr>
                <w:rFonts w:hint="eastAsia"/>
                <w:color w:val="000000"/>
                <w:sz w:val="20"/>
                <w:szCs w:val="20"/>
              </w:rPr>
              <w:br w:type="textWrapping"/>
            </w:r>
            <w:r>
              <w:rPr>
                <w:rFonts w:hint="eastAsia"/>
                <w:color w:val="000000"/>
                <w:sz w:val="20"/>
                <w:szCs w:val="20"/>
              </w:rPr>
              <w:t>4、含锁具和出门按钮。</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2</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ind w:firstLine="402" w:firstLineChars="200"/>
              <w:textAlignment w:val="center"/>
              <w:rPr>
                <w:rFonts w:hint="eastAsia"/>
                <w:b/>
                <w:bCs/>
                <w:color w:val="000000"/>
                <w:sz w:val="20"/>
                <w:szCs w:val="20"/>
              </w:rPr>
            </w:pPr>
            <w:r>
              <w:rPr>
                <w:rFonts w:hint="eastAsia"/>
                <w:b/>
                <w:bCs/>
                <w:color w:val="000000"/>
                <w:sz w:val="20"/>
                <w:szCs w:val="20"/>
              </w:rPr>
              <w:t>二、二层会议中心</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ind w:firstLine="402" w:firstLineChars="200"/>
              <w:textAlignment w:val="center"/>
              <w:rPr>
                <w:rFonts w:hint="eastAsia"/>
                <w:b/>
                <w:bCs/>
                <w:color w:val="000000"/>
                <w:sz w:val="20"/>
                <w:szCs w:val="20"/>
              </w:rPr>
            </w:pPr>
            <w:r>
              <w:rPr>
                <w:rFonts w:hint="eastAsia"/>
                <w:b/>
                <w:bCs/>
                <w:color w:val="000000"/>
                <w:sz w:val="20"/>
                <w:szCs w:val="20"/>
              </w:rPr>
              <w:t>2.1、大屏幕显示系统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室内全彩显示屏</w:t>
            </w:r>
            <w:r>
              <w:rPr>
                <w:rFonts w:hint="eastAsia"/>
                <w:b/>
                <w:bCs/>
                <w:color w:val="000000"/>
                <w:sz w:val="20"/>
                <w:szCs w:val="20"/>
              </w:rPr>
              <w:t>（核心产品）</w:t>
            </w:r>
          </w:p>
        </w:tc>
        <w:tc>
          <w:tcPr>
            <w:tcW w:w="5340" w:type="dxa"/>
            <w:tcBorders>
              <w:top w:val="single" w:color="000000" w:sz="4" w:space="0"/>
              <w:left w:val="single" w:color="000000" w:sz="4" w:space="0"/>
              <w:bottom w:val="single" w:color="000000" w:sz="4" w:space="0"/>
              <w:right w:val="single" w:color="000000" w:sz="4" w:space="0"/>
            </w:tcBorders>
          </w:tcPr>
          <w:p>
            <w:pPr>
              <w:textAlignment w:val="top"/>
              <w:rPr>
                <w:rFonts w:hint="eastAsia"/>
                <w:color w:val="000000"/>
                <w:sz w:val="20"/>
                <w:szCs w:val="20"/>
                <w:highlight w:val="none"/>
              </w:rPr>
            </w:pPr>
            <w:r>
              <w:rPr>
                <w:rFonts w:hint="eastAsia"/>
                <w:color w:val="000000"/>
                <w:sz w:val="20"/>
                <w:szCs w:val="20"/>
                <w:highlight w:val="none"/>
              </w:rPr>
              <w:t>▲1、LED像素点间距≤1.25mm;像素密度≥640000点/㎡，SMD封装。</w:t>
            </w:r>
          </w:p>
          <w:p>
            <w:pPr>
              <w:textAlignment w:val="top"/>
              <w:rPr>
                <w:rFonts w:hint="eastAsia"/>
                <w:color w:val="000000"/>
                <w:sz w:val="20"/>
                <w:szCs w:val="20"/>
                <w:highlight w:val="none"/>
              </w:rPr>
            </w:pPr>
            <w:r>
              <w:rPr>
                <w:rFonts w:hint="eastAsia"/>
                <w:color w:val="000000"/>
                <w:sz w:val="20"/>
                <w:szCs w:val="20"/>
                <w:highlight w:val="none"/>
              </w:rPr>
              <w:t>2、有效显示尺寸为9.6m*2.7m，投标方也可根据自身产品尺寸进行拼接，但是显示尺寸长和宽均不得小于规定长宽，误差范围不超过2％。</w:t>
            </w:r>
          </w:p>
          <w:p>
            <w:pPr>
              <w:textAlignment w:val="top"/>
              <w:rPr>
                <w:rFonts w:hint="eastAsia"/>
                <w:color w:val="000000"/>
                <w:sz w:val="20"/>
                <w:szCs w:val="20"/>
                <w:highlight w:val="none"/>
              </w:rPr>
            </w:pPr>
            <w:r>
              <w:rPr>
                <w:rFonts w:hint="eastAsia"/>
                <w:color w:val="000000"/>
                <w:sz w:val="20"/>
                <w:szCs w:val="20"/>
                <w:highlight w:val="none"/>
              </w:rPr>
              <w:t>3、色温3000K—10000K可调，水平、垂直视角160°，亮度均匀性≥97%，色度均匀性±0.003Cx,Cy之内，刷新率：3840Hz；</w:t>
            </w:r>
          </w:p>
          <w:p>
            <w:pPr>
              <w:textAlignment w:val="top"/>
              <w:rPr>
                <w:rFonts w:hint="eastAsia"/>
                <w:color w:val="000000"/>
                <w:sz w:val="20"/>
                <w:szCs w:val="20"/>
                <w:highlight w:val="none"/>
              </w:rPr>
            </w:pPr>
            <w:r>
              <w:rPr>
                <w:rFonts w:hint="eastAsia"/>
                <w:color w:val="000000"/>
                <w:sz w:val="20"/>
                <w:szCs w:val="20"/>
                <w:highlight w:val="none"/>
              </w:rPr>
              <w:t>4、符合GB/T15115-2009；压铸铝箱体，抗腐蚀性，冲击韧性和屈服强度，符合要求。（</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★5、符合GB 4588.3-2002环氧玻璃布层压板，机械性能、电性能、耐高湿性能以及耐焊接性能，符合要求，使用温度130℃。（</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6、支持通过实时智能分析算法，识别高亮画面，自动调整高亮亮度，解决刺眼问题，提高人眼观看舒适度，并实现功耗降低20%。（</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7、支持通过实时智能分析算法，提高图像动态范围，低灰部分更深邃，高灰部分更清澈，SDR图像显示HDR效果。（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8、支持网线掉线检测，信号连线过载检测。（</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9、支持接入外部信源，自动搜索有效信号源并切换到该通道显示。（</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10、支持通过客户端、遥控器、物理按键对亮度和色温进行调节。（</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11、支持BT.2020、DCI-P3、BT.709、sRGB标准，准确还原色彩，避免偏色问题；支持标准、冷色、暖色、自定义色温 （</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12、支持RGB Gamma各自独立调节，解决低灰不均和色温偏移问题，让画面更加还原真实（手动）。（</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★13、通过GB/T 2423.37-2006 4.2沙尘试验，粒子尺寸＜75μm的滑石粉，尘降量600g/（㎡·d），自由降尘，试验时间8h，产品未发现尘沉积及侵入。（</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14、通过GB/T2423.17-2008《电工电子产品环境试验第2部分：试验方法试验Ka:盐雾》试验：在盐溶液PH7±0.5，溶度5%NaCL,温度35±1度的条件下，连续进行72h喷雾，实验结束后显示屏表面无锈蚀，性能完好，正常工作。（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★15、通过 GB 8898-2011爬电试验：使用50滴溶液（质量分数0.1%，纯度99.8%的分析纯无水氯化铵）进行试验，爬电距离不超过1.9mm，产品不出现绝缘闪络或击穿。（</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16、通过GB/T 17618-2015 4.2.6电压暂降和短时中断抗扰度试验，试验条件：95%降低，周期0.5，30%降低，周期25；95%降低，周期，250，实验结果：产品能正常工作。（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17、通过GB/T 17618-2015 4.2.1静电放电抗扰度试验，试验条件：接触放电4kV，空气放电8kV，实验结果：产品能正常工作。（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18、LED制造商应具有较强的实验室检测能力，具备抗扰度GB/T 17618-2015 4.2.1和抗盐雾GB/T 2423.17-2008 6标准的测试能力。（</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r>
              <w:rPr>
                <w:rFonts w:hint="eastAsia" w:ascii="Times New Roman" w:hAnsi="Times New Roman" w:cs="Times New Roman"/>
                <w:color w:val="000000"/>
                <w:sz w:val="20"/>
                <w:szCs w:val="20"/>
              </w:rPr>
              <w:t>5</w:t>
            </w:r>
            <w:r>
              <w:rPr>
                <w:rFonts w:ascii="Times New Roman" w:hAnsi="Times New Roman" w:cs="Times New Roman"/>
                <w:color w:val="000000"/>
                <w:sz w:val="20"/>
                <w:szCs w:val="20"/>
              </w:rPr>
              <w:t>.</w:t>
            </w:r>
            <w:r>
              <w:rPr>
                <w:rFonts w:hint="eastAsia" w:ascii="Times New Roman" w:hAnsi="Times New Roman" w:cs="Times New Roman"/>
                <w:color w:val="000000"/>
                <w:sz w:val="20"/>
                <w:szCs w:val="20"/>
              </w:rPr>
              <w:t>92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LED控制器</w:t>
            </w:r>
          </w:p>
        </w:tc>
        <w:tc>
          <w:tcPr>
            <w:tcW w:w="5340" w:type="dxa"/>
            <w:tcBorders>
              <w:top w:val="single" w:color="000000" w:sz="4" w:space="0"/>
              <w:left w:val="single" w:color="000000" w:sz="4" w:space="0"/>
              <w:bottom w:val="single" w:color="000000" w:sz="4" w:space="0"/>
              <w:right w:val="single" w:color="000000" w:sz="4" w:space="0"/>
            </w:tcBorders>
          </w:tcPr>
          <w:p>
            <w:pPr>
              <w:textAlignment w:val="top"/>
              <w:rPr>
                <w:rFonts w:hint="eastAsia"/>
                <w:color w:val="000000"/>
                <w:sz w:val="20"/>
                <w:szCs w:val="20"/>
                <w:highlight w:val="none"/>
              </w:rPr>
            </w:pPr>
            <w:r>
              <w:rPr>
                <w:rFonts w:hint="eastAsia"/>
                <w:color w:val="000000"/>
                <w:sz w:val="20"/>
                <w:szCs w:val="20"/>
                <w:highlight w:val="none"/>
              </w:rPr>
              <w:t>1、投标产品支持1个DVI、1个HDMI、1个DP输入接口；</w:t>
            </w:r>
          </w:p>
          <w:p>
            <w:pPr>
              <w:textAlignment w:val="top"/>
              <w:rPr>
                <w:rFonts w:hint="eastAsia"/>
                <w:color w:val="000000"/>
                <w:sz w:val="20"/>
                <w:szCs w:val="20"/>
                <w:highlight w:val="none"/>
              </w:rPr>
            </w:pPr>
            <w:r>
              <w:rPr>
                <w:rFonts w:hint="eastAsia"/>
                <w:color w:val="000000"/>
                <w:sz w:val="20"/>
                <w:szCs w:val="20"/>
                <w:highlight w:val="none"/>
              </w:rPr>
              <w:t>2、投标产品支持亮度调节，可以通过客户端、遥控器、PAD及物理按键进行调节，并支持多台设备同时调节。（</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3、投标产品支持倍帧功能，可以将输入为30Hz的信号转成60Hz信号输出。（</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4、投标产品支持图片上传作为底图显示，且图片可轮巡。（</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5、投标产品支持屏体各通道逐个延时上电，可通过遥控器进行操作。（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★6、投标产品可通过物理按键、遥控器、客户端方式对屏幕红、绿、蓝、白、条纹逐行扫描进行自检操作。（</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p>
            <w:pPr>
              <w:textAlignment w:val="top"/>
              <w:rPr>
                <w:rFonts w:hint="eastAsia"/>
                <w:color w:val="000000"/>
                <w:sz w:val="20"/>
                <w:szCs w:val="20"/>
                <w:highlight w:val="none"/>
              </w:rPr>
            </w:pPr>
            <w:r>
              <w:rPr>
                <w:rFonts w:hint="eastAsia"/>
                <w:color w:val="000000"/>
                <w:sz w:val="20"/>
                <w:szCs w:val="20"/>
                <w:highlight w:val="none"/>
              </w:rPr>
              <w:t>★7、投标产品可通过遥控器的便捷式操作，对图像的对比度、清晰度、饱和度、色温以及图像模式进行调节设置。（</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支架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定制，落地式弧形支架，用于安装支撑屏体的钢结构体</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43</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配电柜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具有三相指示灯、运行指示灯，可实时监控设备运行状态。三相工业限流保护，过载过流、短路、断路保护。定时开关。一键远程控制，自带维修插座</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返看显示设备</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55寸返看电视机和返看移动推车</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线缆</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定制，大屏专用线缆</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批</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2.2、发言扩声系统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主音箱</w:t>
            </w:r>
          </w:p>
        </w:tc>
        <w:tc>
          <w:tcPr>
            <w:tcW w:w="5340" w:type="dxa"/>
            <w:tcBorders>
              <w:top w:val="single" w:color="000000" w:sz="4" w:space="0"/>
              <w:left w:val="single" w:color="000000" w:sz="4" w:space="0"/>
              <w:bottom w:val="single" w:color="000000" w:sz="4" w:space="0"/>
              <w:right w:val="single" w:color="000000" w:sz="4" w:space="0"/>
            </w:tcBorders>
            <w:vAlign w:val="center"/>
          </w:tcPr>
          <w:p>
            <w:pPr>
              <w:pStyle w:val="3"/>
              <w:rPr>
                <w:rFonts w:hint="eastAsia" w:ascii="宋体" w:hAnsi="宋体" w:cs="宋体"/>
                <w:color w:val="000000"/>
                <w:kern w:val="0"/>
                <w:sz w:val="20"/>
                <w:szCs w:val="20"/>
                <w:highlight w:val="none"/>
              </w:rPr>
            </w:pPr>
            <w:r>
              <w:rPr>
                <w:rFonts w:hint="eastAsia" w:ascii="宋体" w:hAnsi="宋体" w:cs="宋体"/>
                <w:color w:val="000000"/>
                <w:kern w:val="0"/>
                <w:sz w:val="20"/>
                <w:szCs w:val="20"/>
              </w:rPr>
              <w:t>须确保扩声系统的兼容性、一致性以及售后便捷性。</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1、音箱类型不低于同轴两分频音箱</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2、频率响应下限不高于60Hz，上限不低于20KHz</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3、灵敏度不小于99dB ；</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4、连续声压级不小于122dB，峰值声压级不小于128dB</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5、额定功率不小于250W；峰值功率不小于1000W；</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6、同轴低音单元不低于10寸；同轴高音单元不低于1寸；</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可扩展为有源带DSP处理音箱，扩展后有源音箱应具有2通道D类数字功率放大模块，具有多通道DSP处理模块选择，扩展后带DSP处理功率放大模块物理连接以及DSP处理软件应具有以下端口、标识及功能：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（一）接线板满足</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1、1个平衡式XLR卡侬音频输入端口、1个平衡式卡侬音频输出端口；</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2、1个RS485/AES/EBU网络输入端口、1个RS485/AES/EBU网络输出端口（可通过1条网线1个RS485/AES/EBU端口同时传输对DSP处理的控制信号和数字音频信号）；</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3、1个交流电源输入带锁止端口、1个交流电源输出带锁止端口；</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（二）扩展后带DSP处理功率放大模块软件具有以下功能：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1、DSP处理软件带有简体中文、繁体中文、英文3种语言友好操作界面；</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2、可选择2进2出、2进4出、1进3出、4进8出、8进8出处理单元；</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3、选定的DSP处理单元可对输入、输出参数单独细化调节；</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4、输入模式可选择：模拟信号、数字信号、正弦波、粉红噪声、白噪声；</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5、DSP有30个用户存档，并可随用户设定任意一个存档为开机档；</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6、软件可切换</w:t>
            </w:r>
            <w:r>
              <w:rPr>
                <w:rFonts w:hint="eastAsia" w:ascii="宋体" w:hAnsi="宋体" w:cs="宋体"/>
                <w:color w:val="000000"/>
                <w:kern w:val="0"/>
                <w:sz w:val="20"/>
                <w:szCs w:val="20"/>
                <w:highlight w:val="none"/>
              </w:rPr>
              <w:t>网络版调节整个扩声系统有源DSP处理音箱，也可切换为单机版对单一音箱进行参数调节。</w:t>
            </w:r>
          </w:p>
          <w:p>
            <w:pPr>
              <w:pStyle w:val="2"/>
              <w:rPr>
                <w:rFonts w:hint="eastAsia"/>
              </w:rPr>
            </w:pPr>
            <w:r>
              <w:rPr>
                <w:rFonts w:hint="eastAsia" w:ascii="宋体" w:hAnsi="宋体" w:cs="宋体"/>
                <w:color w:val="000000"/>
                <w:kern w:val="0"/>
                <w:sz w:val="20"/>
                <w:szCs w:val="20"/>
                <w:highlight w:val="none"/>
              </w:rPr>
              <w:t>★（三）为保证投标人所投产品真实符合招标方需求，投标人须提供1.有源模块硬件和软件的实物照片加文字注解文档；2.扩展后接线板及DSP处理功率放大模块软件中各项功能的演示截图；并加盖公章。</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吸顶音箱</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须确保扩声系统的兼容性、一致性以及售后便捷性。</w:t>
            </w:r>
            <w:r>
              <w:rPr>
                <w:rFonts w:hint="eastAsia"/>
                <w:color w:val="000000"/>
                <w:sz w:val="20"/>
                <w:szCs w:val="20"/>
              </w:rPr>
              <w:br w:type="textWrapping"/>
            </w:r>
            <w:r>
              <w:rPr>
                <w:rFonts w:hint="eastAsia"/>
                <w:color w:val="000000"/>
                <w:sz w:val="20"/>
                <w:szCs w:val="20"/>
              </w:rPr>
              <w:t>1、不低于两分频全频同轴吸顶音箱</w:t>
            </w:r>
            <w:r>
              <w:rPr>
                <w:rFonts w:hint="eastAsia"/>
                <w:color w:val="000000"/>
                <w:sz w:val="20"/>
                <w:szCs w:val="20"/>
              </w:rPr>
              <w:br w:type="textWrapping"/>
            </w:r>
            <w:r>
              <w:rPr>
                <w:rFonts w:hint="eastAsia"/>
                <w:color w:val="000000"/>
                <w:sz w:val="20"/>
                <w:szCs w:val="20"/>
              </w:rPr>
              <w:t>2、频率响应下限不高于120Hz，上限不低于16KHz；</w:t>
            </w:r>
            <w:r>
              <w:rPr>
                <w:rFonts w:hint="eastAsia"/>
                <w:color w:val="000000"/>
                <w:sz w:val="20"/>
                <w:szCs w:val="20"/>
              </w:rPr>
              <w:br w:type="textWrapping"/>
            </w:r>
            <w:r>
              <w:rPr>
                <w:rFonts w:hint="eastAsia"/>
                <w:color w:val="000000"/>
                <w:sz w:val="20"/>
                <w:szCs w:val="20"/>
              </w:rPr>
              <w:t>3、同轴低音单不低于6.5寸，同轴高音单元不低于1寸，</w:t>
            </w:r>
            <w:r>
              <w:rPr>
                <w:rFonts w:hint="eastAsia"/>
                <w:color w:val="000000"/>
                <w:sz w:val="20"/>
                <w:szCs w:val="20"/>
              </w:rPr>
              <w:br w:type="textWrapping"/>
            </w:r>
            <w:r>
              <w:rPr>
                <w:rFonts w:hint="eastAsia"/>
                <w:color w:val="000000"/>
                <w:sz w:val="20"/>
                <w:szCs w:val="20"/>
              </w:rPr>
              <w:t>4、覆盖角度不低于90°(H)×90°(V)</w:t>
            </w:r>
            <w:r>
              <w:rPr>
                <w:rFonts w:hint="eastAsia"/>
                <w:color w:val="000000"/>
                <w:sz w:val="20"/>
                <w:szCs w:val="20"/>
              </w:rPr>
              <w:br w:type="textWrapping"/>
            </w:r>
            <w:r>
              <w:rPr>
                <w:rFonts w:hint="eastAsia"/>
                <w:color w:val="000000"/>
                <w:sz w:val="20"/>
                <w:szCs w:val="20"/>
              </w:rPr>
              <w:t>5、定阻功率不小于40W，峰值不小于160W</w:t>
            </w:r>
            <w:r>
              <w:rPr>
                <w:rFonts w:hint="eastAsia"/>
                <w:color w:val="000000"/>
                <w:sz w:val="20"/>
                <w:szCs w:val="20"/>
              </w:rPr>
              <w:br w:type="textWrapping"/>
            </w:r>
            <w:r>
              <w:rPr>
                <w:rFonts w:hint="eastAsia"/>
                <w:color w:val="000000"/>
                <w:sz w:val="20"/>
                <w:szCs w:val="20"/>
              </w:rPr>
              <w:t>6、灵敏度不小于90</w:t>
            </w:r>
            <w:r>
              <w:rPr>
                <w:rFonts w:hint="eastAsia"/>
                <w:color w:val="000000"/>
                <w:sz w:val="20"/>
                <w:szCs w:val="20"/>
              </w:rPr>
              <w:br w:type="textWrapping"/>
            </w:r>
            <w:r>
              <w:rPr>
                <w:rFonts w:hint="eastAsia"/>
                <w:color w:val="000000"/>
                <w:sz w:val="20"/>
                <w:szCs w:val="20"/>
              </w:rPr>
              <w:t>7、安装形式吸顶式</w:t>
            </w:r>
            <w:r>
              <w:rPr>
                <w:rFonts w:hint="eastAsia"/>
                <w:color w:val="000000"/>
                <w:sz w:val="20"/>
                <w:szCs w:val="20"/>
              </w:rPr>
              <w:br w:type="textWrapping"/>
            </w:r>
            <w:r>
              <w:rPr>
                <w:rFonts w:hint="eastAsia"/>
                <w:color w:val="000000"/>
                <w:sz w:val="20"/>
                <w:szCs w:val="20"/>
              </w:rPr>
              <w:t>可扩展为有源带DSP处理音箱，扩展后有源音箱应具有2通道D类数字功率放大模块，具有多通道DSP处理模块选择，扩展后带DSP处理功率放大模块物理连接以及DSP处理软件应具有以下端口、标识及功能：</w:t>
            </w:r>
            <w:r>
              <w:rPr>
                <w:rFonts w:hint="eastAsia"/>
                <w:color w:val="000000"/>
                <w:sz w:val="20"/>
                <w:szCs w:val="20"/>
              </w:rPr>
              <w:br w:type="textWrapping"/>
            </w:r>
            <w:r>
              <w:rPr>
                <w:rFonts w:hint="eastAsia"/>
                <w:color w:val="000000"/>
                <w:sz w:val="20"/>
                <w:szCs w:val="20"/>
              </w:rPr>
              <w:t>（一）接线板满足</w:t>
            </w:r>
            <w:r>
              <w:rPr>
                <w:rFonts w:hint="eastAsia"/>
                <w:color w:val="000000"/>
                <w:sz w:val="20"/>
                <w:szCs w:val="20"/>
              </w:rPr>
              <w:br w:type="textWrapping"/>
            </w:r>
            <w:r>
              <w:rPr>
                <w:rFonts w:hint="eastAsia"/>
                <w:color w:val="000000"/>
                <w:sz w:val="20"/>
                <w:szCs w:val="20"/>
              </w:rPr>
              <w:t>1、1个平衡式XLR卡侬音频输入端口、1个平衡式卡侬音频输出端口；</w:t>
            </w:r>
            <w:r>
              <w:rPr>
                <w:rFonts w:hint="eastAsia"/>
                <w:color w:val="000000"/>
                <w:sz w:val="20"/>
                <w:szCs w:val="20"/>
              </w:rPr>
              <w:br w:type="textWrapping"/>
            </w:r>
            <w:r>
              <w:rPr>
                <w:rFonts w:hint="eastAsia"/>
                <w:color w:val="000000"/>
                <w:sz w:val="20"/>
                <w:szCs w:val="20"/>
              </w:rPr>
              <w:t>2、1个RS485/AES/EBU网络输入端口、1个RS485/AES/EBU网络输出端口（可通过1条网线1个RS485/AES/EBU端口同时传输对DSP处理的控制信号和数字音频信号）；</w:t>
            </w:r>
            <w:r>
              <w:rPr>
                <w:rFonts w:hint="eastAsia"/>
                <w:color w:val="000000"/>
                <w:sz w:val="20"/>
                <w:szCs w:val="20"/>
              </w:rPr>
              <w:br w:type="textWrapping"/>
            </w:r>
            <w:r>
              <w:rPr>
                <w:rFonts w:hint="eastAsia"/>
                <w:color w:val="000000"/>
                <w:sz w:val="20"/>
                <w:szCs w:val="20"/>
              </w:rPr>
              <w:t>3、1个交流电源输入带锁止端口、1个交流电源输出带锁止端口；</w:t>
            </w:r>
            <w:r>
              <w:rPr>
                <w:rFonts w:hint="eastAsia"/>
                <w:color w:val="000000"/>
                <w:sz w:val="20"/>
                <w:szCs w:val="20"/>
              </w:rPr>
              <w:br w:type="textWrapping"/>
            </w:r>
            <w:r>
              <w:rPr>
                <w:rFonts w:hint="eastAsia"/>
                <w:color w:val="000000"/>
                <w:sz w:val="20"/>
                <w:szCs w:val="20"/>
              </w:rPr>
              <w:t>（二）扩展后带DSP处理功率放大模块软件具有以下功能：</w:t>
            </w:r>
            <w:r>
              <w:rPr>
                <w:rFonts w:hint="eastAsia"/>
                <w:color w:val="000000"/>
                <w:sz w:val="20"/>
                <w:szCs w:val="20"/>
              </w:rPr>
              <w:br w:type="textWrapping"/>
            </w:r>
            <w:r>
              <w:rPr>
                <w:rFonts w:hint="eastAsia"/>
                <w:color w:val="000000"/>
                <w:sz w:val="20"/>
                <w:szCs w:val="20"/>
              </w:rPr>
              <w:t>1、DSP处理软件带有简体中文、繁体中文、英文3种语言友好操作界面；</w:t>
            </w:r>
            <w:r>
              <w:rPr>
                <w:rFonts w:hint="eastAsia"/>
                <w:color w:val="000000"/>
                <w:sz w:val="20"/>
                <w:szCs w:val="20"/>
              </w:rPr>
              <w:br w:type="textWrapping"/>
            </w:r>
            <w:r>
              <w:rPr>
                <w:rFonts w:hint="eastAsia"/>
                <w:color w:val="000000"/>
                <w:sz w:val="20"/>
                <w:szCs w:val="20"/>
              </w:rPr>
              <w:t>2、可选择2进2出、2进4出、1进3出、4进8出、8进8出处理单元；</w:t>
            </w:r>
            <w:r>
              <w:rPr>
                <w:rFonts w:hint="eastAsia"/>
                <w:color w:val="000000"/>
                <w:sz w:val="20"/>
                <w:szCs w:val="20"/>
              </w:rPr>
              <w:br w:type="textWrapping"/>
            </w:r>
            <w:r>
              <w:rPr>
                <w:rFonts w:hint="eastAsia"/>
                <w:color w:val="000000"/>
                <w:sz w:val="20"/>
                <w:szCs w:val="20"/>
              </w:rPr>
              <w:t>3、选定的DSP处理单元可对输入、输出参数单独细化调节；</w:t>
            </w:r>
            <w:r>
              <w:rPr>
                <w:rFonts w:hint="eastAsia"/>
                <w:color w:val="000000"/>
                <w:sz w:val="20"/>
                <w:szCs w:val="20"/>
              </w:rPr>
              <w:br w:type="textWrapping"/>
            </w:r>
            <w:r>
              <w:rPr>
                <w:rFonts w:hint="eastAsia"/>
                <w:color w:val="000000"/>
                <w:sz w:val="20"/>
                <w:szCs w:val="20"/>
              </w:rPr>
              <w:t>4、输入模式可选择：模拟信号、数字信号、正弦波、粉红噪声、白噪声；</w:t>
            </w:r>
            <w:r>
              <w:rPr>
                <w:rFonts w:hint="eastAsia"/>
                <w:color w:val="000000"/>
                <w:sz w:val="20"/>
                <w:szCs w:val="20"/>
              </w:rPr>
              <w:br w:type="textWrapping"/>
            </w:r>
            <w:r>
              <w:rPr>
                <w:rFonts w:hint="eastAsia"/>
                <w:color w:val="000000"/>
                <w:sz w:val="20"/>
                <w:szCs w:val="20"/>
              </w:rPr>
              <w:t>5、DSP有30个用户存档，并可随用户设定任意一个存档为开机档；</w:t>
            </w:r>
            <w:r>
              <w:rPr>
                <w:rFonts w:hint="eastAsia"/>
                <w:color w:val="000000"/>
                <w:sz w:val="20"/>
                <w:szCs w:val="20"/>
              </w:rPr>
              <w:br w:type="textWrapping"/>
            </w:r>
            <w:r>
              <w:rPr>
                <w:rFonts w:hint="eastAsia"/>
                <w:color w:val="000000"/>
                <w:sz w:val="20"/>
                <w:szCs w:val="20"/>
              </w:rPr>
              <w:t>6、软件可切换网络版调节整个扩声系统有源DSP处理音箱，也可切换为单机版对单一音箱进行参数调节。</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4</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辅助音箱</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须确保扩声系统的兼容性、一致性以及售后便捷性。</w:t>
            </w:r>
            <w:r>
              <w:rPr>
                <w:rFonts w:hint="eastAsia"/>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985" cy="0"/>
                  <wp:effectExtent l="0" t="0" r="635" b="1270"/>
                  <wp:wrapNone/>
                  <wp:docPr id="28" name="Picture_1_SpCnt_16"/>
                  <wp:cNvGraphicFramePr/>
                  <a:graphic xmlns:a="http://schemas.openxmlformats.org/drawingml/2006/main">
                    <a:graphicData uri="http://schemas.openxmlformats.org/drawingml/2006/picture">
                      <pic:pic xmlns:pic="http://schemas.openxmlformats.org/drawingml/2006/picture">
                        <pic:nvPicPr>
                          <pic:cNvPr id="28" name="Picture_1_SpCnt_16"/>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985" cy="0"/>
                  <wp:effectExtent l="0" t="0" r="635" b="1270"/>
                  <wp:wrapNone/>
                  <wp:docPr id="27" name="Picture_1_SpCnt_17"/>
                  <wp:cNvGraphicFramePr/>
                  <a:graphic xmlns:a="http://schemas.openxmlformats.org/drawingml/2006/main">
                    <a:graphicData uri="http://schemas.openxmlformats.org/drawingml/2006/picture">
                      <pic:pic xmlns:pic="http://schemas.openxmlformats.org/drawingml/2006/picture">
                        <pic:nvPicPr>
                          <pic:cNvPr id="27" name="Picture_1_SpCnt_17"/>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985" cy="0"/>
                  <wp:effectExtent l="0" t="0" r="635" b="1270"/>
                  <wp:wrapNone/>
                  <wp:docPr id="29" name="Picture_1_SpCnt_18"/>
                  <wp:cNvGraphicFramePr/>
                  <a:graphic xmlns:a="http://schemas.openxmlformats.org/drawingml/2006/main">
                    <a:graphicData uri="http://schemas.openxmlformats.org/drawingml/2006/picture">
                      <pic:pic xmlns:pic="http://schemas.openxmlformats.org/drawingml/2006/picture">
                        <pic:nvPicPr>
                          <pic:cNvPr id="29" name="Picture_1_SpCnt_18"/>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6985" cy="0"/>
                  <wp:effectExtent l="0" t="0" r="635" b="1270"/>
                  <wp:wrapNone/>
                  <wp:docPr id="25" name="Picture_1_SpCnt_19"/>
                  <wp:cNvGraphicFramePr/>
                  <a:graphic xmlns:a="http://schemas.openxmlformats.org/drawingml/2006/main">
                    <a:graphicData uri="http://schemas.openxmlformats.org/drawingml/2006/picture">
                      <pic:pic xmlns:pic="http://schemas.openxmlformats.org/drawingml/2006/picture">
                        <pic:nvPicPr>
                          <pic:cNvPr id="25" name="Picture_1_SpCnt_19"/>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985" cy="0"/>
                  <wp:effectExtent l="0" t="0" r="635" b="1270"/>
                  <wp:wrapNone/>
                  <wp:docPr id="20" name="Picture_1_SpCnt_20"/>
                  <wp:cNvGraphicFramePr/>
                  <a:graphic xmlns:a="http://schemas.openxmlformats.org/drawingml/2006/main">
                    <a:graphicData uri="http://schemas.openxmlformats.org/drawingml/2006/picture">
                      <pic:pic xmlns:pic="http://schemas.openxmlformats.org/drawingml/2006/picture">
                        <pic:nvPicPr>
                          <pic:cNvPr id="20" name="Picture_1_SpCnt_20"/>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85" cy="0"/>
                  <wp:effectExtent l="0" t="0" r="635" b="1270"/>
                  <wp:wrapNone/>
                  <wp:docPr id="30" name="Picture_1_SpCnt_21"/>
                  <wp:cNvGraphicFramePr/>
                  <a:graphic xmlns:a="http://schemas.openxmlformats.org/drawingml/2006/main">
                    <a:graphicData uri="http://schemas.openxmlformats.org/drawingml/2006/picture">
                      <pic:pic xmlns:pic="http://schemas.openxmlformats.org/drawingml/2006/picture">
                        <pic:nvPicPr>
                          <pic:cNvPr id="30" name="Picture_1_SpCnt_21"/>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6985" cy="0"/>
                  <wp:effectExtent l="0" t="0" r="635" b="1270"/>
                  <wp:wrapNone/>
                  <wp:docPr id="18" name="Picture_1_SpCnt_22"/>
                  <wp:cNvGraphicFramePr/>
                  <a:graphic xmlns:a="http://schemas.openxmlformats.org/drawingml/2006/main">
                    <a:graphicData uri="http://schemas.openxmlformats.org/drawingml/2006/picture">
                      <pic:pic xmlns:pic="http://schemas.openxmlformats.org/drawingml/2006/picture">
                        <pic:nvPicPr>
                          <pic:cNvPr id="18" name="Picture_1_SpCnt_22"/>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6985" cy="0"/>
                  <wp:effectExtent l="0" t="0" r="635" b="1270"/>
                  <wp:wrapNone/>
                  <wp:docPr id="19" name="Picture_1_SpCnt_23"/>
                  <wp:cNvGraphicFramePr/>
                  <a:graphic xmlns:a="http://schemas.openxmlformats.org/drawingml/2006/main">
                    <a:graphicData uri="http://schemas.openxmlformats.org/drawingml/2006/picture">
                      <pic:pic xmlns:pic="http://schemas.openxmlformats.org/drawingml/2006/picture">
                        <pic:nvPicPr>
                          <pic:cNvPr id="19" name="Picture_1_SpCnt_23"/>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6985" cy="0"/>
                  <wp:effectExtent l="0" t="0" r="635" b="1270"/>
                  <wp:wrapNone/>
                  <wp:docPr id="21" name="Picture_1_SpCnt_24"/>
                  <wp:cNvGraphicFramePr/>
                  <a:graphic xmlns:a="http://schemas.openxmlformats.org/drawingml/2006/main">
                    <a:graphicData uri="http://schemas.openxmlformats.org/drawingml/2006/picture">
                      <pic:pic xmlns:pic="http://schemas.openxmlformats.org/drawingml/2006/picture">
                        <pic:nvPicPr>
                          <pic:cNvPr id="21" name="Picture_1_SpCnt_24"/>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6985" cy="0"/>
                  <wp:effectExtent l="0" t="0" r="635" b="1270"/>
                  <wp:wrapNone/>
                  <wp:docPr id="22" name="Picture_1_SpCnt_25"/>
                  <wp:cNvGraphicFramePr/>
                  <a:graphic xmlns:a="http://schemas.openxmlformats.org/drawingml/2006/main">
                    <a:graphicData uri="http://schemas.openxmlformats.org/drawingml/2006/picture">
                      <pic:pic xmlns:pic="http://schemas.openxmlformats.org/drawingml/2006/picture">
                        <pic:nvPicPr>
                          <pic:cNvPr id="22" name="Picture_1_SpCnt_25"/>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6985" cy="0"/>
                  <wp:effectExtent l="0" t="0" r="635" b="1270"/>
                  <wp:wrapNone/>
                  <wp:docPr id="26" name="Picture_1_SpCnt_26"/>
                  <wp:cNvGraphicFramePr/>
                  <a:graphic xmlns:a="http://schemas.openxmlformats.org/drawingml/2006/main">
                    <a:graphicData uri="http://schemas.openxmlformats.org/drawingml/2006/picture">
                      <pic:pic xmlns:pic="http://schemas.openxmlformats.org/drawingml/2006/picture">
                        <pic:nvPicPr>
                          <pic:cNvPr id="26" name="Picture_1_SpCnt_26"/>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6985" cy="0"/>
                  <wp:effectExtent l="0" t="0" r="635" b="1270"/>
                  <wp:wrapNone/>
                  <wp:docPr id="23" name="Picture_1_SpCnt_27"/>
                  <wp:cNvGraphicFramePr/>
                  <a:graphic xmlns:a="http://schemas.openxmlformats.org/drawingml/2006/main">
                    <a:graphicData uri="http://schemas.openxmlformats.org/drawingml/2006/picture">
                      <pic:pic xmlns:pic="http://schemas.openxmlformats.org/drawingml/2006/picture">
                        <pic:nvPicPr>
                          <pic:cNvPr id="23" name="Picture_1_SpCnt_27"/>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6985" cy="0"/>
                  <wp:effectExtent l="0" t="0" r="635" b="1270"/>
                  <wp:wrapNone/>
                  <wp:docPr id="24" name="Picture_1_SpCnt_28"/>
                  <wp:cNvGraphicFramePr/>
                  <a:graphic xmlns:a="http://schemas.openxmlformats.org/drawingml/2006/main">
                    <a:graphicData uri="http://schemas.openxmlformats.org/drawingml/2006/picture">
                      <pic:pic xmlns:pic="http://schemas.openxmlformats.org/drawingml/2006/picture">
                        <pic:nvPicPr>
                          <pic:cNvPr id="24" name="Picture_1_SpCnt_28"/>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6985" cy="0"/>
                  <wp:effectExtent l="0" t="0" r="635" b="1270"/>
                  <wp:wrapNone/>
                  <wp:docPr id="5" name="Picture_1_SpCnt_29"/>
                  <wp:cNvGraphicFramePr/>
                  <a:graphic xmlns:a="http://schemas.openxmlformats.org/drawingml/2006/main">
                    <a:graphicData uri="http://schemas.openxmlformats.org/drawingml/2006/picture">
                      <pic:pic xmlns:pic="http://schemas.openxmlformats.org/drawingml/2006/picture">
                        <pic:nvPicPr>
                          <pic:cNvPr id="5" name="Picture_1_SpCnt_29"/>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6985" cy="0"/>
                  <wp:effectExtent l="0" t="0" r="635" b="1270"/>
                  <wp:wrapNone/>
                  <wp:docPr id="15" name="Picture_1_SpCnt_30"/>
                  <wp:cNvGraphicFramePr/>
                  <a:graphic xmlns:a="http://schemas.openxmlformats.org/drawingml/2006/main">
                    <a:graphicData uri="http://schemas.openxmlformats.org/drawingml/2006/picture">
                      <pic:pic xmlns:pic="http://schemas.openxmlformats.org/drawingml/2006/picture">
                        <pic:nvPicPr>
                          <pic:cNvPr id="15" name="Picture_1_SpCnt_30"/>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6985" cy="0"/>
                  <wp:effectExtent l="0" t="0" r="635" b="1270"/>
                  <wp:wrapNone/>
                  <wp:docPr id="6" name="Picture_1_SpCnt_31"/>
                  <wp:cNvGraphicFramePr/>
                  <a:graphic xmlns:a="http://schemas.openxmlformats.org/drawingml/2006/main">
                    <a:graphicData uri="http://schemas.openxmlformats.org/drawingml/2006/picture">
                      <pic:pic xmlns:pic="http://schemas.openxmlformats.org/drawingml/2006/picture">
                        <pic:nvPicPr>
                          <pic:cNvPr id="6" name="Picture_1_SpCnt_31"/>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br w:type="textWrapping"/>
            </w:r>
            <w:r>
              <w:rPr>
                <w:rFonts w:hint="eastAsia"/>
                <w:color w:val="000000"/>
                <w:sz w:val="20"/>
                <w:szCs w:val="20"/>
              </w:rPr>
              <w:t>1、音箱类型不低于同轴两分频音箱；</w:t>
            </w:r>
            <w:r>
              <w:rPr>
                <w:rFonts w:hint="eastAsia"/>
                <w:color w:val="000000"/>
                <w:sz w:val="20"/>
                <w:szCs w:val="20"/>
              </w:rPr>
              <w:br w:type="textWrapping"/>
            </w:r>
            <w:r>
              <w:rPr>
                <w:rFonts w:hint="eastAsia"/>
                <w:color w:val="000000"/>
                <w:sz w:val="20"/>
                <w:szCs w:val="20"/>
              </w:rPr>
              <w:t>2、频率响应下限不高于70Hz上限不低于20KHz</w:t>
            </w:r>
            <w:r>
              <w:rPr>
                <w:rFonts w:hint="eastAsia"/>
                <w:color w:val="000000"/>
                <w:sz w:val="20"/>
                <w:szCs w:val="20"/>
              </w:rPr>
              <w:br w:type="textWrapping"/>
            </w:r>
            <w:r>
              <w:rPr>
                <w:rFonts w:hint="eastAsia"/>
                <w:color w:val="000000"/>
                <w:sz w:val="20"/>
                <w:szCs w:val="20"/>
              </w:rPr>
              <w:t>3、灵敏度不小于99dB ；</w:t>
            </w:r>
            <w:r>
              <w:rPr>
                <w:rFonts w:hint="eastAsia"/>
                <w:color w:val="000000"/>
                <w:sz w:val="20"/>
                <w:szCs w:val="20"/>
              </w:rPr>
              <w:br w:type="textWrapping"/>
            </w:r>
            <w:r>
              <w:rPr>
                <w:rFonts w:hint="eastAsia"/>
                <w:color w:val="000000"/>
                <w:sz w:val="20"/>
                <w:szCs w:val="20"/>
              </w:rPr>
              <w:t>4、连续声压级不小于119dB，峰值声压级不小于125dB；</w:t>
            </w:r>
            <w:r>
              <w:rPr>
                <w:rFonts w:hint="eastAsia"/>
                <w:color w:val="000000"/>
                <w:sz w:val="20"/>
                <w:szCs w:val="20"/>
              </w:rPr>
              <w:br w:type="textWrapping"/>
            </w:r>
            <w:r>
              <w:rPr>
                <w:rFonts w:hint="eastAsia"/>
                <w:color w:val="000000"/>
                <w:sz w:val="20"/>
                <w:szCs w:val="20"/>
              </w:rPr>
              <w:t>5、额定功率不小于180W；峰值功率不小于720W</w:t>
            </w:r>
            <w:r>
              <w:rPr>
                <w:rFonts w:hint="eastAsia"/>
                <w:color w:val="000000"/>
                <w:sz w:val="20"/>
                <w:szCs w:val="20"/>
              </w:rPr>
              <w:br w:type="textWrapping"/>
            </w:r>
            <w:r>
              <w:rPr>
                <w:rFonts w:hint="eastAsia"/>
                <w:color w:val="000000"/>
                <w:sz w:val="20"/>
                <w:szCs w:val="20"/>
              </w:rPr>
              <w:t>6、同轴低音单元不低于8寸，同轴高音单元不低于1寸；</w:t>
            </w:r>
            <w:r>
              <w:rPr>
                <w:rFonts w:hint="eastAsia"/>
                <w:color w:val="000000"/>
                <w:sz w:val="20"/>
                <w:szCs w:val="20"/>
              </w:rPr>
              <w:br w:type="textWrapping"/>
            </w:r>
            <w:r>
              <w:rPr>
                <w:rFonts w:hint="eastAsia"/>
                <w:color w:val="000000"/>
                <w:sz w:val="20"/>
                <w:szCs w:val="20"/>
              </w:rPr>
              <w:t>可扩展为有源带DSP处理音箱，扩展后有源音箱应具有2通道D类数字功率放大模块，具有多通道DSP处理模块选择，扩展后带DSP处理功率放大模块物理连接以及DSP处理软件应具有以下端口、标识及功能：</w:t>
            </w:r>
            <w:r>
              <w:rPr>
                <w:rFonts w:hint="eastAsia"/>
                <w:color w:val="000000"/>
                <w:sz w:val="20"/>
                <w:szCs w:val="20"/>
              </w:rPr>
              <w:br w:type="textWrapping"/>
            </w:r>
            <w:r>
              <w:rPr>
                <w:rFonts w:hint="eastAsia"/>
                <w:color w:val="000000"/>
                <w:sz w:val="20"/>
                <w:szCs w:val="20"/>
              </w:rPr>
              <w:t>（一）接线板满足</w:t>
            </w:r>
            <w:r>
              <w:rPr>
                <w:rFonts w:hint="eastAsia"/>
                <w:color w:val="000000"/>
                <w:sz w:val="20"/>
                <w:szCs w:val="20"/>
              </w:rPr>
              <w:br w:type="textWrapping"/>
            </w:r>
            <w:r>
              <w:rPr>
                <w:rFonts w:hint="eastAsia"/>
                <w:color w:val="000000"/>
                <w:sz w:val="20"/>
                <w:szCs w:val="20"/>
              </w:rPr>
              <w:t>1. 1个平衡式XLR卡侬音频输入端口、1个平衡式卡侬音频输出端口；</w:t>
            </w:r>
            <w:r>
              <w:rPr>
                <w:rFonts w:hint="eastAsia"/>
                <w:color w:val="000000"/>
                <w:sz w:val="20"/>
                <w:szCs w:val="20"/>
              </w:rPr>
              <w:br w:type="textWrapping"/>
            </w:r>
            <w:r>
              <w:rPr>
                <w:rFonts w:hint="eastAsia"/>
                <w:color w:val="000000"/>
                <w:sz w:val="20"/>
                <w:szCs w:val="20"/>
              </w:rPr>
              <w:t>2. 1个RS485/AES/EBU网络输入端口、1个RS485/AES/EBU网络输出端口（可通过1条网线1个RS485/AES/EBU端口同时传输对DSP处理的控制信号和数字音频信号）；</w:t>
            </w:r>
            <w:r>
              <w:rPr>
                <w:rFonts w:hint="eastAsia"/>
                <w:color w:val="000000"/>
                <w:sz w:val="20"/>
                <w:szCs w:val="20"/>
              </w:rPr>
              <w:br w:type="textWrapping"/>
            </w:r>
            <w:r>
              <w:rPr>
                <w:rFonts w:hint="eastAsia"/>
                <w:color w:val="000000"/>
                <w:sz w:val="20"/>
                <w:szCs w:val="20"/>
              </w:rPr>
              <w:t>3. 1个交流电源输入带锁止端口、1个交流电源输出带锁止端口；</w:t>
            </w:r>
            <w:r>
              <w:rPr>
                <w:rFonts w:hint="eastAsia"/>
                <w:color w:val="000000"/>
                <w:sz w:val="20"/>
                <w:szCs w:val="20"/>
              </w:rPr>
              <w:br w:type="textWrapping"/>
            </w:r>
            <w:r>
              <w:rPr>
                <w:rFonts w:hint="eastAsia"/>
                <w:color w:val="000000"/>
                <w:sz w:val="20"/>
                <w:szCs w:val="20"/>
              </w:rPr>
              <w:t>（二）扩展后带DSP处理功率放大模块软件具有以下功能：</w:t>
            </w:r>
            <w:r>
              <w:rPr>
                <w:rFonts w:hint="eastAsia"/>
                <w:color w:val="000000"/>
                <w:sz w:val="20"/>
                <w:szCs w:val="20"/>
              </w:rPr>
              <w:br w:type="textWrapping"/>
            </w:r>
            <w:r>
              <w:rPr>
                <w:rFonts w:hint="eastAsia"/>
                <w:color w:val="000000"/>
                <w:sz w:val="20"/>
                <w:szCs w:val="20"/>
              </w:rPr>
              <w:t>1、DSP处理软件带有简体中文、繁体中文、英文3种语言友好操作界面；</w:t>
            </w:r>
            <w:r>
              <w:rPr>
                <w:rFonts w:hint="eastAsia"/>
                <w:color w:val="000000"/>
                <w:sz w:val="20"/>
                <w:szCs w:val="20"/>
              </w:rPr>
              <w:br w:type="textWrapping"/>
            </w:r>
            <w:r>
              <w:rPr>
                <w:rFonts w:hint="eastAsia"/>
                <w:color w:val="000000"/>
                <w:sz w:val="20"/>
                <w:szCs w:val="20"/>
              </w:rPr>
              <w:t>2、可选择2进2出、2进4出、1进3出、4进8出、8进8出处理单元；</w:t>
            </w:r>
            <w:r>
              <w:rPr>
                <w:rFonts w:hint="eastAsia"/>
                <w:color w:val="000000"/>
                <w:sz w:val="20"/>
                <w:szCs w:val="20"/>
              </w:rPr>
              <w:br w:type="textWrapping"/>
            </w:r>
            <w:r>
              <w:rPr>
                <w:rFonts w:hint="eastAsia"/>
                <w:color w:val="000000"/>
                <w:sz w:val="20"/>
                <w:szCs w:val="20"/>
              </w:rPr>
              <w:t>3、选定的DSP处理单元可对输入、输出参数单独细化调节；</w:t>
            </w:r>
            <w:r>
              <w:rPr>
                <w:rFonts w:hint="eastAsia"/>
                <w:color w:val="000000"/>
                <w:sz w:val="20"/>
                <w:szCs w:val="20"/>
              </w:rPr>
              <w:br w:type="textWrapping"/>
            </w:r>
            <w:r>
              <w:rPr>
                <w:rFonts w:hint="eastAsia"/>
                <w:color w:val="000000"/>
                <w:sz w:val="20"/>
                <w:szCs w:val="20"/>
              </w:rPr>
              <w:t>4、输入模式可选择：模拟信号、数字信号、正弦波、粉红噪声、白噪声；</w:t>
            </w:r>
            <w:r>
              <w:rPr>
                <w:rFonts w:hint="eastAsia"/>
                <w:color w:val="000000"/>
                <w:sz w:val="20"/>
                <w:szCs w:val="20"/>
              </w:rPr>
              <w:br w:type="textWrapping"/>
            </w:r>
            <w:r>
              <w:rPr>
                <w:rFonts w:hint="eastAsia"/>
                <w:color w:val="000000"/>
                <w:sz w:val="20"/>
                <w:szCs w:val="20"/>
              </w:rPr>
              <w:t>5、DSP有30个用户存档，并可随用户设定任意一个存档为开机档；</w:t>
            </w:r>
            <w:r>
              <w:rPr>
                <w:rFonts w:hint="eastAsia"/>
                <w:color w:val="000000"/>
                <w:sz w:val="20"/>
                <w:szCs w:val="20"/>
              </w:rPr>
              <w:br w:type="textWrapping"/>
            </w:r>
            <w:r>
              <w:rPr>
                <w:rFonts w:hint="eastAsia"/>
                <w:color w:val="000000"/>
                <w:sz w:val="20"/>
                <w:szCs w:val="20"/>
              </w:rPr>
              <w:t>6、软件可切换网络版调节整个扩声系统有源DSP处理音箱，也可切换为单机版对单一音箱进行参数调节。</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4</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主功放</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highlight w:val="none"/>
              </w:rPr>
            </w:pPr>
            <w:r>
              <w:rPr>
                <w:rFonts w:hint="eastAsia"/>
                <w:color w:val="000000"/>
                <w:sz w:val="20"/>
                <w:szCs w:val="20"/>
              </w:rPr>
              <w:t>须确保扩声系统的兼容性、一致性以及售后便捷性。</w:t>
            </w:r>
            <w:r>
              <w:rPr>
                <w:rFonts w:hint="eastAsia"/>
                <w:color w:val="000000"/>
                <w:sz w:val="20"/>
                <w:szCs w:val="20"/>
              </w:rPr>
              <w:br w:type="textWrapping"/>
            </w:r>
            <w:r>
              <w:rPr>
                <w:rFonts w:hint="eastAsia"/>
                <w:color w:val="000000"/>
                <w:sz w:val="20"/>
                <w:szCs w:val="20"/>
              </w:rPr>
              <w:t>1、额定输出功率：8Ω立体声不小于350W×2，4Ω立体声不小于525W×2；</w:t>
            </w:r>
            <w:r>
              <w:rPr>
                <w:rFonts w:hint="eastAsia"/>
                <w:color w:val="000000"/>
                <w:sz w:val="20"/>
                <w:szCs w:val="20"/>
              </w:rPr>
              <w:br w:type="textWrapping"/>
            </w:r>
            <w:r>
              <w:rPr>
                <w:rFonts w:hint="eastAsia"/>
                <w:color w:val="000000"/>
                <w:sz w:val="20"/>
                <w:szCs w:val="20"/>
              </w:rPr>
              <w:t>2、信噪比不小于105dB；</w:t>
            </w:r>
            <w:r>
              <w:rPr>
                <w:rFonts w:hint="eastAsia"/>
                <w:color w:val="000000"/>
                <w:sz w:val="20"/>
                <w:szCs w:val="20"/>
              </w:rPr>
              <w:br w:type="textWrapping"/>
            </w:r>
            <w:r>
              <w:rPr>
                <w:rFonts w:hint="eastAsia"/>
                <w:color w:val="000000"/>
                <w:sz w:val="20"/>
                <w:szCs w:val="20"/>
              </w:rPr>
              <w:t>3、频率响应下限不高于20Hz，</w:t>
            </w:r>
            <w:r>
              <w:rPr>
                <w:rFonts w:hint="eastAsia"/>
                <w:color w:val="000000"/>
                <w:sz w:val="20"/>
                <w:szCs w:val="20"/>
                <w:highlight w:val="none"/>
              </w:rPr>
              <w:t>上限不低于20kHz；</w:t>
            </w:r>
            <w:r>
              <w:rPr>
                <w:rFonts w:hint="eastAsia"/>
                <w:color w:val="000000"/>
                <w:sz w:val="20"/>
                <w:szCs w:val="20"/>
                <w:highlight w:val="none"/>
              </w:rPr>
              <w:br w:type="textWrapping"/>
            </w:r>
            <w:r>
              <w:rPr>
                <w:rFonts w:hint="eastAsia"/>
                <w:color w:val="000000"/>
                <w:sz w:val="20"/>
                <w:szCs w:val="20"/>
                <w:highlight w:val="none"/>
              </w:rPr>
              <w:t>▲4、内置不小于6路220V电源时序输出插座；</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p>
          <w:p>
            <w:pPr>
              <w:textAlignment w:val="center"/>
              <w:rPr>
                <w:rFonts w:hint="eastAsia"/>
                <w:color w:val="000000"/>
                <w:sz w:val="20"/>
                <w:szCs w:val="20"/>
              </w:rPr>
            </w:pPr>
            <w:r>
              <w:rPr>
                <w:rFonts w:hint="eastAsia"/>
                <w:color w:val="000000"/>
                <w:sz w:val="20"/>
                <w:szCs w:val="20"/>
                <w:highlight w:val="none"/>
              </w:rPr>
              <w:t>5、解决其他音频设备供电需求；</w:t>
            </w:r>
            <w:r>
              <w:rPr>
                <w:rFonts w:hint="eastAsia"/>
                <w:color w:val="000000"/>
                <w:sz w:val="20"/>
                <w:szCs w:val="20"/>
                <w:highlight w:val="none"/>
              </w:rPr>
              <w:br w:type="textWrapping"/>
            </w:r>
            <w:r>
              <w:rPr>
                <w:rFonts w:hint="eastAsia"/>
                <w:color w:val="000000"/>
                <w:sz w:val="20"/>
                <w:szCs w:val="20"/>
                <w:highlight w:val="none"/>
              </w:rPr>
              <w:t>▲6、功放具有远程控制端口，支持有线和无线远程控制该功放和内置的不小于六路电源时序输出开关机；</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7、保护功能不少于短路、限幅、直流、过热、过载、软启动；</w:t>
            </w:r>
            <w:r>
              <w:rPr>
                <w:rFonts w:hint="eastAsia"/>
                <w:color w:val="000000"/>
                <w:sz w:val="20"/>
                <w:szCs w:val="20"/>
                <w:highlight w:val="none"/>
              </w:rPr>
              <w:br w:type="textWrapping"/>
            </w:r>
            <w:r>
              <w:rPr>
                <w:rFonts w:hint="eastAsia"/>
                <w:color w:val="000000"/>
                <w:sz w:val="20"/>
                <w:szCs w:val="20"/>
                <w:highlight w:val="none"/>
              </w:rPr>
              <w:t>8、LED指示不少于保护灯，限幅灯，信号指示灯，电源指示灯；</w:t>
            </w:r>
            <w:r>
              <w:rPr>
                <w:rFonts w:hint="eastAsia"/>
                <w:color w:val="000000"/>
                <w:sz w:val="20"/>
                <w:szCs w:val="20"/>
                <w:highlight w:val="none"/>
              </w:rPr>
              <w:br w:type="textWrapping"/>
            </w:r>
            <w:r>
              <w:rPr>
                <w:rFonts w:hint="eastAsia"/>
                <w:color w:val="000000"/>
                <w:sz w:val="20"/>
                <w:szCs w:val="20"/>
                <w:highlight w:val="none"/>
              </w:rPr>
              <w:t>★9、LCD显示不少于工作温度、日期、时间、工作电压；</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★10、不少于2个日期时间参数设置按钮。</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1</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吸顶音箱功放</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须确保扩声系统的兼容性、一致性以及售后便捷性。</w:t>
            </w:r>
            <w:r>
              <w:rPr>
                <w:rFonts w:hint="eastAsia"/>
                <w:color w:val="000000"/>
                <w:sz w:val="20"/>
                <w:szCs w:val="20"/>
              </w:rPr>
              <w:br w:type="textWrapping"/>
            </w:r>
            <w:r>
              <w:rPr>
                <w:rFonts w:hint="eastAsia"/>
                <w:color w:val="000000"/>
                <w:sz w:val="20"/>
                <w:szCs w:val="20"/>
              </w:rPr>
              <w:t>1、额定输出功率：8Ω立体声不小于200W×2，4Ω立体声不小于380W×2；</w:t>
            </w:r>
            <w:r>
              <w:rPr>
                <w:rFonts w:hint="eastAsia"/>
                <w:color w:val="000000"/>
                <w:sz w:val="20"/>
                <w:szCs w:val="20"/>
              </w:rPr>
              <w:br w:type="textWrapping"/>
            </w:r>
            <w:r>
              <w:rPr>
                <w:rFonts w:hint="eastAsia"/>
                <w:color w:val="000000"/>
                <w:sz w:val="20"/>
                <w:szCs w:val="20"/>
              </w:rPr>
              <w:t>2、信噪比不小于105dB；</w:t>
            </w:r>
            <w:r>
              <w:rPr>
                <w:rFonts w:hint="eastAsia"/>
                <w:color w:val="000000"/>
                <w:sz w:val="20"/>
                <w:szCs w:val="20"/>
              </w:rPr>
              <w:br w:type="textWrapping"/>
            </w:r>
            <w:r>
              <w:rPr>
                <w:rFonts w:hint="eastAsia"/>
                <w:color w:val="000000"/>
                <w:sz w:val="20"/>
                <w:szCs w:val="20"/>
              </w:rPr>
              <w:t>3、频率响应下限不高于20Hz，上限不低于20kHz；</w:t>
            </w:r>
            <w:r>
              <w:rPr>
                <w:rFonts w:hint="eastAsia"/>
                <w:color w:val="000000"/>
                <w:sz w:val="20"/>
                <w:szCs w:val="20"/>
              </w:rPr>
              <w:br w:type="textWrapping"/>
            </w:r>
            <w:r>
              <w:rPr>
                <w:rFonts w:hint="eastAsia"/>
                <w:color w:val="000000"/>
                <w:sz w:val="20"/>
                <w:szCs w:val="20"/>
              </w:rPr>
              <w:t>4、内置不小于6路220V电源时序输出插座；</w:t>
            </w:r>
            <w:r>
              <w:rPr>
                <w:rFonts w:hint="eastAsia"/>
                <w:color w:val="000000"/>
                <w:sz w:val="20"/>
                <w:szCs w:val="20"/>
              </w:rPr>
              <w:br w:type="textWrapping"/>
            </w:r>
            <w:r>
              <w:rPr>
                <w:rFonts w:hint="eastAsia"/>
                <w:color w:val="000000"/>
                <w:sz w:val="20"/>
                <w:szCs w:val="20"/>
              </w:rPr>
              <w:t>5、解决其他音频设备供电需求；</w:t>
            </w:r>
            <w:r>
              <w:rPr>
                <w:rFonts w:hint="eastAsia"/>
                <w:color w:val="000000"/>
                <w:sz w:val="20"/>
                <w:szCs w:val="20"/>
              </w:rPr>
              <w:br w:type="textWrapping"/>
            </w:r>
            <w:r>
              <w:rPr>
                <w:rFonts w:hint="eastAsia"/>
                <w:color w:val="000000"/>
                <w:sz w:val="20"/>
                <w:szCs w:val="20"/>
              </w:rPr>
              <w:t>6、功放具有远程控制端口，支持有线和无线远程控制该功放和内置的不小于六路电源时序输出开关机；</w:t>
            </w:r>
            <w:r>
              <w:rPr>
                <w:rFonts w:hint="eastAsia"/>
                <w:color w:val="000000"/>
                <w:sz w:val="20"/>
                <w:szCs w:val="20"/>
              </w:rPr>
              <w:br w:type="textWrapping"/>
            </w:r>
            <w:r>
              <w:rPr>
                <w:rFonts w:hint="eastAsia"/>
                <w:color w:val="000000"/>
                <w:sz w:val="20"/>
                <w:szCs w:val="20"/>
              </w:rPr>
              <w:t>7、保护功能不少于短路、限幅、直流、过热、过载、软启动；</w:t>
            </w:r>
            <w:r>
              <w:rPr>
                <w:rFonts w:hint="eastAsia"/>
                <w:color w:val="000000"/>
                <w:sz w:val="20"/>
                <w:szCs w:val="20"/>
              </w:rPr>
              <w:br w:type="textWrapping"/>
            </w:r>
            <w:r>
              <w:rPr>
                <w:rFonts w:hint="eastAsia"/>
                <w:color w:val="000000"/>
                <w:sz w:val="20"/>
                <w:szCs w:val="20"/>
              </w:rPr>
              <w:t>8、LED指示不少于保护灯，限幅灯，信号指示灯，电源指示灯；</w:t>
            </w:r>
            <w:r>
              <w:rPr>
                <w:rFonts w:hint="eastAsia"/>
                <w:color w:val="000000"/>
                <w:sz w:val="20"/>
                <w:szCs w:val="20"/>
              </w:rPr>
              <w:br w:type="textWrapping"/>
            </w:r>
            <w:r>
              <w:rPr>
                <w:rFonts w:hint="eastAsia"/>
                <w:color w:val="000000"/>
                <w:sz w:val="20"/>
                <w:szCs w:val="20"/>
              </w:rPr>
              <w:t>9、LCD显示不少于工作温度、日期、时间、工作电压；</w:t>
            </w:r>
            <w:r>
              <w:rPr>
                <w:rFonts w:hint="eastAsia"/>
                <w:color w:val="000000"/>
                <w:sz w:val="20"/>
                <w:szCs w:val="20"/>
              </w:rPr>
              <w:br w:type="textWrapping"/>
            </w:r>
            <w:r>
              <w:rPr>
                <w:rFonts w:hint="eastAsia"/>
                <w:color w:val="000000"/>
                <w:sz w:val="20"/>
                <w:szCs w:val="20"/>
              </w:rPr>
              <w:t>10、不少于2个日期时间参数设置按钮。</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1</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辅助功放</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须确保扩声系统的兼容性、一致性以及售后便捷性。</w:t>
            </w:r>
            <w:r>
              <w:rPr>
                <w:rFonts w:hint="eastAsia"/>
                <w:color w:val="000000"/>
                <w:sz w:val="20"/>
                <w:szCs w:val="20"/>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6985" cy="0"/>
                  <wp:effectExtent l="0" t="0" r="635" b="1270"/>
                  <wp:wrapNone/>
                  <wp:docPr id="7" name="Picture_1_SpCnt_48"/>
                  <wp:cNvGraphicFramePr/>
                  <a:graphic xmlns:a="http://schemas.openxmlformats.org/drawingml/2006/main">
                    <a:graphicData uri="http://schemas.openxmlformats.org/drawingml/2006/picture">
                      <pic:pic xmlns:pic="http://schemas.openxmlformats.org/drawingml/2006/picture">
                        <pic:nvPicPr>
                          <pic:cNvPr id="7" name="Picture_1_SpCnt_48"/>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6985" cy="0"/>
                  <wp:effectExtent l="0" t="0" r="635" b="1270"/>
                  <wp:wrapNone/>
                  <wp:docPr id="10" name="Picture_1_SpCnt_49"/>
                  <wp:cNvGraphicFramePr/>
                  <a:graphic xmlns:a="http://schemas.openxmlformats.org/drawingml/2006/main">
                    <a:graphicData uri="http://schemas.openxmlformats.org/drawingml/2006/picture">
                      <pic:pic xmlns:pic="http://schemas.openxmlformats.org/drawingml/2006/picture">
                        <pic:nvPicPr>
                          <pic:cNvPr id="10" name="Picture_1_SpCnt_49"/>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6985" cy="0"/>
                  <wp:effectExtent l="0" t="0" r="635" b="1270"/>
                  <wp:wrapNone/>
                  <wp:docPr id="17" name="Picture_1_SpCnt_50"/>
                  <wp:cNvGraphicFramePr/>
                  <a:graphic xmlns:a="http://schemas.openxmlformats.org/drawingml/2006/main">
                    <a:graphicData uri="http://schemas.openxmlformats.org/drawingml/2006/picture">
                      <pic:pic xmlns:pic="http://schemas.openxmlformats.org/drawingml/2006/picture">
                        <pic:nvPicPr>
                          <pic:cNvPr id="17" name="Picture_1_SpCnt_50"/>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6985" cy="0"/>
                  <wp:effectExtent l="0" t="0" r="635" b="1270"/>
                  <wp:wrapNone/>
                  <wp:docPr id="4" name="Picture_1_SpCnt_51"/>
                  <wp:cNvGraphicFramePr/>
                  <a:graphic xmlns:a="http://schemas.openxmlformats.org/drawingml/2006/main">
                    <a:graphicData uri="http://schemas.openxmlformats.org/drawingml/2006/picture">
                      <pic:pic xmlns:pic="http://schemas.openxmlformats.org/drawingml/2006/picture">
                        <pic:nvPicPr>
                          <pic:cNvPr id="4" name="Picture_1_SpCnt_51"/>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6985" cy="0"/>
                  <wp:effectExtent l="0" t="0" r="635" b="1270"/>
                  <wp:wrapNone/>
                  <wp:docPr id="8" name="Picture_1_SpCnt_52"/>
                  <wp:cNvGraphicFramePr/>
                  <a:graphic xmlns:a="http://schemas.openxmlformats.org/drawingml/2006/main">
                    <a:graphicData uri="http://schemas.openxmlformats.org/drawingml/2006/picture">
                      <pic:pic xmlns:pic="http://schemas.openxmlformats.org/drawingml/2006/picture">
                        <pic:nvPicPr>
                          <pic:cNvPr id="8" name="Picture_1_SpCnt_52"/>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6985" cy="0"/>
                  <wp:effectExtent l="0" t="0" r="635" b="1270"/>
                  <wp:wrapNone/>
                  <wp:docPr id="11" name="Picture_1_SpCnt_53"/>
                  <wp:cNvGraphicFramePr/>
                  <a:graphic xmlns:a="http://schemas.openxmlformats.org/drawingml/2006/main">
                    <a:graphicData uri="http://schemas.openxmlformats.org/drawingml/2006/picture">
                      <pic:pic xmlns:pic="http://schemas.openxmlformats.org/drawingml/2006/picture">
                        <pic:nvPicPr>
                          <pic:cNvPr id="11" name="Picture_1_SpCnt_53"/>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6985" cy="0"/>
                  <wp:effectExtent l="0" t="0" r="635" b="1270"/>
                  <wp:wrapNone/>
                  <wp:docPr id="9" name="Picture_1_SpCnt_54"/>
                  <wp:cNvGraphicFramePr/>
                  <a:graphic xmlns:a="http://schemas.openxmlformats.org/drawingml/2006/main">
                    <a:graphicData uri="http://schemas.openxmlformats.org/drawingml/2006/picture">
                      <pic:pic xmlns:pic="http://schemas.openxmlformats.org/drawingml/2006/picture">
                        <pic:nvPicPr>
                          <pic:cNvPr id="9" name="Picture_1_SpCnt_54"/>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6985" cy="0"/>
                  <wp:effectExtent l="0" t="0" r="635" b="1270"/>
                  <wp:wrapNone/>
                  <wp:docPr id="12" name="Picture_1_SpCnt_55"/>
                  <wp:cNvGraphicFramePr/>
                  <a:graphic xmlns:a="http://schemas.openxmlformats.org/drawingml/2006/main">
                    <a:graphicData uri="http://schemas.openxmlformats.org/drawingml/2006/picture">
                      <pic:pic xmlns:pic="http://schemas.openxmlformats.org/drawingml/2006/picture">
                        <pic:nvPicPr>
                          <pic:cNvPr id="12" name="Picture_1_SpCnt_55"/>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6985" cy="0"/>
                  <wp:effectExtent l="0" t="0" r="635" b="1270"/>
                  <wp:wrapNone/>
                  <wp:docPr id="13" name="Picture_1_SpCnt_56"/>
                  <wp:cNvGraphicFramePr/>
                  <a:graphic xmlns:a="http://schemas.openxmlformats.org/drawingml/2006/main">
                    <a:graphicData uri="http://schemas.openxmlformats.org/drawingml/2006/picture">
                      <pic:pic xmlns:pic="http://schemas.openxmlformats.org/drawingml/2006/picture">
                        <pic:nvPicPr>
                          <pic:cNvPr id="13" name="Picture_1_SpCnt_56"/>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6985" cy="0"/>
                  <wp:effectExtent l="0" t="0" r="635" b="1270"/>
                  <wp:wrapNone/>
                  <wp:docPr id="14" name="Picture_1_SpCnt_57"/>
                  <wp:cNvGraphicFramePr/>
                  <a:graphic xmlns:a="http://schemas.openxmlformats.org/drawingml/2006/main">
                    <a:graphicData uri="http://schemas.openxmlformats.org/drawingml/2006/picture">
                      <pic:pic xmlns:pic="http://schemas.openxmlformats.org/drawingml/2006/picture">
                        <pic:nvPicPr>
                          <pic:cNvPr id="14" name="Picture_1_SpCnt_57"/>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6985" cy="0"/>
                  <wp:effectExtent l="0" t="0" r="635" b="1270"/>
                  <wp:wrapNone/>
                  <wp:docPr id="16" name="Picture_1_SpCnt_58"/>
                  <wp:cNvGraphicFramePr/>
                  <a:graphic xmlns:a="http://schemas.openxmlformats.org/drawingml/2006/main">
                    <a:graphicData uri="http://schemas.openxmlformats.org/drawingml/2006/picture">
                      <pic:pic xmlns:pic="http://schemas.openxmlformats.org/drawingml/2006/picture">
                        <pic:nvPicPr>
                          <pic:cNvPr id="16" name="Picture_1_SpCnt_58"/>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6985" cy="0"/>
                  <wp:effectExtent l="0" t="0" r="635" b="1270"/>
                  <wp:wrapNone/>
                  <wp:docPr id="2" name="Picture_1_SpCnt_59"/>
                  <wp:cNvGraphicFramePr/>
                  <a:graphic xmlns:a="http://schemas.openxmlformats.org/drawingml/2006/main">
                    <a:graphicData uri="http://schemas.openxmlformats.org/drawingml/2006/picture">
                      <pic:pic xmlns:pic="http://schemas.openxmlformats.org/drawingml/2006/picture">
                        <pic:nvPicPr>
                          <pic:cNvPr id="2" name="Picture_1_SpCnt_59"/>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6985" cy="0"/>
                  <wp:effectExtent l="0" t="0" r="635" b="1270"/>
                  <wp:wrapNone/>
                  <wp:docPr id="3" name="Picture_1_SpCnt_60"/>
                  <wp:cNvGraphicFramePr/>
                  <a:graphic xmlns:a="http://schemas.openxmlformats.org/drawingml/2006/main">
                    <a:graphicData uri="http://schemas.openxmlformats.org/drawingml/2006/picture">
                      <pic:pic xmlns:pic="http://schemas.openxmlformats.org/drawingml/2006/picture">
                        <pic:nvPicPr>
                          <pic:cNvPr id="3" name="Picture_1_SpCnt_60"/>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6985" cy="0"/>
                  <wp:effectExtent l="0" t="0" r="635" b="1270"/>
                  <wp:wrapNone/>
                  <wp:docPr id="32" name="Picture_1_SpCnt_61"/>
                  <wp:cNvGraphicFramePr/>
                  <a:graphic xmlns:a="http://schemas.openxmlformats.org/drawingml/2006/main">
                    <a:graphicData uri="http://schemas.openxmlformats.org/drawingml/2006/picture">
                      <pic:pic xmlns:pic="http://schemas.openxmlformats.org/drawingml/2006/picture">
                        <pic:nvPicPr>
                          <pic:cNvPr id="32" name="Picture_1_SpCnt_61"/>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6985" cy="0"/>
                  <wp:effectExtent l="0" t="0" r="635" b="1270"/>
                  <wp:wrapNone/>
                  <wp:docPr id="31" name="Picture_1_SpCnt_62"/>
                  <wp:cNvGraphicFramePr/>
                  <a:graphic xmlns:a="http://schemas.openxmlformats.org/drawingml/2006/main">
                    <a:graphicData uri="http://schemas.openxmlformats.org/drawingml/2006/picture">
                      <pic:pic xmlns:pic="http://schemas.openxmlformats.org/drawingml/2006/picture">
                        <pic:nvPicPr>
                          <pic:cNvPr id="31" name="Picture_1_SpCnt_62"/>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6985" cy="0"/>
                  <wp:effectExtent l="0" t="0" r="635" b="1270"/>
                  <wp:wrapNone/>
                  <wp:docPr id="33" name="Picture_1_SpCnt_63"/>
                  <wp:cNvGraphicFramePr/>
                  <a:graphic xmlns:a="http://schemas.openxmlformats.org/drawingml/2006/main">
                    <a:graphicData uri="http://schemas.openxmlformats.org/drawingml/2006/picture">
                      <pic:pic xmlns:pic="http://schemas.openxmlformats.org/drawingml/2006/picture">
                        <pic:nvPicPr>
                          <pic:cNvPr id="33" name="Picture_1_SpCnt_63"/>
                          <pic:cNvPicPr>
                            <a:picLocks noChangeArrowheads="1"/>
                          </pic:cNvPicPr>
                        </pic:nvPicPr>
                        <pic:blipFill>
                          <a:blip r:embed="rId12"/>
                          <a:srcRect/>
                          <a:stretch>
                            <a:fillRect/>
                          </a:stretch>
                        </pic:blipFill>
                        <pic:spPr>
                          <a:xfrm>
                            <a:off x="0" y="0"/>
                            <a:ext cx="6985" cy="0"/>
                          </a:xfrm>
                          <a:prstGeom prst="rect">
                            <a:avLst/>
                          </a:prstGeom>
                          <a:noFill/>
                          <a:ln w="9525">
                            <a:noFill/>
                            <a:miter lim="800000"/>
                            <a:headEnd/>
                            <a:tailEnd/>
                          </a:ln>
                        </pic:spPr>
                      </pic:pic>
                    </a:graphicData>
                  </a:graphic>
                </wp:anchor>
              </w:drawing>
            </w:r>
            <w:r>
              <w:rPr>
                <w:rFonts w:hint="eastAsia"/>
                <w:color w:val="000000"/>
                <w:sz w:val="20"/>
                <w:szCs w:val="20"/>
              </w:rPr>
              <w:br w:type="textWrapping"/>
            </w:r>
            <w:r>
              <w:rPr>
                <w:rFonts w:hint="eastAsia"/>
                <w:color w:val="000000"/>
                <w:sz w:val="20"/>
                <w:szCs w:val="20"/>
              </w:rPr>
              <w:t>1、额定输出功率：8Ω立体声不小于350W×2，4Ω立体声不小于525W×2；</w:t>
            </w:r>
            <w:r>
              <w:rPr>
                <w:rFonts w:hint="eastAsia"/>
                <w:color w:val="000000"/>
                <w:sz w:val="20"/>
                <w:szCs w:val="20"/>
              </w:rPr>
              <w:br w:type="textWrapping"/>
            </w:r>
            <w:r>
              <w:rPr>
                <w:rFonts w:hint="eastAsia"/>
                <w:color w:val="000000"/>
                <w:sz w:val="20"/>
                <w:szCs w:val="20"/>
              </w:rPr>
              <w:t>2、信噪比不小于105dB；</w:t>
            </w:r>
            <w:r>
              <w:rPr>
                <w:rFonts w:hint="eastAsia"/>
                <w:color w:val="000000"/>
                <w:sz w:val="20"/>
                <w:szCs w:val="20"/>
              </w:rPr>
              <w:br w:type="textWrapping"/>
            </w:r>
            <w:r>
              <w:rPr>
                <w:rFonts w:hint="eastAsia"/>
                <w:color w:val="000000"/>
                <w:sz w:val="20"/>
                <w:szCs w:val="20"/>
              </w:rPr>
              <w:t>3、频率响应下限不高于20Hz，上限不低于20kHz；</w:t>
            </w:r>
            <w:r>
              <w:rPr>
                <w:rFonts w:hint="eastAsia"/>
                <w:color w:val="000000"/>
                <w:sz w:val="20"/>
                <w:szCs w:val="20"/>
              </w:rPr>
              <w:br w:type="textWrapping"/>
            </w:r>
            <w:r>
              <w:rPr>
                <w:rFonts w:hint="eastAsia"/>
                <w:color w:val="000000"/>
                <w:sz w:val="20"/>
                <w:szCs w:val="20"/>
              </w:rPr>
              <w:t>4、内置不小于6路220V电源时序输出插座；</w:t>
            </w:r>
            <w:r>
              <w:rPr>
                <w:rFonts w:hint="eastAsia"/>
                <w:color w:val="000000"/>
                <w:sz w:val="20"/>
                <w:szCs w:val="20"/>
              </w:rPr>
              <w:br w:type="textWrapping"/>
            </w:r>
            <w:r>
              <w:rPr>
                <w:rFonts w:hint="eastAsia"/>
                <w:color w:val="000000"/>
                <w:sz w:val="20"/>
                <w:szCs w:val="20"/>
              </w:rPr>
              <w:t>5、解决其他音频设备供电需求；</w:t>
            </w:r>
            <w:r>
              <w:rPr>
                <w:rFonts w:hint="eastAsia"/>
                <w:color w:val="000000"/>
                <w:sz w:val="20"/>
                <w:szCs w:val="20"/>
              </w:rPr>
              <w:br w:type="textWrapping"/>
            </w:r>
            <w:r>
              <w:rPr>
                <w:rFonts w:hint="eastAsia"/>
                <w:color w:val="000000"/>
                <w:sz w:val="20"/>
                <w:szCs w:val="20"/>
              </w:rPr>
              <w:t>6、功放具有远程控制端口，支持有线和无线远程控制该功放和内置的不小于六路电源时序输出开关机；</w:t>
            </w:r>
            <w:r>
              <w:rPr>
                <w:rFonts w:hint="eastAsia"/>
                <w:color w:val="000000"/>
                <w:sz w:val="20"/>
                <w:szCs w:val="20"/>
              </w:rPr>
              <w:br w:type="textWrapping"/>
            </w:r>
            <w:r>
              <w:rPr>
                <w:rFonts w:hint="eastAsia"/>
                <w:color w:val="000000"/>
                <w:sz w:val="20"/>
                <w:szCs w:val="20"/>
              </w:rPr>
              <w:t>7、保护功能不少于短路、限幅、直流、过热、过载、软启动；</w:t>
            </w:r>
            <w:r>
              <w:rPr>
                <w:rFonts w:hint="eastAsia"/>
                <w:color w:val="000000"/>
                <w:sz w:val="20"/>
                <w:szCs w:val="20"/>
              </w:rPr>
              <w:br w:type="textWrapping"/>
            </w:r>
            <w:r>
              <w:rPr>
                <w:rFonts w:hint="eastAsia"/>
                <w:color w:val="000000"/>
                <w:sz w:val="20"/>
                <w:szCs w:val="20"/>
              </w:rPr>
              <w:t>8、LED指示不少于保护灯，限幅灯，信号指示灯，电源指示灯；</w:t>
            </w:r>
            <w:r>
              <w:rPr>
                <w:rFonts w:hint="eastAsia"/>
                <w:color w:val="000000"/>
                <w:sz w:val="20"/>
                <w:szCs w:val="20"/>
              </w:rPr>
              <w:br w:type="textWrapping"/>
            </w:r>
            <w:r>
              <w:rPr>
                <w:rFonts w:hint="eastAsia"/>
                <w:color w:val="000000"/>
                <w:sz w:val="20"/>
                <w:szCs w:val="20"/>
              </w:rPr>
              <w:t>9、LCD显示不少于工作温度、日期、时间、工作电压；</w:t>
            </w:r>
            <w:r>
              <w:rPr>
                <w:rFonts w:hint="eastAsia"/>
                <w:color w:val="000000"/>
                <w:sz w:val="20"/>
                <w:szCs w:val="20"/>
              </w:rPr>
              <w:br w:type="textWrapping"/>
            </w:r>
            <w:r>
              <w:rPr>
                <w:rFonts w:hint="eastAsia"/>
                <w:color w:val="000000"/>
                <w:sz w:val="20"/>
                <w:szCs w:val="20"/>
              </w:rPr>
              <w:t>10、不少于2个日期时间参数设置按钮。</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2</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数字音频矩阵处理器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 xml:space="preserve">1、通道：16路平衡式话筒\线路输入，采用凤凰端子；16路平衡式输出，采用凤凰端子；                </w:t>
            </w:r>
            <w:r>
              <w:rPr>
                <w:rFonts w:hint="eastAsia"/>
                <w:color w:val="000000"/>
                <w:sz w:val="20"/>
                <w:szCs w:val="20"/>
              </w:rPr>
              <w:br w:type="textWrapping"/>
            </w:r>
            <w:r>
              <w:rPr>
                <w:rFonts w:hint="eastAsia"/>
                <w:color w:val="000000"/>
                <w:sz w:val="20"/>
                <w:szCs w:val="20"/>
              </w:rPr>
              <w:t>2、48KHz采样；高速DSP处理芯片Ti 456MHz FLOPS DSP处理内核</w:t>
            </w:r>
            <w:r>
              <w:rPr>
                <w:rFonts w:hint="eastAsia"/>
                <w:color w:val="000000"/>
                <w:sz w:val="20"/>
                <w:szCs w:val="20"/>
              </w:rPr>
              <w:br w:type="textWrapping"/>
            </w:r>
            <w:r>
              <w:rPr>
                <w:rFonts w:hint="eastAsia"/>
                <w:color w:val="000000"/>
                <w:sz w:val="20"/>
                <w:szCs w:val="20"/>
              </w:rPr>
              <w:t xml:space="preserve">3、输入源：输入方式可切换平衡话筒或线路，采用凤凰插接口；                           </w:t>
            </w:r>
            <w:r>
              <w:rPr>
                <w:rFonts w:hint="eastAsia"/>
                <w:color w:val="000000"/>
                <w:sz w:val="20"/>
                <w:szCs w:val="20"/>
              </w:rPr>
              <w:br w:type="textWrapping"/>
            </w:r>
            <w:r>
              <w:rPr>
                <w:rFonts w:hint="eastAsia"/>
                <w:color w:val="000000"/>
                <w:sz w:val="20"/>
                <w:szCs w:val="20"/>
              </w:rPr>
              <w:t>4、功能特点：通道拷贝、粘贴、联控功能；</w:t>
            </w:r>
            <w:r>
              <w:rPr>
                <w:rFonts w:hint="eastAsia"/>
                <w:color w:val="000000"/>
                <w:sz w:val="20"/>
                <w:szCs w:val="20"/>
              </w:rPr>
              <w:br w:type="textWrapping"/>
            </w:r>
            <w:r>
              <w:rPr>
                <w:rFonts w:hint="eastAsia"/>
                <w:color w:val="000000"/>
                <w:sz w:val="20"/>
                <w:szCs w:val="20"/>
              </w:rPr>
              <w:t>5、DSP音频处理</w:t>
            </w:r>
            <w:r>
              <w:rPr>
                <w:rFonts w:hint="eastAsia"/>
                <w:color w:val="000000"/>
                <w:sz w:val="20"/>
                <w:szCs w:val="20"/>
              </w:rPr>
              <w:br w:type="textWrapping"/>
            </w:r>
            <w:r>
              <w:rPr>
                <w:rFonts w:hint="eastAsia"/>
                <w:color w:val="000000"/>
                <w:sz w:val="20"/>
                <w:szCs w:val="20"/>
              </w:rPr>
              <w:t xml:space="preserve">输入每通道：前级放大、信号发生器、扩展器、压缩器、5段参量均衡、反相、自动增益、AM自动混音功能、AFC自适应反馈消除；                                                                 </w:t>
            </w:r>
            <w:r>
              <w:rPr>
                <w:rFonts w:hint="eastAsia"/>
                <w:color w:val="000000"/>
                <w:sz w:val="20"/>
                <w:szCs w:val="20"/>
              </w:rPr>
              <w:br w:type="textWrapping"/>
            </w:r>
            <w:r>
              <w:rPr>
                <w:rFonts w:hint="eastAsia"/>
                <w:color w:val="000000"/>
                <w:sz w:val="20"/>
                <w:szCs w:val="20"/>
              </w:rPr>
              <w:t>输出每通道：音箱管理器（31段图示均衡器、延时器、分频器、限幅器、反相）；</w:t>
            </w:r>
            <w:r>
              <w:rPr>
                <w:rFonts w:hint="eastAsia"/>
                <w:color w:val="000000"/>
                <w:sz w:val="20"/>
                <w:szCs w:val="20"/>
              </w:rPr>
              <w:br w:type="textWrapping"/>
            </w:r>
            <w:r>
              <w:rPr>
                <w:rFonts w:hint="eastAsia"/>
                <w:color w:val="000000"/>
                <w:sz w:val="20"/>
                <w:szCs w:val="20"/>
              </w:rPr>
              <w:t xml:space="preserve">6、兼容多方平台控制管理，支持windows系统、iOS系统（iPAD、Iphone)以及Andriod系统； </w:t>
            </w:r>
            <w:r>
              <w:rPr>
                <w:rFonts w:hint="eastAsia"/>
                <w:color w:val="000000"/>
                <w:sz w:val="20"/>
                <w:szCs w:val="20"/>
              </w:rPr>
              <w:br w:type="textWrapping"/>
            </w:r>
            <w:r>
              <w:rPr>
                <w:rFonts w:hint="eastAsia"/>
                <w:color w:val="000000"/>
                <w:sz w:val="20"/>
                <w:szCs w:val="20"/>
              </w:rPr>
              <w:t>7、Enternet多用途数据传输及控制端口，可以支持实时管理单台及多台设备；</w:t>
            </w:r>
            <w:r>
              <w:rPr>
                <w:rFonts w:hint="eastAsia"/>
                <w:color w:val="000000"/>
                <w:sz w:val="20"/>
                <w:szCs w:val="20"/>
              </w:rPr>
              <w:br w:type="textWrapping"/>
            </w:r>
            <w:r>
              <w:rPr>
                <w:rFonts w:hint="eastAsia"/>
                <w:color w:val="000000"/>
                <w:sz w:val="20"/>
                <w:szCs w:val="20"/>
              </w:rPr>
              <w:t xml:space="preserve">8、直观形象、简洁易懂的图形化软件控制界面，为客户带来快捷、实时的操作体验；       </w:t>
            </w:r>
            <w:r>
              <w:rPr>
                <w:rFonts w:hint="eastAsia"/>
                <w:color w:val="000000"/>
                <w:sz w:val="20"/>
                <w:szCs w:val="20"/>
              </w:rPr>
              <w:br w:type="textWrapping"/>
            </w:r>
            <w:r>
              <w:rPr>
                <w:rFonts w:hint="eastAsia"/>
                <w:color w:val="000000"/>
                <w:sz w:val="20"/>
                <w:szCs w:val="20"/>
              </w:rPr>
              <w:t xml:space="preserve">9、设备无需光盘，自带安装软件，一台设备对于一个软件版本，解决因为安装光盘丢失以及多个软件版本混乱引起的烦恼；                      </w:t>
            </w:r>
            <w:r>
              <w:rPr>
                <w:rFonts w:hint="eastAsia"/>
                <w:color w:val="000000"/>
                <w:sz w:val="20"/>
                <w:szCs w:val="20"/>
              </w:rPr>
              <w:br w:type="textWrapping"/>
            </w:r>
            <w:r>
              <w:rPr>
                <w:rFonts w:hint="eastAsia"/>
                <w:color w:val="000000"/>
                <w:sz w:val="20"/>
                <w:szCs w:val="20"/>
              </w:rPr>
              <w:t>10、可扩展USB接口，不仅可以实现设备升级功能，还可以实现USB录音与播音的功能；</w:t>
            </w:r>
            <w:r>
              <w:rPr>
                <w:rFonts w:hint="eastAsia"/>
                <w:color w:val="000000"/>
                <w:sz w:val="20"/>
                <w:szCs w:val="20"/>
              </w:rPr>
              <w:br w:type="textWrapping"/>
            </w:r>
            <w:r>
              <w:rPr>
                <w:rFonts w:hint="eastAsia"/>
                <w:color w:val="000000"/>
                <w:sz w:val="20"/>
                <w:szCs w:val="20"/>
              </w:rPr>
              <w:t xml:space="preserve">11、全功能矩阵混音功能，不单单是混音和自动混音功能，还具备混音分量控制功能；       </w:t>
            </w:r>
            <w:r>
              <w:rPr>
                <w:rFonts w:hint="eastAsia"/>
                <w:color w:val="000000"/>
                <w:sz w:val="20"/>
                <w:szCs w:val="20"/>
              </w:rPr>
              <w:br w:type="textWrapping"/>
            </w:r>
            <w:r>
              <w:rPr>
                <w:rFonts w:hint="eastAsia"/>
                <w:color w:val="000000"/>
                <w:sz w:val="20"/>
                <w:szCs w:val="20"/>
              </w:rPr>
              <w:t>12、内置自动摄像跟踪功能；</w:t>
            </w:r>
            <w:r>
              <w:rPr>
                <w:rFonts w:hint="eastAsia"/>
                <w:color w:val="000000"/>
                <w:sz w:val="20"/>
                <w:szCs w:val="20"/>
              </w:rPr>
              <w:br w:type="textWrapping"/>
            </w:r>
            <w:r>
              <w:rPr>
                <w:rFonts w:hint="eastAsia"/>
                <w:color w:val="000000"/>
                <w:sz w:val="20"/>
                <w:szCs w:val="20"/>
              </w:rPr>
              <w:t>13、配置双向RS232接口、RS485接口、标准以太网控制接口、8通道可编程GPIO控制接口（可自定义输入输出）；</w:t>
            </w:r>
            <w:r>
              <w:rPr>
                <w:rFonts w:hint="eastAsia"/>
                <w:color w:val="000000"/>
                <w:sz w:val="20"/>
                <w:szCs w:val="20"/>
              </w:rPr>
              <w:br w:type="textWrapping"/>
            </w:r>
            <w:r>
              <w:rPr>
                <w:rFonts w:hint="eastAsia"/>
                <w:color w:val="000000"/>
                <w:sz w:val="20"/>
                <w:szCs w:val="20"/>
              </w:rPr>
              <w:t>14、支持平板界面操作控制；</w:t>
            </w:r>
            <w:r>
              <w:rPr>
                <w:rFonts w:hint="eastAsia"/>
                <w:color w:val="000000"/>
                <w:sz w:val="20"/>
                <w:szCs w:val="20"/>
              </w:rPr>
              <w:br w:type="textWrapping"/>
            </w:r>
            <w:r>
              <w:rPr>
                <w:rFonts w:hint="eastAsia"/>
                <w:color w:val="000000"/>
                <w:sz w:val="20"/>
                <w:szCs w:val="20"/>
              </w:rPr>
              <w:t>15、支持8~100组场景预设功能。</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反馈抑制器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1、每个通道均带有一个多功能按键，可一键完成反馈抑制；</w:t>
            </w:r>
            <w:r>
              <w:rPr>
                <w:rFonts w:hint="eastAsia"/>
                <w:color w:val="000000"/>
                <w:sz w:val="20"/>
                <w:szCs w:val="20"/>
              </w:rPr>
              <w:br w:type="textWrapping"/>
            </w:r>
            <w:r>
              <w:rPr>
                <w:rFonts w:hint="eastAsia"/>
                <w:color w:val="000000"/>
                <w:sz w:val="20"/>
                <w:szCs w:val="20"/>
              </w:rPr>
              <w:t>2、具有全自动搜索啸叫频点功能；</w:t>
            </w:r>
            <w:r>
              <w:rPr>
                <w:rFonts w:hint="eastAsia"/>
                <w:color w:val="000000"/>
                <w:sz w:val="20"/>
                <w:szCs w:val="20"/>
              </w:rPr>
              <w:br w:type="textWrapping"/>
            </w:r>
            <w:r>
              <w:rPr>
                <w:rFonts w:hint="eastAsia"/>
                <w:color w:val="000000"/>
                <w:sz w:val="20"/>
                <w:szCs w:val="20"/>
              </w:rPr>
              <w:t>3、各通道都配有不少于24个可编程的滤波器；</w:t>
            </w:r>
            <w:r>
              <w:rPr>
                <w:rFonts w:hint="eastAsia"/>
                <w:color w:val="000000"/>
                <w:sz w:val="20"/>
                <w:szCs w:val="20"/>
              </w:rPr>
              <w:br w:type="textWrapping"/>
            </w:r>
            <w:r>
              <w:rPr>
                <w:rFonts w:hint="eastAsia"/>
                <w:color w:val="000000"/>
                <w:sz w:val="20"/>
                <w:szCs w:val="20"/>
              </w:rPr>
              <w:t>4、两个独立的通道处理；</w:t>
            </w:r>
            <w:r>
              <w:rPr>
                <w:rFonts w:hint="eastAsia"/>
                <w:color w:val="000000"/>
                <w:sz w:val="20"/>
                <w:szCs w:val="20"/>
              </w:rPr>
              <w:br w:type="textWrapping"/>
            </w:r>
            <w:r>
              <w:rPr>
                <w:rFonts w:hint="eastAsia"/>
                <w:color w:val="000000"/>
                <w:sz w:val="20"/>
                <w:szCs w:val="20"/>
              </w:rPr>
              <w:t>5、具有预设模式和动态模式两种工作模式；</w:t>
            </w:r>
            <w:r>
              <w:rPr>
                <w:rFonts w:hint="eastAsia"/>
                <w:color w:val="000000"/>
                <w:sz w:val="20"/>
                <w:szCs w:val="20"/>
              </w:rPr>
              <w:br w:type="textWrapping"/>
            </w:r>
            <w:r>
              <w:rPr>
                <w:rFonts w:hint="eastAsia"/>
                <w:color w:val="000000"/>
                <w:sz w:val="20"/>
                <w:szCs w:val="20"/>
              </w:rPr>
              <w:t>6、具有语音和音乐两种滤波模式选择；</w:t>
            </w:r>
            <w:r>
              <w:rPr>
                <w:rFonts w:hint="eastAsia"/>
                <w:color w:val="000000"/>
                <w:sz w:val="20"/>
                <w:szCs w:val="20"/>
              </w:rPr>
              <w:br w:type="textWrapping"/>
            </w:r>
            <w:r>
              <w:rPr>
                <w:rFonts w:hint="eastAsia"/>
                <w:color w:val="000000"/>
                <w:sz w:val="20"/>
                <w:szCs w:val="20"/>
              </w:rPr>
              <w:t>7、每个通道具有24个LED显示滤波器状态；</w:t>
            </w:r>
            <w:r>
              <w:rPr>
                <w:rFonts w:hint="eastAsia"/>
                <w:color w:val="000000"/>
                <w:sz w:val="20"/>
                <w:szCs w:val="20"/>
              </w:rPr>
              <w:br w:type="textWrapping"/>
            </w:r>
            <w:r>
              <w:rPr>
                <w:rFonts w:hint="eastAsia"/>
                <w:color w:val="000000"/>
                <w:sz w:val="20"/>
                <w:szCs w:val="20"/>
              </w:rPr>
              <w:t>8、后板上有状态锁定开关；</w:t>
            </w:r>
            <w:r>
              <w:rPr>
                <w:rFonts w:hint="eastAsia"/>
                <w:color w:val="000000"/>
                <w:sz w:val="20"/>
                <w:szCs w:val="20"/>
              </w:rPr>
              <w:br w:type="textWrapping"/>
            </w:r>
            <w:r>
              <w:rPr>
                <w:rFonts w:hint="eastAsia"/>
                <w:color w:val="000000"/>
                <w:sz w:val="20"/>
                <w:szCs w:val="20"/>
              </w:rPr>
              <w:t>9、模拟输入接口不小于2*平衡式，不小于 2*非平衡式；</w:t>
            </w:r>
            <w:r>
              <w:rPr>
                <w:rFonts w:hint="eastAsia"/>
                <w:color w:val="000000"/>
                <w:sz w:val="20"/>
                <w:szCs w:val="20"/>
              </w:rPr>
              <w:br w:type="textWrapping"/>
            </w:r>
            <w:r>
              <w:rPr>
                <w:rFonts w:hint="eastAsia"/>
                <w:color w:val="000000"/>
                <w:sz w:val="20"/>
                <w:szCs w:val="20"/>
              </w:rPr>
              <w:t>10、模拟输出接口不小于2*平衡式，不小于2*非平衡式。</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电源时序器</w:t>
            </w:r>
          </w:p>
        </w:tc>
        <w:tc>
          <w:tcPr>
            <w:tcW w:w="5340" w:type="dxa"/>
            <w:tcBorders>
              <w:top w:val="single" w:color="000000" w:sz="4" w:space="0"/>
              <w:left w:val="single" w:color="000000" w:sz="4" w:space="0"/>
              <w:bottom w:val="single" w:color="000000" w:sz="4" w:space="0"/>
              <w:right w:val="single" w:color="000000" w:sz="4" w:space="0"/>
            </w:tcBorders>
            <w:vAlign w:val="center"/>
          </w:tcPr>
          <w:p>
            <w:pPr>
              <w:numPr>
                <w:ilvl w:val="0"/>
                <w:numId w:val="15"/>
              </w:numPr>
              <w:textAlignment w:val="center"/>
              <w:rPr>
                <w:rFonts w:hint="eastAsia"/>
                <w:color w:val="000000"/>
                <w:sz w:val="20"/>
                <w:szCs w:val="20"/>
                <w:highlight w:val="none"/>
              </w:rPr>
            </w:pPr>
            <w:r>
              <w:rPr>
                <w:rFonts w:hint="eastAsia"/>
                <w:color w:val="000000"/>
                <w:sz w:val="20"/>
                <w:szCs w:val="20"/>
                <w:highlight w:val="none"/>
              </w:rPr>
              <w:t>单路额定输出电流不小于30A；</w:t>
            </w:r>
            <w:r>
              <w:rPr>
                <w:rFonts w:hint="eastAsia"/>
                <w:color w:val="000000"/>
                <w:sz w:val="20"/>
                <w:szCs w:val="20"/>
                <w:highlight w:val="none"/>
              </w:rPr>
              <w:br w:type="textWrapping"/>
            </w:r>
            <w:r>
              <w:rPr>
                <w:rFonts w:hint="eastAsia"/>
                <w:color w:val="000000"/>
                <w:sz w:val="20"/>
                <w:szCs w:val="20"/>
                <w:highlight w:val="none"/>
              </w:rPr>
              <w:t>2、可控制电源不小于8路；</w:t>
            </w:r>
            <w:r>
              <w:rPr>
                <w:rFonts w:hint="eastAsia"/>
                <w:color w:val="000000"/>
                <w:sz w:val="20"/>
                <w:szCs w:val="20"/>
                <w:highlight w:val="none"/>
              </w:rPr>
              <w:br w:type="textWrapping"/>
            </w:r>
            <w:r>
              <w:rPr>
                <w:rFonts w:hint="eastAsia"/>
                <w:color w:val="000000"/>
                <w:sz w:val="20"/>
                <w:szCs w:val="20"/>
                <w:highlight w:val="none"/>
              </w:rPr>
              <w:t>★3、不可控制电源：前面板带不少于4路直通多功能电源插口；</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p>
          <w:p>
            <w:pPr>
              <w:numPr>
                <w:ilvl w:val="0"/>
                <w:numId w:val="0"/>
              </w:numPr>
              <w:textAlignment w:val="center"/>
              <w:rPr>
                <w:rFonts w:hint="eastAsia"/>
                <w:color w:val="000000"/>
                <w:sz w:val="20"/>
                <w:szCs w:val="20"/>
                <w:highlight w:val="none"/>
              </w:rPr>
            </w:pPr>
            <w:r>
              <w:rPr>
                <w:rFonts w:hint="eastAsia"/>
                <w:color w:val="000000"/>
                <w:sz w:val="20"/>
                <w:szCs w:val="20"/>
                <w:highlight w:val="none"/>
              </w:rPr>
              <w:t>★4、USB电源:前面板带不少于2路USB端口，可输出不小于5V直流供工作灯用以及手机、平板充电；</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5、每路动作延时时间不小于1秒；</w:t>
            </w:r>
            <w:r>
              <w:rPr>
                <w:rFonts w:hint="eastAsia"/>
                <w:color w:val="000000"/>
                <w:sz w:val="20"/>
                <w:szCs w:val="20"/>
                <w:highlight w:val="none"/>
              </w:rPr>
              <w:br w:type="textWrapping"/>
            </w:r>
            <w:r>
              <w:rPr>
                <w:rFonts w:hint="eastAsia"/>
                <w:color w:val="000000"/>
                <w:sz w:val="20"/>
                <w:szCs w:val="20"/>
                <w:highlight w:val="none"/>
              </w:rPr>
              <w:t>★6、控制端口：机器后面板具有不少于1路RS-232通讯端口，通过本端口可通过电脑软件控制设备开关；不少于2个网络级联控制端口（LINK IN、LINK OUT），实现多台设备级联控制；不少于1路Remote switch远程控制端口，可与本品牌中音频矩阵处理器及其他设备联动通讯，实现有线和无线远程控制该电源时序器开关机；</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7、电压显示：前面板具有不少于1个输出电压显示屏；</w:t>
            </w:r>
            <w:r>
              <w:rPr>
                <w:rFonts w:hint="eastAsia"/>
                <w:color w:val="000000"/>
                <w:sz w:val="20"/>
                <w:szCs w:val="20"/>
                <w:highlight w:val="none"/>
              </w:rPr>
              <w:br w:type="textWrapping"/>
            </w:r>
            <w:r>
              <w:rPr>
                <w:rFonts w:hint="eastAsia"/>
                <w:color w:val="000000"/>
                <w:sz w:val="20"/>
                <w:szCs w:val="20"/>
                <w:highlight w:val="none"/>
              </w:rPr>
              <w:t>8、中控接口不少于1路RS-232接口，可接受中控控制；</w:t>
            </w:r>
            <w:r>
              <w:rPr>
                <w:rFonts w:hint="eastAsia"/>
                <w:color w:val="000000"/>
                <w:sz w:val="20"/>
                <w:szCs w:val="20"/>
                <w:highlight w:val="none"/>
              </w:rPr>
              <w:br w:type="textWrapping"/>
            </w:r>
            <w:r>
              <w:rPr>
                <w:rFonts w:hint="eastAsia"/>
                <w:color w:val="000000"/>
                <w:sz w:val="20"/>
                <w:szCs w:val="20"/>
                <w:highlight w:val="none"/>
              </w:rPr>
              <w:t>9、内部电源分配连接：采用非跳线的PCB板全触点焊接连接方式，避免跳线连接带来的接触不稳定；</w:t>
            </w:r>
            <w:r>
              <w:rPr>
                <w:rFonts w:hint="eastAsia"/>
                <w:color w:val="000000"/>
                <w:sz w:val="20"/>
                <w:szCs w:val="20"/>
                <w:highlight w:val="none"/>
              </w:rPr>
              <w:br w:type="textWrapping"/>
            </w:r>
            <w:r>
              <w:rPr>
                <w:rFonts w:hint="eastAsia"/>
                <w:color w:val="000000"/>
                <w:sz w:val="20"/>
                <w:szCs w:val="20"/>
                <w:highlight w:val="none"/>
              </w:rPr>
              <w:t>10、每路输出带电源指示工作灯。</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调音台</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1、16输入通道，8单声道 4立体声。</w:t>
            </w:r>
            <w:r>
              <w:rPr>
                <w:rFonts w:hint="eastAsia"/>
                <w:color w:val="000000"/>
                <w:sz w:val="20"/>
                <w:szCs w:val="20"/>
              </w:rPr>
              <w:br w:type="textWrapping"/>
            </w:r>
            <w:r>
              <w:rPr>
                <w:rFonts w:hint="eastAsia"/>
                <w:color w:val="000000"/>
                <w:sz w:val="20"/>
                <w:szCs w:val="20"/>
              </w:rPr>
              <w:t>2、10个高性能话筒放大器带幻象电源开关。</w:t>
            </w:r>
            <w:r>
              <w:rPr>
                <w:rFonts w:hint="eastAsia"/>
                <w:color w:val="000000"/>
                <w:sz w:val="20"/>
                <w:szCs w:val="20"/>
              </w:rPr>
              <w:br w:type="textWrapping"/>
            </w:r>
            <w:r>
              <w:rPr>
                <w:rFonts w:hint="eastAsia"/>
                <w:color w:val="000000"/>
                <w:sz w:val="20"/>
                <w:szCs w:val="20"/>
              </w:rPr>
              <w:t>3、通道内置通道压缩器。</w:t>
            </w:r>
            <w:r>
              <w:rPr>
                <w:rFonts w:hint="eastAsia"/>
                <w:color w:val="000000"/>
                <w:sz w:val="20"/>
                <w:szCs w:val="20"/>
              </w:rPr>
              <w:br w:type="textWrapping"/>
            </w:r>
            <w:r>
              <w:rPr>
                <w:rFonts w:hint="eastAsia"/>
                <w:color w:val="000000"/>
                <w:sz w:val="20"/>
                <w:szCs w:val="20"/>
              </w:rPr>
              <w:t>4、所有话筒输入均配置三段式通道均衡器和HPF。</w:t>
            </w:r>
            <w:r>
              <w:rPr>
                <w:rFonts w:hint="eastAsia"/>
                <w:color w:val="000000"/>
                <w:sz w:val="20"/>
                <w:szCs w:val="20"/>
              </w:rPr>
              <w:br w:type="textWrapping"/>
            </w:r>
            <w:r>
              <w:rPr>
                <w:rFonts w:hint="eastAsia"/>
                <w:color w:val="000000"/>
                <w:sz w:val="20"/>
                <w:szCs w:val="20"/>
              </w:rPr>
              <w:t>5、7母线(3辅助、4遍组)。</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无线手持话筒（一拖二）</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1、频道组数： 双频道</w:t>
            </w:r>
            <w:r>
              <w:rPr>
                <w:rFonts w:hint="eastAsia"/>
                <w:color w:val="000000"/>
                <w:sz w:val="20"/>
                <w:szCs w:val="20"/>
              </w:rPr>
              <w:br w:type="textWrapping"/>
            </w:r>
            <w:r>
              <w:rPr>
                <w:rFonts w:hint="eastAsia"/>
                <w:color w:val="000000"/>
                <w:sz w:val="20"/>
                <w:szCs w:val="20"/>
              </w:rPr>
              <w:t>2、通信频段： 640~690MHz</w:t>
            </w:r>
            <w:r>
              <w:rPr>
                <w:rFonts w:hint="eastAsia"/>
                <w:color w:val="000000"/>
                <w:sz w:val="20"/>
                <w:szCs w:val="20"/>
              </w:rPr>
              <w:br w:type="textWrapping"/>
            </w:r>
            <w:r>
              <w:rPr>
                <w:rFonts w:hint="eastAsia"/>
                <w:color w:val="000000"/>
                <w:sz w:val="20"/>
                <w:szCs w:val="20"/>
              </w:rPr>
              <w:t>3、面板显示： LCD液晶显示可同时显示RF/AF信号强度、工作频率</w:t>
            </w:r>
            <w:r>
              <w:rPr>
                <w:rFonts w:hint="eastAsia"/>
                <w:color w:val="000000"/>
                <w:sz w:val="20"/>
                <w:szCs w:val="20"/>
              </w:rPr>
              <w:br w:type="textWrapping"/>
            </w:r>
            <w:r>
              <w:rPr>
                <w:rFonts w:hint="eastAsia"/>
                <w:color w:val="000000"/>
                <w:sz w:val="20"/>
                <w:szCs w:val="20"/>
              </w:rPr>
              <w:t>4、震荡模式： DPLL相位锁定频率合成</w:t>
            </w:r>
            <w:r>
              <w:rPr>
                <w:rFonts w:hint="eastAsia"/>
                <w:color w:val="000000"/>
                <w:sz w:val="20"/>
                <w:szCs w:val="20"/>
              </w:rPr>
              <w:br w:type="textWrapping"/>
            </w:r>
            <w:r>
              <w:rPr>
                <w:rFonts w:hint="eastAsia"/>
                <w:color w:val="000000"/>
                <w:sz w:val="20"/>
                <w:szCs w:val="20"/>
              </w:rPr>
              <w:t>5、频率间隔： 250KHz</w:t>
            </w:r>
            <w:r>
              <w:rPr>
                <w:rFonts w:hint="eastAsia"/>
                <w:color w:val="000000"/>
                <w:sz w:val="20"/>
                <w:szCs w:val="20"/>
              </w:rPr>
              <w:br w:type="textWrapping"/>
            </w:r>
            <w:r>
              <w:rPr>
                <w:rFonts w:hint="eastAsia"/>
                <w:color w:val="000000"/>
                <w:sz w:val="20"/>
                <w:szCs w:val="20"/>
              </w:rPr>
              <w:t>6、可切换频率数： 30组/每个信道</w:t>
            </w:r>
            <w:r>
              <w:rPr>
                <w:rFonts w:hint="eastAsia"/>
                <w:color w:val="000000"/>
                <w:sz w:val="20"/>
                <w:szCs w:val="20"/>
              </w:rPr>
              <w:br w:type="textWrapping"/>
            </w:r>
            <w:r>
              <w:rPr>
                <w:rFonts w:hint="eastAsia"/>
                <w:color w:val="000000"/>
                <w:sz w:val="20"/>
                <w:szCs w:val="20"/>
              </w:rPr>
              <w:t>7、灵敏度： 在偏移度等于40KHz，输入6dBμV时，S/N&gt;80dB</w:t>
            </w:r>
            <w:r>
              <w:rPr>
                <w:rFonts w:hint="eastAsia"/>
                <w:color w:val="000000"/>
                <w:sz w:val="20"/>
                <w:szCs w:val="20"/>
              </w:rPr>
              <w:br w:type="textWrapping"/>
            </w:r>
            <w:r>
              <w:rPr>
                <w:rFonts w:hint="eastAsia"/>
                <w:color w:val="000000"/>
                <w:sz w:val="20"/>
                <w:szCs w:val="20"/>
              </w:rPr>
              <w:t>8、综合S/N比： ＜0.3%@1KHz</w:t>
            </w:r>
            <w:r>
              <w:rPr>
                <w:rFonts w:hint="eastAsia"/>
                <w:color w:val="000000"/>
                <w:sz w:val="20"/>
                <w:szCs w:val="20"/>
              </w:rPr>
              <w:br w:type="textWrapping"/>
            </w:r>
            <w:r>
              <w:rPr>
                <w:rFonts w:hint="eastAsia"/>
                <w:color w:val="000000"/>
                <w:sz w:val="20"/>
                <w:szCs w:val="20"/>
              </w:rPr>
              <w:t>9、信噪比(S/N) &gt; 80dB</w:t>
            </w:r>
            <w:r>
              <w:rPr>
                <w:rFonts w:hint="eastAsia"/>
                <w:color w:val="000000"/>
                <w:sz w:val="20"/>
                <w:szCs w:val="20"/>
              </w:rPr>
              <w:br w:type="textWrapping"/>
            </w:r>
            <w:r>
              <w:rPr>
                <w:rFonts w:hint="eastAsia"/>
                <w:color w:val="000000"/>
                <w:sz w:val="20"/>
                <w:szCs w:val="20"/>
              </w:rPr>
              <w:t>10、输出接口： XLR平衡式口独立输出及Φ6.3不平衡式口混合输出</w:t>
            </w:r>
            <w:r>
              <w:rPr>
                <w:rFonts w:hint="eastAsia"/>
                <w:color w:val="000000"/>
                <w:sz w:val="20"/>
                <w:szCs w:val="20"/>
              </w:rPr>
              <w:br w:type="textWrapping"/>
            </w:r>
            <w:r>
              <w:rPr>
                <w:rFonts w:hint="eastAsia"/>
                <w:color w:val="000000"/>
                <w:sz w:val="20"/>
                <w:szCs w:val="20"/>
              </w:rPr>
              <w:t>11、手持拾音方式： 动圈</w:t>
            </w:r>
            <w:r>
              <w:rPr>
                <w:rFonts w:hint="eastAsia"/>
                <w:color w:val="000000"/>
                <w:sz w:val="20"/>
                <w:szCs w:val="20"/>
              </w:rPr>
              <w:br w:type="textWrapping"/>
            </w:r>
            <w:r>
              <w:rPr>
                <w:rFonts w:hint="eastAsia"/>
                <w:color w:val="000000"/>
                <w:sz w:val="20"/>
                <w:szCs w:val="20"/>
              </w:rPr>
              <w:t>12、输出调整 电平可随意调整</w:t>
            </w:r>
            <w:r>
              <w:rPr>
                <w:rFonts w:hint="eastAsia"/>
                <w:color w:val="000000"/>
                <w:sz w:val="20"/>
                <w:szCs w:val="20"/>
              </w:rPr>
              <w:br w:type="textWrapping"/>
            </w:r>
            <w:r>
              <w:rPr>
                <w:rFonts w:hint="eastAsia"/>
                <w:color w:val="000000"/>
                <w:sz w:val="20"/>
                <w:szCs w:val="20"/>
              </w:rPr>
              <w:t>13、无阻通信距离 约50米</w:t>
            </w:r>
            <w:r>
              <w:rPr>
                <w:rFonts w:hint="eastAsia"/>
                <w:color w:val="000000"/>
                <w:sz w:val="20"/>
                <w:szCs w:val="20"/>
              </w:rPr>
              <w:br w:type="textWrapping"/>
            </w:r>
            <w:r>
              <w:rPr>
                <w:rFonts w:hint="eastAsia"/>
                <w:color w:val="000000"/>
                <w:sz w:val="20"/>
                <w:szCs w:val="20"/>
              </w:rPr>
              <w:t>14、DC电源供应 0.5-0.8A/ DC: 12-15V</w:t>
            </w:r>
            <w:r>
              <w:rPr>
                <w:rFonts w:hint="eastAsia"/>
                <w:color w:val="000000"/>
                <w:sz w:val="20"/>
                <w:szCs w:val="20"/>
              </w:rPr>
              <w:br w:type="textWrapping"/>
            </w:r>
            <w:r>
              <w:rPr>
                <w:rFonts w:hint="eastAsia"/>
                <w:color w:val="000000"/>
                <w:sz w:val="20"/>
                <w:szCs w:val="20"/>
              </w:rPr>
              <w:t>15、发射工作模式 2个AA碱性电池</w:t>
            </w:r>
            <w:r>
              <w:rPr>
                <w:rFonts w:hint="eastAsia"/>
                <w:color w:val="000000"/>
                <w:sz w:val="20"/>
                <w:szCs w:val="20"/>
              </w:rPr>
              <w:br w:type="textWrapping"/>
            </w:r>
            <w:r>
              <w:rPr>
                <w:rFonts w:hint="eastAsia"/>
                <w:color w:val="000000"/>
                <w:sz w:val="20"/>
                <w:szCs w:val="20"/>
              </w:rPr>
              <w:t>16、规格尺寸 1U机箱设计</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无线鹅颈话筒（一拖四）</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接收机</w:t>
            </w:r>
            <w:r>
              <w:rPr>
                <w:rFonts w:hint="eastAsia"/>
                <w:color w:val="000000"/>
                <w:sz w:val="20"/>
                <w:szCs w:val="20"/>
              </w:rPr>
              <w:br w:type="textWrapping"/>
            </w:r>
            <w:r>
              <w:rPr>
                <w:rFonts w:hint="eastAsia"/>
                <w:color w:val="000000"/>
                <w:sz w:val="20"/>
                <w:szCs w:val="20"/>
              </w:rPr>
              <w:t>载波频率：550-980MHz(可调）</w:t>
            </w:r>
            <w:r>
              <w:rPr>
                <w:rFonts w:hint="eastAsia"/>
                <w:color w:val="000000"/>
                <w:sz w:val="20"/>
                <w:szCs w:val="20"/>
              </w:rPr>
              <w:br w:type="textWrapping"/>
            </w:r>
            <w:r>
              <w:rPr>
                <w:rFonts w:hint="eastAsia"/>
                <w:color w:val="000000"/>
                <w:sz w:val="20"/>
                <w:szCs w:val="20"/>
              </w:rPr>
              <w:t>电源适配器使用电压：AC110V-230V 50Hz/60Hz（请按机壳和电源适配器标注使用）</w:t>
            </w:r>
            <w:r>
              <w:rPr>
                <w:rFonts w:hint="eastAsia"/>
                <w:color w:val="000000"/>
                <w:sz w:val="20"/>
                <w:szCs w:val="20"/>
              </w:rPr>
              <w:br w:type="textWrapping"/>
            </w:r>
            <w:r>
              <w:rPr>
                <w:rFonts w:hint="eastAsia"/>
                <w:color w:val="000000"/>
                <w:sz w:val="20"/>
                <w:szCs w:val="20"/>
              </w:rPr>
              <w:t>直流输入电压：DC12—DC15V 1500mA</w:t>
            </w:r>
            <w:r>
              <w:rPr>
                <w:rFonts w:hint="eastAsia"/>
                <w:color w:val="000000"/>
                <w:sz w:val="20"/>
                <w:szCs w:val="20"/>
              </w:rPr>
              <w:br w:type="textWrapping"/>
            </w:r>
            <w:r>
              <w:rPr>
                <w:rFonts w:hint="eastAsia"/>
                <w:color w:val="000000"/>
                <w:sz w:val="20"/>
                <w:szCs w:val="20"/>
              </w:rPr>
              <w:t>消耗功率：13W</w:t>
            </w:r>
            <w:r>
              <w:rPr>
                <w:rFonts w:hint="eastAsia"/>
                <w:color w:val="000000"/>
                <w:sz w:val="20"/>
                <w:szCs w:val="20"/>
              </w:rPr>
              <w:br w:type="textWrapping"/>
            </w:r>
            <w:r>
              <w:rPr>
                <w:rFonts w:hint="eastAsia"/>
                <w:color w:val="000000"/>
                <w:sz w:val="20"/>
                <w:szCs w:val="20"/>
              </w:rPr>
              <w:t>S/N信噪比：≥95dB</w:t>
            </w:r>
            <w:r>
              <w:rPr>
                <w:rFonts w:hint="eastAsia"/>
                <w:color w:val="000000"/>
                <w:sz w:val="20"/>
                <w:szCs w:val="20"/>
              </w:rPr>
              <w:br w:type="textWrapping"/>
            </w:r>
            <w:r>
              <w:rPr>
                <w:rFonts w:hint="eastAsia"/>
                <w:color w:val="000000"/>
                <w:sz w:val="20"/>
                <w:szCs w:val="20"/>
              </w:rPr>
              <w:t>T.H.D失真：＜0.5%</w:t>
            </w:r>
            <w:r>
              <w:rPr>
                <w:rFonts w:hint="eastAsia"/>
                <w:color w:val="000000"/>
                <w:sz w:val="20"/>
                <w:szCs w:val="20"/>
              </w:rPr>
              <w:br w:type="textWrapping"/>
            </w:r>
            <w:r>
              <w:rPr>
                <w:rFonts w:hint="eastAsia"/>
                <w:color w:val="000000"/>
                <w:sz w:val="20"/>
                <w:szCs w:val="20"/>
              </w:rPr>
              <w:t>频率响应：60Hz -16KHz</w:t>
            </w:r>
            <w:r>
              <w:rPr>
                <w:rFonts w:hint="eastAsia"/>
                <w:color w:val="000000"/>
                <w:sz w:val="20"/>
                <w:szCs w:val="20"/>
              </w:rPr>
              <w:br w:type="textWrapping"/>
            </w:r>
            <w:r>
              <w:rPr>
                <w:rFonts w:hint="eastAsia"/>
                <w:color w:val="000000"/>
                <w:sz w:val="20"/>
                <w:szCs w:val="20"/>
              </w:rPr>
              <w:t>发射机</w:t>
            </w:r>
            <w:r>
              <w:rPr>
                <w:rFonts w:hint="eastAsia"/>
                <w:color w:val="000000"/>
                <w:sz w:val="20"/>
                <w:szCs w:val="20"/>
              </w:rPr>
              <w:br w:type="textWrapping"/>
            </w:r>
            <w:r>
              <w:rPr>
                <w:rFonts w:hint="eastAsia"/>
                <w:color w:val="000000"/>
                <w:sz w:val="20"/>
                <w:szCs w:val="20"/>
              </w:rPr>
              <w:t>载波频率：550-980MHz（可调）</w:t>
            </w:r>
            <w:r>
              <w:rPr>
                <w:rFonts w:hint="eastAsia"/>
                <w:color w:val="000000"/>
                <w:sz w:val="20"/>
                <w:szCs w:val="20"/>
              </w:rPr>
              <w:br w:type="textWrapping"/>
            </w:r>
            <w:r>
              <w:rPr>
                <w:rFonts w:hint="eastAsia"/>
                <w:color w:val="000000"/>
                <w:sz w:val="20"/>
                <w:szCs w:val="20"/>
              </w:rPr>
              <w:t>发射功率：10dBm</w:t>
            </w:r>
            <w:r>
              <w:rPr>
                <w:rFonts w:hint="eastAsia"/>
                <w:color w:val="000000"/>
                <w:sz w:val="20"/>
                <w:szCs w:val="20"/>
              </w:rPr>
              <w:br w:type="textWrapping"/>
            </w:r>
            <w:r>
              <w:rPr>
                <w:rFonts w:hint="eastAsia"/>
                <w:color w:val="000000"/>
                <w:sz w:val="20"/>
                <w:szCs w:val="20"/>
              </w:rPr>
              <w:t>输入音频调制信号选择：MIC IN电容咪输入（内供电）LINE IN音频线路输入</w:t>
            </w:r>
            <w:r>
              <w:rPr>
                <w:rFonts w:hint="eastAsia"/>
                <w:color w:val="000000"/>
                <w:sz w:val="20"/>
                <w:szCs w:val="20"/>
              </w:rPr>
              <w:br w:type="textWrapping"/>
            </w:r>
            <w:r>
              <w:rPr>
                <w:rFonts w:hint="eastAsia"/>
                <w:color w:val="000000"/>
                <w:sz w:val="20"/>
                <w:szCs w:val="20"/>
              </w:rPr>
              <w:t>调制方式：FM</w:t>
            </w:r>
            <w:r>
              <w:rPr>
                <w:rFonts w:hint="eastAsia"/>
                <w:color w:val="000000"/>
                <w:sz w:val="20"/>
                <w:szCs w:val="20"/>
              </w:rPr>
              <w:br w:type="textWrapping"/>
            </w:r>
            <w:r>
              <w:rPr>
                <w:rFonts w:hint="eastAsia"/>
                <w:color w:val="000000"/>
                <w:sz w:val="20"/>
                <w:szCs w:val="20"/>
              </w:rPr>
              <w:t>最大调制度：±45KHz</w:t>
            </w:r>
            <w:r>
              <w:rPr>
                <w:rFonts w:hint="eastAsia"/>
                <w:color w:val="000000"/>
                <w:sz w:val="20"/>
                <w:szCs w:val="20"/>
              </w:rPr>
              <w:br w:type="textWrapping"/>
            </w:r>
            <w:r>
              <w:rPr>
                <w:rFonts w:hint="eastAsia"/>
                <w:color w:val="000000"/>
                <w:sz w:val="20"/>
                <w:szCs w:val="20"/>
              </w:rPr>
              <w:t>高次谐波：低于主波基准60dB以上</w:t>
            </w:r>
            <w:r>
              <w:rPr>
                <w:rFonts w:hint="eastAsia"/>
                <w:color w:val="000000"/>
                <w:sz w:val="20"/>
                <w:szCs w:val="20"/>
              </w:rPr>
              <w:br w:type="textWrapping"/>
            </w:r>
            <w:r>
              <w:rPr>
                <w:rFonts w:hint="eastAsia"/>
                <w:color w:val="000000"/>
                <w:sz w:val="20"/>
                <w:szCs w:val="20"/>
              </w:rPr>
              <w:t>使用电池电压：3V（2节AA1.5V碱性电池或高容量AA1.2V-1800mAh充电电池）</w:t>
            </w:r>
            <w:r>
              <w:rPr>
                <w:rFonts w:hint="eastAsia"/>
                <w:color w:val="000000"/>
                <w:sz w:val="20"/>
                <w:szCs w:val="20"/>
              </w:rPr>
              <w:br w:type="textWrapping"/>
            </w:r>
            <w:r>
              <w:rPr>
                <w:rFonts w:hint="eastAsia"/>
                <w:color w:val="000000"/>
                <w:sz w:val="20"/>
                <w:szCs w:val="20"/>
              </w:rPr>
              <w:t>连续使用时间：8小时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3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天线放大器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 xml:space="preserve">载波频段范围：450-950MHz   </w:t>
            </w:r>
            <w:r>
              <w:rPr>
                <w:rFonts w:hint="eastAsia"/>
                <w:color w:val="000000"/>
                <w:sz w:val="20"/>
                <w:szCs w:val="20"/>
              </w:rPr>
              <w:br w:type="textWrapping"/>
            </w:r>
            <w:r>
              <w:rPr>
                <w:rFonts w:hint="eastAsia"/>
                <w:color w:val="000000"/>
                <w:sz w:val="20"/>
                <w:szCs w:val="20"/>
              </w:rPr>
              <w:t xml:space="preserve">增益：3dB </w:t>
            </w:r>
            <w:r>
              <w:rPr>
                <w:rFonts w:hint="eastAsia"/>
                <w:color w:val="000000"/>
                <w:sz w:val="20"/>
                <w:szCs w:val="20"/>
              </w:rPr>
              <w:br w:type="textWrapping"/>
            </w:r>
            <w:r>
              <w:rPr>
                <w:rFonts w:hint="eastAsia"/>
                <w:color w:val="000000"/>
                <w:sz w:val="20"/>
                <w:szCs w:val="20"/>
              </w:rPr>
              <w:t>输入阻抗：50Ω</w:t>
            </w:r>
            <w:r>
              <w:rPr>
                <w:rFonts w:hint="eastAsia"/>
                <w:color w:val="000000"/>
                <w:sz w:val="20"/>
                <w:szCs w:val="20"/>
              </w:rPr>
              <w:br w:type="textWrapping"/>
            </w:r>
            <w:r>
              <w:rPr>
                <w:rFonts w:hint="eastAsia"/>
                <w:color w:val="000000"/>
                <w:sz w:val="20"/>
                <w:szCs w:val="20"/>
              </w:rPr>
              <w:t>输出阻抗：50Ω</w:t>
            </w:r>
            <w:r>
              <w:rPr>
                <w:rFonts w:hint="eastAsia"/>
                <w:color w:val="000000"/>
                <w:sz w:val="20"/>
                <w:szCs w:val="20"/>
              </w:rPr>
              <w:br w:type="textWrapping"/>
            </w:r>
            <w:r>
              <w:rPr>
                <w:rFonts w:hint="eastAsia"/>
                <w:color w:val="000000"/>
                <w:sz w:val="20"/>
                <w:szCs w:val="20"/>
              </w:rPr>
              <w:t xml:space="preserve">输入电压：90-260   </w:t>
            </w:r>
            <w:r>
              <w:rPr>
                <w:rFonts w:hint="eastAsia"/>
                <w:color w:val="000000"/>
                <w:sz w:val="20"/>
                <w:szCs w:val="20"/>
              </w:rPr>
              <w:br w:type="textWrapping"/>
            </w:r>
            <w:r>
              <w:rPr>
                <w:rFonts w:hint="eastAsia"/>
                <w:color w:val="000000"/>
                <w:sz w:val="20"/>
                <w:szCs w:val="20"/>
              </w:rPr>
              <w:t xml:space="preserve">输出电压：12-18V/3000mA  </w:t>
            </w:r>
            <w:r>
              <w:rPr>
                <w:rFonts w:hint="eastAsia"/>
                <w:color w:val="000000"/>
                <w:sz w:val="20"/>
                <w:szCs w:val="20"/>
              </w:rPr>
              <w:br w:type="textWrapping"/>
            </w:r>
            <w:r>
              <w:rPr>
                <w:rFonts w:hint="eastAsia"/>
                <w:color w:val="000000"/>
                <w:sz w:val="20"/>
                <w:szCs w:val="20"/>
              </w:rPr>
              <w:t>主机尺寸：485（宽）×165（深）×45（高）mm</w:t>
            </w:r>
            <w:r>
              <w:rPr>
                <w:rFonts w:hint="eastAsia"/>
                <w:color w:val="000000"/>
                <w:sz w:val="20"/>
                <w:szCs w:val="20"/>
              </w:rPr>
              <w:br w:type="textWrapping"/>
            </w:r>
            <w:r>
              <w:rPr>
                <w:rFonts w:hint="eastAsia"/>
                <w:color w:val="000000"/>
                <w:sz w:val="20"/>
                <w:szCs w:val="20"/>
              </w:rPr>
              <w:t xml:space="preserve">重量：1.9kg   </w:t>
            </w:r>
            <w:r>
              <w:rPr>
                <w:rFonts w:hint="eastAsia"/>
                <w:color w:val="000000"/>
                <w:sz w:val="20"/>
                <w:szCs w:val="20"/>
              </w:rPr>
              <w:br w:type="textWrapping"/>
            </w:r>
            <w:r>
              <w:rPr>
                <w:rFonts w:hint="eastAsia"/>
                <w:color w:val="000000"/>
                <w:sz w:val="20"/>
                <w:szCs w:val="20"/>
              </w:rPr>
              <w:t>U-500F天线技术参数：</w:t>
            </w:r>
            <w:r>
              <w:rPr>
                <w:rFonts w:hint="eastAsia"/>
                <w:color w:val="000000"/>
                <w:sz w:val="20"/>
                <w:szCs w:val="20"/>
              </w:rPr>
              <w:br w:type="textWrapping"/>
            </w:r>
            <w:r>
              <w:rPr>
                <w:rFonts w:hint="eastAsia"/>
                <w:color w:val="000000"/>
                <w:sz w:val="20"/>
                <w:szCs w:val="20"/>
              </w:rPr>
              <w:t xml:space="preserve">载波频段范围：450-950MHz </w:t>
            </w:r>
            <w:r>
              <w:rPr>
                <w:rFonts w:hint="eastAsia"/>
                <w:color w:val="000000"/>
                <w:sz w:val="20"/>
                <w:szCs w:val="20"/>
              </w:rPr>
              <w:br w:type="textWrapping"/>
            </w:r>
            <w:r>
              <w:rPr>
                <w:rFonts w:hint="eastAsia"/>
                <w:color w:val="000000"/>
                <w:sz w:val="20"/>
                <w:szCs w:val="20"/>
              </w:rPr>
              <w:t>驻波比率：&lt;1.3dB</w:t>
            </w:r>
            <w:r>
              <w:rPr>
                <w:rFonts w:hint="eastAsia"/>
                <w:color w:val="000000"/>
                <w:sz w:val="20"/>
                <w:szCs w:val="20"/>
              </w:rPr>
              <w:br w:type="textWrapping"/>
            </w:r>
            <w:r>
              <w:rPr>
                <w:rFonts w:hint="eastAsia"/>
                <w:color w:val="000000"/>
                <w:sz w:val="20"/>
                <w:szCs w:val="20"/>
              </w:rPr>
              <w:t>增益:7dB</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2.3、桌面液晶升降系统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桌面液晶升降器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1、一体机单屏显示，内屏21.5英寸，物理分辨率：1920*1080，显示比例：16:9，显示屏视角：IPS全视角；</w:t>
            </w:r>
            <w:r>
              <w:rPr>
                <w:rFonts w:hint="eastAsia"/>
                <w:color w:val="000000"/>
                <w:sz w:val="20"/>
                <w:szCs w:val="20"/>
              </w:rPr>
              <w:br w:type="textWrapping"/>
            </w:r>
            <w:r>
              <w:rPr>
                <w:rFonts w:hint="eastAsia"/>
                <w:color w:val="000000"/>
                <w:sz w:val="20"/>
                <w:szCs w:val="20"/>
              </w:rPr>
              <w:t>2、双净音滑轨，配合齿轮咬合升降，多点平衡升降系统稳定可靠，升降噪声极小；</w:t>
            </w:r>
            <w:r>
              <w:rPr>
                <w:rFonts w:hint="eastAsia"/>
                <w:color w:val="000000"/>
                <w:sz w:val="20"/>
                <w:szCs w:val="20"/>
              </w:rPr>
              <w:br w:type="textWrapping"/>
            </w:r>
            <w:r>
              <w:rPr>
                <w:rFonts w:hint="eastAsia"/>
                <w:color w:val="000000"/>
                <w:sz w:val="20"/>
                <w:szCs w:val="20"/>
              </w:rPr>
              <w:t>3、显示屏整体尺寸：长477毫米、高417毫米，</w:t>
            </w:r>
            <w:r>
              <w:rPr>
                <w:rFonts w:hint="eastAsia"/>
                <w:color w:val="000000"/>
                <w:sz w:val="20"/>
                <w:szCs w:val="20"/>
              </w:rPr>
              <w:br w:type="textWrapping"/>
            </w:r>
            <w:r>
              <w:rPr>
                <w:rFonts w:hint="eastAsia"/>
                <w:color w:val="000000"/>
                <w:sz w:val="20"/>
                <w:szCs w:val="20"/>
              </w:rPr>
              <w:t>4、材质：全铝合金外壳，工艺：喷砂，颜色：银色；</w:t>
            </w:r>
            <w:r>
              <w:rPr>
                <w:rFonts w:hint="eastAsia"/>
                <w:color w:val="000000"/>
                <w:sz w:val="20"/>
                <w:szCs w:val="20"/>
              </w:rPr>
              <w:br w:type="textWrapping"/>
            </w:r>
            <w:r>
              <w:rPr>
                <w:rFonts w:hint="eastAsia"/>
                <w:color w:val="000000"/>
                <w:sz w:val="20"/>
                <w:szCs w:val="20"/>
              </w:rPr>
              <w:t xml:space="preserve">5、面板具备控制按键包括：上升、暂停、下降，开关、USB等按键；                                                                                                       6、具备HDMI与VGA信号同时输入时，显示屏优先显示HDMI输入信号，并具备信号循环切换功能；                                                                                                                                                                  </w:t>
            </w:r>
            <w:r>
              <w:rPr>
                <w:rFonts w:hint="eastAsia"/>
                <w:color w:val="000000"/>
                <w:sz w:val="20"/>
                <w:szCs w:val="20"/>
              </w:rPr>
              <w:br w:type="textWrapping"/>
            </w:r>
            <w:r>
              <w:rPr>
                <w:rFonts w:hint="eastAsia"/>
                <w:color w:val="000000"/>
                <w:sz w:val="20"/>
                <w:szCs w:val="20"/>
              </w:rPr>
              <w:t>7、显示屏具备自动仰角14度，保证显示器最佳观看视角与角度；</w:t>
            </w:r>
            <w:r>
              <w:rPr>
                <w:rFonts w:hint="eastAsia"/>
                <w:color w:val="000000"/>
                <w:sz w:val="20"/>
                <w:szCs w:val="20"/>
              </w:rPr>
              <w:br w:type="textWrapping"/>
            </w:r>
            <w:r>
              <w:rPr>
                <w:rFonts w:hint="eastAsia"/>
                <w:color w:val="000000"/>
                <w:sz w:val="20"/>
                <w:szCs w:val="20"/>
              </w:rPr>
              <w:t>8、升降器面板，长585MM宽73MM厚5MM，</w:t>
            </w:r>
            <w:r>
              <w:rPr>
                <w:rFonts w:hint="eastAsia"/>
                <w:color w:val="000000"/>
                <w:sz w:val="20"/>
                <w:szCs w:val="20"/>
              </w:rPr>
              <w:br w:type="textWrapping"/>
            </w:r>
            <w:r>
              <w:rPr>
                <w:rFonts w:hint="eastAsia"/>
                <w:color w:val="000000"/>
                <w:sz w:val="20"/>
                <w:szCs w:val="20"/>
              </w:rPr>
              <w:t xml:space="preserve">9、升降器控制方式具备手拉手232控制、遥控控制、手动控制。                                                                                                                                                                                    </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多媒体操作终端</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I7/16G/1T机械+128G固态/4G显卡/Win10/无线鼠键</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2.4、分布式系统</w:t>
            </w:r>
          </w:p>
        </w:tc>
      </w:tr>
      <w:tr>
        <w:tblPrEx>
          <w:tblCellMar>
            <w:top w:w="0" w:type="dxa"/>
            <w:left w:w="108" w:type="dxa"/>
            <w:bottom w:w="0" w:type="dxa"/>
            <w:right w:w="108" w:type="dxa"/>
          </w:tblCellMar>
        </w:tblPrEx>
        <w:trPr>
          <w:trHeight w:val="3915"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分布式音视频输入节点-4K</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★1、采用完全分布式架构设计，无需配置服务器即可构建无服务器的去中</w:t>
            </w:r>
            <w:r>
              <w:rPr>
                <w:rFonts w:hint="eastAsia"/>
                <w:color w:val="000000"/>
                <w:sz w:val="20"/>
                <w:szCs w:val="20"/>
                <w:highlight w:val="none"/>
              </w:rPr>
              <w:t>心化分布式音视频综合管控网络，采用自主知识产权国产芯片。</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★2、节点支持分辨率3840*2160@60Hz；视频采集编码向下兼容其他分辨率。支持H.265视频编解码，码率2M-30M可调节，支持4:2:0、4:2:2、4:4:4逐行或隔行视频的编码和解码。</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3、实现PAD端KVM操作，可反控操作电脑主机，支持鼠标移动和点击进行信号源电脑的播放暂停等控制，即通过PAD端的分布式软件对信号源进行反向操作和控制。</w:t>
            </w:r>
            <w:r>
              <w:rPr>
                <w:rFonts w:hint="eastAsia"/>
                <w:color w:val="000000"/>
                <w:sz w:val="20"/>
                <w:szCs w:val="20"/>
                <w:highlight w:val="none"/>
              </w:rPr>
              <w:br w:type="textWrapping"/>
            </w:r>
            <w:r>
              <w:rPr>
                <w:rFonts w:hint="eastAsia"/>
                <w:color w:val="000000"/>
                <w:sz w:val="20"/>
                <w:szCs w:val="20"/>
                <w:highlight w:val="none"/>
              </w:rPr>
              <w:t>4、每个节点单元均采用强大性能的逻辑处理芯片H.265数据流编解码芯片，保证系统运行的流畅性；</w:t>
            </w:r>
            <w:r>
              <w:rPr>
                <w:rFonts w:hint="eastAsia"/>
                <w:color w:val="000000"/>
                <w:sz w:val="20"/>
                <w:szCs w:val="20"/>
                <w:highlight w:val="none"/>
              </w:rPr>
              <w:br w:type="textWrapping"/>
            </w:r>
            <w:r>
              <w:rPr>
                <w:rFonts w:hint="eastAsia"/>
                <w:color w:val="000000"/>
                <w:sz w:val="20"/>
                <w:szCs w:val="20"/>
                <w:highlight w:val="none"/>
              </w:rPr>
              <w:t>5、支持扩展中控功能，具有3路IR/IO接口，1路RS232接口，1路RS485接口，音频输入输出。</w:t>
            </w:r>
            <w:r>
              <w:rPr>
                <w:rFonts w:hint="eastAsia"/>
                <w:color w:val="000000"/>
                <w:sz w:val="20"/>
                <w:szCs w:val="20"/>
                <w:highlight w:val="none"/>
              </w:rPr>
              <w:br w:type="textWrapping"/>
            </w:r>
            <w:r>
              <w:rPr>
                <w:rFonts w:hint="eastAsia"/>
                <w:color w:val="000000"/>
                <w:sz w:val="20"/>
                <w:szCs w:val="20"/>
                <w:highlight w:val="none"/>
              </w:rPr>
              <w:t>6、每个节点自带POE供电RJ45接口；只需要铺设一根网线相连，便可实现音频，视频，232控制信号，串口控制信号的传输；</w:t>
            </w:r>
            <w:r>
              <w:rPr>
                <w:rFonts w:hint="eastAsia"/>
                <w:color w:val="000000"/>
                <w:sz w:val="20"/>
                <w:szCs w:val="20"/>
                <w:highlight w:val="none"/>
              </w:rPr>
              <w:br w:type="textWrapping"/>
            </w:r>
            <w:r>
              <w:rPr>
                <w:rFonts w:hint="eastAsia"/>
                <w:color w:val="000000"/>
                <w:sz w:val="20"/>
                <w:szCs w:val="20"/>
                <w:highlight w:val="none"/>
              </w:rPr>
              <w:t>7、系统支持自定义编程，各个功能模块独立。预览区域可同时支持32路以上视频流畅预览。</w:t>
            </w:r>
            <w:r>
              <w:rPr>
                <w:rFonts w:hint="eastAsia"/>
                <w:color w:val="000000"/>
                <w:sz w:val="20"/>
                <w:szCs w:val="20"/>
                <w:highlight w:val="none"/>
              </w:rPr>
              <w:br w:type="textWrapping"/>
            </w:r>
            <w:r>
              <w:rPr>
                <w:rFonts w:hint="eastAsia"/>
                <w:color w:val="000000"/>
                <w:sz w:val="20"/>
                <w:szCs w:val="20"/>
                <w:highlight w:val="none"/>
              </w:rPr>
              <w:t>★8、支持大屏拼接、漫游、多图层叠加显示，单屏可以支持4路4K视频或者16路1080P信号，支持最大单屏128路视频同时显示。支持4k图像16层叠加，支持2k图像32层叠加；（</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r>
              <w:rPr>
                <w:rFonts w:hint="eastAsia"/>
                <w:color w:val="000000"/>
                <w:sz w:val="20"/>
                <w:szCs w:val="20"/>
                <w:highlight w:val="none"/>
              </w:rPr>
              <w:br w:type="textWrapping"/>
            </w:r>
            <w:r>
              <w:rPr>
                <w:rFonts w:hint="eastAsia"/>
                <w:color w:val="000000"/>
                <w:sz w:val="20"/>
                <w:szCs w:val="20"/>
                <w:highlight w:val="none"/>
              </w:rPr>
              <w:t>9、动态内存分配，同一个系统内支</w:t>
            </w:r>
            <w:r>
              <w:rPr>
                <w:rFonts w:hint="eastAsia"/>
                <w:color w:val="000000"/>
                <w:sz w:val="20"/>
                <w:szCs w:val="20"/>
              </w:rPr>
              <w:t>持8k、4k与2k的混用，单屏支持4路4k或16路1080p同时显示。</w:t>
            </w:r>
            <w:r>
              <w:rPr>
                <w:rFonts w:hint="eastAsia"/>
                <w:color w:val="000000"/>
                <w:sz w:val="20"/>
                <w:szCs w:val="20"/>
              </w:rPr>
              <w:br w:type="textWrapping"/>
            </w:r>
            <w:r>
              <w:rPr>
                <w:rFonts w:hint="eastAsia"/>
                <w:color w:val="000000"/>
                <w:sz w:val="20"/>
                <w:szCs w:val="20"/>
              </w:rPr>
              <w:t>10、支持LED、DID、LCD、DLP 拼接；无需服务器可接入IPC；音视频可同步，可异步切换；</w:t>
            </w:r>
            <w:r>
              <w:rPr>
                <w:rFonts w:hint="eastAsia"/>
                <w:color w:val="000000"/>
                <w:sz w:val="20"/>
                <w:szCs w:val="20"/>
              </w:rPr>
              <w:br w:type="textWrapping"/>
            </w:r>
            <w:r>
              <w:rPr>
                <w:rFonts w:hint="eastAsia"/>
                <w:color w:val="000000"/>
                <w:sz w:val="20"/>
                <w:szCs w:val="20"/>
              </w:rPr>
              <w:t>11、节点支持高清底图及高清地图功能、支持RTSP等标准流媒体协议、支持支持H.264或H.265的IPC编码摄像机，IPC网络摄像机机信号接入直接输出显示到大屏，无需第三方转码服务器；</w:t>
            </w:r>
            <w:r>
              <w:rPr>
                <w:rFonts w:hint="eastAsia"/>
                <w:color w:val="000000"/>
                <w:sz w:val="20"/>
                <w:szCs w:val="20"/>
              </w:rPr>
              <w:br w:type="textWrapping"/>
            </w:r>
            <w:r>
              <w:rPr>
                <w:rFonts w:hint="eastAsia"/>
                <w:color w:val="000000"/>
                <w:sz w:val="20"/>
                <w:szCs w:val="20"/>
              </w:rPr>
              <w:t>12、支持多平台实时预览操作、不同终端操作实时同步操作、操作软件可运行于(Windows/IOS/Android等)、不同分辨率(模拟/标清/高清)，多平台下配置不依赖服务器情况下自动同步状态；</w:t>
            </w:r>
            <w:r>
              <w:rPr>
                <w:rFonts w:hint="eastAsia"/>
                <w:color w:val="000000"/>
                <w:sz w:val="20"/>
                <w:szCs w:val="20"/>
              </w:rPr>
              <w:br w:type="textWrapping"/>
            </w:r>
            <w:r>
              <w:rPr>
                <w:rFonts w:hint="eastAsia"/>
                <w:color w:val="000000"/>
                <w:sz w:val="20"/>
                <w:szCs w:val="20"/>
              </w:rPr>
              <w:t>13、复杂的网络环境为了保障信号流畅和图像质量，高清单路带宽3M-30M随意调节。支持TCP/IP传输，满足会议高清视频要求和指挥中心信号高质量要求；</w:t>
            </w:r>
            <w:r>
              <w:rPr>
                <w:rFonts w:hint="eastAsia"/>
                <w:color w:val="000000"/>
                <w:sz w:val="20"/>
                <w:szCs w:val="20"/>
              </w:rPr>
              <w:br w:type="textWrapping"/>
            </w:r>
            <w:r>
              <w:rPr>
                <w:rFonts w:hint="eastAsia"/>
                <w:color w:val="000000"/>
                <w:sz w:val="20"/>
                <w:szCs w:val="20"/>
              </w:rPr>
              <w:t>14、支持LCD、LED帧同步，屏与屏之</w:t>
            </w:r>
            <w:r>
              <w:rPr>
                <w:rFonts w:hint="eastAsia"/>
                <w:color w:val="000000"/>
                <w:sz w:val="20"/>
                <w:szCs w:val="20"/>
                <w:highlight w:val="none"/>
              </w:rPr>
              <w:t>间无画面撕裂感，同步延时低于100ms；添加或删除信号时无黑屏，实现无缝切换。</w:t>
            </w:r>
            <w:r>
              <w:rPr>
                <w:rFonts w:hint="eastAsia"/>
                <w:color w:val="000000"/>
                <w:sz w:val="20"/>
                <w:szCs w:val="20"/>
                <w:highlight w:val="none"/>
                <w:lang w:eastAsia="zh-CN"/>
              </w:rPr>
              <w:t>（</w:t>
            </w:r>
            <w:r>
              <w:rPr>
                <w:rFonts w:hint="eastAsia"/>
                <w:color w:val="000000"/>
                <w:sz w:val="20"/>
                <w:szCs w:val="20"/>
                <w:highlight w:val="none"/>
              </w:rPr>
              <w:t>需提供第三方有资质机构出具的检测报告并加盖供应商公章）</w:t>
            </w:r>
            <w:r>
              <w:rPr>
                <w:rFonts w:hint="eastAsia"/>
                <w:color w:val="000000"/>
                <w:sz w:val="20"/>
                <w:szCs w:val="20"/>
                <w:highlight w:val="none"/>
              </w:rPr>
              <w:br w:type="textWrapping"/>
            </w:r>
            <w:r>
              <w:rPr>
                <w:rFonts w:hint="eastAsia"/>
                <w:color w:val="000000"/>
                <w:sz w:val="20"/>
                <w:szCs w:val="20"/>
                <w:highlight w:val="none"/>
              </w:rPr>
              <w:t>15、支持通过拖拽的方式实现对信号源的控制，也可通过选择信号源点击逻辑分屏实现对信号源的切换。</w:t>
            </w:r>
            <w:r>
              <w:rPr>
                <w:rFonts w:hint="eastAsia"/>
                <w:color w:val="000000"/>
                <w:sz w:val="20"/>
                <w:szCs w:val="20"/>
                <w:highlight w:val="none"/>
              </w:rPr>
              <w:br w:type="textWrapping"/>
            </w:r>
            <w:r>
              <w:rPr>
                <w:rFonts w:hint="eastAsia"/>
                <w:color w:val="000000"/>
                <w:sz w:val="20"/>
                <w:szCs w:val="20"/>
                <w:highlight w:val="none"/>
              </w:rPr>
              <w:t xml:space="preserve">★16、提供防尘IP20检测报告、防腐性能检测报告，提供平均无故障时间不小于120000小时检测报告。 </w:t>
            </w:r>
            <w:r>
              <w:rPr>
                <w:rFonts w:hint="eastAsia"/>
                <w:color w:val="000000"/>
                <w:sz w:val="20"/>
                <w:szCs w:val="20"/>
                <w:highlight w:val="none"/>
              </w:rPr>
              <w:br w:type="textWrapping"/>
            </w:r>
            <w:r>
              <w:rPr>
                <w:rFonts w:hint="eastAsia"/>
                <w:color w:val="000000"/>
                <w:sz w:val="20"/>
                <w:szCs w:val="20"/>
                <w:highlight w:val="none"/>
              </w:rPr>
              <w:t>▲17、提供节点带宽负载数据，可检测系统内节点网口速率及上下行带宽流量,可提供当前节点并发数量情况；支持实时监测在线节点CPU及内存使用率情况，对超出阈值设备进行预防维护。（</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r>
              <w:rPr>
                <w:rFonts w:hint="eastAsia"/>
                <w:color w:val="000000"/>
                <w:sz w:val="20"/>
                <w:szCs w:val="20"/>
                <w:highlight w:val="none"/>
              </w:rPr>
              <w:br w:type="textWrapping"/>
            </w:r>
            <w:r>
              <w:rPr>
                <w:rFonts w:hint="eastAsia"/>
                <w:color w:val="000000"/>
                <w:sz w:val="20"/>
                <w:szCs w:val="20"/>
                <w:highlight w:val="none"/>
              </w:rPr>
              <w:t>▲18、运维平台可提供当前节点组网拓扑图，可在界面呈现当前组网交换机连接情况及节点端口分布，节点上下线提示；平台内支持配置节点IP、ID、MAC等信息，可批量在线对节点进行升级配置。（</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18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分布式音视频输出节点-4K</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1、采用完全分布式架构设计，无需配置服务器即可构建无服务器的去中心化分布式音视频综合管控网络，采用自主知识产权国产芯片。</w:t>
            </w:r>
            <w:r>
              <w:rPr>
                <w:rFonts w:hint="eastAsia"/>
                <w:color w:val="000000"/>
                <w:sz w:val="20"/>
                <w:szCs w:val="20"/>
              </w:rPr>
              <w:br w:type="textWrapping"/>
            </w:r>
            <w:r>
              <w:rPr>
                <w:rFonts w:hint="eastAsia"/>
                <w:color w:val="000000"/>
                <w:sz w:val="20"/>
                <w:szCs w:val="20"/>
              </w:rPr>
              <w:t>2、节点支持分辨率3840*2160@60Hz；视频采集编码向下兼容其他分辨率。支持H.265视频编解码，码率2M-30M可调节，支持4:2:0、4:2:2、4:4:4逐行或隔行视频的编码和解码。</w:t>
            </w:r>
            <w:r>
              <w:rPr>
                <w:rFonts w:hint="eastAsia"/>
                <w:color w:val="000000"/>
                <w:sz w:val="20"/>
                <w:szCs w:val="20"/>
              </w:rPr>
              <w:br w:type="textWrapping"/>
            </w:r>
            <w:r>
              <w:rPr>
                <w:rFonts w:hint="eastAsia"/>
                <w:color w:val="000000"/>
                <w:sz w:val="20"/>
                <w:szCs w:val="20"/>
              </w:rPr>
              <w:t>3、实现PAD端KVM操作，可反控操作电脑主机，支持鼠标移动和点击进行信号源电脑的播放暂停等控制，即通过PAD端的分布式软件对信号源进行反向操作和控制。</w:t>
            </w:r>
            <w:r>
              <w:rPr>
                <w:rFonts w:hint="eastAsia"/>
                <w:color w:val="000000"/>
                <w:sz w:val="20"/>
                <w:szCs w:val="20"/>
              </w:rPr>
              <w:br w:type="textWrapping"/>
            </w:r>
            <w:r>
              <w:rPr>
                <w:rFonts w:hint="eastAsia"/>
                <w:color w:val="000000"/>
                <w:sz w:val="20"/>
                <w:szCs w:val="20"/>
              </w:rPr>
              <w:t>4、支持扩展中控功能，具有3路IR/IO接口，1路RS232接口，1路RS485接口，音频输入输出。</w:t>
            </w:r>
            <w:r>
              <w:rPr>
                <w:rFonts w:hint="eastAsia"/>
                <w:color w:val="000000"/>
                <w:sz w:val="20"/>
                <w:szCs w:val="20"/>
              </w:rPr>
              <w:br w:type="textWrapping"/>
            </w:r>
            <w:r>
              <w:rPr>
                <w:rFonts w:hint="eastAsia"/>
                <w:color w:val="000000"/>
                <w:sz w:val="20"/>
                <w:szCs w:val="20"/>
              </w:rPr>
              <w:t>5、每个节点自带POE供电RJ45接口；只需要铺设一根网线相连，便可实现音频，视频，232控制信号，串口控制信号的传输；</w:t>
            </w:r>
            <w:r>
              <w:rPr>
                <w:rFonts w:hint="eastAsia"/>
                <w:color w:val="000000"/>
                <w:sz w:val="20"/>
                <w:szCs w:val="20"/>
              </w:rPr>
              <w:br w:type="textWrapping"/>
            </w:r>
            <w:r>
              <w:rPr>
                <w:rFonts w:hint="eastAsia"/>
                <w:color w:val="000000"/>
                <w:sz w:val="20"/>
                <w:szCs w:val="20"/>
              </w:rPr>
              <w:t>6、节点支持分辨率3840*2160@60Hz；视频采集编码向下兼容其他分辨率。支持H.265视频编解码，码率2M-30M可调节，支持4:2:0、4:2:2、4:4:4逐行或隔行视频的编码和解码。</w:t>
            </w:r>
            <w:r>
              <w:rPr>
                <w:rFonts w:hint="eastAsia"/>
                <w:color w:val="000000"/>
                <w:sz w:val="20"/>
                <w:szCs w:val="20"/>
              </w:rPr>
              <w:br w:type="textWrapping"/>
            </w:r>
            <w:r>
              <w:rPr>
                <w:rFonts w:hint="eastAsia"/>
                <w:color w:val="000000"/>
                <w:sz w:val="20"/>
                <w:szCs w:val="20"/>
              </w:rPr>
              <w:t>7、系统支持自定义编程，各个功能模块独立。预览区域可同时支持32路以上视频流畅预览。</w:t>
            </w:r>
            <w:r>
              <w:rPr>
                <w:rFonts w:hint="eastAsia"/>
                <w:color w:val="000000"/>
                <w:sz w:val="20"/>
                <w:szCs w:val="20"/>
              </w:rPr>
              <w:br w:type="textWrapping"/>
            </w:r>
            <w:r>
              <w:rPr>
                <w:rFonts w:hint="eastAsia"/>
                <w:color w:val="000000"/>
                <w:sz w:val="20"/>
                <w:szCs w:val="20"/>
              </w:rPr>
              <w:t>8、支持大屏拼接、漫游、多图层叠加显示，单屏可以支持4路4K视频或者16路1080P信号，支持最大单屏128路视频同时显示。支持4k图像16层叠加，支持2k图像32层叠加；</w:t>
            </w:r>
            <w:r>
              <w:rPr>
                <w:rFonts w:hint="eastAsia"/>
                <w:color w:val="000000"/>
                <w:sz w:val="20"/>
                <w:szCs w:val="20"/>
              </w:rPr>
              <w:br w:type="textWrapping"/>
            </w:r>
            <w:r>
              <w:rPr>
                <w:rFonts w:hint="eastAsia"/>
                <w:color w:val="000000"/>
                <w:sz w:val="20"/>
                <w:szCs w:val="20"/>
              </w:rPr>
              <w:t>9、动态内存分配，同一个系统内支持8k、4k与2k的混用，单屏支持4路4k或16路1080p同时显示。</w:t>
            </w:r>
            <w:r>
              <w:rPr>
                <w:rFonts w:hint="eastAsia"/>
                <w:color w:val="000000"/>
                <w:sz w:val="20"/>
                <w:szCs w:val="20"/>
              </w:rPr>
              <w:br w:type="textWrapping"/>
            </w:r>
            <w:r>
              <w:rPr>
                <w:rFonts w:hint="eastAsia"/>
                <w:color w:val="000000"/>
                <w:sz w:val="20"/>
                <w:szCs w:val="20"/>
              </w:rPr>
              <w:t>10、支持LED、DID、LCD、DLP 拼接；无需服务器可接入IPC；音视频可同步，可异步切换；</w:t>
            </w:r>
            <w:r>
              <w:rPr>
                <w:rFonts w:hint="eastAsia"/>
                <w:color w:val="000000"/>
                <w:sz w:val="20"/>
                <w:szCs w:val="20"/>
              </w:rPr>
              <w:br w:type="textWrapping"/>
            </w:r>
            <w:r>
              <w:rPr>
                <w:rFonts w:hint="eastAsia"/>
                <w:color w:val="000000"/>
                <w:sz w:val="20"/>
                <w:szCs w:val="20"/>
              </w:rPr>
              <w:t>11、节点支持高清底图及高清地图功能、支持RTSP等标准流媒体协议、支持支 持H.264或265的IPC编码摄像机，IPC网络摄像机机信号接入直接输出显示到大屏，无需第三方转码服务器；</w:t>
            </w:r>
            <w:r>
              <w:rPr>
                <w:rFonts w:hint="eastAsia"/>
                <w:color w:val="000000"/>
                <w:sz w:val="20"/>
                <w:szCs w:val="20"/>
              </w:rPr>
              <w:br w:type="textWrapping"/>
            </w:r>
            <w:r>
              <w:rPr>
                <w:rFonts w:hint="eastAsia"/>
                <w:color w:val="000000"/>
                <w:sz w:val="20"/>
                <w:szCs w:val="20"/>
              </w:rPr>
              <w:t>12、支持多平台实时预览操作、不同终端操作实时同步操作、操作软件可运行于(Windows/IOS/Android等)、不同分辨率(模拟/标清/高清)，多平台下配置不依赖服务器情况下自动同步状态；</w:t>
            </w:r>
            <w:r>
              <w:rPr>
                <w:rFonts w:hint="eastAsia"/>
                <w:color w:val="000000"/>
                <w:sz w:val="20"/>
                <w:szCs w:val="20"/>
              </w:rPr>
              <w:br w:type="textWrapping"/>
            </w:r>
            <w:r>
              <w:rPr>
                <w:rFonts w:hint="eastAsia"/>
                <w:color w:val="000000"/>
                <w:sz w:val="20"/>
                <w:szCs w:val="20"/>
              </w:rPr>
              <w:t>13、复杂的网络环境为了保障信号流畅和图像质量，高清单路带宽3M-30M随意调节。支持TCP/IP传输，满足会议高清视频要求和指挥中心信号高质量要求；</w:t>
            </w:r>
            <w:r>
              <w:rPr>
                <w:rFonts w:hint="eastAsia"/>
                <w:color w:val="000000"/>
                <w:sz w:val="20"/>
                <w:szCs w:val="20"/>
              </w:rPr>
              <w:br w:type="textWrapping"/>
            </w:r>
            <w:r>
              <w:rPr>
                <w:rFonts w:hint="eastAsia"/>
                <w:color w:val="000000"/>
                <w:sz w:val="20"/>
                <w:szCs w:val="20"/>
              </w:rPr>
              <w:t>14、支持LCD、LED帧同步，屏与屏之间无画面撕裂感，同步延时低于100ms；添加或删除信号时无黑屏，实现无缝切换。</w:t>
            </w:r>
            <w:r>
              <w:rPr>
                <w:rFonts w:hint="eastAsia"/>
                <w:color w:val="000000"/>
                <w:sz w:val="20"/>
                <w:szCs w:val="20"/>
              </w:rPr>
              <w:br w:type="textWrapping"/>
            </w:r>
            <w:r>
              <w:rPr>
                <w:rFonts w:hint="eastAsia"/>
                <w:color w:val="000000"/>
                <w:sz w:val="20"/>
                <w:szCs w:val="20"/>
              </w:rPr>
              <w:t>15、支持通过拖拽的方式实现对信号源的控制，也可通过选择信号源点击逻辑分屏实现对信号源的切换。</w:t>
            </w:r>
            <w:r>
              <w:rPr>
                <w:rFonts w:hint="eastAsia"/>
                <w:color w:val="000000"/>
                <w:sz w:val="20"/>
                <w:szCs w:val="20"/>
              </w:rPr>
              <w:br w:type="textWrapping"/>
            </w:r>
            <w:r>
              <w:rPr>
                <w:rFonts w:hint="eastAsia"/>
                <w:color w:val="000000"/>
                <w:sz w:val="20"/>
                <w:szCs w:val="20"/>
              </w:rPr>
              <w:t>16、防尘等级IP20，平均无故障时间不小于120000小时。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p>
            <w:pPr>
              <w:jc w:val="right"/>
              <w:textAlignment w:val="center"/>
              <w:rPr>
                <w:rFonts w:ascii="Times New Roman" w:hAnsi="Times New Roman" w:cs="Times New Roman"/>
                <w:color w:val="000000"/>
                <w:sz w:val="20"/>
                <w:szCs w:val="20"/>
              </w:rPr>
            </w:pP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分布式音视频输出节点</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highlight w:val="none"/>
              </w:rPr>
            </w:pPr>
            <w:r>
              <w:rPr>
                <w:rFonts w:hint="eastAsia"/>
                <w:color w:val="000000"/>
                <w:sz w:val="20"/>
                <w:szCs w:val="20"/>
                <w:highlight w:val="none"/>
              </w:rPr>
              <w:t>1、采用完全分布式架构设计，无需配置服务器即可构建无服务器的去中心化分布式音视频综合管控网络，采用自主知识产权国产芯片。</w:t>
            </w:r>
            <w:r>
              <w:rPr>
                <w:rFonts w:hint="eastAsia"/>
                <w:color w:val="000000"/>
                <w:sz w:val="20"/>
                <w:szCs w:val="20"/>
                <w:highlight w:val="none"/>
              </w:rPr>
              <w:br w:type="textWrapping"/>
            </w:r>
            <w:r>
              <w:rPr>
                <w:rFonts w:hint="eastAsia"/>
                <w:color w:val="000000"/>
                <w:sz w:val="20"/>
                <w:szCs w:val="20"/>
                <w:highlight w:val="none"/>
              </w:rPr>
              <w:t>2、节点支持分辨率1920*1080@60Hz；视频采集编码向下兼容其他分辨率。支持H.265视频编解码，码率2M-30M可调节，支持4:2:0、4:2:2、4:4:4逐行或隔行视频的编码和解码。</w:t>
            </w:r>
            <w:r>
              <w:rPr>
                <w:rFonts w:hint="eastAsia"/>
                <w:color w:val="000000"/>
                <w:sz w:val="20"/>
                <w:szCs w:val="20"/>
                <w:highlight w:val="none"/>
              </w:rPr>
              <w:br w:type="textWrapping"/>
            </w:r>
            <w:r>
              <w:rPr>
                <w:rFonts w:hint="eastAsia"/>
                <w:color w:val="000000"/>
                <w:sz w:val="20"/>
                <w:szCs w:val="20"/>
                <w:highlight w:val="none"/>
              </w:rPr>
              <w:t>3、实现PAD端KVM操作，可反控操作电脑主机，支持鼠标移动和点击进行信号源电脑的播放暂停等控制，即通过PAD端的分布式软件对信号源进行反向操作和控制。</w:t>
            </w:r>
            <w:r>
              <w:rPr>
                <w:rFonts w:hint="eastAsia"/>
                <w:color w:val="000000"/>
                <w:sz w:val="20"/>
                <w:szCs w:val="20"/>
                <w:highlight w:val="none"/>
              </w:rPr>
              <w:br w:type="textWrapping"/>
            </w:r>
            <w:r>
              <w:rPr>
                <w:rFonts w:hint="eastAsia"/>
                <w:color w:val="000000"/>
                <w:sz w:val="20"/>
                <w:szCs w:val="20"/>
                <w:highlight w:val="none"/>
              </w:rPr>
              <w:t>4、每个节点单元均采用强大性能的逻辑处理芯片H.265数据流编解码芯片，保证系统运行的流畅性；</w:t>
            </w:r>
            <w:r>
              <w:rPr>
                <w:rFonts w:hint="eastAsia"/>
                <w:color w:val="000000"/>
                <w:sz w:val="20"/>
                <w:szCs w:val="20"/>
                <w:highlight w:val="none"/>
              </w:rPr>
              <w:br w:type="textWrapping"/>
            </w:r>
            <w:r>
              <w:rPr>
                <w:rFonts w:hint="eastAsia"/>
                <w:color w:val="000000"/>
                <w:sz w:val="20"/>
                <w:szCs w:val="20"/>
                <w:highlight w:val="none"/>
              </w:rPr>
              <w:t>5、支持扩展中控功能，具有3路IR/IO接口，1路RS232接口，1路RS485接口，音频输入输出。</w:t>
            </w:r>
            <w:r>
              <w:rPr>
                <w:rFonts w:hint="eastAsia"/>
                <w:color w:val="000000"/>
                <w:sz w:val="20"/>
                <w:szCs w:val="20"/>
                <w:highlight w:val="none"/>
              </w:rPr>
              <w:br w:type="textWrapping"/>
            </w:r>
            <w:r>
              <w:rPr>
                <w:rFonts w:hint="eastAsia"/>
                <w:color w:val="000000"/>
                <w:sz w:val="20"/>
                <w:szCs w:val="20"/>
                <w:highlight w:val="none"/>
              </w:rPr>
              <w:t>6、每个节点自带POE供电RJ45接口；只需要铺设一根网线相连，便可实现音频，视频，232控制信号，串口控制信号的传输；</w:t>
            </w:r>
            <w:r>
              <w:rPr>
                <w:rFonts w:hint="eastAsia"/>
                <w:color w:val="000000"/>
                <w:sz w:val="20"/>
                <w:szCs w:val="20"/>
                <w:highlight w:val="none"/>
              </w:rPr>
              <w:br w:type="textWrapping"/>
            </w:r>
            <w:r>
              <w:rPr>
                <w:rFonts w:hint="eastAsia"/>
                <w:color w:val="000000"/>
                <w:sz w:val="20"/>
                <w:szCs w:val="20"/>
                <w:highlight w:val="none"/>
              </w:rPr>
              <w:t>7、系统支持自定义编程，各个功能模块独立。预览区域可同时支持32路以上视频流畅预览。</w:t>
            </w:r>
            <w:r>
              <w:rPr>
                <w:rFonts w:hint="eastAsia"/>
                <w:color w:val="000000"/>
                <w:sz w:val="20"/>
                <w:szCs w:val="20"/>
                <w:highlight w:val="none"/>
              </w:rPr>
              <w:br w:type="textWrapping"/>
            </w:r>
            <w:r>
              <w:rPr>
                <w:rFonts w:hint="eastAsia"/>
                <w:color w:val="000000"/>
                <w:sz w:val="20"/>
                <w:szCs w:val="20"/>
                <w:highlight w:val="none"/>
              </w:rPr>
              <w:t>8、支持LED、DID、LCD、DLP 拼接；无需服务器可接入IPC；音视频可同步，可异步切换；</w:t>
            </w:r>
            <w:r>
              <w:rPr>
                <w:rFonts w:hint="eastAsia"/>
                <w:color w:val="000000"/>
                <w:sz w:val="20"/>
                <w:szCs w:val="20"/>
                <w:highlight w:val="none"/>
              </w:rPr>
              <w:br w:type="textWrapping"/>
            </w:r>
            <w:r>
              <w:rPr>
                <w:rFonts w:hint="eastAsia"/>
                <w:color w:val="000000"/>
                <w:sz w:val="20"/>
                <w:szCs w:val="20"/>
                <w:highlight w:val="none"/>
              </w:rPr>
              <w:t>9、节点支持高清底图及高清地图功能、支持RTSP等标准流媒体协议、支持支持H.264或H.265的IPC编码摄像机，IPC网络摄像机机信号接入直接输出显示到大屏，无需第三方转码服务器；</w:t>
            </w:r>
            <w:r>
              <w:rPr>
                <w:rFonts w:hint="eastAsia"/>
                <w:color w:val="000000"/>
                <w:sz w:val="20"/>
                <w:szCs w:val="20"/>
                <w:highlight w:val="none"/>
              </w:rPr>
              <w:br w:type="textWrapping"/>
            </w:r>
            <w:r>
              <w:rPr>
                <w:rFonts w:hint="eastAsia"/>
                <w:color w:val="000000"/>
                <w:sz w:val="20"/>
                <w:szCs w:val="20"/>
                <w:highlight w:val="none"/>
              </w:rPr>
              <w:t>10、支持多平台实时预览操作、不同终端操作实时同步操作、操作软件可运行于(Windows/IOS/Android等)、不同分辨率(模拟/标清/高清)，多平台下配置不依赖服务器情况下自动同步状态；</w:t>
            </w:r>
            <w:r>
              <w:rPr>
                <w:rFonts w:hint="eastAsia"/>
                <w:color w:val="000000"/>
                <w:sz w:val="20"/>
                <w:szCs w:val="20"/>
                <w:highlight w:val="none"/>
              </w:rPr>
              <w:br w:type="textWrapping"/>
            </w:r>
            <w:r>
              <w:rPr>
                <w:rFonts w:hint="eastAsia"/>
                <w:color w:val="000000"/>
                <w:sz w:val="20"/>
                <w:szCs w:val="20"/>
                <w:highlight w:val="none"/>
              </w:rPr>
              <w:t>11、复杂的网络环境为了保障信号流畅和图像质量，高清单路带宽3M-30M随意调节。支持TCP/IP传输，满足会议高清视频要求和指挥中心信号高质量要求；</w:t>
            </w:r>
            <w:r>
              <w:rPr>
                <w:rFonts w:hint="eastAsia"/>
                <w:color w:val="000000"/>
                <w:sz w:val="20"/>
                <w:szCs w:val="20"/>
                <w:highlight w:val="none"/>
              </w:rPr>
              <w:br w:type="textWrapping"/>
            </w:r>
            <w:r>
              <w:rPr>
                <w:rFonts w:hint="eastAsia"/>
                <w:color w:val="000000"/>
                <w:sz w:val="20"/>
                <w:szCs w:val="20"/>
                <w:highlight w:val="none"/>
              </w:rPr>
              <w:t>★12、支持LCD、LED帧同步，屏与屏之间无画面撕裂感，同步延时低于100ms；添加或删除信号时无黑屏，实现无缝切换。（</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w:t>
            </w:r>
            <w:r>
              <w:rPr>
                <w:rFonts w:hint="eastAsia"/>
                <w:color w:val="000000"/>
                <w:sz w:val="20"/>
                <w:szCs w:val="20"/>
                <w:highlight w:val="none"/>
              </w:rPr>
              <w:br w:type="textWrapping"/>
            </w:r>
            <w:r>
              <w:rPr>
                <w:rFonts w:hint="eastAsia"/>
                <w:color w:val="000000"/>
                <w:sz w:val="20"/>
                <w:szCs w:val="20"/>
                <w:highlight w:val="none"/>
              </w:rPr>
              <w:t>★13、支持通过拖拽的方式实现对信号源的控制，也可通过选择信号源点击逻辑分屏实现对信号源的切换。（</w:t>
            </w:r>
            <w:r>
              <w:rPr>
                <w:rFonts w:hint="eastAsia"/>
                <w:color w:val="000000"/>
                <w:sz w:val="20"/>
                <w:szCs w:val="20"/>
                <w:highlight w:val="none"/>
                <w:lang w:eastAsia="zh-CN"/>
              </w:rPr>
              <w:t>需提供第三方有资质机构出具的检测报告并加盖供应商公章</w:t>
            </w:r>
            <w:r>
              <w:rPr>
                <w:rFonts w:hint="eastAsia"/>
                <w:color w:val="000000"/>
                <w:sz w:val="20"/>
                <w:szCs w:val="20"/>
                <w:highlight w:val="none"/>
              </w:rPr>
              <w:t xml:space="preserve">） </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分布式专用定制化机框</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18"/>
                <w:szCs w:val="18"/>
              </w:rPr>
            </w:pPr>
            <w:r>
              <w:rPr>
                <w:rFonts w:hint="eastAsia"/>
                <w:color w:val="000000"/>
                <w:sz w:val="18"/>
                <w:szCs w:val="18"/>
              </w:rPr>
              <w:t>节点定制化机框可直接上机柜，一个机框最多可装10个节点</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分布式网络电源控制器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1、通讯方式：NET控制总线</w:t>
            </w:r>
            <w:r>
              <w:rPr>
                <w:rFonts w:hint="eastAsia"/>
                <w:color w:val="000000"/>
                <w:sz w:val="20"/>
                <w:szCs w:val="20"/>
              </w:rPr>
              <w:br w:type="textWrapping"/>
            </w:r>
            <w:r>
              <w:rPr>
                <w:rFonts w:hint="eastAsia"/>
                <w:color w:val="000000"/>
                <w:sz w:val="20"/>
                <w:szCs w:val="20"/>
              </w:rPr>
              <w:t>2、地址码：用户自行设定，ID拨码开关选择ID</w:t>
            </w:r>
            <w:r>
              <w:rPr>
                <w:rFonts w:hint="eastAsia"/>
                <w:color w:val="000000"/>
                <w:sz w:val="20"/>
                <w:szCs w:val="20"/>
              </w:rPr>
              <w:br w:type="textWrapping"/>
            </w:r>
            <w:r>
              <w:rPr>
                <w:rFonts w:hint="eastAsia"/>
                <w:color w:val="000000"/>
                <w:sz w:val="20"/>
                <w:szCs w:val="20"/>
              </w:rPr>
              <w:t>3、电源：24DC,NET控制总线供电</w:t>
            </w:r>
            <w:r>
              <w:rPr>
                <w:rFonts w:hint="eastAsia"/>
                <w:color w:val="000000"/>
                <w:sz w:val="20"/>
                <w:szCs w:val="20"/>
              </w:rPr>
              <w:br w:type="textWrapping"/>
            </w:r>
            <w:r>
              <w:rPr>
                <w:rFonts w:hint="eastAsia"/>
                <w:color w:val="000000"/>
                <w:sz w:val="20"/>
                <w:szCs w:val="20"/>
              </w:rPr>
              <w:t>4、单路载入容量：AC/220V/10A,DC/30V/10A</w:t>
            </w:r>
            <w:r>
              <w:rPr>
                <w:rFonts w:hint="eastAsia"/>
                <w:color w:val="000000"/>
                <w:sz w:val="20"/>
                <w:szCs w:val="20"/>
              </w:rPr>
              <w:br w:type="textWrapping"/>
            </w:r>
            <w:r>
              <w:rPr>
                <w:rFonts w:hint="eastAsia"/>
                <w:color w:val="000000"/>
                <w:sz w:val="20"/>
                <w:szCs w:val="20"/>
              </w:rPr>
              <w:t>5、IO控制：内部自带8个IO接口，可独立使用</w:t>
            </w:r>
            <w:r>
              <w:rPr>
                <w:rFonts w:hint="eastAsia"/>
                <w:color w:val="000000"/>
                <w:sz w:val="20"/>
                <w:szCs w:val="20"/>
              </w:rPr>
              <w:br w:type="textWrapping"/>
            </w:r>
            <w:r>
              <w:rPr>
                <w:rFonts w:hint="eastAsia"/>
                <w:color w:val="000000"/>
                <w:sz w:val="20"/>
                <w:szCs w:val="20"/>
              </w:rPr>
              <w:t>6、手动控制：机器正前方有8个拨码开关，紧急情况下可手动控制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网络智能控制主机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1、强韧铝镁合金拉丝面板，严丝密缝的黑色金属机箱，坚固品质，保证内部硬件的安全性；</w:t>
            </w:r>
            <w:r>
              <w:rPr>
                <w:rFonts w:hint="eastAsia"/>
                <w:color w:val="000000"/>
                <w:sz w:val="20"/>
                <w:szCs w:val="20"/>
              </w:rPr>
              <w:br w:type="textWrapping"/>
            </w:r>
            <w:r>
              <w:rPr>
                <w:rFonts w:hint="eastAsia"/>
                <w:color w:val="000000"/>
                <w:sz w:val="20"/>
                <w:szCs w:val="20"/>
              </w:rPr>
              <w:t xml:space="preserve">2、 RS232/RS485、IO、红外、网络信号中的一个或者多个需要传输，只需要铺设一根网线，布线简单，成本低廉； </w:t>
            </w:r>
            <w:r>
              <w:rPr>
                <w:rFonts w:hint="eastAsia"/>
                <w:color w:val="000000"/>
                <w:sz w:val="20"/>
                <w:szCs w:val="20"/>
              </w:rPr>
              <w:br w:type="textWrapping"/>
            </w:r>
            <w:r>
              <w:rPr>
                <w:rFonts w:hint="eastAsia"/>
                <w:color w:val="000000"/>
                <w:sz w:val="20"/>
                <w:szCs w:val="20"/>
              </w:rPr>
              <w:t xml:space="preserve">3、8个输入输出IO接口，可接各种感应探测器，配合控制单元还可以任意扩展，特别适用于智能家居安全防范系统，以及智能展厅的自动感应触发系统；  </w:t>
            </w:r>
            <w:r>
              <w:rPr>
                <w:rFonts w:hint="eastAsia"/>
                <w:color w:val="000000"/>
                <w:sz w:val="20"/>
                <w:szCs w:val="20"/>
              </w:rPr>
              <w:br w:type="textWrapping"/>
            </w:r>
            <w:r>
              <w:rPr>
                <w:rFonts w:hint="eastAsia"/>
                <w:color w:val="000000"/>
                <w:sz w:val="20"/>
                <w:szCs w:val="20"/>
              </w:rPr>
              <w:t xml:space="preserve">4、网络智能控制主机采用开放式类C语言编程语言，可灵活编写各种通讯协议，适应各种控制设备；  </w:t>
            </w:r>
            <w:r>
              <w:rPr>
                <w:rFonts w:hint="eastAsia"/>
                <w:color w:val="000000"/>
                <w:sz w:val="20"/>
                <w:szCs w:val="20"/>
              </w:rPr>
              <w:br w:type="textWrapping"/>
            </w:r>
            <w:r>
              <w:rPr>
                <w:rFonts w:hint="eastAsia"/>
                <w:color w:val="000000"/>
                <w:sz w:val="20"/>
                <w:szCs w:val="20"/>
              </w:rPr>
              <w:t xml:space="preserve">5、具备的双向控制链路，与控制单元配合使用，轻而易举实现控制的同时，实时读取各个单元运行状态，通过编程，还可以实现控制单元故障报警等交互式故障检测机制； </w:t>
            </w:r>
            <w:r>
              <w:rPr>
                <w:rFonts w:hint="eastAsia"/>
                <w:color w:val="000000"/>
                <w:sz w:val="20"/>
                <w:szCs w:val="20"/>
              </w:rPr>
              <w:br w:type="textWrapping"/>
            </w:r>
            <w:r>
              <w:rPr>
                <w:rFonts w:hint="eastAsia"/>
                <w:color w:val="000000"/>
                <w:sz w:val="20"/>
                <w:szCs w:val="20"/>
              </w:rPr>
              <w:t xml:space="preserve">6、获取终端的状态功能，如投影机的灯泡时长、外接设备的第三方操作信息等，任意格式反馈到屏、软件，以及获得授权情况下微信或者邮箱，极大的便利了系统的维护； </w:t>
            </w:r>
            <w:r>
              <w:rPr>
                <w:rFonts w:hint="eastAsia"/>
                <w:color w:val="000000"/>
                <w:sz w:val="20"/>
                <w:szCs w:val="20"/>
              </w:rPr>
              <w:br w:type="textWrapping"/>
            </w:r>
            <w:r>
              <w:rPr>
                <w:rFonts w:hint="eastAsia"/>
                <w:color w:val="000000"/>
                <w:sz w:val="20"/>
                <w:szCs w:val="20"/>
              </w:rPr>
              <w:t xml:space="preserve">7、字符串处理能力，能方便搭配各类传感器，具有更智能化的操控体验； </w:t>
            </w:r>
            <w:r>
              <w:rPr>
                <w:rFonts w:hint="eastAsia"/>
                <w:color w:val="000000"/>
                <w:sz w:val="20"/>
                <w:szCs w:val="20"/>
              </w:rPr>
              <w:br w:type="textWrapping"/>
            </w:r>
            <w:r>
              <w:rPr>
                <w:rFonts w:hint="eastAsia"/>
                <w:color w:val="000000"/>
                <w:sz w:val="20"/>
                <w:szCs w:val="20"/>
              </w:rPr>
              <w:t>8、授权使用情况下，可以配合微信、APP等实现远程控制，或者远程获取本地图像，尤其有利于高端家庭、别墅、会所，无论身处何处，一切尽在掌控中；</w:t>
            </w:r>
            <w:r>
              <w:rPr>
                <w:rFonts w:hint="eastAsia"/>
                <w:color w:val="000000"/>
                <w:sz w:val="20"/>
                <w:szCs w:val="20"/>
              </w:rPr>
              <w:br w:type="textWrapping"/>
            </w:r>
            <w:r>
              <w:rPr>
                <w:rFonts w:hint="eastAsia"/>
                <w:color w:val="000000"/>
                <w:sz w:val="20"/>
                <w:szCs w:val="20"/>
              </w:rPr>
              <w:t xml:space="preserve">9、 网络智能控制主机强大的逻辑计算能力，通过深化设计，针对性编程，轻而易举成为智能化校园，智能家居，智能展厅，楼宇自动化的最强大脑，方便综合管理各类大型智能化控制网络； </w:t>
            </w:r>
            <w:r>
              <w:rPr>
                <w:rFonts w:hint="eastAsia"/>
                <w:color w:val="000000"/>
                <w:sz w:val="20"/>
                <w:szCs w:val="20"/>
              </w:rPr>
              <w:br w:type="textWrapping"/>
            </w:r>
            <w:r>
              <w:rPr>
                <w:rFonts w:hint="eastAsia"/>
                <w:color w:val="000000"/>
                <w:sz w:val="20"/>
                <w:szCs w:val="20"/>
              </w:rPr>
              <w:t xml:space="preserve">10、类C语言化编程，处理能力极大增强。基于全字串处理，解决了传统中控不能实现的许多功能。配合强大的云存储和云计算功能，所有的设备代码或者红外代码，一经在本系统上使用过，以后所有人使用都不再需要录码或者翻查代码； </w:t>
            </w:r>
            <w:r>
              <w:rPr>
                <w:rFonts w:hint="eastAsia"/>
                <w:color w:val="000000"/>
                <w:sz w:val="20"/>
                <w:szCs w:val="20"/>
              </w:rPr>
              <w:br w:type="textWrapping"/>
            </w:r>
            <w:r>
              <w:rPr>
                <w:rFonts w:hint="eastAsia"/>
                <w:color w:val="000000"/>
                <w:sz w:val="20"/>
                <w:szCs w:val="20"/>
              </w:rPr>
              <w:t>11、类C语言编程系统具备非常良好的可移植性，极大的方便实施，且由于移植运行中的代码，系统可靠性增强，出错概率降低；</w:t>
            </w:r>
            <w:r>
              <w:rPr>
                <w:rFonts w:hint="eastAsia"/>
                <w:color w:val="000000"/>
                <w:sz w:val="20"/>
                <w:szCs w:val="20"/>
              </w:rPr>
              <w:br w:type="textWrapping"/>
            </w:r>
            <w:r>
              <w:rPr>
                <w:rFonts w:hint="eastAsia"/>
                <w:color w:val="000000"/>
                <w:sz w:val="20"/>
                <w:szCs w:val="20"/>
              </w:rPr>
              <w:t xml:space="preserve">12、云存储平台在客户许可的情况下可将代码存储到云，方便随时随地，以太网连接的地方查看。且云平台提供最近10次编译结果自动存储，可以随时恢复系统到此前第 10 次下载的程序系统状态； </w:t>
            </w:r>
            <w:r>
              <w:rPr>
                <w:rFonts w:hint="eastAsia"/>
                <w:color w:val="000000"/>
                <w:sz w:val="20"/>
                <w:szCs w:val="20"/>
              </w:rPr>
              <w:br w:type="textWrapping"/>
            </w:r>
            <w:r>
              <w:rPr>
                <w:rFonts w:hint="eastAsia"/>
                <w:color w:val="000000"/>
                <w:sz w:val="20"/>
                <w:szCs w:val="20"/>
              </w:rPr>
              <w:t xml:space="preserve">13、系统具备调试能力，允许边修改边调试，并一边看结果，从传统系统的盲调变为透明可视化调试，对复杂系统尤其得心应手； </w:t>
            </w:r>
            <w:r>
              <w:rPr>
                <w:rFonts w:hint="eastAsia"/>
                <w:color w:val="000000"/>
                <w:sz w:val="20"/>
                <w:szCs w:val="20"/>
              </w:rPr>
              <w:br w:type="textWrapping"/>
            </w:r>
            <w:r>
              <w:rPr>
                <w:rFonts w:hint="eastAsia"/>
                <w:color w:val="000000"/>
                <w:sz w:val="20"/>
                <w:szCs w:val="20"/>
              </w:rPr>
              <w:t>14、强大的二次编程能力，即客户根据自我需要，简单培训，即可自我编程状态，如调用当前场景，或者存储当前场景，修改部分执行结果等。</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平板电脑中控界面控制软件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1、支持对信号分类及排序功能，可快速选择信号源进行切换，在移动端软件实现对信号源可视化实时预览，让使用更直观，更简易。支持不少于20路实时动态图像预览。</w:t>
            </w:r>
            <w:r>
              <w:rPr>
                <w:rFonts w:hint="eastAsia"/>
                <w:color w:val="000000"/>
                <w:sz w:val="20"/>
                <w:szCs w:val="20"/>
              </w:rPr>
              <w:br w:type="textWrapping"/>
            </w:r>
            <w:r>
              <w:rPr>
                <w:rFonts w:hint="eastAsia"/>
                <w:color w:val="000000"/>
                <w:sz w:val="20"/>
                <w:szCs w:val="20"/>
              </w:rPr>
              <w:t>2、支持自由操控，支持拖曳视频源到显示控制区域，可实现所有视频信号源的视窗管理、拼接、任意缩放、画中画、画面漫游等功能，可实现对视窗参数的调整（叠加关系、位置、大小、比例等），方便的拖放操作，极易上手。</w:t>
            </w:r>
            <w:r>
              <w:rPr>
                <w:rFonts w:hint="eastAsia"/>
                <w:color w:val="000000"/>
                <w:sz w:val="20"/>
                <w:szCs w:val="20"/>
              </w:rPr>
              <w:br w:type="textWrapping"/>
            </w:r>
            <w:r>
              <w:rPr>
                <w:rFonts w:hint="eastAsia"/>
                <w:color w:val="000000"/>
                <w:sz w:val="20"/>
                <w:szCs w:val="20"/>
              </w:rPr>
              <w:t>3、支持使用平板软件对分布式系统进行可视化管理、信号切换、画面叠加、画中画、画面拼接、画面漫游、画面放大/缩小、画面移动/关闭等操作，支持对显示控制区域实时监控；支持多用户多平台同步操作，支持不同平台操作界面实时同步。</w:t>
            </w:r>
            <w:r>
              <w:rPr>
                <w:rFonts w:hint="eastAsia"/>
                <w:color w:val="000000"/>
                <w:sz w:val="20"/>
                <w:szCs w:val="20"/>
              </w:rPr>
              <w:br w:type="textWrapping"/>
            </w:r>
            <w:r>
              <w:rPr>
                <w:rFonts w:hint="eastAsia"/>
                <w:color w:val="000000"/>
                <w:sz w:val="20"/>
                <w:szCs w:val="20"/>
              </w:rPr>
              <w:t>4、支持中控功能，支持自定义添加受控设备，可实现可编辑中控，支持RS-232、RS-422、RS-485、IR、I/O、TCP/IP等控制方式；支持多种控件选择，可随意配置中控界面。可控制高清矩阵信号切换、电源设备开关、摄像头的转动方向放大缩小及预置位调用、音频音量、灯光/空调开关等中控功能。</w:t>
            </w:r>
            <w:r>
              <w:rPr>
                <w:rFonts w:hint="eastAsia"/>
                <w:color w:val="000000"/>
                <w:sz w:val="20"/>
                <w:szCs w:val="20"/>
              </w:rPr>
              <w:br w:type="textWrapping"/>
            </w:r>
            <w:r>
              <w:rPr>
                <w:rFonts w:hint="eastAsia"/>
                <w:color w:val="000000"/>
                <w:sz w:val="20"/>
                <w:szCs w:val="20"/>
              </w:rPr>
              <w:t>5、支持记住密码和自动登陆功能。支持软件界面自定义，支持多级管理模式。支持不同用户登陆管理，支持权限分配，实现不同用户呈现不同的控制界面。支持采用无线拖拽的方式将视频信号源推送到各个显示终端上。</w:t>
            </w:r>
            <w:r>
              <w:rPr>
                <w:rFonts w:hint="eastAsia"/>
                <w:color w:val="000000"/>
                <w:sz w:val="20"/>
                <w:szCs w:val="20"/>
              </w:rPr>
              <w:br w:type="textWrapping"/>
            </w:r>
            <w:r>
              <w:rPr>
                <w:rFonts w:hint="eastAsia"/>
                <w:color w:val="000000"/>
                <w:sz w:val="20"/>
                <w:szCs w:val="20"/>
              </w:rPr>
              <w:t>6、支持互动呈现功能，在PC端管理操作系统时，平板端会实时更新信息及画面显示，达到同步更新效果，并且实时在显示屏上显示，实现屏下与屏上的协同互动。</w:t>
            </w:r>
            <w:r>
              <w:rPr>
                <w:rFonts w:hint="eastAsia"/>
                <w:color w:val="000000"/>
                <w:sz w:val="20"/>
                <w:szCs w:val="20"/>
              </w:rPr>
              <w:br w:type="textWrapping"/>
            </w:r>
            <w:r>
              <w:rPr>
                <w:rFonts w:hint="eastAsia"/>
                <w:color w:val="000000"/>
                <w:sz w:val="20"/>
                <w:szCs w:val="20"/>
              </w:rPr>
              <w:t>7、支持自定义编辑和预存不同的场景，支持显示预案设置、存储、调用；支持音频、视频、控制信号场景一键式快速调用，可定义不同场景切换效果及场景名称，支持自定义编辑会议模式、调用预存的会议模式。</w:t>
            </w:r>
            <w:r>
              <w:rPr>
                <w:rFonts w:hint="eastAsia"/>
                <w:color w:val="000000"/>
                <w:sz w:val="20"/>
                <w:szCs w:val="20"/>
              </w:rPr>
              <w:br w:type="textWrapping"/>
            </w:r>
            <w:r>
              <w:rPr>
                <w:rFonts w:hint="eastAsia"/>
                <w:color w:val="000000"/>
                <w:sz w:val="20"/>
                <w:szCs w:val="20"/>
              </w:rPr>
              <w:t>8、场景切换响应时间短，超低延时，画面极致流畅，窗口操作即时响应，手指离开操作平台立马会显示在大屏上。支持场景轮询，轮询时间可调。</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48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5G无线路由器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无线速率：3000M，4个全千兆有线网口，无线协议：Wi-Fi 6，支持IPv6，支持APP控制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68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智能化音视频系统专网交换机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1、48个10/100/1000Base-T以太网端口,4个万兆SFP+口；</w:t>
            </w:r>
            <w:r>
              <w:rPr>
                <w:rFonts w:hint="eastAsia"/>
                <w:color w:val="000000"/>
                <w:sz w:val="20"/>
                <w:szCs w:val="20"/>
              </w:rPr>
              <w:br w:type="textWrapping"/>
            </w:r>
            <w:r>
              <w:rPr>
                <w:rFonts w:hint="eastAsia"/>
                <w:color w:val="000000"/>
                <w:sz w:val="20"/>
                <w:szCs w:val="20"/>
              </w:rPr>
              <w:t>2、背板带宽：432Gbps/4.32Tbps；</w:t>
            </w:r>
            <w:r>
              <w:rPr>
                <w:rFonts w:hint="eastAsia"/>
                <w:color w:val="000000"/>
                <w:sz w:val="20"/>
                <w:szCs w:val="20"/>
              </w:rPr>
              <w:br w:type="textWrapping"/>
            </w:r>
            <w:r>
              <w:rPr>
                <w:rFonts w:hint="eastAsia"/>
                <w:color w:val="000000"/>
                <w:sz w:val="20"/>
                <w:szCs w:val="20"/>
              </w:rPr>
              <w:t>3、包转发率：144Mpps/166Mpps；</w:t>
            </w:r>
            <w:r>
              <w:rPr>
                <w:rFonts w:hint="eastAsia"/>
                <w:color w:val="000000"/>
                <w:sz w:val="20"/>
                <w:szCs w:val="20"/>
              </w:rPr>
              <w:br w:type="textWrapping"/>
            </w:r>
            <w:r>
              <w:rPr>
                <w:rFonts w:hint="eastAsia"/>
                <w:color w:val="000000"/>
                <w:sz w:val="20"/>
                <w:szCs w:val="20"/>
              </w:rPr>
              <w:t>4、支持PoE供电</w:t>
            </w:r>
            <w:r>
              <w:rPr>
                <w:rFonts w:hint="eastAsia"/>
                <w:color w:val="000000"/>
                <w:sz w:val="20"/>
                <w:szCs w:val="20"/>
              </w:rPr>
              <w:br w:type="textWrapping"/>
            </w:r>
            <w:r>
              <w:rPr>
                <w:rFonts w:hint="eastAsia"/>
                <w:color w:val="000000"/>
                <w:sz w:val="20"/>
                <w:szCs w:val="20"/>
              </w:rPr>
              <w:t>5、支持QoS、支持VLAN功能、MAC地址表；</w:t>
            </w:r>
            <w:r>
              <w:rPr>
                <w:rFonts w:hint="eastAsia"/>
                <w:color w:val="000000"/>
                <w:sz w:val="20"/>
                <w:szCs w:val="20"/>
              </w:rPr>
              <w:br w:type="textWrapping"/>
            </w:r>
            <w:r>
              <w:rPr>
                <w:rFonts w:hint="eastAsia"/>
                <w:color w:val="000000"/>
                <w:sz w:val="20"/>
                <w:szCs w:val="20"/>
              </w:rPr>
              <w:t>6、IP路由：静态路由、RIPv1/2、RIPng、OSPF、OSPFv3、ECMP、ISIS、ISISv6、BGP、BGP4+。</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18"/>
                <w:szCs w:val="18"/>
              </w:rPr>
            </w:pPr>
            <w:r>
              <w:rPr>
                <w:rFonts w:hint="eastAsia"/>
                <w:color w:val="000000"/>
                <w:sz w:val="18"/>
                <w:szCs w:val="18"/>
              </w:rPr>
              <w:t>编程与调试</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 xml:space="preserve">工程师现场中控程序与UI界面定制开发。 </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2.5、视频会议系统</w:t>
            </w:r>
          </w:p>
        </w:tc>
      </w:tr>
      <w:tr>
        <w:tblPrEx>
          <w:tblCellMar>
            <w:top w:w="0" w:type="dxa"/>
            <w:left w:w="108" w:type="dxa"/>
            <w:bottom w:w="0" w:type="dxa"/>
            <w:right w:w="108" w:type="dxa"/>
          </w:tblCellMar>
        </w:tblPrEx>
        <w:trPr>
          <w:trHeight w:val="12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p>
          <w:p>
            <w:pPr>
              <w:jc w:val="both"/>
              <w:textAlignment w:val="center"/>
              <w:rPr>
                <w:rFonts w:hint="eastAsia"/>
                <w:color w:val="000000"/>
                <w:sz w:val="20"/>
                <w:szCs w:val="20"/>
              </w:rPr>
            </w:pPr>
            <w:r>
              <w:rPr>
                <w:rFonts w:hint="eastAsia"/>
                <w:color w:val="000000"/>
                <w:sz w:val="20"/>
                <w:szCs w:val="20"/>
              </w:rPr>
              <w:t>视频会议系统1</w:t>
            </w:r>
          </w:p>
        </w:tc>
        <w:tc>
          <w:tcPr>
            <w:tcW w:w="5340" w:type="dxa"/>
            <w:tcBorders>
              <w:top w:val="single" w:color="000000" w:sz="4" w:space="0"/>
              <w:left w:val="single" w:color="000000" w:sz="4" w:space="0"/>
              <w:bottom w:val="single" w:color="000000" w:sz="4" w:space="0"/>
              <w:right w:val="single" w:color="000000" w:sz="4" w:space="0"/>
            </w:tcBorders>
            <w:vAlign w:val="center"/>
          </w:tcPr>
          <w:p>
            <w:pPr>
              <w:numPr>
                <w:ilvl w:val="0"/>
                <w:numId w:val="16"/>
              </w:numPr>
              <w:textAlignment w:val="center"/>
              <w:rPr>
                <w:rFonts w:hint="eastAsia"/>
                <w:color w:val="000000"/>
                <w:sz w:val="20"/>
                <w:szCs w:val="20"/>
                <w:highlight w:val="none"/>
              </w:rPr>
            </w:pPr>
            <w:r>
              <w:rPr>
                <w:rFonts w:hint="eastAsia"/>
                <w:color w:val="000000"/>
                <w:sz w:val="20"/>
                <w:szCs w:val="20"/>
              </w:rPr>
              <w:t>视联动力/aurora，利旧，需移机重新安装调试和视频会议</w:t>
            </w:r>
            <w:r>
              <w:rPr>
                <w:rFonts w:hint="eastAsia"/>
                <w:color w:val="000000"/>
                <w:sz w:val="20"/>
                <w:szCs w:val="20"/>
                <w:highlight w:val="none"/>
              </w:rPr>
              <w:t>电路割接。</w:t>
            </w:r>
          </w:p>
          <w:p>
            <w:pPr>
              <w:textAlignment w:val="center"/>
              <w:rPr>
                <w:rFonts w:hint="eastAsia"/>
                <w:color w:val="000000"/>
                <w:sz w:val="20"/>
                <w:szCs w:val="20"/>
              </w:rPr>
            </w:pPr>
            <w:r>
              <w:rPr>
                <w:rFonts w:hint="eastAsia"/>
                <w:color w:val="000000"/>
                <w:sz w:val="20"/>
                <w:szCs w:val="20"/>
                <w:highlight w:val="none"/>
              </w:rPr>
              <w:t>▲2、中标供应商需另外提供一套视联网会议系统和视联网会议线路，根据要求调整到可以使用为止。</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Pr>
                <w:rFonts w:hint="eastAsia"/>
                <w:color w:val="000000"/>
                <w:sz w:val="20"/>
                <w:szCs w:val="20"/>
              </w:rPr>
              <w:t xml:space="preserve"> </w:t>
            </w:r>
          </w:p>
        </w:tc>
      </w:tr>
      <w:tr>
        <w:tblPrEx>
          <w:tblCellMar>
            <w:top w:w="0" w:type="dxa"/>
            <w:left w:w="108" w:type="dxa"/>
            <w:bottom w:w="0" w:type="dxa"/>
            <w:right w:w="108" w:type="dxa"/>
          </w:tblCellMar>
        </w:tblPrEx>
        <w:trPr>
          <w:trHeight w:val="128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视频会议系统2</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一、主会场视频交换中心平台1套</w:t>
            </w:r>
            <w:r>
              <w:rPr>
                <w:rFonts w:hint="eastAsia"/>
                <w:color w:val="000000"/>
                <w:sz w:val="20"/>
                <w:szCs w:val="20"/>
              </w:rPr>
              <w:br w:type="textWrapping"/>
            </w:r>
            <w:r>
              <w:rPr>
                <w:rFonts w:hint="eastAsia"/>
                <w:color w:val="000000"/>
                <w:sz w:val="20"/>
                <w:szCs w:val="20"/>
              </w:rPr>
              <w:t>1、系统需支持视频系统云架构思路，支持大数据业务应用模式和易管理的扁平化设计理念。由于涉及互联网云技术，相关应用可以采用服务租赁方式,投标人需至少从海量终端接入、平台资源池搭建、随时随地使用任何设备加入等方面阐述所投系统优势。</w:t>
            </w:r>
            <w:r>
              <w:rPr>
                <w:rFonts w:hint="eastAsia"/>
                <w:color w:val="000000"/>
                <w:sz w:val="20"/>
                <w:szCs w:val="20"/>
              </w:rPr>
              <w:br w:type="textWrapping"/>
            </w:r>
            <w:r>
              <w:rPr>
                <w:rFonts w:hint="eastAsia"/>
                <w:color w:val="000000"/>
                <w:sz w:val="20"/>
                <w:szCs w:val="20"/>
              </w:rPr>
              <w:t>2、云技术要求：能够满足云技术架构要求，且核心物理位置在中国大陆境内，无需采购DSP架构多点资源控制系统，需采用最新互联网虚拟化架构技术，支持各互联网络运营商，用户可随时随地登录使用。</w:t>
            </w:r>
            <w:r>
              <w:rPr>
                <w:rFonts w:hint="eastAsia"/>
                <w:color w:val="000000"/>
                <w:sz w:val="20"/>
                <w:szCs w:val="20"/>
              </w:rPr>
              <w:br w:type="textWrapping"/>
            </w:r>
            <w:r>
              <w:rPr>
                <w:rFonts w:hint="eastAsia"/>
                <w:color w:val="000000"/>
                <w:sz w:val="20"/>
                <w:szCs w:val="20"/>
              </w:rPr>
              <w:t>3、视频质量要求：在网络带宽稳定的情况下不低于720P，在网络不稳定的情况下，能够自适应调整音视频分辨率和帧率，最低保障声音连续稳定。自动匹配网络安全和代理设置，不受其限制。</w:t>
            </w:r>
            <w:r>
              <w:rPr>
                <w:rFonts w:hint="eastAsia"/>
                <w:color w:val="000000"/>
                <w:sz w:val="20"/>
                <w:szCs w:val="20"/>
              </w:rPr>
              <w:br w:type="textWrapping"/>
            </w:r>
            <w:r>
              <w:rPr>
                <w:rFonts w:hint="eastAsia"/>
                <w:color w:val="000000"/>
                <w:sz w:val="20"/>
                <w:szCs w:val="20"/>
              </w:rPr>
              <w:t>4、会议能力要求：提供多方远程音视频和数据协作交互式会议,支持单会议支持不少于10000方用户接入。</w:t>
            </w:r>
            <w:r>
              <w:rPr>
                <w:rFonts w:hint="eastAsia"/>
                <w:color w:val="000000"/>
                <w:sz w:val="20"/>
                <w:szCs w:val="20"/>
              </w:rPr>
              <w:br w:type="textWrapping"/>
            </w:r>
            <w:r>
              <w:rPr>
                <w:rFonts w:hint="eastAsia"/>
                <w:color w:val="000000"/>
                <w:sz w:val="20"/>
                <w:szCs w:val="20"/>
              </w:rPr>
              <w:t>5、会议辅流功能要求：支持桌面共享,支持应用程序PPT、WORD等电子文档共享, 支持AVI、MP4等流媒体视频和声音的共享、文档共享、窗口共享及白板互动等双向共享和交互式批注功能；能够支持双屏显示功能，并可控制双屏显示内容和视频布局，辅流分辨率能够达到1080P。</w:t>
            </w:r>
            <w:r>
              <w:rPr>
                <w:rFonts w:hint="eastAsia"/>
                <w:color w:val="000000"/>
                <w:sz w:val="20"/>
                <w:szCs w:val="20"/>
              </w:rPr>
              <w:br w:type="textWrapping"/>
            </w:r>
            <w:r>
              <w:rPr>
                <w:rFonts w:hint="eastAsia"/>
                <w:color w:val="000000"/>
                <w:sz w:val="20"/>
                <w:szCs w:val="20"/>
              </w:rPr>
              <w:t>6、跨平台共享功能要求: 支持windows, Mac OS桌面系统和移动客户端iOS和安卓系统之间的跨平台共享. 支持桌面系统/移动系统屏幕共享, 桌面系统/移动系统共同标注, 桌面系统/移动系统即时消息沟通, 移动端iPad/iPhone 通过AirPlay 1:1屏幕共享,安卓设备1：1屏幕共享协作。</w:t>
            </w:r>
            <w:r>
              <w:rPr>
                <w:rFonts w:hint="eastAsia"/>
                <w:color w:val="000000"/>
                <w:sz w:val="20"/>
                <w:szCs w:val="20"/>
              </w:rPr>
              <w:br w:type="textWrapping"/>
            </w:r>
            <w:r>
              <w:rPr>
                <w:rFonts w:hint="eastAsia"/>
                <w:color w:val="000000"/>
                <w:sz w:val="20"/>
                <w:szCs w:val="20"/>
              </w:rPr>
              <w:t>7、高清视频会议系统具有良好的兼容性，可通过相关设备与采用国际标准协议H.323、SIP的高、标清设备实现音视频双流的互通。系统具有强大的安全机制，系统及终端必须支持国际主流的加密标准协议。</w:t>
            </w:r>
            <w:r>
              <w:rPr>
                <w:rFonts w:hint="eastAsia"/>
                <w:color w:val="000000"/>
                <w:sz w:val="20"/>
                <w:szCs w:val="20"/>
              </w:rPr>
              <w:br w:type="textWrapping"/>
            </w:r>
            <w:r>
              <w:rPr>
                <w:rFonts w:hint="eastAsia"/>
                <w:color w:val="000000"/>
                <w:sz w:val="20"/>
                <w:szCs w:val="20"/>
              </w:rPr>
              <w:t>8、支持基于会议的H5直播, 参与方无需安装插件可以在任何主流浏览器及微信中直接实时收看互动的直播。支持最多25分屏画面的展示，支持多个主持人最多200路互动上麦，还提供文字交流、弹幕等用户互动方式；支持1万人以上容量的直播。</w:t>
            </w:r>
            <w:r>
              <w:rPr>
                <w:rFonts w:hint="eastAsia"/>
                <w:color w:val="000000"/>
                <w:sz w:val="20"/>
                <w:szCs w:val="20"/>
              </w:rPr>
              <w:br w:type="textWrapping"/>
            </w:r>
            <w:r>
              <w:rPr>
                <w:rFonts w:hint="eastAsia"/>
                <w:color w:val="000000"/>
                <w:sz w:val="20"/>
                <w:szCs w:val="20"/>
              </w:rPr>
              <w:t>9、提供会议管理功能，会议管理人员能够进行权限移交、全体静音/选定静音、会议锁定、邀请/移除与会者、主持人控制界面、通话保持以及参会人分组等操作，并支持会议中可存在两名会议控制人。</w:t>
            </w:r>
            <w:r>
              <w:rPr>
                <w:rFonts w:hint="eastAsia"/>
                <w:color w:val="000000"/>
                <w:sz w:val="20"/>
                <w:szCs w:val="20"/>
              </w:rPr>
              <w:br w:type="textWrapping"/>
            </w:r>
            <w:r>
              <w:rPr>
                <w:rFonts w:hint="eastAsia"/>
                <w:color w:val="000000"/>
                <w:sz w:val="20"/>
                <w:szCs w:val="20"/>
              </w:rPr>
              <w:t>10、支持短信、邮件会议自动通知功能，参会人员可以通过邮件、短信中获取的会议链接或者会议ID直接加入会议。</w:t>
            </w:r>
            <w:r>
              <w:rPr>
                <w:rFonts w:hint="eastAsia"/>
                <w:color w:val="000000"/>
                <w:sz w:val="20"/>
                <w:szCs w:val="20"/>
              </w:rPr>
              <w:br w:type="textWrapping"/>
            </w:r>
            <w:r>
              <w:rPr>
                <w:rFonts w:hint="eastAsia"/>
                <w:color w:val="000000"/>
                <w:sz w:val="20"/>
                <w:szCs w:val="20"/>
              </w:rPr>
              <w:t>11、需支持PSTN话机和IP话机通过纯语音加入会议的需求, 支持会议外呼PSTN电话和手机入会；另外，需支持会议管理、公网内网穿越，提供现场测试。</w:t>
            </w:r>
            <w:r>
              <w:rPr>
                <w:rFonts w:hint="eastAsia"/>
                <w:color w:val="000000"/>
                <w:sz w:val="20"/>
                <w:szCs w:val="20"/>
              </w:rPr>
              <w:br w:type="textWrapping"/>
            </w:r>
            <w:r>
              <w:rPr>
                <w:rFonts w:hint="eastAsia"/>
                <w:color w:val="000000"/>
                <w:sz w:val="20"/>
                <w:szCs w:val="20"/>
              </w:rPr>
              <w:t>12、支持录制功能，支持音频和视频文件分开录制,并同时提供客户端录制和云端录制两种方式。</w:t>
            </w:r>
            <w:r>
              <w:rPr>
                <w:rFonts w:hint="eastAsia"/>
                <w:color w:val="000000"/>
                <w:sz w:val="20"/>
                <w:szCs w:val="20"/>
              </w:rPr>
              <w:br w:type="textWrapping"/>
            </w:r>
            <w:r>
              <w:rPr>
                <w:rFonts w:hint="eastAsia"/>
                <w:color w:val="000000"/>
                <w:sz w:val="20"/>
                <w:szCs w:val="20"/>
              </w:rPr>
              <w:t>13、会议终端在网络中断恢复后可自动恢复进入会议，支持现场进行测试。</w:t>
            </w:r>
            <w:r>
              <w:rPr>
                <w:rFonts w:hint="eastAsia"/>
                <w:color w:val="000000"/>
                <w:sz w:val="20"/>
                <w:szCs w:val="20"/>
              </w:rPr>
              <w:br w:type="textWrapping"/>
            </w:r>
            <w:r>
              <w:rPr>
                <w:rFonts w:hint="eastAsia"/>
                <w:color w:val="000000"/>
                <w:sz w:val="20"/>
                <w:szCs w:val="20"/>
              </w:rPr>
              <w:t>二、主会场分体式视频会议终1台</w:t>
            </w:r>
            <w:r>
              <w:rPr>
                <w:rFonts w:hint="eastAsia"/>
                <w:color w:val="000000"/>
                <w:sz w:val="20"/>
                <w:szCs w:val="20"/>
              </w:rPr>
              <w:br w:type="textWrapping"/>
            </w:r>
            <w:r>
              <w:rPr>
                <w:rFonts w:hint="eastAsia"/>
                <w:color w:val="000000"/>
                <w:sz w:val="20"/>
                <w:szCs w:val="20"/>
              </w:rPr>
              <w:t>1、视频输出接口两个：HDMI×1、typec×1；视频输入接口一路：USB3.0，USB接口 USB 3.0×4（可连接外置麦克风和摄像机），网络接口一个：10/100/1000Mbps自适应网口×1，WiFi 802.11ac；</w:t>
            </w:r>
            <w:r>
              <w:rPr>
                <w:rFonts w:hint="eastAsia"/>
                <w:color w:val="000000"/>
                <w:sz w:val="20"/>
                <w:szCs w:val="20"/>
              </w:rPr>
              <w:br w:type="textWrapping"/>
            </w:r>
            <w:r>
              <w:rPr>
                <w:rFonts w:hint="eastAsia"/>
                <w:color w:val="000000"/>
                <w:sz w:val="20"/>
                <w:szCs w:val="20"/>
              </w:rPr>
              <w:t>2、支持用户登录、匿名、链接等多种入会方式，可根据项目定制方案；</w:t>
            </w:r>
            <w:r>
              <w:rPr>
                <w:rFonts w:hint="eastAsia"/>
                <w:color w:val="000000"/>
                <w:sz w:val="20"/>
                <w:szCs w:val="20"/>
              </w:rPr>
              <w:br w:type="textWrapping"/>
            </w:r>
            <w:r>
              <w:rPr>
                <w:rFonts w:hint="eastAsia"/>
                <w:color w:val="000000"/>
                <w:sz w:val="20"/>
                <w:szCs w:val="20"/>
              </w:rPr>
              <w:t>3、支持单屏、双屏输出，一屏幕为会场画面，第二屏显示语音激励或者数据共享；</w:t>
            </w:r>
            <w:r>
              <w:rPr>
                <w:rFonts w:hint="eastAsia"/>
                <w:color w:val="000000"/>
                <w:sz w:val="20"/>
                <w:szCs w:val="20"/>
              </w:rPr>
              <w:br w:type="textWrapping"/>
            </w:r>
            <w:r>
              <w:rPr>
                <w:rFonts w:hint="eastAsia"/>
                <w:color w:val="000000"/>
                <w:sz w:val="20"/>
                <w:szCs w:val="20"/>
              </w:rPr>
              <w:t>4、支持账号后台web管理用户，进行端到端加密、创建会议、会议报表、主持人密钥、支持人密码、虚拟会议室；</w:t>
            </w:r>
            <w:r>
              <w:rPr>
                <w:rFonts w:hint="eastAsia"/>
                <w:color w:val="000000"/>
                <w:sz w:val="20"/>
                <w:szCs w:val="20"/>
              </w:rPr>
              <w:br w:type="textWrapping"/>
            </w:r>
            <w:r>
              <w:rPr>
                <w:rFonts w:hint="eastAsia"/>
                <w:color w:val="000000"/>
                <w:sz w:val="20"/>
                <w:szCs w:val="20"/>
              </w:rPr>
              <w:t>5、支持会控pad进行与会者管理、全体静音、关闭视频、设置主持人、锁定会议、控制摄像头转动及调解焦距、双屏灵活显示及切换；</w:t>
            </w:r>
            <w:r>
              <w:rPr>
                <w:rFonts w:hint="eastAsia"/>
                <w:color w:val="000000"/>
                <w:sz w:val="20"/>
                <w:szCs w:val="20"/>
              </w:rPr>
              <w:br w:type="textWrapping"/>
            </w:r>
            <w:r>
              <w:rPr>
                <w:rFonts w:hint="eastAsia"/>
                <w:color w:val="000000"/>
                <w:sz w:val="20"/>
                <w:szCs w:val="20"/>
              </w:rPr>
              <w:t>6、支持ITU的H264/AVC，H264/SVC（H.264标准的附录G）编码，支持空域4层、时域3层同时编码；</w:t>
            </w:r>
            <w:r>
              <w:rPr>
                <w:rFonts w:hint="eastAsia"/>
                <w:color w:val="000000"/>
                <w:sz w:val="20"/>
                <w:szCs w:val="20"/>
              </w:rPr>
              <w:br w:type="textWrapping"/>
            </w:r>
            <w:r>
              <w:rPr>
                <w:rFonts w:hint="eastAsia"/>
                <w:color w:val="000000"/>
                <w:sz w:val="20"/>
                <w:szCs w:val="20"/>
              </w:rPr>
              <w:t>7、先进的AEC算法，支持双声道立体声，支持音频后处理及强大的音频恢复技术，在低带宽及及较高丢包率下保证音频质量；</w:t>
            </w:r>
            <w:r>
              <w:rPr>
                <w:rFonts w:hint="eastAsia"/>
                <w:color w:val="000000"/>
                <w:sz w:val="20"/>
                <w:szCs w:val="20"/>
              </w:rPr>
              <w:br w:type="textWrapping"/>
            </w:r>
            <w:r>
              <w:rPr>
                <w:rFonts w:hint="eastAsia"/>
                <w:color w:val="000000"/>
                <w:sz w:val="20"/>
                <w:szCs w:val="20"/>
              </w:rPr>
              <w:t>8、支持会控pad扫码与终端进行快捷配对；</w:t>
            </w:r>
            <w:r>
              <w:rPr>
                <w:rFonts w:hint="eastAsia"/>
                <w:color w:val="000000"/>
                <w:sz w:val="20"/>
                <w:szCs w:val="20"/>
              </w:rPr>
              <w:br w:type="textWrapping"/>
            </w:r>
            <w:r>
              <w:rPr>
                <w:rFonts w:hint="eastAsia"/>
                <w:color w:val="000000"/>
                <w:sz w:val="20"/>
                <w:szCs w:val="20"/>
              </w:rPr>
              <w:t>9、支持快速会议和预约会议的安排方式；</w:t>
            </w:r>
            <w:r>
              <w:rPr>
                <w:rFonts w:hint="eastAsia"/>
                <w:color w:val="000000"/>
                <w:sz w:val="20"/>
                <w:szCs w:val="20"/>
              </w:rPr>
              <w:br w:type="textWrapping"/>
            </w:r>
            <w:r>
              <w:rPr>
                <w:rFonts w:hint="eastAsia"/>
                <w:color w:val="000000"/>
                <w:sz w:val="20"/>
                <w:szCs w:val="20"/>
              </w:rPr>
              <w:t>10、可通过会控pad对摄像机设置特定的预置位；</w:t>
            </w:r>
            <w:r>
              <w:rPr>
                <w:rFonts w:hint="eastAsia"/>
                <w:color w:val="000000"/>
                <w:sz w:val="20"/>
                <w:szCs w:val="20"/>
              </w:rPr>
              <w:br w:type="textWrapping"/>
            </w:r>
            <w:r>
              <w:rPr>
                <w:rFonts w:hint="eastAsia"/>
                <w:color w:val="000000"/>
                <w:sz w:val="20"/>
                <w:szCs w:val="20"/>
              </w:rPr>
              <w:t>11、支持在每个客户端预约会议，且可选参会地点以及参会人；</w:t>
            </w:r>
            <w:r>
              <w:rPr>
                <w:rFonts w:hint="eastAsia"/>
                <w:color w:val="000000"/>
                <w:sz w:val="20"/>
                <w:szCs w:val="20"/>
              </w:rPr>
              <w:br w:type="textWrapping"/>
            </w:r>
            <w:r>
              <w:rPr>
                <w:rFonts w:hint="eastAsia"/>
                <w:color w:val="000000"/>
                <w:sz w:val="20"/>
                <w:szCs w:val="20"/>
              </w:rPr>
              <w:t>12、支持会议消息通知，包含邮件、短信、第三方系统（需定制）</w:t>
            </w:r>
            <w:r>
              <w:rPr>
                <w:rFonts w:hint="eastAsia"/>
                <w:color w:val="000000"/>
                <w:sz w:val="20"/>
                <w:szCs w:val="20"/>
              </w:rPr>
              <w:br w:type="textWrapping"/>
            </w:r>
            <w:r>
              <w:rPr>
                <w:rFonts w:hint="eastAsia"/>
                <w:color w:val="000000"/>
                <w:sz w:val="20"/>
                <w:szCs w:val="20"/>
              </w:rPr>
              <w:t>13、支持会议列表显示，所有与该终端有关的会议都在会议列表中显示；</w:t>
            </w:r>
            <w:r>
              <w:rPr>
                <w:rFonts w:hint="eastAsia"/>
                <w:color w:val="000000"/>
                <w:sz w:val="20"/>
                <w:szCs w:val="20"/>
              </w:rPr>
              <w:br w:type="textWrapping"/>
            </w:r>
            <w:r>
              <w:rPr>
                <w:rFonts w:hint="eastAsia"/>
                <w:color w:val="000000"/>
                <w:sz w:val="20"/>
                <w:szCs w:val="20"/>
              </w:rPr>
              <w:t>14、支持两种会议模式，主席模式和自由会议模式；</w:t>
            </w:r>
            <w:r>
              <w:rPr>
                <w:rFonts w:hint="eastAsia"/>
                <w:color w:val="000000"/>
                <w:sz w:val="20"/>
                <w:szCs w:val="20"/>
              </w:rPr>
              <w:br w:type="textWrapping"/>
            </w:r>
            <w:r>
              <w:rPr>
                <w:rFonts w:hint="eastAsia"/>
                <w:color w:val="000000"/>
                <w:sz w:val="20"/>
                <w:szCs w:val="20"/>
              </w:rPr>
              <w:t>15、支持网关布局，对标准接入的H.323或者SIP终端进行布局控制；</w:t>
            </w:r>
            <w:r>
              <w:rPr>
                <w:rFonts w:hint="eastAsia"/>
                <w:color w:val="000000"/>
                <w:sz w:val="20"/>
                <w:szCs w:val="20"/>
              </w:rPr>
              <w:br w:type="textWrapping"/>
            </w:r>
            <w:r>
              <w:rPr>
                <w:rFonts w:hint="eastAsia"/>
                <w:color w:val="000000"/>
                <w:sz w:val="20"/>
                <w:szCs w:val="20"/>
              </w:rPr>
              <w:t>16、支持高保真立体声；</w:t>
            </w:r>
            <w:r>
              <w:rPr>
                <w:rFonts w:hint="eastAsia"/>
                <w:color w:val="000000"/>
                <w:sz w:val="20"/>
                <w:szCs w:val="20"/>
              </w:rPr>
              <w:br w:type="textWrapping"/>
            </w:r>
            <w:r>
              <w:rPr>
                <w:rFonts w:hint="eastAsia"/>
                <w:color w:val="000000"/>
                <w:sz w:val="20"/>
                <w:szCs w:val="20"/>
              </w:rPr>
              <w:t>17、支持电话会议接入；（采用电话网关实现）</w:t>
            </w:r>
            <w:r>
              <w:rPr>
                <w:rFonts w:hint="eastAsia"/>
                <w:color w:val="000000"/>
                <w:sz w:val="20"/>
                <w:szCs w:val="20"/>
              </w:rPr>
              <w:br w:type="textWrapping"/>
            </w:r>
            <w:r>
              <w:rPr>
                <w:rFonts w:hint="eastAsia"/>
                <w:color w:val="000000"/>
                <w:sz w:val="20"/>
                <w:szCs w:val="20"/>
              </w:rPr>
              <w:t>18、支持加入会议的会议密码控制；</w:t>
            </w:r>
            <w:r>
              <w:rPr>
                <w:rFonts w:hint="eastAsia"/>
                <w:color w:val="000000"/>
                <w:sz w:val="20"/>
                <w:szCs w:val="20"/>
              </w:rPr>
              <w:br w:type="textWrapping"/>
            </w:r>
            <w:r>
              <w:rPr>
                <w:rFonts w:hint="eastAsia"/>
                <w:color w:val="000000"/>
                <w:sz w:val="20"/>
                <w:szCs w:val="20"/>
              </w:rPr>
              <w:t>19、支持动态带宽调整；</w:t>
            </w:r>
            <w:r>
              <w:rPr>
                <w:rFonts w:hint="eastAsia"/>
                <w:color w:val="000000"/>
                <w:sz w:val="20"/>
                <w:szCs w:val="20"/>
              </w:rPr>
              <w:br w:type="textWrapping"/>
            </w:r>
            <w:r>
              <w:rPr>
                <w:rFonts w:hint="eastAsia"/>
                <w:color w:val="000000"/>
                <w:sz w:val="20"/>
                <w:szCs w:val="20"/>
              </w:rPr>
              <w:t>20、支持会议断线自动重连，不需要手动重新呼叫，保证会议的质量；</w:t>
            </w:r>
            <w:r>
              <w:rPr>
                <w:rFonts w:hint="eastAsia"/>
                <w:color w:val="000000"/>
                <w:sz w:val="20"/>
                <w:szCs w:val="20"/>
              </w:rPr>
              <w:br w:type="textWrapping"/>
            </w:r>
            <w:r>
              <w:rPr>
                <w:rFonts w:hint="eastAsia"/>
                <w:color w:val="000000"/>
                <w:sz w:val="20"/>
                <w:szCs w:val="20"/>
              </w:rPr>
              <w:t>21、支持双流，共享桌面；</w:t>
            </w:r>
            <w:r>
              <w:rPr>
                <w:rFonts w:hint="eastAsia"/>
                <w:color w:val="000000"/>
                <w:sz w:val="20"/>
                <w:szCs w:val="20"/>
              </w:rPr>
              <w:br w:type="textWrapping"/>
            </w:r>
            <w:r>
              <w:rPr>
                <w:rFonts w:hint="eastAsia"/>
                <w:color w:val="000000"/>
                <w:sz w:val="20"/>
                <w:szCs w:val="20"/>
              </w:rPr>
              <w:t>22、支持全体静音和强制静音两种模式；</w:t>
            </w:r>
            <w:r>
              <w:rPr>
                <w:rFonts w:hint="eastAsia"/>
                <w:color w:val="000000"/>
                <w:sz w:val="20"/>
                <w:szCs w:val="20"/>
              </w:rPr>
              <w:br w:type="textWrapping"/>
            </w:r>
            <w:r>
              <w:rPr>
                <w:rFonts w:hint="eastAsia"/>
                <w:color w:val="000000"/>
                <w:sz w:val="20"/>
                <w:szCs w:val="20"/>
              </w:rPr>
              <w:t>23、支持主持人全局控制，可以对所有入会终端进行静音，关闭镜头，指定会场显示等操作；</w:t>
            </w:r>
            <w:r>
              <w:rPr>
                <w:rFonts w:hint="eastAsia"/>
                <w:color w:val="000000"/>
                <w:sz w:val="20"/>
                <w:szCs w:val="20"/>
              </w:rPr>
              <w:br w:type="textWrapping"/>
            </w:r>
            <w:r>
              <w:rPr>
                <w:rFonts w:hint="eastAsia"/>
                <w:color w:val="000000"/>
                <w:sz w:val="20"/>
                <w:szCs w:val="20"/>
              </w:rPr>
              <w:t>24、支持举手发言，会议过程中，发言者可举手进行发言；</w:t>
            </w:r>
            <w:r>
              <w:rPr>
                <w:rFonts w:hint="eastAsia"/>
                <w:color w:val="000000"/>
                <w:sz w:val="20"/>
                <w:szCs w:val="20"/>
              </w:rPr>
              <w:br w:type="textWrapping"/>
            </w:r>
            <w:r>
              <w:rPr>
                <w:rFonts w:hint="eastAsia"/>
                <w:color w:val="000000"/>
                <w:sz w:val="20"/>
                <w:szCs w:val="20"/>
              </w:rPr>
              <w:t>25、支持会议邀请，主持人可在线邀请终端和标准终端设备；</w:t>
            </w:r>
            <w:r>
              <w:rPr>
                <w:rFonts w:hint="eastAsia"/>
                <w:color w:val="000000"/>
                <w:sz w:val="20"/>
                <w:szCs w:val="20"/>
              </w:rPr>
              <w:br w:type="textWrapping"/>
            </w:r>
            <w:r>
              <w:rPr>
                <w:rFonts w:hint="eastAsia"/>
                <w:color w:val="000000"/>
                <w:sz w:val="20"/>
                <w:szCs w:val="20"/>
              </w:rPr>
              <w:t>26、支持主持人权限转移；</w:t>
            </w:r>
            <w:r>
              <w:rPr>
                <w:rFonts w:hint="eastAsia"/>
                <w:color w:val="000000"/>
                <w:sz w:val="20"/>
                <w:szCs w:val="20"/>
              </w:rPr>
              <w:br w:type="textWrapping"/>
            </w:r>
            <w:r>
              <w:rPr>
                <w:rFonts w:hint="eastAsia"/>
                <w:color w:val="000000"/>
                <w:sz w:val="20"/>
                <w:szCs w:val="20"/>
              </w:rPr>
              <w:t>27、支持语音激励；</w:t>
            </w:r>
            <w:r>
              <w:rPr>
                <w:rFonts w:hint="eastAsia"/>
                <w:color w:val="000000"/>
                <w:sz w:val="20"/>
                <w:szCs w:val="20"/>
              </w:rPr>
              <w:br w:type="textWrapping"/>
            </w:r>
            <w:r>
              <w:rPr>
                <w:rFonts w:hint="eastAsia"/>
                <w:color w:val="000000"/>
                <w:sz w:val="20"/>
                <w:szCs w:val="20"/>
              </w:rPr>
              <w:t>28、支持静音入会，不影响会议中其他发言人讲话；</w:t>
            </w:r>
            <w:r>
              <w:rPr>
                <w:rFonts w:hint="eastAsia"/>
                <w:color w:val="000000"/>
                <w:sz w:val="20"/>
                <w:szCs w:val="20"/>
              </w:rPr>
              <w:br w:type="textWrapping"/>
            </w:r>
            <w:r>
              <w:rPr>
                <w:rFonts w:hint="eastAsia"/>
                <w:color w:val="000000"/>
                <w:sz w:val="20"/>
                <w:szCs w:val="20"/>
              </w:rPr>
              <w:t>29、支持会议字幕功能；</w:t>
            </w:r>
            <w:r>
              <w:rPr>
                <w:rFonts w:hint="eastAsia"/>
                <w:color w:val="000000"/>
                <w:sz w:val="20"/>
                <w:szCs w:val="20"/>
              </w:rPr>
              <w:br w:type="textWrapping"/>
            </w:r>
            <w:r>
              <w:rPr>
                <w:rFonts w:hint="eastAsia"/>
                <w:color w:val="000000"/>
                <w:sz w:val="20"/>
                <w:szCs w:val="20"/>
              </w:rPr>
              <w:t>30、支持会中切换麦克风&amp;扬声器&amp;镜头等外接设备；</w:t>
            </w:r>
            <w:r>
              <w:rPr>
                <w:rFonts w:hint="eastAsia"/>
                <w:color w:val="000000"/>
                <w:sz w:val="20"/>
                <w:szCs w:val="20"/>
              </w:rPr>
              <w:br w:type="textWrapping"/>
            </w:r>
            <w:r>
              <w:rPr>
                <w:rFonts w:hint="eastAsia"/>
                <w:color w:val="000000"/>
                <w:sz w:val="20"/>
                <w:szCs w:val="20"/>
              </w:rPr>
              <w:t>三、分会场一体化视频会议终端1台</w:t>
            </w:r>
            <w:r>
              <w:rPr>
                <w:rFonts w:hint="eastAsia"/>
                <w:color w:val="000000"/>
                <w:sz w:val="20"/>
                <w:szCs w:val="20"/>
              </w:rPr>
              <w:br w:type="textWrapping"/>
            </w:r>
            <w:r>
              <w:rPr>
                <w:rFonts w:hint="eastAsia"/>
                <w:color w:val="000000"/>
                <w:sz w:val="20"/>
                <w:szCs w:val="20"/>
              </w:rPr>
              <w:t>1、HDMI*1、3.5MM音频接口*1；</w:t>
            </w:r>
            <w:r>
              <w:rPr>
                <w:rFonts w:hint="eastAsia"/>
                <w:color w:val="000000"/>
                <w:sz w:val="20"/>
                <w:szCs w:val="20"/>
              </w:rPr>
              <w:br w:type="textWrapping"/>
            </w:r>
            <w:r>
              <w:rPr>
                <w:rFonts w:hint="eastAsia"/>
                <w:color w:val="000000"/>
                <w:sz w:val="20"/>
                <w:szCs w:val="20"/>
              </w:rPr>
              <w:t>2、USB3.0*2 （可连接外置麦克风和摄像机）；</w:t>
            </w:r>
            <w:r>
              <w:rPr>
                <w:rFonts w:hint="eastAsia"/>
                <w:color w:val="000000"/>
                <w:sz w:val="20"/>
                <w:szCs w:val="20"/>
              </w:rPr>
              <w:br w:type="textWrapping"/>
            </w:r>
            <w:r>
              <w:rPr>
                <w:rFonts w:hint="eastAsia"/>
                <w:color w:val="000000"/>
                <w:sz w:val="20"/>
                <w:szCs w:val="20"/>
              </w:rPr>
              <w:t>3、10/100/1000Mbps自适应网口，WIFI 802.11ac；</w:t>
            </w:r>
            <w:r>
              <w:rPr>
                <w:rFonts w:hint="eastAsia"/>
                <w:color w:val="000000"/>
                <w:sz w:val="20"/>
                <w:szCs w:val="20"/>
              </w:rPr>
              <w:br w:type="textWrapping"/>
            </w:r>
            <w:r>
              <w:rPr>
                <w:rFonts w:hint="eastAsia"/>
                <w:color w:val="000000"/>
                <w:sz w:val="20"/>
                <w:szCs w:val="20"/>
              </w:rPr>
              <w:t>4、1080P定焦摄像机，垂直角度调整：向下20°，向上10°；</w:t>
            </w:r>
            <w:r>
              <w:rPr>
                <w:rFonts w:hint="eastAsia"/>
                <w:color w:val="000000"/>
                <w:sz w:val="20"/>
                <w:szCs w:val="20"/>
              </w:rPr>
              <w:br w:type="textWrapping"/>
            </w:r>
            <w:r>
              <w:rPr>
                <w:rFonts w:hint="eastAsia"/>
                <w:color w:val="000000"/>
                <w:sz w:val="20"/>
                <w:szCs w:val="20"/>
              </w:rPr>
              <w:t>5、有效拾音距离6米；</w:t>
            </w:r>
            <w:r>
              <w:rPr>
                <w:rFonts w:hint="eastAsia"/>
                <w:color w:val="000000"/>
                <w:sz w:val="20"/>
                <w:szCs w:val="20"/>
              </w:rPr>
              <w:br w:type="textWrapping"/>
            </w:r>
            <w:r>
              <w:rPr>
                <w:rFonts w:hint="eastAsia"/>
                <w:color w:val="000000"/>
                <w:sz w:val="20"/>
                <w:szCs w:val="20"/>
              </w:rPr>
              <w:t>6、含视频通信云服务，会议方数和服务年限可选；</w:t>
            </w:r>
            <w:r>
              <w:rPr>
                <w:rFonts w:hint="eastAsia"/>
                <w:color w:val="000000"/>
                <w:sz w:val="20"/>
                <w:szCs w:val="20"/>
              </w:rPr>
              <w:br w:type="textWrapping"/>
            </w:r>
            <w:r>
              <w:rPr>
                <w:rFonts w:hint="eastAsia"/>
                <w:color w:val="000000"/>
                <w:sz w:val="20"/>
                <w:szCs w:val="20"/>
              </w:rPr>
              <w:t>7、通过会议室连接器服务能够与标准H.323/SIP视频会议终端、MCU互通；</w:t>
            </w:r>
            <w:r>
              <w:rPr>
                <w:rFonts w:hint="eastAsia"/>
                <w:color w:val="000000"/>
                <w:sz w:val="20"/>
                <w:szCs w:val="20"/>
              </w:rPr>
              <w:br w:type="textWrapping"/>
            </w:r>
            <w:r>
              <w:rPr>
                <w:rFonts w:hint="eastAsia"/>
                <w:color w:val="000000"/>
                <w:sz w:val="20"/>
                <w:szCs w:val="20"/>
              </w:rPr>
              <w:t>8、高清音频和视频，最大25分屏画面；</w:t>
            </w:r>
            <w:r>
              <w:rPr>
                <w:rFonts w:hint="eastAsia"/>
                <w:color w:val="000000"/>
                <w:sz w:val="20"/>
                <w:szCs w:val="20"/>
              </w:rPr>
              <w:br w:type="textWrapping"/>
            </w:r>
            <w:r>
              <w:rPr>
                <w:rFonts w:hint="eastAsia"/>
                <w:color w:val="000000"/>
                <w:sz w:val="20"/>
                <w:szCs w:val="20"/>
              </w:rPr>
              <w:t>9、QQ、微信等扫描二维码控制会议；</w:t>
            </w:r>
            <w:r>
              <w:rPr>
                <w:rFonts w:hint="eastAsia"/>
                <w:color w:val="000000"/>
                <w:sz w:val="20"/>
                <w:szCs w:val="20"/>
              </w:rPr>
              <w:br w:type="textWrapping"/>
            </w:r>
            <w:r>
              <w:rPr>
                <w:rFonts w:hint="eastAsia"/>
                <w:color w:val="000000"/>
                <w:sz w:val="20"/>
                <w:szCs w:val="20"/>
              </w:rPr>
              <w:t>10、通过软件无线共享桌面、应用和白板；</w:t>
            </w:r>
            <w:r>
              <w:rPr>
                <w:rFonts w:hint="eastAsia"/>
                <w:color w:val="000000"/>
                <w:sz w:val="20"/>
                <w:szCs w:val="20"/>
              </w:rPr>
              <w:br w:type="textWrapping"/>
            </w:r>
            <w:r>
              <w:rPr>
                <w:rFonts w:hint="eastAsia"/>
                <w:color w:val="000000"/>
                <w:sz w:val="20"/>
                <w:szCs w:val="20"/>
              </w:rPr>
              <w:t>11、支持MAC、IOS、WINDOWS操作系统本地无线投屏；</w:t>
            </w:r>
            <w:r>
              <w:rPr>
                <w:rFonts w:hint="eastAsia"/>
                <w:color w:val="000000"/>
                <w:sz w:val="20"/>
                <w:szCs w:val="20"/>
              </w:rPr>
              <w:br w:type="textWrapping"/>
            </w:r>
            <w:r>
              <w:rPr>
                <w:rFonts w:hint="eastAsia"/>
                <w:color w:val="000000"/>
                <w:sz w:val="20"/>
                <w:szCs w:val="20"/>
              </w:rPr>
              <w:t>12、通过电话会议可以加入一体化视频会议终端召开的会议。</w:t>
            </w:r>
            <w:r>
              <w:rPr>
                <w:rFonts w:hint="eastAsia"/>
                <w:color w:val="000000"/>
                <w:sz w:val="20"/>
                <w:szCs w:val="20"/>
              </w:rPr>
              <w:br w:type="textWrapping"/>
            </w:r>
            <w:r>
              <w:rPr>
                <w:rFonts w:hint="eastAsia"/>
                <w:color w:val="000000"/>
                <w:sz w:val="20"/>
                <w:szCs w:val="20"/>
              </w:rPr>
              <w:t>四、全向麦克风2套</w:t>
            </w:r>
            <w:r>
              <w:rPr>
                <w:rFonts w:hint="eastAsia"/>
                <w:color w:val="000000"/>
                <w:sz w:val="20"/>
                <w:szCs w:val="20"/>
              </w:rPr>
              <w:br w:type="textWrapping"/>
            </w:r>
            <w:r>
              <w:rPr>
                <w:rFonts w:hint="eastAsia"/>
                <w:color w:val="000000"/>
                <w:sz w:val="20"/>
                <w:szCs w:val="20"/>
              </w:rPr>
              <w:t>1、全双工深度消回音：全双工的回音抵消深度可达65dB以上，动态噪声抑制技术，可忽略回音、过滤背景噪音;超宽频语音通话技术，麦克风智能混音，带来高保真，无损伤的音质；</w:t>
            </w:r>
            <w:r>
              <w:rPr>
                <w:rFonts w:hint="eastAsia"/>
                <w:color w:val="000000"/>
                <w:sz w:val="20"/>
                <w:szCs w:val="20"/>
              </w:rPr>
              <w:br w:type="textWrapping"/>
            </w:r>
            <w:r>
              <w:rPr>
                <w:rFonts w:hint="eastAsia"/>
                <w:color w:val="000000"/>
                <w:sz w:val="20"/>
                <w:szCs w:val="20"/>
              </w:rPr>
              <w:t>2、内置9麦克风阵列，360度全方位拾音，8米拾音距离，48KHz音频采样率，95dB 信噪比；</w:t>
            </w:r>
            <w:r>
              <w:rPr>
                <w:rFonts w:hint="eastAsia"/>
                <w:color w:val="000000"/>
                <w:sz w:val="20"/>
                <w:szCs w:val="20"/>
              </w:rPr>
              <w:br w:type="textWrapping"/>
            </w:r>
            <w:r>
              <w:rPr>
                <w:rFonts w:hint="eastAsia"/>
                <w:color w:val="000000"/>
                <w:sz w:val="20"/>
                <w:szCs w:val="20"/>
              </w:rPr>
              <w:t>3、连接USB即可开启通话，操作简单，兼容丰富；同时支持多台麦克风级联，支持网线扩展级联；</w:t>
            </w:r>
            <w:r>
              <w:rPr>
                <w:rFonts w:hint="eastAsia"/>
                <w:color w:val="000000"/>
                <w:sz w:val="20"/>
                <w:szCs w:val="20"/>
              </w:rPr>
              <w:br w:type="textWrapping"/>
            </w:r>
            <w:r>
              <w:rPr>
                <w:rFonts w:hint="eastAsia"/>
                <w:color w:val="000000"/>
                <w:sz w:val="20"/>
                <w:szCs w:val="20"/>
              </w:rPr>
              <w:t>4、USB Type C接口1个，Rj45 接口2个；</w:t>
            </w:r>
            <w:r>
              <w:rPr>
                <w:rFonts w:hint="eastAsia"/>
                <w:color w:val="000000"/>
                <w:sz w:val="20"/>
                <w:szCs w:val="20"/>
              </w:rPr>
              <w:br w:type="textWrapping"/>
            </w:r>
            <w:r>
              <w:rPr>
                <w:rFonts w:hint="eastAsia"/>
                <w:color w:val="000000"/>
                <w:sz w:val="20"/>
                <w:szCs w:val="20"/>
              </w:rPr>
              <w:t>5、支持Windows7 /Windows8 /Windows10，Mac OSX 10.5 以上，Android 4.4以上。</w:t>
            </w:r>
            <w:r>
              <w:rPr>
                <w:rFonts w:hint="eastAsia"/>
                <w:color w:val="000000"/>
                <w:sz w:val="20"/>
                <w:szCs w:val="20"/>
              </w:rPr>
              <w:br w:type="textWrapping"/>
            </w:r>
            <w:r>
              <w:rPr>
                <w:rFonts w:hint="eastAsia"/>
                <w:color w:val="000000"/>
                <w:sz w:val="20"/>
                <w:szCs w:val="20"/>
              </w:rPr>
              <w:t>五、软件客户端</w:t>
            </w:r>
            <w:r>
              <w:rPr>
                <w:rFonts w:hint="eastAsia"/>
                <w:color w:val="000000"/>
                <w:sz w:val="20"/>
                <w:szCs w:val="20"/>
              </w:rPr>
              <w:br w:type="textWrapping"/>
            </w:r>
            <w:r>
              <w:rPr>
                <w:rFonts w:hint="eastAsia"/>
                <w:color w:val="000000"/>
                <w:sz w:val="20"/>
                <w:szCs w:val="20"/>
              </w:rPr>
              <w:t>1、支持通过会议ID、点击参会链接、通讯录邀请入会方式。</w:t>
            </w:r>
            <w:r>
              <w:rPr>
                <w:rFonts w:hint="eastAsia"/>
                <w:color w:val="000000"/>
                <w:sz w:val="20"/>
                <w:szCs w:val="20"/>
              </w:rPr>
              <w:br w:type="textWrapping"/>
            </w:r>
            <w:r>
              <w:rPr>
                <w:rFonts w:hint="eastAsia"/>
                <w:color w:val="000000"/>
                <w:sz w:val="20"/>
                <w:szCs w:val="20"/>
              </w:rPr>
              <w:t>2、客户端可在不同操作系统下完成安装：支持Windows、OSX、ios、android操作系统。</w:t>
            </w:r>
            <w:r>
              <w:rPr>
                <w:rFonts w:hint="eastAsia"/>
                <w:color w:val="000000"/>
                <w:sz w:val="20"/>
                <w:szCs w:val="20"/>
              </w:rPr>
              <w:br w:type="textWrapping"/>
            </w:r>
            <w:r>
              <w:rPr>
                <w:rFonts w:hint="eastAsia"/>
                <w:color w:val="000000"/>
                <w:sz w:val="20"/>
                <w:szCs w:val="20"/>
              </w:rPr>
              <w:t>3、客户端可添加内部通讯录，并且对通讯录中用户进行分组管理。</w:t>
            </w:r>
            <w:r>
              <w:rPr>
                <w:rFonts w:hint="eastAsia"/>
                <w:color w:val="000000"/>
                <w:sz w:val="20"/>
                <w:szCs w:val="20"/>
              </w:rPr>
              <w:br w:type="textWrapping"/>
            </w:r>
            <w:r>
              <w:rPr>
                <w:rFonts w:hint="eastAsia"/>
                <w:color w:val="000000"/>
                <w:sz w:val="20"/>
                <w:szCs w:val="20"/>
              </w:rPr>
              <w:t>4、客户端支持IM功能，可通过一对一、建群等模式进行文字以及视频沟通，同时支持文件传输、图片传输。</w:t>
            </w:r>
            <w:r>
              <w:rPr>
                <w:rFonts w:hint="eastAsia"/>
                <w:color w:val="000000"/>
                <w:sz w:val="20"/>
                <w:szCs w:val="20"/>
              </w:rPr>
              <w:br w:type="textWrapping"/>
            </w:r>
            <w:r>
              <w:rPr>
                <w:rFonts w:hint="eastAsia"/>
                <w:color w:val="000000"/>
                <w:sz w:val="20"/>
                <w:szCs w:val="20"/>
              </w:rPr>
              <w:t>5、客户端在网络中断1分钟内，支持自动重连，无需手动重新加入会议，可提供现场测试验证。</w:t>
            </w:r>
            <w:r>
              <w:rPr>
                <w:rFonts w:hint="eastAsia"/>
                <w:color w:val="000000"/>
                <w:sz w:val="20"/>
                <w:szCs w:val="20"/>
              </w:rPr>
              <w:br w:type="textWrapping"/>
            </w:r>
            <w:r>
              <w:rPr>
                <w:rFonts w:hint="eastAsia"/>
                <w:color w:val="000000"/>
                <w:sz w:val="20"/>
                <w:szCs w:val="20"/>
              </w:rPr>
              <w:t>6、支持SSO单点登录，灵活的与其他软件平台对接。</w:t>
            </w:r>
            <w:r>
              <w:rPr>
                <w:rFonts w:hint="eastAsia"/>
                <w:color w:val="000000"/>
                <w:sz w:val="20"/>
                <w:szCs w:val="20"/>
              </w:rPr>
              <w:br w:type="textWrapping"/>
            </w:r>
            <w:r>
              <w:rPr>
                <w:rFonts w:hint="eastAsia"/>
                <w:color w:val="000000"/>
                <w:sz w:val="20"/>
                <w:szCs w:val="20"/>
              </w:rPr>
              <w:t>7、在支持2至49自动会议分屏，并且客户端能在发言者模式和多画面模式自由切换。</w:t>
            </w:r>
            <w:r>
              <w:rPr>
                <w:rFonts w:hint="eastAsia"/>
                <w:color w:val="000000"/>
                <w:sz w:val="20"/>
                <w:szCs w:val="20"/>
              </w:rPr>
              <w:br w:type="textWrapping"/>
            </w:r>
            <w:r>
              <w:rPr>
                <w:rFonts w:hint="eastAsia"/>
                <w:color w:val="000000"/>
                <w:sz w:val="20"/>
                <w:szCs w:val="20"/>
              </w:rPr>
              <w:t>8、支持语音激励功能，会议中自动观看正在发言的终端，无需会议主持人手动控制。</w:t>
            </w:r>
            <w:r>
              <w:rPr>
                <w:rFonts w:hint="eastAsia"/>
                <w:color w:val="000000"/>
                <w:sz w:val="20"/>
                <w:szCs w:val="20"/>
              </w:rPr>
              <w:br w:type="textWrapping"/>
            </w:r>
            <w:r>
              <w:rPr>
                <w:rFonts w:hint="eastAsia"/>
                <w:color w:val="000000"/>
                <w:sz w:val="20"/>
                <w:szCs w:val="20"/>
              </w:rPr>
              <w:t>9、可通过客户端设置虚拟背景，如：替换成某会议室、某地点均可进行设置，也可根据需求开启美颜模式。</w:t>
            </w:r>
            <w:r>
              <w:rPr>
                <w:rFonts w:hint="eastAsia"/>
                <w:color w:val="000000"/>
                <w:sz w:val="20"/>
                <w:szCs w:val="20"/>
              </w:rPr>
              <w:br w:type="textWrapping"/>
            </w:r>
            <w:r>
              <w:rPr>
                <w:rFonts w:hint="eastAsia"/>
                <w:color w:val="000000"/>
                <w:sz w:val="20"/>
                <w:szCs w:val="20"/>
              </w:rPr>
              <w:t>10、客户端可在发言者模式，自由选看参会中任意一方的大画面。</w:t>
            </w:r>
            <w:r>
              <w:rPr>
                <w:rFonts w:hint="eastAsia"/>
                <w:color w:val="000000"/>
                <w:sz w:val="20"/>
                <w:szCs w:val="20"/>
              </w:rPr>
              <w:br w:type="textWrapping"/>
            </w:r>
            <w:r>
              <w:rPr>
                <w:rFonts w:hint="eastAsia"/>
                <w:color w:val="000000"/>
                <w:sz w:val="20"/>
                <w:szCs w:val="20"/>
              </w:rPr>
              <w:t>11、可通过客户端实时在线预约会议，预约过程中可设置会议主题、开始时间、持续时间、会议密码、仅限特定域名用户入会。</w:t>
            </w:r>
            <w:r>
              <w:rPr>
                <w:rFonts w:hint="eastAsia"/>
                <w:color w:val="000000"/>
                <w:sz w:val="20"/>
                <w:szCs w:val="20"/>
              </w:rPr>
              <w:br w:type="textWrapping"/>
            </w:r>
            <w:r>
              <w:rPr>
                <w:rFonts w:hint="eastAsia"/>
                <w:color w:val="000000"/>
                <w:sz w:val="20"/>
                <w:szCs w:val="20"/>
              </w:rPr>
              <w:t>12、会议主持人可在客户端的管理界面上，对所有终端进行静音、静画、选看特定会场画面、会议举手等操作。</w:t>
            </w:r>
            <w:r>
              <w:rPr>
                <w:rFonts w:hint="eastAsia"/>
                <w:color w:val="000000"/>
                <w:sz w:val="20"/>
                <w:szCs w:val="20"/>
              </w:rPr>
              <w:br w:type="textWrapping"/>
            </w:r>
            <w:r>
              <w:rPr>
                <w:rFonts w:hint="eastAsia"/>
                <w:color w:val="000000"/>
                <w:sz w:val="20"/>
                <w:szCs w:val="20"/>
              </w:rPr>
              <w:t>13、客户端预定会议时能与outlook进行整合，会议邀请信息通过邮件发送出去，并且在outlook日历里面进行显示。</w:t>
            </w:r>
            <w:r>
              <w:rPr>
                <w:rFonts w:hint="eastAsia"/>
                <w:color w:val="000000"/>
                <w:sz w:val="20"/>
                <w:szCs w:val="20"/>
              </w:rPr>
              <w:br w:type="textWrapping"/>
            </w:r>
            <w:r>
              <w:rPr>
                <w:rFonts w:hint="eastAsia"/>
                <w:color w:val="000000"/>
                <w:sz w:val="20"/>
                <w:szCs w:val="20"/>
              </w:rPr>
              <w:t>14、在会议过程中，不中断会议，会议主持人可以对各个会场的名称进行修改。</w:t>
            </w:r>
            <w:r>
              <w:rPr>
                <w:rFonts w:hint="eastAsia"/>
                <w:color w:val="000000"/>
                <w:sz w:val="20"/>
                <w:szCs w:val="20"/>
              </w:rPr>
              <w:br w:type="textWrapping"/>
            </w:r>
            <w:r>
              <w:rPr>
                <w:rFonts w:hint="eastAsia"/>
                <w:color w:val="000000"/>
                <w:sz w:val="20"/>
                <w:szCs w:val="20"/>
              </w:rPr>
              <w:t>15、电脑进行文件共享时，可进行远程桌面控制，客户端可对单个PPT、word、照片、桌面指定区域、甚至窗口进行共享，无需共享整个电脑桌面，也可设置多人进行同时共享。</w:t>
            </w:r>
            <w:r>
              <w:rPr>
                <w:rFonts w:hint="eastAsia"/>
                <w:color w:val="000000"/>
                <w:sz w:val="20"/>
                <w:szCs w:val="20"/>
              </w:rPr>
              <w:br w:type="textWrapping"/>
            </w:r>
            <w:r>
              <w:rPr>
                <w:rFonts w:hint="eastAsia"/>
                <w:color w:val="000000"/>
                <w:sz w:val="20"/>
                <w:szCs w:val="20"/>
              </w:rPr>
              <w:t>16、在不增加其他设备的前提下，支持电脑共享视频和声音，且共享的视频最大支持到1080P。</w:t>
            </w:r>
            <w:r>
              <w:rPr>
                <w:rFonts w:hint="eastAsia"/>
                <w:color w:val="000000"/>
                <w:sz w:val="20"/>
                <w:szCs w:val="20"/>
              </w:rPr>
              <w:br w:type="textWrapping"/>
            </w:r>
            <w:r>
              <w:rPr>
                <w:rFonts w:hint="eastAsia"/>
                <w:color w:val="000000"/>
                <w:sz w:val="20"/>
                <w:szCs w:val="20"/>
              </w:rPr>
              <w:t>17、在文件共享时候，参会的winnows、mac、ios、Android</w:t>
            </w:r>
            <w:r>
              <w:rPr>
                <w:rFonts w:hint="eastAsia"/>
                <w:color w:val="000000"/>
                <w:sz w:val="20"/>
                <w:szCs w:val="20"/>
              </w:rPr>
              <w:br w:type="textWrapping"/>
            </w:r>
            <w:r>
              <w:rPr>
                <w:rFonts w:hint="eastAsia"/>
                <w:color w:val="000000"/>
                <w:sz w:val="20"/>
                <w:szCs w:val="20"/>
              </w:rPr>
              <w:t>都可进行批注，且批注的线条粗细、颜色可调。</w:t>
            </w:r>
            <w:r>
              <w:rPr>
                <w:rFonts w:hint="eastAsia"/>
                <w:color w:val="000000"/>
                <w:sz w:val="20"/>
                <w:szCs w:val="20"/>
              </w:rPr>
              <w:br w:type="textWrapping"/>
            </w:r>
            <w:r>
              <w:rPr>
                <w:rFonts w:hint="eastAsia"/>
                <w:color w:val="000000"/>
                <w:sz w:val="20"/>
                <w:szCs w:val="20"/>
              </w:rPr>
              <w:t>18、当参会人观看共享屏幕的内容时，视频部分和共享屏幕部分将并排分开，并可通过拖拽的方式，自定义视频部分与共享屏幕部分的占比。</w:t>
            </w:r>
            <w:r>
              <w:rPr>
                <w:rFonts w:hint="eastAsia"/>
                <w:color w:val="000000"/>
                <w:sz w:val="20"/>
                <w:szCs w:val="20"/>
              </w:rPr>
              <w:br w:type="textWrapping"/>
            </w:r>
            <w:r>
              <w:rPr>
                <w:rFonts w:hint="eastAsia"/>
                <w:color w:val="000000"/>
                <w:sz w:val="20"/>
                <w:szCs w:val="20"/>
              </w:rPr>
              <w:t>19、电脑客户端支持双显功能，一个画面显示多分屏图像，另外一个画面显示当前发言人的全屏图像或者会议共享的文件。</w:t>
            </w:r>
            <w:r>
              <w:rPr>
                <w:rFonts w:hint="eastAsia"/>
                <w:color w:val="000000"/>
                <w:sz w:val="20"/>
                <w:szCs w:val="20"/>
              </w:rPr>
              <w:br w:type="textWrapping"/>
            </w:r>
            <w:r>
              <w:rPr>
                <w:rFonts w:hint="eastAsia"/>
                <w:color w:val="000000"/>
                <w:sz w:val="20"/>
                <w:szCs w:val="20"/>
              </w:rPr>
              <w:t>20、在会议录制过程中，可对录制过程的记录进行暂停、开启操作，录制过程可根据客户自主选择存储在本地或云端，录制后的文件包含：独立音频文件、视频文件、聊天记录，也可在设置中选择仅录制共享屏幕内容、将视频缩略图与共享屏幕部分分开、对所有发言者进行单独音频录制、为录制视频增加时间标签、记录会议开始时间等操作。</w:t>
            </w:r>
            <w:r>
              <w:rPr>
                <w:rFonts w:hint="eastAsia"/>
                <w:color w:val="000000"/>
                <w:sz w:val="20"/>
                <w:szCs w:val="20"/>
              </w:rPr>
              <w:br w:type="textWrapping"/>
            </w:r>
            <w:r>
              <w:rPr>
                <w:rFonts w:hint="eastAsia"/>
                <w:color w:val="000000"/>
                <w:sz w:val="20"/>
                <w:szCs w:val="20"/>
              </w:rPr>
              <w:t>21、支持分组会议功能，会议主持人在一个会议中将参会人进行分组，各小组进行封闭的自由视频讨论，且主持人可进入任意讨论组。</w:t>
            </w:r>
            <w:r>
              <w:rPr>
                <w:rFonts w:hint="eastAsia"/>
                <w:color w:val="000000"/>
                <w:sz w:val="20"/>
                <w:szCs w:val="20"/>
              </w:rPr>
              <w:br w:type="textWrapping"/>
            </w:r>
            <w:r>
              <w:rPr>
                <w:rFonts w:hint="eastAsia"/>
                <w:color w:val="000000"/>
                <w:sz w:val="20"/>
                <w:szCs w:val="20"/>
              </w:rPr>
              <w:t>22、支持远程控制功能，在开启视频会议过程中，可实时控制远端与会者电脑桌面，对桌面内容进行操作、修改并实时能与对端进行音视频通信。</w:t>
            </w:r>
            <w:r>
              <w:rPr>
                <w:rFonts w:hint="eastAsia"/>
                <w:color w:val="000000"/>
                <w:sz w:val="20"/>
                <w:szCs w:val="20"/>
              </w:rPr>
              <w:br w:type="textWrapping"/>
            </w:r>
            <w:r>
              <w:rPr>
                <w:rFonts w:hint="eastAsia"/>
                <w:color w:val="000000"/>
                <w:sz w:val="20"/>
                <w:szCs w:val="20"/>
              </w:rPr>
              <w:t>23、安卓和IOS客户端需提供软件 SDK开发包，以便进行二次开发。</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1</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专业高清会议摄像机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1、须支持自动聚焦，支持20倍光学变焦，支持1080P@30/50/60fps、720P等分辨率。</w:t>
            </w:r>
            <w:r>
              <w:rPr>
                <w:rFonts w:hint="eastAsia"/>
                <w:color w:val="000000"/>
                <w:sz w:val="20"/>
                <w:szCs w:val="20"/>
              </w:rPr>
              <w:br w:type="textWrapping"/>
            </w:r>
            <w:r>
              <w:rPr>
                <w:rFonts w:hint="eastAsia"/>
                <w:color w:val="000000"/>
                <w:sz w:val="20"/>
                <w:szCs w:val="20"/>
              </w:rPr>
              <w:t>2、支持HDMI或DVI视频输出接口。</w:t>
            </w:r>
            <w:r>
              <w:rPr>
                <w:rFonts w:hint="eastAsia"/>
                <w:color w:val="000000"/>
                <w:sz w:val="20"/>
                <w:szCs w:val="20"/>
              </w:rPr>
              <w:br w:type="textWrapping"/>
            </w:r>
            <w:r>
              <w:rPr>
                <w:rFonts w:hint="eastAsia"/>
                <w:color w:val="000000"/>
                <w:sz w:val="20"/>
                <w:szCs w:val="20"/>
              </w:rPr>
              <w:t>3、≥50度视角。</w:t>
            </w:r>
            <w:r>
              <w:rPr>
                <w:rFonts w:hint="eastAsia"/>
                <w:color w:val="000000"/>
                <w:sz w:val="20"/>
                <w:szCs w:val="20"/>
              </w:rPr>
              <w:br w:type="textWrapping"/>
            </w:r>
            <w:r>
              <w:rPr>
                <w:rFonts w:hint="eastAsia"/>
                <w:color w:val="000000"/>
                <w:sz w:val="20"/>
                <w:szCs w:val="20"/>
              </w:rPr>
              <w:t>4、须支持多种控制方式和多种控制协议。</w:t>
            </w:r>
            <w:r>
              <w:rPr>
                <w:rFonts w:hint="eastAsia"/>
                <w:color w:val="000000"/>
                <w:sz w:val="20"/>
                <w:szCs w:val="20"/>
              </w:rPr>
              <w:br w:type="textWrapping"/>
            </w:r>
            <w:r>
              <w:rPr>
                <w:rFonts w:hint="eastAsia"/>
                <w:color w:val="000000"/>
                <w:sz w:val="20"/>
                <w:szCs w:val="20"/>
              </w:rPr>
              <w:t>5、支持摄像机倒装，便于摄像机倒装在天花板。</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高清录播系统</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1、支持不低于2路视频HDMI输入接口，2路视频HDMI输出接口。网口不低于2个，须有万兆光口。</w:t>
            </w:r>
            <w:r>
              <w:rPr>
                <w:rFonts w:hint="eastAsia"/>
                <w:color w:val="000000"/>
                <w:sz w:val="20"/>
                <w:szCs w:val="20"/>
              </w:rPr>
              <w:br w:type="textWrapping"/>
            </w:r>
            <w:r>
              <w:rPr>
                <w:rFonts w:hint="eastAsia"/>
                <w:color w:val="000000"/>
                <w:sz w:val="20"/>
                <w:szCs w:val="20"/>
              </w:rPr>
              <w:t>2、设备采用1U标准机箱，无风扇静音设计，不易进灰。</w:t>
            </w:r>
            <w:r>
              <w:rPr>
                <w:rFonts w:hint="eastAsia"/>
                <w:color w:val="000000"/>
                <w:sz w:val="20"/>
                <w:szCs w:val="20"/>
              </w:rPr>
              <w:br w:type="textWrapping"/>
            </w:r>
            <w:r>
              <w:rPr>
                <w:rFonts w:hint="eastAsia"/>
                <w:color w:val="000000"/>
                <w:sz w:val="20"/>
                <w:szCs w:val="20"/>
              </w:rPr>
              <w:t>3、具有前面板操作按钮，含录制、暂停、结束、返回、确认，并有电源按钮，可一键开机、关机。</w:t>
            </w:r>
            <w:r>
              <w:rPr>
                <w:rFonts w:hint="eastAsia"/>
                <w:color w:val="000000"/>
                <w:sz w:val="20"/>
                <w:szCs w:val="20"/>
              </w:rPr>
              <w:br w:type="textWrapping"/>
            </w:r>
            <w:r>
              <w:rPr>
                <w:rFonts w:hint="eastAsia"/>
                <w:color w:val="000000"/>
                <w:sz w:val="20"/>
                <w:szCs w:val="20"/>
              </w:rPr>
              <w:t>4、具有液晶面板，显示设备运行状态、IP信息、存储状态等，方便用户获取信息并维护。</w:t>
            </w:r>
            <w:r>
              <w:rPr>
                <w:rFonts w:hint="eastAsia"/>
                <w:color w:val="000000"/>
                <w:sz w:val="20"/>
                <w:szCs w:val="20"/>
              </w:rPr>
              <w:br w:type="textWrapping"/>
            </w:r>
            <w:r>
              <w:rPr>
                <w:rFonts w:hint="eastAsia"/>
                <w:color w:val="000000"/>
                <w:sz w:val="20"/>
                <w:szCs w:val="20"/>
              </w:rPr>
              <w:t>5、视频协议支持H.264、H.265,音频协议支持AAC。</w:t>
            </w:r>
            <w:r>
              <w:rPr>
                <w:rFonts w:hint="eastAsia"/>
                <w:color w:val="000000"/>
                <w:sz w:val="20"/>
                <w:szCs w:val="20"/>
              </w:rPr>
              <w:br w:type="textWrapping"/>
            </w:r>
            <w:r>
              <w:rPr>
                <w:rFonts w:hint="eastAsia"/>
                <w:color w:val="000000"/>
                <w:sz w:val="20"/>
                <w:szCs w:val="20"/>
              </w:rPr>
              <w:t>6、HDMI接口最高支持4K@30输入、4K@30输出。向下兼容兼容1080P、720P等。SDI接口支持1080P@60。</w:t>
            </w:r>
            <w:r>
              <w:rPr>
                <w:rFonts w:hint="eastAsia"/>
                <w:color w:val="000000"/>
                <w:sz w:val="20"/>
                <w:szCs w:val="20"/>
              </w:rPr>
              <w:br w:type="textWrapping"/>
            </w:r>
            <w:r>
              <w:rPr>
                <w:rFonts w:hint="eastAsia"/>
                <w:color w:val="000000"/>
                <w:sz w:val="20"/>
                <w:szCs w:val="20"/>
              </w:rPr>
              <w:t>7、支持台标功能，字幕功能，支持增加片头片尾功能。</w:t>
            </w:r>
            <w:r>
              <w:rPr>
                <w:rFonts w:hint="eastAsia"/>
                <w:color w:val="000000"/>
                <w:sz w:val="20"/>
                <w:szCs w:val="20"/>
              </w:rPr>
              <w:br w:type="textWrapping"/>
            </w:r>
            <w:r>
              <w:rPr>
                <w:rFonts w:hint="eastAsia"/>
                <w:color w:val="000000"/>
                <w:sz w:val="20"/>
                <w:szCs w:val="20"/>
              </w:rPr>
              <w:t>8、支持8种及以上分屏布局模式录制，包括单画面、2分屏、画中画、1+2分屏、1+3分屏、1+4分屏、画外画、4分屏等。</w:t>
            </w:r>
            <w:r>
              <w:rPr>
                <w:rFonts w:hint="eastAsia"/>
                <w:color w:val="000000"/>
                <w:sz w:val="20"/>
                <w:szCs w:val="20"/>
              </w:rPr>
              <w:br w:type="textWrapping"/>
            </w:r>
            <w:r>
              <w:rPr>
                <w:rFonts w:hint="eastAsia"/>
                <w:color w:val="000000"/>
                <w:sz w:val="20"/>
                <w:szCs w:val="20"/>
              </w:rPr>
              <w:t>9、支持分段录制，分段时间间隔可设。</w:t>
            </w:r>
            <w:r>
              <w:rPr>
                <w:rFonts w:hint="eastAsia"/>
                <w:color w:val="000000"/>
                <w:sz w:val="20"/>
                <w:szCs w:val="20"/>
              </w:rPr>
              <w:br w:type="textWrapping"/>
            </w:r>
            <w:r>
              <w:rPr>
                <w:rFonts w:hint="eastAsia"/>
                <w:color w:val="000000"/>
                <w:sz w:val="20"/>
                <w:szCs w:val="20"/>
              </w:rPr>
              <w:t>10、支持日志一键下载功能，方便进行系统维护。</w:t>
            </w:r>
            <w:r>
              <w:rPr>
                <w:rFonts w:hint="eastAsia"/>
                <w:color w:val="000000"/>
                <w:sz w:val="20"/>
                <w:szCs w:val="20"/>
              </w:rPr>
              <w:br w:type="textWrapping"/>
            </w:r>
            <w:r>
              <w:rPr>
                <w:rFonts w:hint="eastAsia"/>
                <w:color w:val="000000"/>
                <w:sz w:val="20"/>
                <w:szCs w:val="20"/>
              </w:rPr>
              <w:t>11、支持ping工具、抓包工具，支持开发者调试工具。</w:t>
            </w:r>
            <w:r>
              <w:rPr>
                <w:rFonts w:hint="eastAsia"/>
                <w:color w:val="000000"/>
                <w:sz w:val="20"/>
                <w:szCs w:val="20"/>
              </w:rPr>
              <w:br w:type="textWrapping"/>
            </w:r>
            <w:r>
              <w:rPr>
                <w:rFonts w:hint="eastAsia"/>
                <w:color w:val="000000"/>
                <w:sz w:val="20"/>
                <w:szCs w:val="20"/>
              </w:rPr>
              <w:t>12、支持多达6路视频画面的实时预览和布局，最高同步录制6路视频文件，方便管理员实时监看和配置。</w:t>
            </w:r>
            <w:r>
              <w:rPr>
                <w:rFonts w:hint="eastAsia"/>
                <w:color w:val="000000"/>
                <w:sz w:val="20"/>
                <w:szCs w:val="20"/>
              </w:rPr>
              <w:br w:type="textWrapping"/>
            </w:r>
            <w:r>
              <w:rPr>
                <w:rFonts w:hint="eastAsia"/>
                <w:color w:val="000000"/>
                <w:sz w:val="20"/>
                <w:szCs w:val="20"/>
              </w:rPr>
              <w:t>13、支持和华为IdeaHub对接，通过app方式一键开始、结束任务。</w:t>
            </w:r>
            <w:r>
              <w:rPr>
                <w:rFonts w:hint="eastAsia"/>
                <w:color w:val="000000"/>
                <w:sz w:val="20"/>
                <w:szCs w:val="20"/>
              </w:rPr>
              <w:br w:type="textWrapping"/>
            </w:r>
            <w:r>
              <w:rPr>
                <w:rFonts w:hint="eastAsia"/>
                <w:color w:val="000000"/>
                <w:sz w:val="20"/>
                <w:szCs w:val="20"/>
              </w:rPr>
              <w:t>14、支持前面板按钮、电脑Web、显示器QT、导播键盘、中控API编程、APP 6种控制方式。</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2.6、UPS系统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UPS主机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highlight w:val="none"/>
              </w:rPr>
            </w:pPr>
            <w:r>
              <w:rPr>
                <w:rFonts w:hint="eastAsia"/>
                <w:color w:val="000000"/>
                <w:sz w:val="20"/>
                <w:szCs w:val="20"/>
              </w:rPr>
              <w:t>▲1、20KVA/16KW纯在线“0”转换工频在线式带输出隔离变压器三相五线进五线出UPS系统；</w:t>
            </w:r>
            <w:r>
              <w:rPr>
                <w:rFonts w:hint="eastAsia"/>
                <w:color w:val="000000"/>
                <w:sz w:val="20"/>
                <w:szCs w:val="20"/>
              </w:rPr>
              <w:br w:type="textWrapping"/>
            </w:r>
            <w:r>
              <w:rPr>
                <w:rFonts w:hint="eastAsia"/>
                <w:color w:val="000000"/>
                <w:sz w:val="20"/>
                <w:szCs w:val="20"/>
              </w:rPr>
              <w:t>2、中文触摸液晶面板，显示输入输出参数电压、频率，并可直接在液晶面板上设置输入、输出参数，液晶面板上有直观的输入、整流模块温度显示、逆变模块温度显示、系统温度显示、电池电池电压显示，输出电压、电流及功率，机器故障代码等.面板上嵌入EPO按键，在紧急情况下按下EPO按键就可紧急关机；</w:t>
            </w:r>
            <w:r>
              <w:rPr>
                <w:rFonts w:hint="eastAsia"/>
                <w:color w:val="000000"/>
                <w:sz w:val="20"/>
                <w:szCs w:val="20"/>
              </w:rPr>
              <w:br w:type="textWrapping"/>
            </w:r>
            <w:r>
              <w:rPr>
                <w:rFonts w:hint="eastAsia"/>
                <w:color w:val="000000"/>
                <w:sz w:val="20"/>
                <w:szCs w:val="20"/>
              </w:rPr>
              <w:t>★3、设备自带智维接口功能。设备管理人员或维护工程师能实时了解掌握设备工作状态，并支持手机APP（支持Android系统及IOS系统）远程实时查看设备数据和状态，异常时通过APP实时通知到维护人员机及管理人员；支持告警</w:t>
            </w:r>
            <w:r>
              <w:rPr>
                <w:rFonts w:hint="eastAsia"/>
                <w:color w:val="000000"/>
                <w:sz w:val="20"/>
                <w:szCs w:val="20"/>
                <w:highlight w:val="none"/>
              </w:rPr>
              <w:t>状态查看及告警处理。（投标时提供本功能截图加盖</w:t>
            </w:r>
            <w:r>
              <w:rPr>
                <w:rFonts w:hint="eastAsia"/>
                <w:color w:val="000000"/>
                <w:sz w:val="20"/>
                <w:szCs w:val="20"/>
                <w:highlight w:val="none"/>
                <w:lang w:val="en-US" w:eastAsia="zh-CN"/>
              </w:rPr>
              <w:t>供应商</w:t>
            </w:r>
            <w:r>
              <w:rPr>
                <w:rFonts w:hint="eastAsia"/>
                <w:color w:val="000000"/>
                <w:sz w:val="20"/>
                <w:szCs w:val="20"/>
                <w:highlight w:val="none"/>
              </w:rPr>
              <w:t>公章）</w:t>
            </w:r>
          </w:p>
          <w:p>
            <w:pPr>
              <w:textAlignment w:val="center"/>
              <w:rPr>
                <w:rFonts w:hint="eastAsia"/>
                <w:color w:val="000000"/>
                <w:sz w:val="20"/>
                <w:szCs w:val="20"/>
              </w:rPr>
            </w:pPr>
            <w:r>
              <w:rPr>
                <w:rFonts w:hint="eastAsia"/>
                <w:color w:val="000000"/>
                <w:sz w:val="20"/>
                <w:szCs w:val="20"/>
                <w:highlight w:val="none"/>
              </w:rPr>
              <w:t>4、可通过手机、平板、PC等终端，全天候监控设备工作状况。具备告警管理、设备运维管理、GIS地理信息系统、大数据分析统计系统并支持数据导出等功能。</w:t>
            </w:r>
            <w:r>
              <w:rPr>
                <w:rFonts w:hint="eastAsia"/>
                <w:color w:val="000000"/>
                <w:sz w:val="20"/>
                <w:szCs w:val="20"/>
                <w:highlight w:val="none"/>
              </w:rPr>
              <w:br w:type="textWrapping"/>
            </w:r>
            <w:r>
              <w:rPr>
                <w:rFonts w:hint="eastAsia"/>
                <w:color w:val="000000"/>
                <w:sz w:val="20"/>
                <w:szCs w:val="20"/>
                <w:highlight w:val="none"/>
              </w:rPr>
              <w:t>5、输入电压范围（380vac/400vac/415vac)±25%,降低电池使用频度，延长电池使用寿命，UPS输入频率范围40HZ～70HZ,能与任意发电机兼容。过载能力：在110%/125%/150% 过载时能维持≥60分钟/10分钟/1分钟；市电到电池转换时间0ms；</w:t>
            </w:r>
            <w:r>
              <w:rPr>
                <w:rFonts w:hint="eastAsia"/>
                <w:color w:val="000000"/>
                <w:sz w:val="20"/>
                <w:szCs w:val="20"/>
                <w:highlight w:val="none"/>
              </w:rPr>
              <w:br w:type="textWrapping"/>
            </w:r>
            <w:r>
              <w:rPr>
                <w:rFonts w:hint="eastAsia"/>
                <w:color w:val="000000"/>
                <w:sz w:val="20"/>
                <w:szCs w:val="20"/>
                <w:highlight w:val="none"/>
              </w:rPr>
              <w:t>6、可直接并</w:t>
            </w:r>
            <w:r>
              <w:rPr>
                <w:rFonts w:hint="eastAsia"/>
                <w:color w:val="000000"/>
                <w:sz w:val="20"/>
                <w:szCs w:val="20"/>
              </w:rPr>
              <w:t>机，无需增加任何附件。最大≥6台并机。</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蓄电池</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▲1、电池容量≥12V/100AH。</w:t>
            </w:r>
            <w:r>
              <w:rPr>
                <w:rFonts w:hint="eastAsia"/>
                <w:color w:val="000000"/>
                <w:sz w:val="20"/>
                <w:szCs w:val="20"/>
              </w:rPr>
              <w:br w:type="textWrapping"/>
            </w:r>
            <w:r>
              <w:rPr>
                <w:rFonts w:hint="eastAsia"/>
                <w:color w:val="000000"/>
                <w:sz w:val="20"/>
                <w:szCs w:val="20"/>
              </w:rPr>
              <w:t>2、每节电池标配防滑防酸保护垫盘，以防电池在运输、搬运和安装过程中容易因破碎或使用的异常情况而可能导致电池漏液，从而引起短路而着火事故</w:t>
            </w:r>
            <w:r>
              <w:rPr>
                <w:rFonts w:hint="eastAsia"/>
                <w:color w:val="000000"/>
                <w:sz w:val="20"/>
                <w:szCs w:val="20"/>
              </w:rPr>
              <w:br w:type="textWrapping"/>
            </w:r>
            <w:r>
              <w:rPr>
                <w:rFonts w:hint="eastAsia"/>
                <w:color w:val="000000"/>
                <w:sz w:val="20"/>
                <w:szCs w:val="20"/>
              </w:rPr>
              <w:t>3、外观要求：蓄电池正负极要有明显标识，外观不能有变形、漏液及污迹，蓄电池的壳、盖应符合GB/T2408-1996中的第8.3.2FH-1(水平级）和9.3.2FV-0(垂直级）的要求，蓄电池能承受≥45kpa正压或负压而不破裂、不开胶，压力释放后壳体不变形，蓄电池的安全阀有自动开启和关闭的功能，开阀压应是10～35kPa，闭阀压应是3～15kPa。</w:t>
            </w:r>
            <w:r>
              <w:rPr>
                <w:rFonts w:hint="eastAsia"/>
                <w:color w:val="000000"/>
                <w:sz w:val="20"/>
                <w:szCs w:val="20"/>
              </w:rPr>
              <w:br w:type="textWrapping"/>
            </w:r>
            <w:r>
              <w:rPr>
                <w:rFonts w:hint="eastAsia"/>
                <w:color w:val="000000"/>
                <w:sz w:val="20"/>
                <w:szCs w:val="20"/>
              </w:rPr>
              <w:t>4、承诺一组电池组中有电池损坏更换整组电池。</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节</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32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电池柜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可装32节100AH电池</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2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2.7、配套设施</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多媒体插座</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多功能电源插座，网络接口，音频接口，HDMI接口/USB接口，模块可选。</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8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无线投屏</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1、USB免驱无线投屏，一键切换系统</w:t>
            </w:r>
            <w:r>
              <w:rPr>
                <w:rFonts w:hint="eastAsia"/>
                <w:color w:val="000000"/>
                <w:sz w:val="20"/>
                <w:szCs w:val="20"/>
              </w:rPr>
              <w:br w:type="textWrapping"/>
            </w:r>
            <w:r>
              <w:rPr>
                <w:rFonts w:hint="eastAsia"/>
                <w:color w:val="000000"/>
                <w:sz w:val="20"/>
                <w:szCs w:val="20"/>
              </w:rPr>
              <w:t>2、方案： Android / RK3229 / ARM Cortex A7 x 4  / RAM1G / ROM8G</w:t>
            </w:r>
            <w:r>
              <w:rPr>
                <w:rFonts w:hint="eastAsia"/>
                <w:color w:val="000000"/>
                <w:sz w:val="20"/>
                <w:szCs w:val="20"/>
              </w:rPr>
              <w:br w:type="textWrapping"/>
            </w:r>
            <w:r>
              <w:rPr>
                <w:rFonts w:hint="eastAsia"/>
                <w:color w:val="000000"/>
                <w:sz w:val="20"/>
                <w:szCs w:val="20"/>
              </w:rPr>
              <w:t>3、WiFi性能：双频双Wifi模块 802.11/ac / 300~866Mbps/蓝牙模块</w:t>
            </w:r>
            <w:r>
              <w:rPr>
                <w:rFonts w:hint="eastAsia"/>
                <w:color w:val="000000"/>
                <w:sz w:val="20"/>
                <w:szCs w:val="20"/>
              </w:rPr>
              <w:br w:type="textWrapping"/>
            </w:r>
            <w:r>
              <w:rPr>
                <w:rFonts w:hint="eastAsia"/>
                <w:color w:val="000000"/>
                <w:sz w:val="20"/>
                <w:szCs w:val="20"/>
              </w:rPr>
              <w:t>4、支持35米无线传输距离，同时10位待机人数</w:t>
            </w:r>
            <w:r>
              <w:rPr>
                <w:rFonts w:hint="eastAsia"/>
                <w:color w:val="000000"/>
                <w:sz w:val="20"/>
                <w:szCs w:val="20"/>
              </w:rPr>
              <w:br w:type="textWrapping"/>
            </w:r>
            <w:r>
              <w:rPr>
                <w:rFonts w:hint="eastAsia"/>
                <w:color w:val="000000"/>
                <w:sz w:val="20"/>
                <w:szCs w:val="20"/>
              </w:rPr>
              <w:t>5、支持Windows、Mac、iOS 、Android等终端无缝切换至大屏显示</w:t>
            </w:r>
            <w:r>
              <w:rPr>
                <w:rFonts w:hint="eastAsia"/>
                <w:color w:val="000000"/>
                <w:sz w:val="20"/>
                <w:szCs w:val="20"/>
              </w:rPr>
              <w:br w:type="textWrapping"/>
            </w:r>
            <w:r>
              <w:rPr>
                <w:rFonts w:hint="eastAsia"/>
                <w:color w:val="000000"/>
                <w:sz w:val="20"/>
                <w:szCs w:val="20"/>
              </w:rPr>
              <w:t>6、支持USB/TYPE-C/HDMI三合一无线发射装置， 即插即用免驱动安装</w:t>
            </w:r>
            <w:r>
              <w:rPr>
                <w:rFonts w:hint="eastAsia"/>
                <w:color w:val="000000"/>
                <w:sz w:val="20"/>
                <w:szCs w:val="20"/>
              </w:rPr>
              <w:br w:type="textWrapping"/>
            </w:r>
            <w:r>
              <w:rPr>
                <w:rFonts w:hint="eastAsia"/>
                <w:color w:val="000000"/>
                <w:sz w:val="20"/>
                <w:szCs w:val="20"/>
              </w:rPr>
              <w:t>7、支持电脑手机不同终端同时无线投屏，支持4画面分割</w:t>
            </w:r>
            <w:r>
              <w:rPr>
                <w:rFonts w:hint="eastAsia"/>
                <w:color w:val="000000"/>
                <w:sz w:val="20"/>
                <w:szCs w:val="20"/>
              </w:rPr>
              <w:br w:type="textWrapping"/>
            </w:r>
            <w:r>
              <w:rPr>
                <w:rFonts w:hint="eastAsia"/>
                <w:color w:val="000000"/>
                <w:sz w:val="20"/>
                <w:szCs w:val="20"/>
              </w:rPr>
              <w:t>8、支持win7 win10拓展桌面，支持强制竖屏，画面旋转，</w:t>
            </w:r>
            <w:r>
              <w:rPr>
                <w:rFonts w:hint="eastAsia"/>
                <w:color w:val="000000"/>
                <w:sz w:val="20"/>
                <w:szCs w:val="20"/>
              </w:rPr>
              <w:br w:type="textWrapping"/>
            </w:r>
            <w:r>
              <w:rPr>
                <w:rFonts w:hint="eastAsia"/>
                <w:color w:val="000000"/>
                <w:sz w:val="20"/>
                <w:szCs w:val="20"/>
              </w:rPr>
              <w:t>9、支持待机画面、UI界面自定义，支持传屏安全码设置</w:t>
            </w:r>
            <w:r>
              <w:rPr>
                <w:rFonts w:hint="eastAsia"/>
                <w:color w:val="000000"/>
                <w:sz w:val="20"/>
                <w:szCs w:val="20"/>
              </w:rPr>
              <w:br w:type="textWrapping"/>
            </w:r>
            <w:r>
              <w:rPr>
                <w:rFonts w:hint="eastAsia"/>
                <w:color w:val="000000"/>
                <w:sz w:val="20"/>
                <w:szCs w:val="20"/>
              </w:rPr>
              <w:t>10、支持安卓蓝牙音频传输，支持扫码投屏</w:t>
            </w:r>
            <w:r>
              <w:rPr>
                <w:rFonts w:hint="eastAsia"/>
                <w:color w:val="000000"/>
                <w:sz w:val="20"/>
                <w:szCs w:val="20"/>
              </w:rPr>
              <w:br w:type="textWrapping"/>
            </w:r>
            <w:r>
              <w:rPr>
                <w:rFonts w:hint="eastAsia"/>
                <w:color w:val="000000"/>
                <w:sz w:val="20"/>
                <w:szCs w:val="20"/>
              </w:rPr>
              <w:t>11、支持鼠标键盘、触控框、电子白板、等USB数据回传</w:t>
            </w:r>
            <w:r>
              <w:rPr>
                <w:rFonts w:hint="eastAsia"/>
                <w:color w:val="000000"/>
                <w:sz w:val="20"/>
                <w:szCs w:val="20"/>
              </w:rPr>
              <w:br w:type="textWrapping"/>
            </w:r>
            <w:r>
              <w:rPr>
                <w:rFonts w:hint="eastAsia"/>
                <w:color w:val="000000"/>
                <w:sz w:val="20"/>
                <w:szCs w:val="20"/>
              </w:rPr>
              <w:t>12、分辨率支持720P，1080P输出；HDMI+音频分离输出</w:t>
            </w:r>
            <w:r>
              <w:rPr>
                <w:rFonts w:hint="eastAsia"/>
                <w:color w:val="000000"/>
                <w:sz w:val="20"/>
                <w:szCs w:val="20"/>
              </w:rPr>
              <w:br w:type="textWrapping"/>
            </w:r>
            <w:r>
              <w:rPr>
                <w:rFonts w:hint="eastAsia"/>
                <w:color w:val="000000"/>
                <w:sz w:val="20"/>
                <w:szCs w:val="20"/>
              </w:rPr>
              <w:t>13、支持定时重启，支持7*24小时开机</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音视频采集盒</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USB音视频高清采集盒，视频输入：1*SDI,1*HDMI,1*DVI-I,1*YPbPr,1*CVBS,1*S-Video，最大输入：1920*1080p@60/50fps。</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机柜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定制，高度42U，宽600mm*深600mm，含1个8位PDU</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交换机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1、支持24个10/100/1000Base-T自适应以太网端口，4个千兆SFP口，1个Console口，支持全双工；</w:t>
            </w:r>
            <w:r>
              <w:rPr>
                <w:rFonts w:hint="eastAsia"/>
                <w:color w:val="000000"/>
                <w:sz w:val="20"/>
                <w:szCs w:val="20"/>
              </w:rPr>
              <w:br w:type="textWrapping"/>
            </w:r>
            <w:r>
              <w:rPr>
                <w:rFonts w:hint="eastAsia"/>
                <w:color w:val="000000"/>
                <w:sz w:val="20"/>
                <w:szCs w:val="20"/>
              </w:rPr>
              <w:t>2、背板带宽：336Gbps/3.36Tbps；</w:t>
            </w:r>
            <w:r>
              <w:rPr>
                <w:rFonts w:hint="eastAsia"/>
                <w:color w:val="000000"/>
                <w:sz w:val="20"/>
                <w:szCs w:val="20"/>
              </w:rPr>
              <w:br w:type="textWrapping"/>
            </w:r>
            <w:r>
              <w:rPr>
                <w:rFonts w:hint="eastAsia"/>
                <w:color w:val="000000"/>
                <w:sz w:val="20"/>
                <w:szCs w:val="20"/>
              </w:rPr>
              <w:t>3、包转发率：51Mpps/126Mpps；</w:t>
            </w:r>
            <w:r>
              <w:rPr>
                <w:rFonts w:hint="eastAsia"/>
                <w:color w:val="000000"/>
                <w:sz w:val="20"/>
                <w:szCs w:val="20"/>
              </w:rPr>
              <w:br w:type="textWrapping"/>
            </w:r>
            <w:r>
              <w:rPr>
                <w:rFonts w:hint="eastAsia"/>
                <w:color w:val="000000"/>
                <w:sz w:val="20"/>
                <w:szCs w:val="20"/>
              </w:rPr>
              <w:t>4、支持QoS、支持VLAN功能</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24配线架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19英寸机架安装，采用冷轧钢板，24口，含六类模块，每个模块可单独拆卸和更换</w:t>
            </w:r>
          </w:p>
        </w:tc>
        <w:tc>
          <w:tcPr>
            <w:tcW w:w="127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理线架</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19英寸1U水平24档金属带盖线缆管理架，冷轧钢板，带有盖板</w:t>
            </w:r>
          </w:p>
        </w:tc>
        <w:tc>
          <w:tcPr>
            <w:tcW w:w="127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color w:val="000000"/>
                <w:sz w:val="20"/>
                <w:szCs w:val="20"/>
              </w:rPr>
            </w:pPr>
            <w:r>
              <w:rPr>
                <w:rFonts w:hint="eastAsia"/>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门禁系统</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1、设备外观：采用7英寸LCD触摸显示屏，200万像素双目摄像头，面部识别距离0.2-3m，支持照片视频防假；</w:t>
            </w:r>
            <w:r>
              <w:rPr>
                <w:rFonts w:hint="eastAsia"/>
                <w:color w:val="000000"/>
                <w:sz w:val="20"/>
                <w:szCs w:val="20"/>
              </w:rPr>
              <w:br w:type="textWrapping"/>
            </w:r>
            <w:r>
              <w:rPr>
                <w:rFonts w:hint="eastAsia"/>
                <w:color w:val="000000"/>
                <w:sz w:val="20"/>
                <w:szCs w:val="20"/>
              </w:rPr>
              <w:t>2、设备容量：支持5000张人脸白名单，1：N人脸比对时间＜0.2S/人，支持6000张卡片，50000条记录；</w:t>
            </w:r>
            <w:r>
              <w:rPr>
                <w:rFonts w:hint="eastAsia"/>
                <w:color w:val="000000"/>
                <w:sz w:val="20"/>
                <w:szCs w:val="20"/>
              </w:rPr>
              <w:br w:type="textWrapping"/>
            </w:r>
            <w:r>
              <w:rPr>
                <w:rFonts w:hint="eastAsia"/>
                <w:color w:val="000000"/>
                <w:sz w:val="20"/>
                <w:szCs w:val="20"/>
              </w:rPr>
              <w:t>3、认证方式：支持人脸、刷卡、密码（超级密码）及其组合的认证方式；可读取Mifare卡（IC卡）、CPU卡序列号/内容、身份证序列号；</w:t>
            </w:r>
            <w:r>
              <w:rPr>
                <w:rFonts w:hint="eastAsia"/>
                <w:color w:val="000000"/>
                <w:sz w:val="20"/>
                <w:szCs w:val="20"/>
              </w:rPr>
              <w:br w:type="textWrapping"/>
            </w:r>
            <w:r>
              <w:rPr>
                <w:rFonts w:hint="eastAsia"/>
                <w:color w:val="000000"/>
                <w:sz w:val="20"/>
                <w:szCs w:val="20"/>
              </w:rPr>
              <w:t>4、含锁具和出门按钮。</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吸顶AP</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1个100/1000M/2.5G电口，1个10/100/1000M电口支持PSE扩展，内置蓝牙4.0，工作频段：5.1GHz+5.8GHz+5GHz/2.4GHz，整机802.11ax高速率：1.2Gbps+1.2Gbps+0.433Gbps/0.2Gbps，MTBF&gt;850000H，支持PoE供电</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 xml:space="preserve">4 </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控制器</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WAN 2*GE &amp; LAN 6*GE+ 2* SFP+，吞吐量：4Gbps，最大管理AP数64（需购买授权），支持IPv6</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授权</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线控制器License授权函文件，可管理4个AP</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 xml:space="preserve">1 </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POE交换机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全千兆以太网POE交换机，4GE(PoE)+1GE</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18"/>
                <w:szCs w:val="18"/>
              </w:rPr>
            </w:pPr>
            <w:r>
              <w:rPr>
                <w:rFonts w:hint="eastAsia"/>
                <w:color w:val="000000"/>
                <w:sz w:val="18"/>
                <w:szCs w:val="18"/>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1</w:t>
            </w:r>
            <w:r>
              <w:rPr>
                <w:rFonts w:ascii="Times New Roman" w:hAnsi="Times New Roman" w:cs="Times New Roman"/>
                <w:color w:val="000000"/>
                <w:sz w:val="20"/>
                <w:szCs w:val="20"/>
              </w:rPr>
              <w:t xml:space="preserve">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辅材</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定制，高清音视频专业线缆、音频线、控制线、管材、接头等安装材料</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批</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2.8、办公家具</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讲台</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定制，宽880mm*深525mm高1150mm</w:t>
            </w:r>
            <w:r>
              <w:rPr>
                <w:rFonts w:hint="eastAsia"/>
                <w:color w:val="000000"/>
                <w:sz w:val="20"/>
                <w:szCs w:val="20"/>
              </w:rPr>
              <w:br w:type="textWrapping"/>
            </w:r>
            <w:r>
              <w:rPr>
                <w:rFonts w:hint="eastAsia"/>
                <w:color w:val="000000"/>
                <w:sz w:val="20"/>
                <w:szCs w:val="20"/>
              </w:rPr>
              <w:t>1、基材：均选用中密度板，经国家绿色环保认证，通过欧洲E1级环保标准。</w:t>
            </w:r>
            <w:r>
              <w:rPr>
                <w:rFonts w:hint="eastAsia"/>
                <w:color w:val="000000"/>
                <w:sz w:val="20"/>
                <w:szCs w:val="20"/>
              </w:rPr>
              <w:br w:type="textWrapping"/>
            </w:r>
            <w:r>
              <w:rPr>
                <w:rFonts w:hint="eastAsia"/>
                <w:color w:val="000000"/>
                <w:sz w:val="20"/>
                <w:szCs w:val="20"/>
              </w:rPr>
              <w:t>2、面材：面板贴A级胡桃木皮，木皮纹理颜色一致，无结疤，无瑕疵。</w:t>
            </w:r>
            <w:r>
              <w:rPr>
                <w:rFonts w:hint="eastAsia"/>
                <w:color w:val="000000"/>
                <w:sz w:val="20"/>
                <w:szCs w:val="20"/>
              </w:rPr>
              <w:br w:type="textWrapping"/>
            </w:r>
            <w:r>
              <w:rPr>
                <w:rFonts w:hint="eastAsia"/>
                <w:color w:val="000000"/>
                <w:sz w:val="20"/>
                <w:szCs w:val="20"/>
              </w:rPr>
              <w:t>3、封边:四周实木封边,</w:t>
            </w:r>
            <w:r>
              <w:rPr>
                <w:rFonts w:hint="eastAsia"/>
                <w:color w:val="000000"/>
                <w:sz w:val="20"/>
                <w:szCs w:val="20"/>
              </w:rPr>
              <w:br w:type="textWrapping"/>
            </w:r>
            <w:r>
              <w:rPr>
                <w:rFonts w:hint="eastAsia"/>
                <w:color w:val="000000"/>
                <w:sz w:val="20"/>
                <w:szCs w:val="20"/>
              </w:rPr>
              <w:t>4、配件:采用五金配件。</w:t>
            </w:r>
          </w:p>
          <w:p>
            <w:pPr>
              <w:textAlignment w:val="center"/>
              <w:rPr>
                <w:rFonts w:hint="eastAsia"/>
                <w:color w:val="000000"/>
                <w:sz w:val="20"/>
                <w:szCs w:val="20"/>
              </w:rPr>
            </w:pPr>
            <w:r>
              <w:rPr>
                <w:rFonts w:hint="eastAsia"/>
                <w:color w:val="000000"/>
                <w:sz w:val="20"/>
                <w:szCs w:val="20"/>
              </w:rPr>
              <w:t>5、油漆：选用环保水性油漆,</w:t>
            </w:r>
            <w:r>
              <w:rPr>
                <w:rFonts w:hint="eastAsia"/>
                <w:color w:val="000000"/>
                <w:sz w:val="20"/>
                <w:szCs w:val="20"/>
              </w:rPr>
              <w:br w:type="textWrapping"/>
            </w:r>
            <w:r>
              <w:rPr>
                <w:rFonts w:hint="eastAsia"/>
                <w:color w:val="000000"/>
                <w:sz w:val="20"/>
                <w:szCs w:val="20"/>
              </w:rPr>
              <w:t>6、胶水：采用环保白乳胶。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主席桌</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定制，2400*600mm</w:t>
            </w:r>
            <w:r>
              <w:rPr>
                <w:rFonts w:hint="eastAsia"/>
                <w:color w:val="000000"/>
                <w:sz w:val="20"/>
                <w:szCs w:val="20"/>
              </w:rPr>
              <w:br w:type="textWrapping"/>
            </w:r>
            <w:r>
              <w:rPr>
                <w:rFonts w:hint="eastAsia"/>
                <w:color w:val="000000"/>
                <w:sz w:val="20"/>
                <w:szCs w:val="20"/>
              </w:rPr>
              <w:t>1、基材：均选用中密度板，经国家绿色环保认证，通过欧洲E1级环保标准。</w:t>
            </w:r>
            <w:r>
              <w:rPr>
                <w:rFonts w:hint="eastAsia"/>
                <w:color w:val="000000"/>
                <w:sz w:val="20"/>
                <w:szCs w:val="20"/>
              </w:rPr>
              <w:br w:type="textWrapping"/>
            </w:r>
            <w:r>
              <w:rPr>
                <w:rFonts w:hint="eastAsia"/>
                <w:color w:val="000000"/>
                <w:sz w:val="20"/>
                <w:szCs w:val="20"/>
              </w:rPr>
              <w:t>2、面材：面板贴A级胡桃木皮，木皮纹理颜色一致，无结疤，无瑕疵。</w:t>
            </w:r>
            <w:r>
              <w:rPr>
                <w:rFonts w:hint="eastAsia"/>
                <w:color w:val="000000"/>
                <w:sz w:val="20"/>
                <w:szCs w:val="20"/>
              </w:rPr>
              <w:br w:type="textWrapping"/>
            </w:r>
            <w:r>
              <w:rPr>
                <w:rFonts w:hint="eastAsia"/>
                <w:color w:val="000000"/>
                <w:sz w:val="20"/>
                <w:szCs w:val="20"/>
              </w:rPr>
              <w:t>3、封边:四周实木封边,</w:t>
            </w:r>
            <w:r>
              <w:rPr>
                <w:rFonts w:hint="eastAsia"/>
                <w:color w:val="000000"/>
                <w:sz w:val="20"/>
                <w:szCs w:val="20"/>
              </w:rPr>
              <w:br w:type="textWrapping"/>
            </w:r>
            <w:r>
              <w:rPr>
                <w:rFonts w:hint="eastAsia"/>
                <w:color w:val="000000"/>
                <w:sz w:val="20"/>
                <w:szCs w:val="20"/>
              </w:rPr>
              <w:t>4、配件:采用五金配件。</w:t>
            </w:r>
            <w:r>
              <w:rPr>
                <w:rFonts w:hint="eastAsia"/>
                <w:color w:val="000000"/>
                <w:sz w:val="20"/>
                <w:szCs w:val="20"/>
              </w:rPr>
              <w:br w:type="textWrapping"/>
            </w:r>
            <w:r>
              <w:rPr>
                <w:rFonts w:hint="eastAsia"/>
                <w:color w:val="000000"/>
                <w:sz w:val="20"/>
                <w:szCs w:val="20"/>
              </w:rPr>
              <w:t>5、油漆：选用环保水性油漆,</w:t>
            </w:r>
            <w:r>
              <w:rPr>
                <w:rFonts w:hint="eastAsia"/>
                <w:color w:val="000000"/>
                <w:sz w:val="20"/>
                <w:szCs w:val="20"/>
              </w:rPr>
              <w:br w:type="textWrapping"/>
            </w:r>
            <w:r>
              <w:rPr>
                <w:rFonts w:hint="eastAsia"/>
                <w:color w:val="000000"/>
                <w:sz w:val="20"/>
                <w:szCs w:val="20"/>
              </w:rPr>
              <w:t>6、胶水：采用环保白乳胶。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3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操作席</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定制，2100*650mm</w:t>
            </w:r>
            <w:r>
              <w:rPr>
                <w:rFonts w:hint="eastAsia"/>
                <w:color w:val="000000"/>
                <w:sz w:val="20"/>
                <w:szCs w:val="20"/>
              </w:rPr>
              <w:br w:type="textWrapping"/>
            </w:r>
            <w:r>
              <w:rPr>
                <w:rFonts w:hint="eastAsia"/>
                <w:color w:val="000000"/>
                <w:sz w:val="20"/>
                <w:szCs w:val="20"/>
              </w:rPr>
              <w:t>1、基材：均选用中密度板，经国家绿色环保认证，通过欧洲E1级环保标准。</w:t>
            </w:r>
            <w:r>
              <w:rPr>
                <w:rFonts w:hint="eastAsia"/>
                <w:color w:val="000000"/>
                <w:sz w:val="20"/>
                <w:szCs w:val="20"/>
              </w:rPr>
              <w:br w:type="textWrapping"/>
            </w:r>
            <w:r>
              <w:rPr>
                <w:rFonts w:hint="eastAsia"/>
                <w:color w:val="000000"/>
                <w:sz w:val="20"/>
                <w:szCs w:val="20"/>
              </w:rPr>
              <w:t>2、面材：面板贴A级胡桃木皮，木皮纹理颜色一致，无结疤，无瑕疵。</w:t>
            </w:r>
            <w:r>
              <w:rPr>
                <w:rFonts w:hint="eastAsia"/>
                <w:color w:val="000000"/>
                <w:sz w:val="20"/>
                <w:szCs w:val="20"/>
              </w:rPr>
              <w:br w:type="textWrapping"/>
            </w:r>
            <w:r>
              <w:rPr>
                <w:rFonts w:hint="eastAsia"/>
                <w:color w:val="000000"/>
                <w:sz w:val="20"/>
                <w:szCs w:val="20"/>
              </w:rPr>
              <w:t>3、封边:四周实木封边,</w:t>
            </w:r>
            <w:r>
              <w:rPr>
                <w:rFonts w:hint="eastAsia"/>
                <w:color w:val="000000"/>
                <w:sz w:val="20"/>
                <w:szCs w:val="20"/>
              </w:rPr>
              <w:br w:type="textWrapping"/>
            </w:r>
            <w:r>
              <w:rPr>
                <w:rFonts w:hint="eastAsia"/>
                <w:color w:val="000000"/>
                <w:sz w:val="20"/>
                <w:szCs w:val="20"/>
              </w:rPr>
              <w:t>4、配件:采用五金配件。</w:t>
            </w:r>
            <w:r>
              <w:rPr>
                <w:rFonts w:hint="eastAsia"/>
                <w:color w:val="000000"/>
                <w:sz w:val="20"/>
                <w:szCs w:val="20"/>
              </w:rPr>
              <w:br w:type="textWrapping"/>
            </w:r>
            <w:r>
              <w:rPr>
                <w:rFonts w:hint="eastAsia"/>
                <w:color w:val="000000"/>
                <w:sz w:val="20"/>
                <w:szCs w:val="20"/>
              </w:rPr>
              <w:t>5、油漆：选用环保水性油漆,</w:t>
            </w:r>
            <w:r>
              <w:rPr>
                <w:rFonts w:hint="eastAsia"/>
                <w:color w:val="000000"/>
                <w:sz w:val="20"/>
                <w:szCs w:val="20"/>
              </w:rPr>
              <w:br w:type="textWrapping"/>
            </w:r>
            <w:r>
              <w:rPr>
                <w:rFonts w:hint="eastAsia"/>
                <w:color w:val="000000"/>
                <w:sz w:val="20"/>
                <w:szCs w:val="20"/>
              </w:rPr>
              <w:t>6、胶水：采用环保白乳胶。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4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主席椅</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采用西皮，皮面光泽度好，透气性强，柔软而富于韧性，阻燃、防污、耐磨性强。靠背采用 38#海绵，坐垫采用 45#海绵，防氧化,防碎,永不变形，根据人体工学原理设计，实木脚架及扶手。</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会议条桌1</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定制，2100*450mm</w:t>
            </w:r>
            <w:r>
              <w:rPr>
                <w:rFonts w:hint="eastAsia"/>
                <w:color w:val="000000"/>
                <w:sz w:val="20"/>
                <w:szCs w:val="20"/>
              </w:rPr>
              <w:br w:type="textWrapping"/>
            </w:r>
            <w:r>
              <w:rPr>
                <w:rFonts w:hint="eastAsia"/>
                <w:color w:val="000000"/>
                <w:sz w:val="20"/>
                <w:szCs w:val="20"/>
              </w:rPr>
              <w:t>1、基材：均选用中密度板，经国家绿色环保认证，通过欧洲E1级环保标准。</w:t>
            </w:r>
            <w:r>
              <w:rPr>
                <w:rFonts w:hint="eastAsia"/>
                <w:color w:val="000000"/>
                <w:sz w:val="20"/>
                <w:szCs w:val="20"/>
              </w:rPr>
              <w:br w:type="textWrapping"/>
            </w:r>
            <w:r>
              <w:rPr>
                <w:rFonts w:hint="eastAsia"/>
                <w:color w:val="000000"/>
                <w:sz w:val="20"/>
                <w:szCs w:val="20"/>
              </w:rPr>
              <w:t>2、面材：面板贴A级胡桃木皮，木皮纹理颜色一致，无结疤，无瑕疵。</w:t>
            </w:r>
            <w:r>
              <w:rPr>
                <w:rFonts w:hint="eastAsia"/>
                <w:color w:val="000000"/>
                <w:sz w:val="20"/>
                <w:szCs w:val="20"/>
              </w:rPr>
              <w:br w:type="textWrapping"/>
            </w:r>
            <w:r>
              <w:rPr>
                <w:rFonts w:hint="eastAsia"/>
                <w:color w:val="000000"/>
                <w:sz w:val="20"/>
                <w:szCs w:val="20"/>
              </w:rPr>
              <w:t>3、封边:四周实木封边,</w:t>
            </w:r>
            <w:r>
              <w:rPr>
                <w:rFonts w:hint="eastAsia"/>
                <w:color w:val="000000"/>
                <w:sz w:val="20"/>
                <w:szCs w:val="20"/>
              </w:rPr>
              <w:br w:type="textWrapping"/>
            </w:r>
            <w:r>
              <w:rPr>
                <w:rFonts w:hint="eastAsia"/>
                <w:color w:val="000000"/>
                <w:sz w:val="20"/>
                <w:szCs w:val="20"/>
              </w:rPr>
              <w:t>4、配件:采用五金配件。</w:t>
            </w:r>
            <w:r>
              <w:rPr>
                <w:rFonts w:hint="eastAsia"/>
                <w:color w:val="000000"/>
                <w:sz w:val="20"/>
                <w:szCs w:val="20"/>
              </w:rPr>
              <w:br w:type="textWrapping"/>
            </w:r>
            <w:r>
              <w:rPr>
                <w:rFonts w:hint="eastAsia"/>
                <w:color w:val="000000"/>
                <w:sz w:val="20"/>
                <w:szCs w:val="20"/>
              </w:rPr>
              <w:t>5、油漆：选用环保水性油漆,</w:t>
            </w:r>
            <w:r>
              <w:rPr>
                <w:rFonts w:hint="eastAsia"/>
                <w:color w:val="000000"/>
                <w:sz w:val="20"/>
                <w:szCs w:val="20"/>
              </w:rPr>
              <w:br w:type="textWrapping"/>
            </w:r>
            <w:r>
              <w:rPr>
                <w:rFonts w:hint="eastAsia"/>
                <w:color w:val="000000"/>
                <w:sz w:val="20"/>
                <w:szCs w:val="20"/>
              </w:rPr>
              <w:t>6、胶水：采用环保白乳胶。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24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会议条桌2</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定制，1400*450mm</w:t>
            </w:r>
            <w:r>
              <w:rPr>
                <w:rFonts w:hint="eastAsia"/>
                <w:color w:val="000000"/>
                <w:sz w:val="20"/>
                <w:szCs w:val="20"/>
              </w:rPr>
              <w:br w:type="textWrapping"/>
            </w:r>
            <w:r>
              <w:rPr>
                <w:rFonts w:hint="eastAsia"/>
                <w:color w:val="000000"/>
                <w:sz w:val="20"/>
                <w:szCs w:val="20"/>
              </w:rPr>
              <w:t>1、基材：均选用中密度板，经国家绿色环保认证，通过欧洲E1级环保标准。</w:t>
            </w:r>
            <w:r>
              <w:rPr>
                <w:rFonts w:hint="eastAsia"/>
                <w:color w:val="000000"/>
                <w:sz w:val="20"/>
                <w:szCs w:val="20"/>
              </w:rPr>
              <w:br w:type="textWrapping"/>
            </w:r>
            <w:r>
              <w:rPr>
                <w:rFonts w:hint="eastAsia"/>
                <w:color w:val="000000"/>
                <w:sz w:val="20"/>
                <w:szCs w:val="20"/>
              </w:rPr>
              <w:t>2、面材：面板贴A级胡桃木皮，木皮纹理颜色一致，无结疤，无瑕疵。</w:t>
            </w:r>
            <w:r>
              <w:rPr>
                <w:rFonts w:hint="eastAsia"/>
                <w:color w:val="000000"/>
                <w:sz w:val="20"/>
                <w:szCs w:val="20"/>
              </w:rPr>
              <w:br w:type="textWrapping"/>
            </w:r>
            <w:r>
              <w:rPr>
                <w:rFonts w:hint="eastAsia"/>
                <w:color w:val="000000"/>
                <w:sz w:val="20"/>
                <w:szCs w:val="20"/>
              </w:rPr>
              <w:t>3、封边:四周实木封边,</w:t>
            </w:r>
            <w:r>
              <w:rPr>
                <w:rFonts w:hint="eastAsia"/>
                <w:color w:val="000000"/>
                <w:sz w:val="20"/>
                <w:szCs w:val="20"/>
              </w:rPr>
              <w:br w:type="textWrapping"/>
            </w:r>
            <w:r>
              <w:rPr>
                <w:rFonts w:hint="eastAsia"/>
                <w:color w:val="000000"/>
                <w:sz w:val="20"/>
                <w:szCs w:val="20"/>
              </w:rPr>
              <w:t>4、配件:采用五金配件。</w:t>
            </w:r>
            <w:r>
              <w:rPr>
                <w:rFonts w:hint="eastAsia"/>
                <w:color w:val="000000"/>
                <w:sz w:val="20"/>
                <w:szCs w:val="20"/>
              </w:rPr>
              <w:br w:type="textWrapping"/>
            </w:r>
            <w:r>
              <w:rPr>
                <w:rFonts w:hint="eastAsia"/>
                <w:color w:val="000000"/>
                <w:sz w:val="20"/>
                <w:szCs w:val="20"/>
              </w:rPr>
              <w:t>5、油漆：选用环保水性油漆,</w:t>
            </w:r>
            <w:r>
              <w:rPr>
                <w:rFonts w:hint="eastAsia"/>
                <w:color w:val="000000"/>
                <w:sz w:val="20"/>
                <w:szCs w:val="20"/>
              </w:rPr>
              <w:br w:type="textWrapping"/>
            </w:r>
            <w:r>
              <w:rPr>
                <w:rFonts w:hint="eastAsia"/>
                <w:color w:val="000000"/>
                <w:sz w:val="20"/>
                <w:szCs w:val="20"/>
              </w:rPr>
              <w:t>6、胶水：采用环保白乳胶。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4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会议椅</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采用西皮，皮面光泽度好，透气性强，柔软而富于韧性，阻燃、防污、耐磨性强。靠背采用 38#海绵，坐垫采用 45#海绵，防氧化,防碎,永不变形，根据人体工学原理设计，实木框架。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张</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92 </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茶吧台席</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1、异形免漆板造型基层300*2900</w:t>
            </w:r>
            <w:r>
              <w:rPr>
                <w:rFonts w:hint="eastAsia"/>
                <w:color w:val="000000"/>
                <w:sz w:val="20"/>
                <w:szCs w:val="20"/>
              </w:rPr>
              <w:br w:type="textWrapping"/>
            </w:r>
            <w:r>
              <w:rPr>
                <w:rFonts w:hint="eastAsia"/>
                <w:color w:val="000000"/>
                <w:sz w:val="20"/>
                <w:szCs w:val="20"/>
              </w:rPr>
              <w:t>2、装饰封边</w:t>
            </w:r>
            <w:r>
              <w:rPr>
                <w:rFonts w:hint="eastAsia"/>
                <w:color w:val="000000"/>
                <w:sz w:val="20"/>
                <w:szCs w:val="20"/>
              </w:rPr>
              <w:br w:type="textWrapping"/>
            </w:r>
            <w:r>
              <w:rPr>
                <w:rFonts w:hint="eastAsia"/>
                <w:color w:val="000000"/>
                <w:sz w:val="20"/>
                <w:szCs w:val="20"/>
              </w:rPr>
              <w:t>3、石英石台面，磨边、挡水条</w:t>
            </w:r>
            <w:r>
              <w:rPr>
                <w:rFonts w:hint="eastAsia"/>
                <w:color w:val="000000"/>
                <w:sz w:val="20"/>
                <w:szCs w:val="20"/>
              </w:rPr>
              <w:br w:type="textWrapping"/>
            </w:r>
            <w:r>
              <w:rPr>
                <w:rFonts w:hint="eastAsia"/>
                <w:color w:val="000000"/>
                <w:sz w:val="20"/>
                <w:szCs w:val="20"/>
              </w:rPr>
              <w:t>4、2张配套椅</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茶水厨柜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1、免漆板基层柜体550*780*3100                                 2、装饰封边</w:t>
            </w:r>
            <w:r>
              <w:rPr>
                <w:rFonts w:hint="eastAsia"/>
                <w:color w:val="000000"/>
                <w:sz w:val="20"/>
                <w:szCs w:val="20"/>
              </w:rPr>
              <w:br w:type="textWrapping"/>
            </w:r>
            <w:r>
              <w:rPr>
                <w:rFonts w:hint="eastAsia"/>
                <w:color w:val="000000"/>
                <w:sz w:val="20"/>
                <w:szCs w:val="20"/>
              </w:rPr>
              <w:t>3、模压成品门板、合页拉手配套</w:t>
            </w:r>
            <w:r>
              <w:rPr>
                <w:rFonts w:hint="eastAsia"/>
                <w:color w:val="000000"/>
                <w:sz w:val="20"/>
                <w:szCs w:val="20"/>
              </w:rPr>
              <w:br w:type="textWrapping"/>
            </w:r>
            <w:r>
              <w:rPr>
                <w:rFonts w:hint="eastAsia"/>
                <w:color w:val="000000"/>
                <w:sz w:val="20"/>
                <w:szCs w:val="20"/>
              </w:rPr>
              <w:t>4、石英石台面，磨边、挡水条</w:t>
            </w:r>
            <w:r>
              <w:rPr>
                <w:rFonts w:hint="eastAsia"/>
                <w:color w:val="000000"/>
                <w:sz w:val="20"/>
                <w:szCs w:val="20"/>
              </w:rPr>
              <w:br w:type="textWrapping"/>
            </w:r>
            <w:r>
              <w:rPr>
                <w:rFonts w:hint="eastAsia"/>
                <w:color w:val="000000"/>
                <w:sz w:val="20"/>
                <w:szCs w:val="20"/>
              </w:rPr>
              <w:t>5、单水槽和龙头配套</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其他配套办公家具</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开水机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highlight w:val="none"/>
              </w:rPr>
              <w:t>柜式落地款，一开一温，开水20L/h，温水80L/h，可供50人使用，三级过滤，304不锈钢内胆容量18L，液晶触摸操控显示。</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2.9、空调系统</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吸顶空调</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auto"/>
              </w:rPr>
            </w:pPr>
            <w:r>
              <w:rPr>
                <w:rFonts w:hint="eastAsia"/>
                <w:color w:val="auto"/>
              </w:rPr>
              <w:t>5P冷暖空调</w:t>
            </w:r>
          </w:p>
          <w:p>
            <w:pPr>
              <w:textAlignment w:val="center"/>
              <w:rPr>
                <w:rFonts w:hint="eastAsia"/>
                <w:color w:val="auto"/>
                <w:sz w:val="20"/>
                <w:szCs w:val="20"/>
              </w:rPr>
            </w:pPr>
            <w:r>
              <w:rPr>
                <w:rFonts w:hint="eastAsia"/>
                <w:color w:val="auto"/>
                <w:sz w:val="20"/>
                <w:szCs w:val="20"/>
              </w:rPr>
              <w:t>1、能效等级：三级能效。</w:t>
            </w:r>
          </w:p>
          <w:p>
            <w:pPr>
              <w:textAlignment w:val="center"/>
              <w:rPr>
                <w:rFonts w:hint="eastAsia"/>
                <w:color w:val="auto"/>
                <w:sz w:val="20"/>
                <w:szCs w:val="20"/>
              </w:rPr>
            </w:pPr>
            <w:r>
              <w:rPr>
                <w:rFonts w:hint="eastAsia"/>
                <w:color w:val="auto"/>
                <w:sz w:val="20"/>
                <w:szCs w:val="20"/>
              </w:rPr>
              <w:t>2、冷暖类型：变频冷暖型。</w:t>
            </w:r>
          </w:p>
          <w:p>
            <w:pPr>
              <w:textAlignment w:val="center"/>
              <w:rPr>
                <w:rFonts w:hint="eastAsia"/>
                <w:color w:val="auto"/>
                <w:sz w:val="20"/>
                <w:szCs w:val="20"/>
              </w:rPr>
            </w:pPr>
            <w:r>
              <w:rPr>
                <w:rFonts w:hint="eastAsia"/>
                <w:color w:val="auto"/>
                <w:sz w:val="20"/>
                <w:szCs w:val="20"/>
              </w:rPr>
              <w:t>3、制冷量：≥12000W。</w:t>
            </w:r>
          </w:p>
          <w:p>
            <w:pPr>
              <w:textAlignment w:val="center"/>
              <w:rPr>
                <w:rFonts w:hint="eastAsia"/>
                <w:color w:val="auto"/>
              </w:rPr>
            </w:pPr>
            <w:r>
              <w:rPr>
                <w:rFonts w:hint="eastAsia"/>
                <w:color w:val="auto"/>
                <w:sz w:val="20"/>
                <w:szCs w:val="20"/>
              </w:rPr>
              <w:t>4、制热量：≥12500W。</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风管机</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auto"/>
              </w:rPr>
            </w:pPr>
            <w:r>
              <w:rPr>
                <w:rFonts w:hint="eastAsia"/>
                <w:color w:val="auto"/>
              </w:rPr>
              <w:t>3P冷暖空调</w:t>
            </w:r>
          </w:p>
          <w:p>
            <w:pPr>
              <w:textAlignment w:val="center"/>
              <w:rPr>
                <w:rFonts w:hint="eastAsia"/>
                <w:color w:val="auto"/>
                <w:sz w:val="20"/>
                <w:szCs w:val="20"/>
              </w:rPr>
            </w:pPr>
            <w:r>
              <w:rPr>
                <w:rFonts w:hint="eastAsia"/>
                <w:color w:val="auto"/>
                <w:sz w:val="20"/>
                <w:szCs w:val="20"/>
              </w:rPr>
              <w:t>1、能效等级：二级。</w:t>
            </w:r>
          </w:p>
          <w:p>
            <w:pPr>
              <w:textAlignment w:val="center"/>
              <w:rPr>
                <w:rFonts w:hint="eastAsia"/>
                <w:color w:val="auto"/>
                <w:sz w:val="20"/>
                <w:szCs w:val="20"/>
              </w:rPr>
            </w:pPr>
            <w:r>
              <w:rPr>
                <w:rFonts w:hint="eastAsia"/>
                <w:color w:val="auto"/>
                <w:sz w:val="20"/>
                <w:szCs w:val="20"/>
              </w:rPr>
              <w:t>2、冷暖类型：变频冷暖型。</w:t>
            </w:r>
          </w:p>
          <w:p>
            <w:pPr>
              <w:textAlignment w:val="center"/>
              <w:rPr>
                <w:rFonts w:hint="eastAsia"/>
                <w:color w:val="auto"/>
                <w:sz w:val="20"/>
                <w:szCs w:val="20"/>
              </w:rPr>
            </w:pPr>
            <w:r>
              <w:rPr>
                <w:rFonts w:hint="eastAsia"/>
                <w:color w:val="auto"/>
                <w:sz w:val="20"/>
                <w:szCs w:val="20"/>
              </w:rPr>
              <w:t>3、制冷量：≥7200W。</w:t>
            </w:r>
          </w:p>
          <w:p>
            <w:pPr>
              <w:textAlignment w:val="center"/>
              <w:rPr>
                <w:rFonts w:hint="eastAsia"/>
                <w:color w:val="auto"/>
              </w:rPr>
            </w:pPr>
            <w:r>
              <w:rPr>
                <w:rFonts w:hint="eastAsia"/>
                <w:color w:val="auto"/>
                <w:sz w:val="20"/>
                <w:szCs w:val="20"/>
              </w:rPr>
              <w:t>4、制热量：≥9200W。</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壁挂空调</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auto"/>
              </w:rPr>
            </w:pPr>
            <w:r>
              <w:rPr>
                <w:rFonts w:hint="eastAsia"/>
                <w:color w:val="auto"/>
              </w:rPr>
              <w:t>2P冷暖空调</w:t>
            </w:r>
          </w:p>
          <w:p>
            <w:pPr>
              <w:textAlignment w:val="center"/>
              <w:rPr>
                <w:rFonts w:hint="eastAsia"/>
                <w:color w:val="auto"/>
                <w:sz w:val="20"/>
                <w:szCs w:val="20"/>
              </w:rPr>
            </w:pPr>
            <w:r>
              <w:rPr>
                <w:rFonts w:hint="eastAsia"/>
                <w:color w:val="auto"/>
                <w:sz w:val="20"/>
                <w:szCs w:val="20"/>
              </w:rPr>
              <w:t>1、能效等级：</w:t>
            </w:r>
            <w:r>
              <w:rPr>
                <w:rFonts w:hint="eastAsia"/>
                <w:color w:val="auto"/>
                <w:sz w:val="20"/>
                <w:szCs w:val="20"/>
                <w:lang w:val="en-US" w:eastAsia="zh-CN"/>
              </w:rPr>
              <w:t>二</w:t>
            </w:r>
            <w:r>
              <w:rPr>
                <w:rFonts w:hint="eastAsia"/>
                <w:color w:val="auto"/>
                <w:sz w:val="20"/>
                <w:szCs w:val="20"/>
              </w:rPr>
              <w:t>级。</w:t>
            </w:r>
          </w:p>
          <w:p>
            <w:pPr>
              <w:textAlignment w:val="center"/>
              <w:rPr>
                <w:rFonts w:hint="eastAsia"/>
                <w:color w:val="auto"/>
                <w:sz w:val="20"/>
                <w:szCs w:val="20"/>
              </w:rPr>
            </w:pPr>
            <w:r>
              <w:rPr>
                <w:rFonts w:hint="eastAsia"/>
                <w:color w:val="auto"/>
                <w:sz w:val="20"/>
                <w:szCs w:val="20"/>
              </w:rPr>
              <w:t>2、冷暖类型：变频冷暖型。</w:t>
            </w:r>
          </w:p>
          <w:p>
            <w:pPr>
              <w:textAlignment w:val="center"/>
              <w:rPr>
                <w:rFonts w:hint="eastAsia"/>
                <w:color w:val="auto"/>
                <w:sz w:val="20"/>
                <w:szCs w:val="20"/>
              </w:rPr>
            </w:pPr>
            <w:r>
              <w:rPr>
                <w:rFonts w:hint="eastAsia"/>
                <w:color w:val="auto"/>
                <w:sz w:val="20"/>
                <w:szCs w:val="20"/>
              </w:rPr>
              <w:t>3、制冷量：≥5000W。</w:t>
            </w:r>
          </w:p>
          <w:p>
            <w:pPr>
              <w:textAlignment w:val="center"/>
              <w:rPr>
                <w:rFonts w:hint="eastAsia"/>
                <w:color w:val="auto"/>
              </w:rPr>
            </w:pPr>
            <w:r>
              <w:rPr>
                <w:rFonts w:hint="eastAsia"/>
                <w:color w:val="auto"/>
                <w:sz w:val="20"/>
                <w:szCs w:val="20"/>
              </w:rPr>
              <w:t>4、制热量：≥6300W。</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壁挂空调</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auto"/>
                <w:sz w:val="20"/>
                <w:szCs w:val="20"/>
              </w:rPr>
            </w:pPr>
            <w:r>
              <w:rPr>
                <w:rFonts w:hint="eastAsia"/>
                <w:color w:val="auto"/>
                <w:sz w:val="20"/>
                <w:szCs w:val="20"/>
              </w:rPr>
              <w:t>1.5P冷暖空调</w:t>
            </w:r>
          </w:p>
          <w:p>
            <w:pPr>
              <w:textAlignment w:val="center"/>
              <w:rPr>
                <w:rFonts w:hint="eastAsia"/>
                <w:color w:val="auto"/>
                <w:sz w:val="20"/>
                <w:szCs w:val="20"/>
              </w:rPr>
            </w:pPr>
            <w:r>
              <w:rPr>
                <w:rFonts w:hint="eastAsia"/>
                <w:color w:val="auto"/>
                <w:sz w:val="20"/>
                <w:szCs w:val="20"/>
              </w:rPr>
              <w:t>1、能效等级：二级。</w:t>
            </w:r>
          </w:p>
          <w:p>
            <w:pPr>
              <w:textAlignment w:val="center"/>
              <w:rPr>
                <w:rFonts w:hint="eastAsia"/>
                <w:color w:val="auto"/>
                <w:sz w:val="20"/>
                <w:szCs w:val="20"/>
              </w:rPr>
            </w:pPr>
            <w:r>
              <w:rPr>
                <w:rFonts w:hint="eastAsia"/>
                <w:color w:val="auto"/>
                <w:sz w:val="20"/>
                <w:szCs w:val="20"/>
              </w:rPr>
              <w:t>2、冷暖类型：变频冷暖型。</w:t>
            </w:r>
          </w:p>
          <w:p>
            <w:pPr>
              <w:textAlignment w:val="center"/>
              <w:rPr>
                <w:rFonts w:hint="eastAsia"/>
                <w:color w:val="auto"/>
                <w:sz w:val="20"/>
                <w:szCs w:val="20"/>
              </w:rPr>
            </w:pPr>
            <w:r>
              <w:rPr>
                <w:rFonts w:hint="eastAsia"/>
                <w:color w:val="auto"/>
                <w:sz w:val="20"/>
                <w:szCs w:val="20"/>
              </w:rPr>
              <w:t>3、制冷量：≥3500W。</w:t>
            </w:r>
          </w:p>
          <w:p>
            <w:pPr>
              <w:textAlignment w:val="center"/>
              <w:rPr>
                <w:rFonts w:hint="eastAsia"/>
                <w:color w:val="auto"/>
                <w:sz w:val="20"/>
                <w:szCs w:val="20"/>
              </w:rPr>
            </w:pPr>
            <w:r>
              <w:rPr>
                <w:rFonts w:hint="eastAsia"/>
                <w:color w:val="auto"/>
                <w:sz w:val="20"/>
                <w:szCs w:val="20"/>
              </w:rPr>
              <w:t>4、制热量：≥4900W。</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空调辅材</w:t>
            </w:r>
          </w:p>
        </w:tc>
        <w:tc>
          <w:tcPr>
            <w:tcW w:w="534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含人工、运费、安装费、调试空调管道、铜管（超过空调原配联机铜管长度以外的铜管延长费等费用含在报价中）、护圈、线扎、螺钉、排水弯头、支架、排水管室外机等完成项目安装直至验收的一切费用</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批</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9434" w:type="dxa"/>
            <w:gridSpan w:val="5"/>
            <w:tcBorders>
              <w:top w:val="single" w:color="000000" w:sz="4" w:space="0"/>
              <w:left w:val="single" w:color="000000" w:sz="4" w:space="0"/>
              <w:bottom w:val="single" w:color="000000" w:sz="4" w:space="0"/>
              <w:right w:val="single" w:color="000000" w:sz="4" w:space="0"/>
            </w:tcBorders>
            <w:vAlign w:val="center"/>
          </w:tcPr>
          <w:p>
            <w:pPr>
              <w:textAlignment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三、南麂岛入口展示系统</w:t>
            </w:r>
          </w:p>
        </w:tc>
      </w:tr>
      <w:tr>
        <w:tblPrEx>
          <w:tblCellMar>
            <w:top w:w="0" w:type="dxa"/>
            <w:left w:w="108" w:type="dxa"/>
            <w:bottom w:w="0" w:type="dxa"/>
            <w:right w:w="108" w:type="dxa"/>
          </w:tblCellMar>
        </w:tblPrEx>
        <w:trPr>
          <w:trHeight w:val="118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室内LED全彩屏</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1、显示屏尺寸≥5.76m*2.88m</w:t>
            </w:r>
            <w:r>
              <w:rPr>
                <w:rFonts w:hint="eastAsia"/>
                <w:color w:val="000000"/>
                <w:sz w:val="20"/>
                <w:szCs w:val="20"/>
              </w:rPr>
              <w:br w:type="textWrapping"/>
            </w:r>
            <w:r>
              <w:rPr>
                <w:rFonts w:hint="eastAsia"/>
                <w:color w:val="000000"/>
                <w:sz w:val="20"/>
                <w:szCs w:val="20"/>
              </w:rPr>
              <w:t>▲2、像素点间距≤2.5mm</w:t>
            </w:r>
            <w:r>
              <w:rPr>
                <w:rFonts w:hint="eastAsia"/>
                <w:color w:val="000000"/>
                <w:sz w:val="20"/>
                <w:szCs w:val="20"/>
              </w:rPr>
              <w:br w:type="textWrapping"/>
            </w:r>
            <w:r>
              <w:rPr>
                <w:rFonts w:hint="eastAsia"/>
                <w:color w:val="000000"/>
                <w:sz w:val="20"/>
                <w:szCs w:val="20"/>
              </w:rPr>
              <w:t>3、像素密度：单元大小为320mm×160mm的像素密度</w:t>
            </w:r>
            <w:r>
              <w:rPr>
                <w:rFonts w:hint="eastAsia"/>
                <w:color w:val="000000"/>
                <w:sz w:val="20"/>
                <w:szCs w:val="20"/>
              </w:rPr>
              <w:br w:type="textWrapping"/>
            </w:r>
            <w:r>
              <w:rPr>
                <w:rFonts w:hint="eastAsia"/>
                <w:color w:val="000000"/>
                <w:sz w:val="20"/>
                <w:szCs w:val="20"/>
              </w:rPr>
              <w:t xml:space="preserve">4、模组平整度≤0.05mm，拼接缝≤0.05mm </w:t>
            </w:r>
            <w:r>
              <w:rPr>
                <w:rFonts w:hint="eastAsia"/>
                <w:color w:val="000000"/>
                <w:sz w:val="20"/>
                <w:szCs w:val="20"/>
              </w:rPr>
              <w:br w:type="textWrapping"/>
            </w:r>
            <w:r>
              <w:rPr>
                <w:rFonts w:hint="eastAsia"/>
                <w:color w:val="000000"/>
                <w:sz w:val="20"/>
                <w:szCs w:val="20"/>
              </w:rPr>
              <w:t>6、驱动芯片功能：具有列下消隐功能、倍频刷新率提升2/4/8倍、低灰偏色改善</w:t>
            </w:r>
            <w:r>
              <w:rPr>
                <w:rFonts w:hint="eastAsia"/>
                <w:color w:val="000000"/>
                <w:sz w:val="20"/>
                <w:szCs w:val="20"/>
              </w:rPr>
              <w:br w:type="textWrapping"/>
            </w:r>
            <w:r>
              <w:rPr>
                <w:rFonts w:hint="eastAsia"/>
                <w:color w:val="000000"/>
                <w:sz w:val="20"/>
                <w:szCs w:val="20"/>
              </w:rPr>
              <w:t>7、调节软件设置项：支持鬼影消除、首行暗亮消除、低灰偏色补偿、低灰均匀性、低灰横条纹消除、慢速开启、十字架消除、去坏点、毛毛虫消除、余辉消除、亮度缓慢变亮功能</w:t>
            </w:r>
            <w:r>
              <w:rPr>
                <w:rFonts w:hint="eastAsia"/>
                <w:color w:val="000000"/>
                <w:sz w:val="20"/>
                <w:szCs w:val="20"/>
              </w:rPr>
              <w:br w:type="textWrapping"/>
            </w:r>
            <w:r>
              <w:rPr>
                <w:rFonts w:hint="eastAsia"/>
                <w:color w:val="000000"/>
                <w:sz w:val="20"/>
                <w:szCs w:val="20"/>
              </w:rPr>
              <w:t>8、亮度≥700Cd/m²，亮度均匀性≥98%</w:t>
            </w:r>
            <w:r>
              <w:rPr>
                <w:rFonts w:hint="eastAsia"/>
                <w:color w:val="000000"/>
                <w:sz w:val="20"/>
                <w:szCs w:val="20"/>
              </w:rPr>
              <w:br w:type="textWrapping"/>
            </w:r>
            <w:r>
              <w:rPr>
                <w:rFonts w:hint="eastAsia"/>
                <w:color w:val="000000"/>
                <w:sz w:val="20"/>
                <w:szCs w:val="20"/>
              </w:rPr>
              <w:t>9、色温：1000-18000K</w:t>
            </w:r>
            <w:r>
              <w:rPr>
                <w:rFonts w:hint="eastAsia"/>
                <w:color w:val="000000"/>
                <w:sz w:val="20"/>
                <w:szCs w:val="20"/>
              </w:rPr>
              <w:br w:type="textWrapping"/>
            </w:r>
            <w:r>
              <w:rPr>
                <w:rFonts w:hint="eastAsia"/>
                <w:color w:val="000000"/>
                <w:sz w:val="20"/>
                <w:szCs w:val="20"/>
              </w:rPr>
              <w:t>10、水平视角≥160°，垂直视角≥160°</w:t>
            </w:r>
            <w:r>
              <w:rPr>
                <w:rFonts w:hint="eastAsia"/>
                <w:color w:val="000000"/>
                <w:sz w:val="20"/>
                <w:szCs w:val="20"/>
              </w:rPr>
              <w:br w:type="textWrapping"/>
            </w:r>
            <w:r>
              <w:rPr>
                <w:rFonts w:hint="eastAsia"/>
                <w:color w:val="000000"/>
                <w:sz w:val="20"/>
                <w:szCs w:val="20"/>
              </w:rPr>
              <w:t>11、对比度≥7000：1</w:t>
            </w:r>
            <w:r>
              <w:rPr>
                <w:rFonts w:hint="eastAsia"/>
                <w:color w:val="000000"/>
                <w:sz w:val="20"/>
                <w:szCs w:val="20"/>
              </w:rPr>
              <w:br w:type="textWrapping"/>
            </w:r>
            <w:r>
              <w:rPr>
                <w:rFonts w:hint="eastAsia"/>
                <w:color w:val="000000"/>
                <w:sz w:val="20"/>
                <w:szCs w:val="20"/>
              </w:rPr>
              <w:t>12、灰度等级：采用16bit技术</w:t>
            </w:r>
            <w:r>
              <w:rPr>
                <w:rFonts w:hint="eastAsia"/>
                <w:color w:val="000000"/>
                <w:sz w:val="20"/>
                <w:szCs w:val="20"/>
              </w:rPr>
              <w:br w:type="textWrapping"/>
            </w:r>
            <w:r>
              <w:rPr>
                <w:rFonts w:hint="eastAsia"/>
                <w:color w:val="000000"/>
                <w:sz w:val="20"/>
                <w:szCs w:val="20"/>
              </w:rPr>
              <w:t>13、刷新率：刷新率达到3840Hz</w:t>
            </w:r>
            <w:r>
              <w:rPr>
                <w:rFonts w:hint="eastAsia"/>
                <w:color w:val="000000"/>
                <w:sz w:val="20"/>
                <w:szCs w:val="20"/>
              </w:rPr>
              <w:br w:type="textWrapping"/>
            </w:r>
            <w:r>
              <w:rPr>
                <w:rFonts w:hint="eastAsia"/>
                <w:color w:val="000000"/>
                <w:sz w:val="20"/>
                <w:szCs w:val="20"/>
              </w:rPr>
              <w:t>14、画面延时≤500ns（纳秒级））</w:t>
            </w:r>
            <w:r>
              <w:rPr>
                <w:rFonts w:hint="eastAsia"/>
                <w:color w:val="000000"/>
                <w:sz w:val="20"/>
                <w:szCs w:val="20"/>
              </w:rPr>
              <w:br w:type="textWrapping"/>
            </w:r>
            <w:r>
              <w:rPr>
                <w:rFonts w:hint="eastAsia"/>
                <w:color w:val="000000"/>
                <w:sz w:val="20"/>
                <w:szCs w:val="20"/>
              </w:rPr>
              <w:t>15、噪声：1m范围内，测试4个位置（前后左右）噪音不大于2dB</w:t>
            </w:r>
            <w:r>
              <w:rPr>
                <w:rFonts w:hint="eastAsia"/>
                <w:color w:val="000000"/>
                <w:sz w:val="20"/>
                <w:szCs w:val="20"/>
              </w:rPr>
              <w:br w:type="textWrapping"/>
            </w:r>
            <w:r>
              <w:rPr>
                <w:rFonts w:hint="eastAsia"/>
                <w:color w:val="000000"/>
                <w:sz w:val="20"/>
                <w:szCs w:val="20"/>
              </w:rPr>
              <w:t>16、信噪比≥47dB</w:t>
            </w:r>
            <w:r>
              <w:rPr>
                <w:rFonts w:hint="eastAsia"/>
                <w:color w:val="000000"/>
                <w:sz w:val="20"/>
                <w:szCs w:val="20"/>
              </w:rPr>
              <w:br w:type="textWrapping"/>
            </w:r>
            <w:r>
              <w:rPr>
                <w:rFonts w:hint="eastAsia"/>
                <w:color w:val="000000"/>
                <w:sz w:val="20"/>
                <w:szCs w:val="20"/>
              </w:rPr>
              <w:t>17、峰值功耗≤400W/m²，平均功耗≤160W/m²</w:t>
            </w:r>
            <w:r>
              <w:rPr>
                <w:rFonts w:hint="eastAsia"/>
                <w:color w:val="000000"/>
                <w:sz w:val="20"/>
                <w:szCs w:val="20"/>
              </w:rPr>
              <w:br w:type="textWrapping"/>
            </w:r>
            <w:r>
              <w:rPr>
                <w:rFonts w:hint="eastAsia"/>
                <w:color w:val="000000"/>
                <w:sz w:val="20"/>
                <w:szCs w:val="20"/>
              </w:rPr>
              <w:t>18、模组表面绝缘：绝缘电阻应为5000MΩ）</w:t>
            </w:r>
            <w:r>
              <w:rPr>
                <w:rFonts w:hint="eastAsia"/>
                <w:color w:val="000000"/>
                <w:sz w:val="20"/>
                <w:szCs w:val="20"/>
              </w:rPr>
              <w:br w:type="textWrapping"/>
            </w:r>
            <w:r>
              <w:rPr>
                <w:rFonts w:hint="eastAsia"/>
                <w:color w:val="000000"/>
                <w:sz w:val="20"/>
                <w:szCs w:val="20"/>
              </w:rPr>
              <w:t>19、屈服强度：170Mpa）</w:t>
            </w:r>
            <w:r>
              <w:rPr>
                <w:rFonts w:hint="eastAsia"/>
                <w:color w:val="000000"/>
                <w:sz w:val="20"/>
                <w:szCs w:val="20"/>
              </w:rPr>
              <w:br w:type="textWrapping"/>
            </w:r>
            <w:r>
              <w:rPr>
                <w:rFonts w:hint="eastAsia"/>
                <w:color w:val="000000"/>
                <w:sz w:val="20"/>
                <w:szCs w:val="20"/>
              </w:rPr>
              <w:t>20、统一管理：可对所有LED显示模块进行统一管理，设置亮度、色温、灰度等参数</w:t>
            </w:r>
            <w:r>
              <w:rPr>
                <w:rFonts w:hint="eastAsia"/>
                <w:color w:val="000000"/>
                <w:sz w:val="20"/>
                <w:szCs w:val="20"/>
              </w:rPr>
              <w:br w:type="textWrapping"/>
            </w:r>
            <w:r>
              <w:rPr>
                <w:rFonts w:hint="eastAsia"/>
                <w:color w:val="000000"/>
                <w:sz w:val="20"/>
                <w:szCs w:val="20"/>
              </w:rPr>
              <w:t>21、校正功能：具有单点亮度/颜色校正功能</w:t>
            </w:r>
            <w:r>
              <w:rPr>
                <w:rFonts w:hint="eastAsia"/>
                <w:color w:val="000000"/>
                <w:sz w:val="20"/>
                <w:szCs w:val="20"/>
              </w:rPr>
              <w:br w:type="textWrapping"/>
            </w:r>
            <w:r>
              <w:rPr>
                <w:rFonts w:hint="eastAsia"/>
                <w:color w:val="000000"/>
                <w:sz w:val="20"/>
                <w:szCs w:val="20"/>
              </w:rPr>
              <w:t>22、亮暗线调整：采用高端芯片，可去除亮、暗线，可从软、硬件两方面彻底改善LED安装精度造成的亮、暗线问题</w:t>
            </w:r>
            <w:r>
              <w:rPr>
                <w:rFonts w:hint="eastAsia"/>
                <w:color w:val="000000"/>
                <w:sz w:val="20"/>
                <w:szCs w:val="20"/>
              </w:rPr>
              <w:br w:type="textWrapping"/>
            </w:r>
            <w:r>
              <w:rPr>
                <w:rFonts w:hint="eastAsia"/>
                <w:color w:val="000000"/>
                <w:sz w:val="20"/>
                <w:szCs w:val="20"/>
              </w:rPr>
              <w:t>23、采用EPWM 灰阶控制技术提升低灰视觉效果，100%亮度时，16bit灰度；70%亮度，16bit灰度；50%亮度，16bit灰度；20%亮度，14bit灰度，显示画面无单列或单行像素失控现象；支持0-100%亮度时，8-16bits灰度自定义设置。</w:t>
            </w:r>
            <w:r>
              <w:rPr>
                <w:rFonts w:hint="eastAsia"/>
                <w:color w:val="000000"/>
                <w:sz w:val="20"/>
                <w:szCs w:val="20"/>
              </w:rPr>
              <w:br w:type="textWrapping"/>
            </w:r>
            <w:r>
              <w:rPr>
                <w:rFonts w:hint="eastAsia"/>
                <w:color w:val="000000"/>
                <w:sz w:val="20"/>
                <w:szCs w:val="20"/>
              </w:rPr>
              <w:t>24、图像补偿：具备视频降噪、运动补偿、色彩变换等图像处理功能；具有亮度/对比度/色度调节/视觉修正等图像调整功能；LED显示屏图像无失真现象。</w:t>
            </w:r>
            <w:r>
              <w:rPr>
                <w:rFonts w:hint="eastAsia"/>
                <w:color w:val="000000"/>
                <w:sz w:val="20"/>
                <w:szCs w:val="20"/>
              </w:rPr>
              <w:br w:type="textWrapping"/>
            </w:r>
            <w:r>
              <w:rPr>
                <w:rFonts w:hint="eastAsia"/>
                <w:color w:val="000000"/>
                <w:sz w:val="20"/>
                <w:szCs w:val="20"/>
              </w:rPr>
              <w:t>25、图像质量：LED显示屏图像质量主观评价优、支持4K超清技术、HDR高动态光照渲染技术；符合LED显示屏绿色健康分级认证技术</w:t>
            </w:r>
            <w:r>
              <w:rPr>
                <w:rFonts w:hint="eastAsia"/>
                <w:color w:val="000000"/>
                <w:sz w:val="20"/>
                <w:szCs w:val="20"/>
              </w:rPr>
              <w:br w:type="textWrapping"/>
            </w:r>
            <w:r>
              <w:rPr>
                <w:rFonts w:hint="eastAsia"/>
                <w:color w:val="000000"/>
                <w:sz w:val="20"/>
                <w:szCs w:val="20"/>
              </w:rPr>
              <w:t>26、数据备份：数据记忆储存于LED显示模块箱体中，更换箱体设备时，无需重新设定参数</w:t>
            </w:r>
            <w:r>
              <w:rPr>
                <w:rFonts w:hint="eastAsia"/>
                <w:color w:val="000000"/>
                <w:sz w:val="20"/>
                <w:szCs w:val="20"/>
              </w:rPr>
              <w:br w:type="textWrapping"/>
            </w:r>
            <w:r>
              <w:rPr>
                <w:rFonts w:hint="eastAsia"/>
                <w:color w:val="000000"/>
                <w:sz w:val="20"/>
                <w:szCs w:val="20"/>
              </w:rPr>
              <w:t>27、自检技术：可实现LED单点检测，通讯检测、温度检测、电源检测、温度监控等功能。</w:t>
            </w:r>
            <w:r>
              <w:rPr>
                <w:rFonts w:hint="eastAsia"/>
                <w:color w:val="000000"/>
                <w:sz w:val="20"/>
                <w:szCs w:val="20"/>
              </w:rPr>
              <w:br w:type="textWrapping"/>
            </w:r>
            <w:r>
              <w:rPr>
                <w:rFonts w:hint="eastAsia"/>
                <w:color w:val="000000"/>
                <w:sz w:val="20"/>
                <w:szCs w:val="20"/>
              </w:rPr>
              <w:t>28、智能节能：产品采用高端芯片，可智能调节正常工作与睡眠状态下的节能效果（动态节能，智能息屏），开启节能功能比没有开启节能45%以上</w:t>
            </w:r>
            <w:r>
              <w:rPr>
                <w:rFonts w:hint="eastAsia"/>
                <w:color w:val="000000"/>
                <w:sz w:val="20"/>
                <w:szCs w:val="20"/>
              </w:rPr>
              <w:br w:type="textWrapping"/>
            </w:r>
            <w:r>
              <w:rPr>
                <w:rFonts w:hint="eastAsia"/>
                <w:color w:val="000000"/>
                <w:sz w:val="20"/>
                <w:szCs w:val="20"/>
              </w:rPr>
              <w:t>29、输入信号支持：支持DVI、VGA输入；支持HDMI视频输入；支持视频PAL/NTSC制式自适应；支持复合视频信号；支持USB输出；支持IP输入；支持CVBS/DP/HDBASE输入；支持光纤/网络等接口输入</w:t>
            </w:r>
            <w:r>
              <w:rPr>
                <w:rFonts w:hint="eastAsia"/>
                <w:color w:val="000000"/>
                <w:sz w:val="20"/>
                <w:szCs w:val="20"/>
              </w:rPr>
              <w:br w:type="textWrapping"/>
            </w:r>
            <w:r>
              <w:rPr>
                <w:rFonts w:hint="eastAsia"/>
                <w:color w:val="000000"/>
                <w:sz w:val="20"/>
                <w:szCs w:val="20"/>
              </w:rPr>
              <w:t>30、连续工作时间：连续工作时间：≥7×24hrs，支持连续不间断显示</w:t>
            </w:r>
            <w:r>
              <w:rPr>
                <w:rFonts w:hint="eastAsia"/>
                <w:color w:val="000000"/>
                <w:sz w:val="20"/>
                <w:szCs w:val="20"/>
              </w:rPr>
              <w:br w:type="textWrapping"/>
            </w:r>
            <w:r>
              <w:rPr>
                <w:rFonts w:hint="eastAsia"/>
                <w:color w:val="000000"/>
                <w:sz w:val="20"/>
                <w:szCs w:val="20"/>
              </w:rPr>
              <w:t>31、使用寿命≥100000h</w:t>
            </w:r>
            <w:r>
              <w:rPr>
                <w:rFonts w:hint="eastAsia"/>
                <w:color w:val="000000"/>
                <w:sz w:val="20"/>
                <w:szCs w:val="20"/>
              </w:rPr>
              <w:br w:type="textWrapping"/>
            </w:r>
            <w:r>
              <w:rPr>
                <w:rFonts w:hint="eastAsia"/>
                <w:color w:val="000000"/>
                <w:sz w:val="20"/>
                <w:szCs w:val="20"/>
              </w:rPr>
              <w:t>32、平均无故障时间：MTBF平均无故障时间≥20000h；MTTR平均修复时间≤20分钟</w:t>
            </w:r>
            <w:r>
              <w:rPr>
                <w:rFonts w:hint="eastAsia"/>
                <w:color w:val="000000"/>
                <w:sz w:val="20"/>
                <w:szCs w:val="20"/>
              </w:rPr>
              <w:br w:type="textWrapping"/>
            </w:r>
            <w:r>
              <w:rPr>
                <w:rFonts w:hint="eastAsia"/>
                <w:color w:val="000000"/>
                <w:sz w:val="20"/>
                <w:szCs w:val="20"/>
              </w:rPr>
              <w:t>33、自动gamma设置：支持自动GAMMA校正技术，16bit自动调节，通过构造非线性校正曲线和色坐标变换系数矩阵实现了显示效果的不断改善，各项重要指标如彩色还原性、色温调节范围、亮度均匀性、色度均匀性、刷新率、换帧频率等，均符合广电级标准</w:t>
            </w:r>
            <w:r>
              <w:rPr>
                <w:rFonts w:hint="eastAsia"/>
                <w:color w:val="000000"/>
                <w:sz w:val="20"/>
                <w:szCs w:val="20"/>
              </w:rPr>
              <w:br w:type="textWrapping"/>
            </w:r>
            <w:r>
              <w:rPr>
                <w:rFonts w:hint="eastAsia"/>
                <w:color w:val="000000"/>
                <w:sz w:val="20"/>
                <w:szCs w:val="20"/>
              </w:rPr>
              <w:t>34、盐雾：符合盐雾10级。</w:t>
            </w:r>
            <w:r>
              <w:rPr>
                <w:rFonts w:hint="eastAsia"/>
                <w:color w:val="000000"/>
                <w:sz w:val="20"/>
                <w:szCs w:val="20"/>
              </w:rPr>
              <w:br w:type="textWrapping"/>
            </w:r>
            <w:r>
              <w:rPr>
                <w:rFonts w:hint="eastAsia"/>
                <w:color w:val="000000"/>
                <w:sz w:val="20"/>
                <w:szCs w:val="20"/>
              </w:rPr>
              <w:t>35、阻燃：PCB板、防火保护外壳及内部其他元器件均达到V-0等级</w:t>
            </w:r>
            <w:r>
              <w:rPr>
                <w:rFonts w:hint="eastAsia"/>
                <w:color w:val="000000"/>
                <w:sz w:val="20"/>
                <w:szCs w:val="20"/>
              </w:rPr>
              <w:br w:type="textWrapping"/>
            </w:r>
            <w:r>
              <w:rPr>
                <w:rFonts w:hint="eastAsia"/>
                <w:color w:val="000000"/>
                <w:sz w:val="20"/>
                <w:szCs w:val="20"/>
              </w:rPr>
              <w:t>36、摩擦起电电压≤100V，辐射骚扰（EMC）  30MHZ~1000MHZ，符合GB/T9254-2008 Class B标准</w:t>
            </w:r>
            <w:r>
              <w:rPr>
                <w:rFonts w:hint="eastAsia"/>
                <w:color w:val="000000"/>
                <w:sz w:val="20"/>
                <w:szCs w:val="20"/>
              </w:rPr>
              <w:br w:type="textWrapping"/>
            </w:r>
            <w:r>
              <w:rPr>
                <w:rFonts w:hint="eastAsia"/>
                <w:color w:val="000000"/>
                <w:sz w:val="20"/>
                <w:szCs w:val="20"/>
              </w:rPr>
              <w:t>37、抗干扰：符合GB/T9254-2008规定</w:t>
            </w:r>
            <w:r>
              <w:rPr>
                <w:rFonts w:hint="eastAsia"/>
                <w:color w:val="000000"/>
                <w:sz w:val="20"/>
                <w:szCs w:val="20"/>
              </w:rPr>
              <w:br w:type="textWrapping"/>
            </w:r>
            <w:r>
              <w:rPr>
                <w:rFonts w:hint="eastAsia"/>
                <w:color w:val="000000"/>
                <w:sz w:val="20"/>
                <w:szCs w:val="20"/>
              </w:rPr>
              <w:t>38、安全性： 符合GB4793规定</w:t>
            </w:r>
            <w:r>
              <w:rPr>
                <w:rFonts w:hint="eastAsia"/>
                <w:color w:val="000000"/>
                <w:sz w:val="20"/>
                <w:szCs w:val="20"/>
              </w:rPr>
              <w:br w:type="textWrapping"/>
            </w:r>
            <w:r>
              <w:rPr>
                <w:rFonts w:hint="eastAsia"/>
                <w:color w:val="000000"/>
                <w:sz w:val="20"/>
                <w:szCs w:val="20"/>
              </w:rPr>
              <w:t>39、一键点屏：支持一键点屏技术，开机后自动识别系统连接，无需重置系统配置</w:t>
            </w:r>
            <w:r>
              <w:rPr>
                <w:rFonts w:hint="eastAsia"/>
                <w:color w:val="000000"/>
                <w:sz w:val="20"/>
                <w:szCs w:val="20"/>
              </w:rPr>
              <w:br w:type="textWrapping"/>
            </w:r>
            <w:r>
              <w:rPr>
                <w:rFonts w:hint="eastAsia"/>
                <w:color w:val="000000"/>
                <w:sz w:val="20"/>
                <w:szCs w:val="20"/>
              </w:rPr>
              <w:t>40、SELV电路：具备SELV电路</w:t>
            </w:r>
            <w:r>
              <w:rPr>
                <w:rFonts w:hint="eastAsia"/>
                <w:color w:val="000000"/>
                <w:sz w:val="20"/>
                <w:szCs w:val="20"/>
              </w:rPr>
              <w:br w:type="textWrapping"/>
            </w:r>
            <w:r>
              <w:rPr>
                <w:rFonts w:hint="eastAsia"/>
                <w:color w:val="000000"/>
                <w:sz w:val="20"/>
                <w:szCs w:val="20"/>
              </w:rPr>
              <w:t>41、人眼视觉舒适度：VICO指数≤1</w:t>
            </w:r>
            <w:r>
              <w:rPr>
                <w:rFonts w:hint="eastAsia"/>
                <w:color w:val="000000"/>
                <w:sz w:val="20"/>
                <w:szCs w:val="20"/>
              </w:rPr>
              <w:br w:type="textWrapping"/>
            </w:r>
            <w:r>
              <w:rPr>
                <w:rFonts w:hint="eastAsia"/>
                <w:color w:val="000000"/>
                <w:sz w:val="20"/>
                <w:szCs w:val="20"/>
              </w:rPr>
              <w:t>42、多图层显示：支持手机添加LOGO、时间、日期、文字标语、滚动字幕、图片、视频窗口</w:t>
            </w:r>
            <w:r>
              <w:rPr>
                <w:rFonts w:hint="eastAsia"/>
                <w:color w:val="000000"/>
                <w:sz w:val="20"/>
                <w:szCs w:val="20"/>
              </w:rPr>
              <w:br w:type="textWrapping"/>
            </w:r>
            <w:r>
              <w:rPr>
                <w:rFonts w:hint="eastAsia"/>
                <w:color w:val="000000"/>
                <w:sz w:val="20"/>
                <w:szCs w:val="20"/>
              </w:rPr>
              <w:t>43、软件功能：LED 显示屏可实时监控显示屏工作状态，具有故障自动告警功能，发生故障立即发消息到指定邮箱，及时处理</w:t>
            </w:r>
            <w:r>
              <w:rPr>
                <w:rFonts w:hint="eastAsia"/>
                <w:color w:val="000000"/>
                <w:sz w:val="20"/>
                <w:szCs w:val="20"/>
              </w:rPr>
              <w:br w:type="textWrapping"/>
            </w:r>
            <w:r>
              <w:rPr>
                <w:rFonts w:hint="eastAsia"/>
                <w:color w:val="000000"/>
                <w:sz w:val="20"/>
                <w:szCs w:val="20"/>
              </w:rPr>
              <w:t>44、软件功能：LED 显示屏具有多点测温系统，均衡散热，防止局部温度过高造成色彩漂移，并提高显示屏寿命</w:t>
            </w:r>
            <w:r>
              <w:rPr>
                <w:rFonts w:hint="eastAsia"/>
                <w:color w:val="000000"/>
                <w:sz w:val="20"/>
                <w:szCs w:val="20"/>
              </w:rPr>
              <w:br w:type="textWrapping"/>
            </w:r>
            <w:r>
              <w:rPr>
                <w:rFonts w:hint="eastAsia"/>
                <w:color w:val="000000"/>
                <w:sz w:val="20"/>
                <w:szCs w:val="20"/>
              </w:rPr>
              <w:t>45、软件功能：LED 显示屏具有电源温度控制系统，提供电源实时温度监控，超出设定温度自动报警，防止过温失效</w:t>
            </w:r>
            <w:r>
              <w:rPr>
                <w:rFonts w:hint="eastAsia"/>
                <w:color w:val="000000"/>
                <w:sz w:val="20"/>
                <w:szCs w:val="20"/>
              </w:rPr>
              <w:br w:type="textWrapping"/>
            </w:r>
            <w:r>
              <w:rPr>
                <w:rFonts w:hint="eastAsia"/>
                <w:color w:val="000000"/>
                <w:sz w:val="20"/>
                <w:szCs w:val="20"/>
              </w:rPr>
              <w:t>46、灯管抗静电（ESD）测试：HBM模式∶ESD&gt;2000V，灯珠点亮无异常。</w:t>
            </w:r>
            <w:r>
              <w:rPr>
                <w:rFonts w:hint="eastAsia"/>
                <w:color w:val="000000"/>
                <w:sz w:val="20"/>
                <w:szCs w:val="20"/>
              </w:rPr>
              <w:br w:type="textWrapping"/>
            </w:r>
            <w:r>
              <w:rPr>
                <w:rFonts w:hint="eastAsia"/>
                <w:color w:val="000000"/>
                <w:sz w:val="20"/>
                <w:szCs w:val="20"/>
              </w:rPr>
              <w:t>47、为确保屏体在不同的环境下仍可正常启动工作，要求投标人所投LED显示屏须通过零下40℃和高温80℃的环境运行12h产品能正常工作。</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16.59</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发送处理二合一</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1、支持常见的视频接口，包括 1 路 3G-SDI，2 路 HDMI1.3，1 路 DVI，1路选配VGA子卡。</w:t>
            </w:r>
            <w:r>
              <w:rPr>
                <w:rFonts w:hint="eastAsia"/>
                <w:color w:val="000000"/>
                <w:sz w:val="20"/>
                <w:szCs w:val="20"/>
              </w:rPr>
              <w:br w:type="textWrapping"/>
            </w:r>
            <w:r>
              <w:rPr>
                <w:rFonts w:hint="eastAsia"/>
                <w:color w:val="000000"/>
                <w:sz w:val="20"/>
                <w:szCs w:val="20"/>
              </w:rPr>
              <w:t xml:space="preserve">2、支持选配投屏输入子卡2.0，子卡支持AP/WIFI无线模式，可实现手机，电脑的无线投屏和U盘播放。 </w:t>
            </w:r>
            <w:r>
              <w:rPr>
                <w:rFonts w:hint="eastAsia"/>
                <w:color w:val="000000"/>
                <w:sz w:val="20"/>
                <w:szCs w:val="20"/>
              </w:rPr>
              <w:br w:type="textWrapping"/>
            </w:r>
            <w:r>
              <w:rPr>
                <w:rFonts w:hint="eastAsia"/>
                <w:color w:val="000000"/>
                <w:sz w:val="20"/>
                <w:szCs w:val="20"/>
              </w:rPr>
              <w:t>3、支持 3 个窗口和 1 路 OSD。</w:t>
            </w:r>
            <w:r>
              <w:rPr>
                <w:rFonts w:hint="eastAsia"/>
                <w:color w:val="000000"/>
                <w:sz w:val="20"/>
                <w:szCs w:val="20"/>
              </w:rPr>
              <w:br w:type="textWrapping"/>
            </w:r>
            <w:r>
              <w:rPr>
                <w:rFonts w:hint="eastAsia"/>
                <w:color w:val="000000"/>
                <w:sz w:val="20"/>
                <w:szCs w:val="20"/>
              </w:rPr>
              <w:t>4、支持快捷配屏和高级配屏功能。</w:t>
            </w:r>
            <w:r>
              <w:rPr>
                <w:rFonts w:hint="eastAsia"/>
                <w:color w:val="000000"/>
                <w:sz w:val="20"/>
                <w:szCs w:val="20"/>
              </w:rPr>
              <w:br w:type="textWrapping"/>
            </w:r>
            <w:r>
              <w:rPr>
                <w:rFonts w:hint="eastAsia"/>
                <w:color w:val="000000"/>
                <w:sz w:val="20"/>
                <w:szCs w:val="20"/>
              </w:rPr>
              <w:t>5、支持 HDMI、DVI 输入分辨率自定义调节。</w:t>
            </w:r>
            <w:r>
              <w:rPr>
                <w:rFonts w:hint="eastAsia"/>
                <w:color w:val="000000"/>
                <w:sz w:val="20"/>
                <w:szCs w:val="20"/>
              </w:rPr>
              <w:br w:type="textWrapping"/>
            </w:r>
            <w:r>
              <w:rPr>
                <w:rFonts w:hint="eastAsia"/>
                <w:color w:val="000000"/>
                <w:sz w:val="20"/>
                <w:szCs w:val="20"/>
              </w:rPr>
              <w:t>6、支持设备间备份设置。</w:t>
            </w:r>
            <w:r>
              <w:rPr>
                <w:rFonts w:hint="eastAsia"/>
                <w:color w:val="000000"/>
                <w:sz w:val="20"/>
                <w:szCs w:val="20"/>
              </w:rPr>
              <w:br w:type="textWrapping"/>
            </w:r>
            <w:r>
              <w:rPr>
                <w:rFonts w:hint="eastAsia"/>
                <w:color w:val="000000"/>
                <w:sz w:val="20"/>
                <w:szCs w:val="20"/>
              </w:rPr>
              <w:t>7、视频输出最大带载高达 390 万像素。</w:t>
            </w:r>
            <w:r>
              <w:rPr>
                <w:rFonts w:hint="eastAsia"/>
                <w:color w:val="000000"/>
                <w:sz w:val="20"/>
                <w:szCs w:val="20"/>
              </w:rPr>
              <w:br w:type="textWrapping"/>
            </w:r>
            <w:r>
              <w:rPr>
                <w:rFonts w:hint="eastAsia"/>
                <w:color w:val="000000"/>
                <w:sz w:val="20"/>
                <w:szCs w:val="20"/>
              </w:rPr>
              <w:t>8、支持一键将优先级最低的窗口全屏自动缩放，增强产品实用性能。</w:t>
            </w:r>
            <w:r>
              <w:rPr>
                <w:rFonts w:hint="eastAsia"/>
                <w:color w:val="000000"/>
                <w:sz w:val="20"/>
                <w:szCs w:val="20"/>
              </w:rPr>
              <w:br w:type="textWrapping"/>
            </w:r>
            <w:r>
              <w:rPr>
                <w:rFonts w:hint="eastAsia"/>
                <w:color w:val="000000"/>
                <w:sz w:val="20"/>
                <w:szCs w:val="20"/>
              </w:rPr>
              <w:t xml:space="preserve">9、支持创建 10 个用户场景作为模板保存，方便使用。 </w:t>
            </w:r>
            <w:r>
              <w:rPr>
                <w:rFonts w:hint="eastAsia"/>
                <w:color w:val="000000"/>
                <w:sz w:val="20"/>
                <w:szCs w:val="20"/>
              </w:rPr>
              <w:br w:type="textWrapping"/>
            </w:r>
            <w:r>
              <w:rPr>
                <w:rFonts w:hint="eastAsia"/>
                <w:color w:val="000000"/>
                <w:sz w:val="20"/>
                <w:szCs w:val="20"/>
              </w:rPr>
              <w:t>10、扩展子卡支持 AP+WiFi 无线模式，可实现手机，电脑的无线投屏。</w:t>
            </w:r>
            <w:r>
              <w:rPr>
                <w:rFonts w:hint="eastAsia"/>
                <w:color w:val="000000"/>
                <w:sz w:val="20"/>
                <w:szCs w:val="20"/>
              </w:rPr>
              <w:br w:type="textWrapping"/>
            </w:r>
            <w:r>
              <w:rPr>
                <w:rFonts w:hint="eastAsia"/>
                <w:color w:val="000000"/>
                <w:sz w:val="20"/>
                <w:szCs w:val="20"/>
              </w:rPr>
              <w:t>11、支持创建 10 个用户场景作为模板保存，方便使用。</w:t>
            </w:r>
            <w:r>
              <w:rPr>
                <w:rFonts w:hint="eastAsia"/>
                <w:color w:val="000000"/>
                <w:sz w:val="20"/>
                <w:szCs w:val="20"/>
              </w:rPr>
              <w:br w:type="textWrapping"/>
            </w:r>
            <w:r>
              <w:rPr>
                <w:rFonts w:hint="eastAsia"/>
                <w:color w:val="000000"/>
                <w:sz w:val="20"/>
                <w:szCs w:val="20"/>
              </w:rPr>
              <w:t>12、产品本身集成视频处理器与发送卡于一体。</w:t>
            </w:r>
            <w:r>
              <w:rPr>
                <w:rFonts w:hint="eastAsia"/>
                <w:color w:val="000000"/>
                <w:sz w:val="20"/>
                <w:szCs w:val="20"/>
              </w:rPr>
              <w:br w:type="textWrapping"/>
            </w:r>
            <w:r>
              <w:rPr>
                <w:rFonts w:hint="eastAsia"/>
                <w:color w:val="000000"/>
                <w:sz w:val="20"/>
                <w:szCs w:val="20"/>
              </w:rPr>
              <w:t>13、支持逐点亮色度校正技术，校正过程快速高效，支持直接现场校正。</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配电箱</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具有三相指示灯、运行指示灯，可实时监控设备运行状态。三相工业限流保护，过载过流、短路、断路保护。定时开关。一键远程控制，自带维修插座</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钢结构</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3*5方管焊，不锈钢包边</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color w:val="000000"/>
                <w:sz w:val="20"/>
                <w:szCs w:val="20"/>
              </w:rPr>
            </w:pPr>
            <w:r>
              <w:rPr>
                <w:rFonts w:hint="eastAsia"/>
                <w:color w:val="000000"/>
                <w:sz w:val="20"/>
                <w:szCs w:val="20"/>
              </w:rPr>
              <w:t>㎡</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16.59</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音响扩声系统</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60W音柱一对，功放一台</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套</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分布式音视频输出节点</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1、采用完全分布式架构设计，无需配置服务器即可构建无服务器的去中心化分布式音视频综合管控网络，采用自主知识产权国产芯片。</w:t>
            </w:r>
            <w:r>
              <w:rPr>
                <w:rFonts w:hint="eastAsia"/>
                <w:color w:val="000000"/>
                <w:sz w:val="20"/>
                <w:szCs w:val="20"/>
              </w:rPr>
              <w:br w:type="textWrapping"/>
            </w:r>
            <w:r>
              <w:rPr>
                <w:rFonts w:hint="eastAsia"/>
                <w:color w:val="000000"/>
                <w:sz w:val="20"/>
                <w:szCs w:val="20"/>
              </w:rPr>
              <w:t>2、节点支持分辨率1920*1080@60Hz；视频采集编码向下兼容其他分辨率。支持H.265视频编解码，码率2M-30M可调节，支持4:2:0、4:2:2、4:4:4逐行或隔行视频的编码和解码。</w:t>
            </w:r>
            <w:r>
              <w:rPr>
                <w:rFonts w:hint="eastAsia"/>
                <w:color w:val="000000"/>
                <w:sz w:val="20"/>
                <w:szCs w:val="20"/>
              </w:rPr>
              <w:br w:type="textWrapping"/>
            </w:r>
            <w:r>
              <w:rPr>
                <w:rFonts w:hint="eastAsia"/>
                <w:color w:val="000000"/>
                <w:sz w:val="20"/>
                <w:szCs w:val="20"/>
              </w:rPr>
              <w:t>3、实现PAD端KVM操作，可反控操作电脑主机，支持鼠标移动和点击进行信号源电脑的播放暂停等控制，即通过PAD端的分布式软件对信号源进行反向操作和控制。</w:t>
            </w:r>
            <w:r>
              <w:rPr>
                <w:rFonts w:hint="eastAsia"/>
                <w:color w:val="000000"/>
                <w:sz w:val="20"/>
                <w:szCs w:val="20"/>
              </w:rPr>
              <w:br w:type="textWrapping"/>
            </w:r>
            <w:r>
              <w:rPr>
                <w:rFonts w:hint="eastAsia"/>
                <w:color w:val="000000"/>
                <w:sz w:val="20"/>
                <w:szCs w:val="20"/>
              </w:rPr>
              <w:t>4、每个节点单元均采用强大性能的逻辑处理芯片H.265数据流编解码芯片，保证系统运行的流畅性；</w:t>
            </w:r>
            <w:r>
              <w:rPr>
                <w:rFonts w:hint="eastAsia"/>
                <w:color w:val="000000"/>
                <w:sz w:val="20"/>
                <w:szCs w:val="20"/>
              </w:rPr>
              <w:br w:type="textWrapping"/>
            </w:r>
            <w:r>
              <w:rPr>
                <w:rFonts w:hint="eastAsia"/>
                <w:color w:val="000000"/>
                <w:sz w:val="20"/>
                <w:szCs w:val="20"/>
              </w:rPr>
              <w:t>5、支持扩展中控功能，具有3路IR/IO接口，1路RS232接口，1路RS485接口，音频输入输出。</w:t>
            </w:r>
            <w:r>
              <w:rPr>
                <w:rFonts w:hint="eastAsia"/>
                <w:color w:val="000000"/>
                <w:sz w:val="20"/>
                <w:szCs w:val="20"/>
              </w:rPr>
              <w:br w:type="textWrapping"/>
            </w:r>
            <w:r>
              <w:rPr>
                <w:rFonts w:hint="eastAsia"/>
                <w:color w:val="000000"/>
                <w:sz w:val="20"/>
                <w:szCs w:val="20"/>
              </w:rPr>
              <w:t>6、每个节点自带POE供电RJ45接口；只需要铺设一根网线相连，便可实现音频，视频，232控制信号，串口控制信号的传输；</w:t>
            </w:r>
            <w:r>
              <w:rPr>
                <w:rFonts w:hint="eastAsia"/>
                <w:color w:val="000000"/>
                <w:sz w:val="20"/>
                <w:szCs w:val="20"/>
              </w:rPr>
              <w:br w:type="textWrapping"/>
            </w:r>
            <w:r>
              <w:rPr>
                <w:rFonts w:hint="eastAsia"/>
                <w:color w:val="000000"/>
                <w:sz w:val="20"/>
                <w:szCs w:val="20"/>
              </w:rPr>
              <w:t>7、系统支持自定义编程，各个功能模块独立。预览区域可同时支持32路以上视频流畅预览。</w:t>
            </w:r>
            <w:r>
              <w:rPr>
                <w:rFonts w:hint="eastAsia"/>
                <w:color w:val="000000"/>
                <w:sz w:val="20"/>
                <w:szCs w:val="20"/>
              </w:rPr>
              <w:br w:type="textWrapping"/>
            </w:r>
            <w:r>
              <w:rPr>
                <w:rFonts w:hint="eastAsia"/>
                <w:color w:val="000000"/>
                <w:sz w:val="20"/>
                <w:szCs w:val="20"/>
              </w:rPr>
              <w:t>8、支持LED、DID、LCD、DLP 拼接；无需服务器可接入IPC；音视频可同步，可异步切换；</w:t>
            </w:r>
            <w:r>
              <w:rPr>
                <w:rFonts w:hint="eastAsia"/>
                <w:color w:val="000000"/>
                <w:sz w:val="20"/>
                <w:szCs w:val="20"/>
              </w:rPr>
              <w:br w:type="textWrapping"/>
            </w:r>
            <w:r>
              <w:rPr>
                <w:rFonts w:hint="eastAsia"/>
                <w:color w:val="000000"/>
                <w:sz w:val="20"/>
                <w:szCs w:val="20"/>
              </w:rPr>
              <w:t>9、节点支持高清底图及高清地图功能、支持RTSP等标准流媒体协议、支持支持H.264或H.265的IPC编码摄像机，IPC网络摄像机机信号接入直接输出显示到大屏，无需第三方转码服务器；</w:t>
            </w:r>
            <w:r>
              <w:rPr>
                <w:rFonts w:hint="eastAsia"/>
                <w:color w:val="000000"/>
                <w:sz w:val="20"/>
                <w:szCs w:val="20"/>
              </w:rPr>
              <w:br w:type="textWrapping"/>
            </w:r>
            <w:r>
              <w:rPr>
                <w:rFonts w:hint="eastAsia"/>
                <w:color w:val="000000"/>
                <w:sz w:val="20"/>
                <w:szCs w:val="20"/>
              </w:rPr>
              <w:t>10、支持多平台实时预览操作、不同终端操作实时同步操作、操作软件可运行于(Windows/IOS/Android等)、不同分辨率(模拟/标清/高清)，多平台下配置不依赖服务器情况下自动同步状态；</w:t>
            </w:r>
            <w:r>
              <w:rPr>
                <w:rFonts w:hint="eastAsia"/>
                <w:color w:val="000000"/>
                <w:sz w:val="20"/>
                <w:szCs w:val="20"/>
              </w:rPr>
              <w:br w:type="textWrapping"/>
            </w:r>
            <w:r>
              <w:rPr>
                <w:rFonts w:hint="eastAsia"/>
                <w:color w:val="000000"/>
                <w:sz w:val="20"/>
                <w:szCs w:val="20"/>
              </w:rPr>
              <w:t>11、复杂的网络环境为了保障信号流畅和图像质量，高清单路带宽3M-30M随意调节。支持TCP/IP传输，满足会议高清视频要求和指挥中心信号高质量要求；</w:t>
            </w:r>
            <w:r>
              <w:rPr>
                <w:rFonts w:hint="eastAsia"/>
                <w:color w:val="000000"/>
                <w:sz w:val="20"/>
                <w:szCs w:val="20"/>
              </w:rPr>
              <w:br w:type="textWrapping"/>
            </w:r>
            <w:r>
              <w:rPr>
                <w:rFonts w:hint="eastAsia"/>
                <w:color w:val="000000"/>
                <w:sz w:val="20"/>
                <w:szCs w:val="20"/>
              </w:rPr>
              <w:t>12、支持LCD、LED帧同步，屏与屏之间无画面撕裂感，同步延时低于100ms；添加或删除信号时无黑屏，实现无缝切换。</w:t>
            </w:r>
            <w:r>
              <w:rPr>
                <w:rFonts w:hint="eastAsia"/>
                <w:color w:val="000000"/>
                <w:sz w:val="20"/>
                <w:szCs w:val="20"/>
              </w:rPr>
              <w:br w:type="textWrapping"/>
            </w:r>
            <w:r>
              <w:rPr>
                <w:rFonts w:hint="eastAsia"/>
                <w:color w:val="000000"/>
                <w:sz w:val="20"/>
                <w:szCs w:val="20"/>
              </w:rPr>
              <w:t>13、支持通过拖拽的方式实现对信号源的控制，也可通过选择信号源点击逻辑分屏实现对信号源的切换。</w:t>
            </w:r>
            <w:r>
              <w:rPr>
                <w:rFonts w:hint="eastAsia"/>
                <w:color w:val="000000"/>
                <w:sz w:val="20"/>
                <w:szCs w:val="20"/>
              </w:rPr>
              <w:br w:type="textWrapping"/>
            </w:r>
            <w:r>
              <w:rPr>
                <w:rFonts w:hint="eastAsia"/>
                <w:color w:val="000000"/>
                <w:sz w:val="20"/>
                <w:szCs w:val="20"/>
              </w:rPr>
              <w:t xml:space="preserve">14、防尘等级IP20，平均无故障时间不小于120000小时。15、通过专线接到视频中心（3年接入费）。  </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台</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7</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机柜</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定制，高度22U，宽600mm*深600mm，含1个8位PDU</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个</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CellMar>
            <w:top w:w="0" w:type="dxa"/>
            <w:left w:w="108" w:type="dxa"/>
            <w:bottom w:w="0" w:type="dxa"/>
            <w:right w:w="108" w:type="dxa"/>
          </w:tblCellMar>
        </w:tblPrEx>
        <w:trPr>
          <w:trHeight w:val="500" w:hRule="atLeast"/>
        </w:trPr>
        <w:tc>
          <w:tcPr>
            <w:tcW w:w="816"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hint="eastAsia" w:ascii="Times New Roman" w:hAnsi="Times New Roman" w:cs="Times New Roman"/>
                <w:color w:val="000000"/>
                <w:sz w:val="20"/>
                <w:szCs w:val="20"/>
              </w:rPr>
              <w:t>8</w:t>
            </w:r>
          </w:p>
        </w:tc>
        <w:tc>
          <w:tcPr>
            <w:tcW w:w="1080" w:type="dxa"/>
            <w:tcBorders>
              <w:top w:val="single" w:color="000000" w:sz="4" w:space="0"/>
              <w:left w:val="single" w:color="000000" w:sz="4" w:space="0"/>
              <w:bottom w:val="single" w:color="000000" w:sz="4" w:space="0"/>
              <w:right w:val="single" w:color="000000" w:sz="4" w:space="0"/>
            </w:tcBorders>
            <w:vAlign w:val="center"/>
          </w:tcPr>
          <w:p>
            <w:pPr>
              <w:jc w:val="both"/>
              <w:textAlignment w:val="center"/>
              <w:rPr>
                <w:rFonts w:hint="eastAsia"/>
                <w:color w:val="000000"/>
                <w:sz w:val="20"/>
                <w:szCs w:val="20"/>
              </w:rPr>
            </w:pPr>
            <w:r>
              <w:rPr>
                <w:rFonts w:hint="eastAsia"/>
                <w:color w:val="000000"/>
                <w:sz w:val="20"/>
                <w:szCs w:val="20"/>
              </w:rPr>
              <w:t>辅材</w:t>
            </w:r>
          </w:p>
        </w:tc>
        <w:tc>
          <w:tcPr>
            <w:tcW w:w="53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hint="eastAsia"/>
                <w:color w:val="000000"/>
                <w:sz w:val="20"/>
                <w:szCs w:val="20"/>
              </w:rPr>
            </w:pPr>
            <w:r>
              <w:rPr>
                <w:rFonts w:hint="eastAsia"/>
                <w:color w:val="000000"/>
                <w:sz w:val="20"/>
                <w:szCs w:val="20"/>
              </w:rPr>
              <w:t>大屏主电源，大屏专业线缆，屏体电源线、长排线、6类网络跳线、屏内电源线材、高清线、辅助配件等。</w:t>
            </w:r>
          </w:p>
        </w:tc>
        <w:tc>
          <w:tcPr>
            <w:tcW w:w="12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项</w:t>
            </w:r>
          </w:p>
        </w:tc>
        <w:tc>
          <w:tcPr>
            <w:tcW w:w="919" w:type="dxa"/>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bl>
    <w:p>
      <w:pPr>
        <w:spacing w:line="460" w:lineRule="exact"/>
        <w:ind w:firstLine="442" w:firstLineChars="200"/>
        <w:rPr>
          <w:rFonts w:cs="Arial"/>
          <w:b/>
          <w:color w:val="000000"/>
          <w:sz w:val="22"/>
          <w:szCs w:val="22"/>
        </w:rPr>
      </w:pPr>
      <w:r>
        <w:rPr>
          <w:rFonts w:hint="eastAsia" w:cs="Arial"/>
          <w:b/>
          <w:color w:val="000000"/>
          <w:sz w:val="22"/>
          <w:szCs w:val="22"/>
        </w:rPr>
        <w:t>其他说明：</w:t>
      </w:r>
    </w:p>
    <w:p>
      <w:pPr>
        <w:adjustRightInd w:val="0"/>
        <w:snapToGrid w:val="0"/>
        <w:spacing w:line="460" w:lineRule="exact"/>
        <w:outlineLvl w:val="0"/>
        <w:rPr>
          <w:rFonts w:cs="Arial"/>
          <w:b/>
          <w:color w:val="000000"/>
          <w:sz w:val="22"/>
          <w:szCs w:val="22"/>
        </w:rPr>
      </w:pPr>
      <w:r>
        <w:rPr>
          <w:rFonts w:hint="eastAsia" w:cs="Arial"/>
          <w:b/>
          <w:color w:val="000000"/>
          <w:sz w:val="22"/>
          <w:szCs w:val="22"/>
        </w:rPr>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pPr>
        <w:adjustRightInd w:val="0"/>
        <w:spacing w:line="460" w:lineRule="exact"/>
        <w:rPr>
          <w:b/>
          <w:bCs/>
          <w:color w:val="000000"/>
          <w:sz w:val="22"/>
          <w:szCs w:val="22"/>
          <w:u w:val="single"/>
        </w:rPr>
      </w:pPr>
      <w:r>
        <w:rPr>
          <w:rFonts w:hint="eastAsia" w:cs="Arial"/>
          <w:b/>
          <w:color w:val="000000"/>
          <w:sz w:val="22"/>
          <w:szCs w:val="22"/>
        </w:rPr>
        <w:t>2</w:t>
      </w:r>
      <w:r>
        <w:rPr>
          <w:rFonts w:hint="eastAsia"/>
          <w:b/>
          <w:bCs/>
          <w:color w:val="000000"/>
          <w:sz w:val="22"/>
          <w:szCs w:val="22"/>
        </w:rPr>
        <w:t>、</w:t>
      </w:r>
      <w:r>
        <w:rPr>
          <w:rFonts w:hint="eastAsia"/>
          <w:b/>
          <w:bCs/>
          <w:color w:val="000000"/>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pPr>
        <w:adjustRightInd w:val="0"/>
        <w:spacing w:line="460" w:lineRule="exact"/>
        <w:rPr>
          <w:b/>
          <w:bCs/>
          <w:color w:val="000000"/>
          <w:sz w:val="22"/>
          <w:szCs w:val="22"/>
          <w:u w:val="single"/>
        </w:rPr>
      </w:pPr>
      <w:r>
        <w:rPr>
          <w:rFonts w:hint="eastAsia"/>
          <w:b/>
          <w:bCs/>
          <w:color w:val="000000"/>
          <w:sz w:val="22"/>
          <w:szCs w:val="22"/>
          <w:u w:val="single"/>
        </w:rPr>
        <w:t>3</w:t>
      </w:r>
      <w:r>
        <w:rPr>
          <w:rFonts w:hint="eastAsia"/>
          <w:b/>
          <w:color w:val="000000"/>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hint="eastAsia"/>
          <w:color w:val="000000"/>
          <w:sz w:val="22"/>
          <w:szCs w:val="22"/>
          <w:u w:val="single"/>
        </w:rPr>
        <w:t>。</w:t>
      </w:r>
    </w:p>
    <w:p>
      <w:pPr>
        <w:tabs>
          <w:tab w:val="left" w:pos="400"/>
        </w:tabs>
        <w:adjustRightInd w:val="0"/>
        <w:snapToGrid w:val="0"/>
        <w:spacing w:line="460" w:lineRule="exact"/>
        <w:rPr>
          <w:b/>
          <w:color w:val="000000"/>
          <w:sz w:val="22"/>
          <w:szCs w:val="22"/>
          <w:u w:val="single"/>
        </w:rPr>
      </w:pPr>
      <w:r>
        <w:rPr>
          <w:rFonts w:hint="eastAsia"/>
          <w:b/>
          <w:color w:val="000000"/>
          <w:sz w:val="22"/>
          <w:szCs w:val="22"/>
          <w:u w:val="single"/>
        </w:rPr>
        <w:t>4、供应商投标文件中须提供检测报告、产品合格证、产品说明等相关证明资料给予佐证。</w:t>
      </w:r>
    </w:p>
    <w:p>
      <w:pPr>
        <w:pStyle w:val="2"/>
        <w:spacing w:after="0" w:line="460" w:lineRule="exact"/>
        <w:ind w:firstLine="0" w:firstLineChars="0"/>
        <w:rPr>
          <w:rFonts w:ascii="宋体" w:hAnsi="宋体"/>
          <w:b/>
          <w:color w:val="000000"/>
          <w:sz w:val="22"/>
          <w:u w:val="single"/>
        </w:rPr>
      </w:pPr>
      <w:r>
        <w:rPr>
          <w:rFonts w:hint="eastAsia" w:ascii="宋体" w:hAnsi="宋体"/>
          <w:b/>
          <w:color w:val="000000"/>
          <w:sz w:val="22"/>
          <w:u w:val="single"/>
        </w:rPr>
        <w:t>5、供应商投标文件中须提供采购内容中带“▲”、“★”内容的相关承诺或证明资料。</w:t>
      </w:r>
    </w:p>
    <w:p>
      <w:pPr>
        <w:tabs>
          <w:tab w:val="left" w:pos="400"/>
        </w:tabs>
        <w:adjustRightInd w:val="0"/>
        <w:snapToGrid w:val="0"/>
        <w:spacing w:line="420" w:lineRule="exact"/>
        <w:rPr>
          <w:b/>
          <w:color w:val="000000"/>
          <w:sz w:val="22"/>
          <w:szCs w:val="22"/>
          <w:u w:val="single"/>
        </w:rPr>
      </w:pPr>
      <w:r>
        <w:rPr>
          <w:rFonts w:hint="eastAsia"/>
          <w:b/>
          <w:color w:val="000000"/>
          <w:sz w:val="22"/>
          <w:szCs w:val="22"/>
          <w:u w:val="single"/>
        </w:rPr>
        <w:t>6、本次招标的货物如涉及国家规定强制认证的，供应商未在投标文件偏离表中用明显字体予以声明的，均视为供应商投标产品符合了</w:t>
      </w:r>
      <w:r>
        <w:rPr>
          <w:b/>
          <w:color w:val="000000"/>
          <w:sz w:val="22"/>
          <w:szCs w:val="22"/>
          <w:u w:val="single"/>
        </w:rPr>
        <w:t>强制认证规定</w:t>
      </w:r>
      <w:r>
        <w:rPr>
          <w:rFonts w:hint="eastAsia"/>
          <w:b/>
          <w:color w:val="000000"/>
          <w:sz w:val="22"/>
          <w:szCs w:val="22"/>
          <w:u w:val="single"/>
        </w:rPr>
        <w:t>（如工业产品生产许可证，</w:t>
      </w:r>
      <w:r>
        <w:rPr>
          <w:b/>
          <w:color w:val="000000"/>
          <w:sz w:val="22"/>
          <w:szCs w:val="22"/>
          <w:u w:val="single"/>
        </w:rPr>
        <w:t>3C认证</w:t>
      </w:r>
      <w:r>
        <w:rPr>
          <w:rFonts w:hint="eastAsia"/>
          <w:b/>
          <w:color w:val="000000"/>
          <w:sz w:val="22"/>
          <w:szCs w:val="22"/>
          <w:u w:val="single"/>
        </w:rPr>
        <w:t>、节能产品认证等）</w:t>
      </w:r>
      <w:r>
        <w:rPr>
          <w:b/>
          <w:color w:val="000000"/>
          <w:sz w:val="22"/>
          <w:szCs w:val="22"/>
          <w:u w:val="single"/>
        </w:rPr>
        <w:t>，中标供应商须在采购人对上述</w:t>
      </w:r>
      <w:r>
        <w:rPr>
          <w:rFonts w:hint="eastAsia"/>
          <w:b/>
          <w:color w:val="000000"/>
          <w:sz w:val="22"/>
          <w:szCs w:val="22"/>
          <w:u w:val="single"/>
        </w:rPr>
        <w:t>货物</w:t>
      </w:r>
      <w:r>
        <w:rPr>
          <w:b/>
          <w:color w:val="000000"/>
          <w:sz w:val="22"/>
          <w:szCs w:val="22"/>
          <w:u w:val="single"/>
        </w:rPr>
        <w:t>验收时提供相关证书证明资料（上述</w:t>
      </w:r>
      <w:r>
        <w:rPr>
          <w:rFonts w:hint="eastAsia"/>
          <w:b/>
          <w:color w:val="000000"/>
          <w:sz w:val="22"/>
          <w:szCs w:val="22"/>
          <w:u w:val="single"/>
        </w:rPr>
        <w:t>产品</w:t>
      </w:r>
      <w:r>
        <w:rPr>
          <w:b/>
          <w:color w:val="000000"/>
          <w:sz w:val="22"/>
          <w:szCs w:val="22"/>
          <w:u w:val="single"/>
        </w:rPr>
        <w:t>相关强制认证的证明文件投标时不需提供</w:t>
      </w:r>
      <w:r>
        <w:rPr>
          <w:rFonts w:hint="eastAsia"/>
          <w:b/>
          <w:color w:val="000000"/>
          <w:sz w:val="22"/>
          <w:szCs w:val="22"/>
          <w:u w:val="single"/>
        </w:rPr>
        <w:t>，招标文件另有要求的除外</w:t>
      </w:r>
      <w:r>
        <w:rPr>
          <w:b/>
          <w:color w:val="000000"/>
          <w:sz w:val="22"/>
          <w:szCs w:val="22"/>
          <w:u w:val="single"/>
        </w:rPr>
        <w:t>），否则</w:t>
      </w:r>
      <w:r>
        <w:rPr>
          <w:rFonts w:hint="eastAsia"/>
          <w:b/>
          <w:color w:val="000000"/>
          <w:sz w:val="22"/>
          <w:szCs w:val="22"/>
          <w:u w:val="single"/>
        </w:rPr>
        <w:t>按</w:t>
      </w:r>
      <w:r>
        <w:rPr>
          <w:b/>
          <w:color w:val="000000"/>
          <w:sz w:val="22"/>
          <w:szCs w:val="22"/>
          <w:u w:val="single"/>
        </w:rPr>
        <w:t>验收不能通过</w:t>
      </w:r>
      <w:r>
        <w:rPr>
          <w:rFonts w:hint="eastAsia"/>
          <w:b/>
          <w:color w:val="000000"/>
          <w:sz w:val="22"/>
          <w:szCs w:val="22"/>
          <w:u w:val="single"/>
        </w:rPr>
        <w:t>，采购人给予退货、解除合同或经采购人同意换货</w:t>
      </w:r>
      <w:r>
        <w:rPr>
          <w:b/>
          <w:color w:val="000000"/>
          <w:sz w:val="22"/>
          <w:szCs w:val="22"/>
          <w:u w:val="single"/>
        </w:rPr>
        <w:t>处理，</w:t>
      </w:r>
      <w:r>
        <w:rPr>
          <w:rFonts w:hint="eastAsia"/>
          <w:b/>
          <w:color w:val="000000"/>
          <w:sz w:val="22"/>
          <w:szCs w:val="22"/>
          <w:u w:val="single"/>
        </w:rPr>
        <w:t>中标供应商自行承担由此造成的损失</w:t>
      </w:r>
      <w:r>
        <w:rPr>
          <w:b/>
          <w:color w:val="000000"/>
          <w:sz w:val="22"/>
          <w:szCs w:val="22"/>
          <w:u w:val="single"/>
        </w:rPr>
        <w:t>。</w:t>
      </w:r>
    </w:p>
    <w:p>
      <w:pPr>
        <w:adjustRightInd w:val="0"/>
        <w:snapToGrid w:val="0"/>
        <w:spacing w:line="420" w:lineRule="exact"/>
        <w:outlineLvl w:val="0"/>
        <w:rPr>
          <w:rFonts w:cs="Arial"/>
          <w:b/>
          <w:color w:val="000000"/>
          <w:sz w:val="22"/>
          <w:szCs w:val="22"/>
        </w:rPr>
      </w:pPr>
      <w:r>
        <w:rPr>
          <w:rFonts w:hint="eastAsia" w:cs="Arial"/>
          <w:b/>
          <w:color w:val="000000"/>
          <w:sz w:val="22"/>
          <w:szCs w:val="22"/>
        </w:rPr>
        <w:t>7</w:t>
      </w:r>
      <w:r>
        <w:rPr>
          <w:rFonts w:cs="Arial"/>
          <w:b/>
          <w:color w:val="000000"/>
          <w:sz w:val="22"/>
          <w:szCs w:val="22"/>
        </w:rPr>
        <w:t>、支持创新发展</w:t>
      </w:r>
    </w:p>
    <w:p>
      <w:pPr>
        <w:adjustRightInd w:val="0"/>
        <w:snapToGrid w:val="0"/>
        <w:spacing w:line="420" w:lineRule="exact"/>
        <w:outlineLvl w:val="0"/>
        <w:rPr>
          <w:rFonts w:cs="Arial"/>
          <w:b/>
          <w:color w:val="000000"/>
          <w:sz w:val="22"/>
          <w:szCs w:val="22"/>
        </w:rPr>
      </w:pPr>
      <w:r>
        <w:rPr>
          <w:rFonts w:hint="eastAsia" w:cs="Arial"/>
          <w:b/>
          <w:color w:val="000000"/>
          <w:sz w:val="22"/>
          <w:szCs w:val="22"/>
        </w:rPr>
        <w:t>7</w:t>
      </w:r>
      <w:r>
        <w:rPr>
          <w:rFonts w:cs="Arial"/>
          <w:b/>
          <w:color w:val="000000"/>
          <w:sz w:val="22"/>
          <w:szCs w:val="22"/>
        </w:rPr>
        <w:t>.1 采购人优先采购被认定为首台套产品和“制造精品”的自主创新产品。</w:t>
      </w:r>
    </w:p>
    <w:p>
      <w:pPr>
        <w:rPr>
          <w:rFonts w:hint="eastAsia"/>
          <w:bCs/>
          <w:color w:val="000000"/>
          <w:sz w:val="22"/>
          <w:szCs w:val="22"/>
        </w:rPr>
      </w:pPr>
      <w:r>
        <w:rPr>
          <w:rFonts w:hint="eastAsia" w:cs="Arial"/>
          <w:b/>
          <w:color w:val="000000"/>
          <w:sz w:val="22"/>
          <w:szCs w:val="22"/>
        </w:rPr>
        <w:t>7</w:t>
      </w:r>
      <w:r>
        <w:rPr>
          <w:rFonts w:cs="Arial"/>
          <w:b/>
          <w:color w:val="000000"/>
          <w:sz w:val="22"/>
          <w:szCs w:val="22"/>
        </w:rPr>
        <w:t>.2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rPr>
          <w:bCs/>
          <w:color w:val="000000"/>
          <w:sz w:val="22"/>
          <w:szCs w:val="22"/>
        </w:rPr>
      </w:pPr>
      <w:r>
        <w:rPr>
          <w:rFonts w:hint="eastAsia"/>
          <w:bCs/>
          <w:color w:val="000000"/>
          <w:sz w:val="22"/>
          <w:szCs w:val="22"/>
        </w:rPr>
        <w:t>三、商务条款</w:t>
      </w:r>
    </w:p>
    <w:p>
      <w:pPr>
        <w:tabs>
          <w:tab w:val="left" w:pos="540"/>
        </w:tabs>
        <w:autoSpaceDE w:val="0"/>
        <w:autoSpaceDN w:val="0"/>
        <w:adjustRightInd w:val="0"/>
        <w:snapToGrid w:val="0"/>
        <w:spacing w:line="420" w:lineRule="exact"/>
        <w:textAlignment w:val="bottom"/>
        <w:rPr>
          <w:rFonts w:hint="eastAsia"/>
          <w:color w:val="000000"/>
          <w:sz w:val="22"/>
          <w:szCs w:val="22"/>
        </w:rPr>
      </w:pPr>
      <w:r>
        <w:rPr>
          <w:rFonts w:hint="eastAsia"/>
          <w:color w:val="000000"/>
          <w:sz w:val="22"/>
          <w:szCs w:val="22"/>
        </w:rPr>
        <w:t>1、▲免费维护期</w:t>
      </w:r>
    </w:p>
    <w:p>
      <w:pPr>
        <w:autoSpaceDE w:val="0"/>
        <w:autoSpaceDN w:val="0"/>
        <w:adjustRightInd w:val="0"/>
        <w:snapToGrid w:val="0"/>
        <w:spacing w:line="420" w:lineRule="exact"/>
        <w:textAlignment w:val="bottom"/>
        <w:rPr>
          <w:rFonts w:hint="eastAsia"/>
          <w:color w:val="000000"/>
          <w:sz w:val="22"/>
          <w:szCs w:val="22"/>
        </w:rPr>
      </w:pPr>
      <w:r>
        <w:rPr>
          <w:rFonts w:hint="eastAsia"/>
          <w:bCs/>
          <w:color w:val="000000"/>
          <w:sz w:val="22"/>
          <w:szCs w:val="22"/>
        </w:rPr>
        <w:t>1.1、</w:t>
      </w:r>
      <w:r>
        <w:rPr>
          <w:rFonts w:hint="eastAsia"/>
          <w:color w:val="000000"/>
          <w:sz w:val="22"/>
          <w:szCs w:val="22"/>
        </w:rPr>
        <w:t>▲免费维护期：不少于三年；</w:t>
      </w:r>
      <w:r>
        <w:rPr>
          <w:rFonts w:hint="eastAsia"/>
          <w:b/>
          <w:color w:val="000000"/>
          <w:sz w:val="22"/>
          <w:szCs w:val="22"/>
        </w:rPr>
        <w:t>（采购内容中有明确的除外）</w:t>
      </w:r>
      <w:r>
        <w:rPr>
          <w:rFonts w:hint="eastAsia"/>
          <w:color w:val="000000"/>
          <w:sz w:val="22"/>
          <w:szCs w:val="22"/>
        </w:rPr>
        <w:t>。</w:t>
      </w:r>
    </w:p>
    <w:p>
      <w:pPr>
        <w:autoSpaceDE w:val="0"/>
        <w:autoSpaceDN w:val="0"/>
        <w:adjustRightInd w:val="0"/>
        <w:snapToGrid w:val="0"/>
        <w:spacing w:line="420" w:lineRule="exact"/>
        <w:textAlignment w:val="bottom"/>
        <w:rPr>
          <w:rFonts w:hint="eastAsia"/>
          <w:bCs/>
          <w:color w:val="000000"/>
          <w:sz w:val="22"/>
          <w:szCs w:val="22"/>
        </w:rPr>
      </w:pPr>
      <w:r>
        <w:rPr>
          <w:rFonts w:hint="eastAsia"/>
          <w:bCs/>
          <w:color w:val="000000"/>
          <w:sz w:val="22"/>
          <w:szCs w:val="22"/>
        </w:rPr>
        <w:t>1.2、中标供应商必须对合同中规定的内容提供相应的</w:t>
      </w:r>
      <w:r>
        <w:rPr>
          <w:rFonts w:hint="eastAsia"/>
          <w:color w:val="000000"/>
          <w:sz w:val="22"/>
          <w:szCs w:val="22"/>
        </w:rPr>
        <w:t>免费维护期</w:t>
      </w:r>
      <w:r>
        <w:rPr>
          <w:rFonts w:hint="eastAsia"/>
          <w:bCs/>
          <w:color w:val="000000"/>
          <w:sz w:val="22"/>
          <w:szCs w:val="22"/>
        </w:rPr>
        <w:t>（采购文件技术要求另有规定的除外）；时间从整体工程验收合格之日起计算。</w:t>
      </w:r>
      <w:r>
        <w:rPr>
          <w:rFonts w:hint="eastAsia"/>
          <w:color w:val="000000"/>
          <w:sz w:val="22"/>
          <w:szCs w:val="22"/>
        </w:rPr>
        <w:t>免费维护期</w:t>
      </w:r>
      <w:r>
        <w:rPr>
          <w:rFonts w:hint="eastAsia"/>
          <w:bCs/>
          <w:color w:val="000000"/>
          <w:sz w:val="22"/>
          <w:szCs w:val="22"/>
        </w:rPr>
        <w:t>内供方须免费负责修理和替换任何由于产品自身的质量问题造成的损坏，并负责有关费用。</w:t>
      </w:r>
    </w:p>
    <w:p>
      <w:pPr>
        <w:autoSpaceDE w:val="0"/>
        <w:autoSpaceDN w:val="0"/>
        <w:adjustRightInd w:val="0"/>
        <w:snapToGrid w:val="0"/>
        <w:spacing w:line="420" w:lineRule="exact"/>
        <w:textAlignment w:val="bottom"/>
        <w:rPr>
          <w:rFonts w:hint="eastAsia"/>
          <w:color w:val="000000"/>
          <w:sz w:val="22"/>
          <w:szCs w:val="22"/>
        </w:rPr>
      </w:pPr>
      <w:r>
        <w:rPr>
          <w:rFonts w:hint="eastAsia"/>
          <w:color w:val="000000"/>
          <w:sz w:val="22"/>
          <w:szCs w:val="22"/>
        </w:rPr>
        <w:t>1.3、投标供应商在投标文件中说明免费维护期提供的服务计划。</w:t>
      </w:r>
    </w:p>
    <w:p>
      <w:pPr>
        <w:autoSpaceDE w:val="0"/>
        <w:autoSpaceDN w:val="0"/>
        <w:snapToGrid w:val="0"/>
        <w:spacing w:line="460" w:lineRule="exact"/>
        <w:rPr>
          <w:color w:val="000000"/>
          <w:sz w:val="22"/>
        </w:rPr>
      </w:pPr>
      <w:r>
        <w:rPr>
          <w:rFonts w:hint="eastAsia"/>
          <w:color w:val="000000"/>
          <w:sz w:val="22"/>
          <w:szCs w:val="22"/>
        </w:rPr>
        <w:t>2、付款方式（或按财政支付方式）：</w:t>
      </w:r>
    </w:p>
    <w:p>
      <w:pPr>
        <w:autoSpaceDE w:val="0"/>
        <w:autoSpaceDN w:val="0"/>
        <w:adjustRightInd w:val="0"/>
        <w:spacing w:line="460" w:lineRule="atLeast"/>
        <w:ind w:firstLine="480" w:firstLineChars="200"/>
        <w:rPr>
          <w:rFonts w:hint="eastAsia" w:cs="Courier New"/>
          <w:b/>
          <w:bCs/>
          <w:color w:val="000000"/>
          <w:sz w:val="22"/>
        </w:rPr>
      </w:pPr>
      <w:r>
        <w:rPr>
          <w:color w:val="000000"/>
        </w:rPr>
        <w:t>▲</w:t>
      </w:r>
      <w:r>
        <w:rPr>
          <w:b/>
          <w:color w:val="000000"/>
          <w:sz w:val="22"/>
          <w:szCs w:val="22"/>
          <w:u w:val="single"/>
        </w:rPr>
        <w:t>合同签订后，</w:t>
      </w:r>
      <w:r>
        <w:rPr>
          <w:rFonts w:hint="eastAsia"/>
          <w:b/>
          <w:color w:val="000000"/>
          <w:sz w:val="22"/>
          <w:szCs w:val="22"/>
          <w:u w:val="single"/>
        </w:rPr>
        <w:t>中标供应商应向采购人提供合同总金额1%的履约保证金（可以以非现金形式提交）。预付款条款：中小企业要不低于40%，一般的企业要不低于30%。（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7个工作日内支付。）；（采购单位根据项目特点、供应商诚信等因素，可以要求供应商提交银行、保险公司等金融机构出具的预付款保函或其他担保措施。）；项目完成验收通过后支付剩余款项。具体付款根据浙江省财政厅关于进一步发挥政府采购政策功能全力推动经济稳进提质的通知(浙财采监〔2022〕3号)相关规定。</w:t>
      </w:r>
      <w:r>
        <w:rPr>
          <w:rFonts w:hint="eastAsia"/>
          <w:color w:val="000000"/>
          <w:sz w:val="22"/>
        </w:rPr>
        <w:t>（</w:t>
      </w:r>
      <w:r>
        <w:rPr>
          <w:rFonts w:hint="eastAsia" w:cs="Courier New"/>
          <w:b/>
          <w:bCs/>
          <w:color w:val="000000"/>
          <w:sz w:val="22"/>
        </w:rPr>
        <w:t>具体每笔款项支付视财政部门资金拨付情况而定或按合同约定）</w:t>
      </w:r>
    </w:p>
    <w:p>
      <w:pPr>
        <w:autoSpaceDE w:val="0"/>
        <w:autoSpaceDN w:val="0"/>
        <w:adjustRightInd w:val="0"/>
        <w:spacing w:line="460" w:lineRule="atLeast"/>
        <w:ind w:firstLine="442" w:firstLineChars="200"/>
        <w:rPr>
          <w:rFonts w:hint="eastAsia" w:cs="Courier New"/>
          <w:b/>
          <w:bCs/>
          <w:color w:val="000000"/>
          <w:sz w:val="22"/>
        </w:rPr>
      </w:pPr>
      <w:r>
        <w:rPr>
          <w:rFonts w:cs="Courier New"/>
          <w:b/>
          <w:bCs/>
          <w:color w:val="000000"/>
          <w:sz w:val="22"/>
        </w:rPr>
        <w:t>采购文件合同条款中</w:t>
      </w:r>
      <w:r>
        <w:rPr>
          <w:rFonts w:hint="eastAsia" w:cs="Courier New"/>
          <w:b/>
          <w:bCs/>
          <w:color w:val="000000"/>
          <w:sz w:val="22"/>
        </w:rPr>
        <w:t>须</w:t>
      </w:r>
      <w:r>
        <w:rPr>
          <w:rFonts w:cs="Courier New"/>
          <w:b/>
          <w:bCs/>
          <w:color w:val="000000"/>
          <w:sz w:val="22"/>
        </w:rPr>
        <w:t>注明满足合同约定支付条件，供应商提交发票后7个工作日内支付资金项目</w:t>
      </w:r>
      <w:r>
        <w:rPr>
          <w:rFonts w:hint="eastAsia" w:cs="Courier New"/>
          <w:b/>
          <w:bCs/>
          <w:color w:val="000000"/>
          <w:sz w:val="22"/>
        </w:rPr>
        <w:t>。</w:t>
      </w:r>
    </w:p>
    <w:p>
      <w:pPr>
        <w:autoSpaceDE w:val="0"/>
        <w:autoSpaceDN w:val="0"/>
        <w:adjustRightInd w:val="0"/>
        <w:spacing w:line="460" w:lineRule="atLeast"/>
        <w:ind w:firstLine="440" w:firstLineChars="200"/>
        <w:rPr>
          <w:rFonts w:cs="仿宋_GB2312"/>
          <w:color w:val="000000"/>
          <w:sz w:val="22"/>
          <w:szCs w:val="22"/>
          <w:u w:val="single"/>
          <w:lang w:val="zh-CN"/>
        </w:rPr>
      </w:pPr>
      <w:r>
        <w:rPr>
          <w:rFonts w:hint="eastAsia"/>
          <w:color w:val="000000"/>
          <w:sz w:val="22"/>
          <w:lang w:val="zh-CN"/>
        </w:rPr>
        <w:t>（</w:t>
      </w:r>
      <w:r>
        <w:rPr>
          <w:rFonts w:hint="eastAsia"/>
          <w:color w:val="000000"/>
          <w:sz w:val="22"/>
        </w:rPr>
        <w:t>4</w:t>
      </w:r>
      <w:r>
        <w:rPr>
          <w:rFonts w:hint="eastAsia"/>
          <w:color w:val="000000"/>
          <w:sz w:val="22"/>
          <w:lang w:val="zh-CN"/>
        </w:rPr>
        <w:t>）</w:t>
      </w:r>
      <w:r>
        <w:rPr>
          <w:rFonts w:hint="eastAsia"/>
          <w:color w:val="000000"/>
          <w:sz w:val="22"/>
        </w:rPr>
        <w:t>合同履约期满后，采购人一次性无息退还履约保证金。</w:t>
      </w:r>
    </w:p>
    <w:p>
      <w:pPr>
        <w:tabs>
          <w:tab w:val="left" w:pos="540"/>
        </w:tabs>
        <w:autoSpaceDE w:val="0"/>
        <w:autoSpaceDN w:val="0"/>
        <w:snapToGrid w:val="0"/>
        <w:spacing w:line="460" w:lineRule="exact"/>
        <w:rPr>
          <w:color w:val="000000"/>
          <w:sz w:val="22"/>
        </w:rPr>
      </w:pPr>
      <w:r>
        <w:rPr>
          <w:rFonts w:hint="eastAsia"/>
          <w:color w:val="000000"/>
          <w:sz w:val="22"/>
        </w:rPr>
        <w:t>3、培训</w:t>
      </w:r>
    </w:p>
    <w:p>
      <w:pPr>
        <w:tabs>
          <w:tab w:val="left" w:pos="540"/>
        </w:tabs>
        <w:autoSpaceDE w:val="0"/>
        <w:autoSpaceDN w:val="0"/>
        <w:snapToGrid w:val="0"/>
        <w:spacing w:line="460" w:lineRule="exact"/>
        <w:rPr>
          <w:color w:val="000000"/>
          <w:sz w:val="22"/>
        </w:rPr>
      </w:pPr>
      <w:r>
        <w:rPr>
          <w:rFonts w:hint="eastAsia"/>
          <w:color w:val="000000"/>
          <w:sz w:val="22"/>
        </w:rPr>
        <w:t>3.1（1）货物的现场指导安装、调试、启动监督及技术支持；</w:t>
      </w:r>
    </w:p>
    <w:p>
      <w:pPr>
        <w:tabs>
          <w:tab w:val="left" w:pos="540"/>
        </w:tabs>
        <w:autoSpaceDE w:val="0"/>
        <w:autoSpaceDN w:val="0"/>
        <w:snapToGrid w:val="0"/>
        <w:spacing w:line="460" w:lineRule="exact"/>
        <w:rPr>
          <w:color w:val="000000"/>
          <w:sz w:val="22"/>
        </w:rPr>
      </w:pPr>
      <w:r>
        <w:rPr>
          <w:rFonts w:hint="eastAsia"/>
          <w:color w:val="000000"/>
          <w:sz w:val="22"/>
        </w:rPr>
        <w:t xml:space="preserve">   （2）在厂家和/或项目现场就货物的指导安装、启动、运营、维护对采购人操作人员进行培训。辅助服务的费用包含在合同价中，采购人不再另行支付。</w:t>
      </w:r>
    </w:p>
    <w:p>
      <w:pPr>
        <w:tabs>
          <w:tab w:val="left" w:pos="540"/>
        </w:tabs>
        <w:autoSpaceDE w:val="0"/>
        <w:autoSpaceDN w:val="0"/>
        <w:snapToGrid w:val="0"/>
        <w:spacing w:line="460" w:lineRule="exact"/>
        <w:rPr>
          <w:color w:val="000000"/>
          <w:sz w:val="22"/>
        </w:rPr>
      </w:pPr>
      <w:r>
        <w:rPr>
          <w:rFonts w:hint="eastAsia"/>
          <w:color w:val="000000"/>
          <w:sz w:val="22"/>
        </w:rPr>
        <w:t>3.2.旨在提供更好的其他方式培训。</w:t>
      </w:r>
    </w:p>
    <w:p>
      <w:pPr>
        <w:tabs>
          <w:tab w:val="left" w:pos="540"/>
        </w:tabs>
        <w:autoSpaceDE w:val="0"/>
        <w:autoSpaceDN w:val="0"/>
        <w:snapToGrid w:val="0"/>
        <w:spacing w:line="460" w:lineRule="exact"/>
        <w:rPr>
          <w:color w:val="000000"/>
          <w:sz w:val="22"/>
        </w:rPr>
      </w:pPr>
      <w:r>
        <w:rPr>
          <w:rFonts w:hint="eastAsia"/>
          <w:color w:val="000000"/>
          <w:sz w:val="22"/>
        </w:rPr>
        <w:t>4、送货地点：</w:t>
      </w:r>
    </w:p>
    <w:p>
      <w:pPr>
        <w:tabs>
          <w:tab w:val="left" w:pos="540"/>
        </w:tabs>
        <w:autoSpaceDE w:val="0"/>
        <w:autoSpaceDN w:val="0"/>
        <w:snapToGrid w:val="0"/>
        <w:spacing w:line="460" w:lineRule="exact"/>
        <w:rPr>
          <w:color w:val="000000"/>
          <w:sz w:val="22"/>
        </w:rPr>
      </w:pPr>
      <w:r>
        <w:rPr>
          <w:rFonts w:hint="eastAsia"/>
          <w:color w:val="000000"/>
          <w:sz w:val="22"/>
        </w:rPr>
        <w:t>采购人指定地点。</w:t>
      </w:r>
    </w:p>
    <w:p>
      <w:pPr>
        <w:tabs>
          <w:tab w:val="left" w:pos="540"/>
        </w:tabs>
        <w:autoSpaceDE w:val="0"/>
        <w:autoSpaceDN w:val="0"/>
        <w:snapToGrid w:val="0"/>
        <w:spacing w:line="460" w:lineRule="exact"/>
        <w:rPr>
          <w:color w:val="000000"/>
          <w:sz w:val="22"/>
        </w:rPr>
      </w:pPr>
      <w:r>
        <w:rPr>
          <w:rFonts w:hint="eastAsia"/>
          <w:color w:val="000000"/>
          <w:sz w:val="22"/>
        </w:rPr>
        <w:t>5、安装调试与安装标准：提供现场的安装调试直至合格。提供的货物与安装应符合招标文件与我国国家有关技术规范要求和技术标准。</w:t>
      </w:r>
    </w:p>
    <w:p>
      <w:pPr>
        <w:tabs>
          <w:tab w:val="left" w:pos="540"/>
        </w:tabs>
        <w:autoSpaceDE w:val="0"/>
        <w:autoSpaceDN w:val="0"/>
        <w:snapToGrid w:val="0"/>
        <w:spacing w:line="460" w:lineRule="exact"/>
        <w:rPr>
          <w:color w:val="000000"/>
          <w:sz w:val="22"/>
        </w:rPr>
      </w:pPr>
      <w:r>
        <w:rPr>
          <w:rFonts w:hint="eastAsia"/>
          <w:color w:val="000000"/>
          <w:sz w:val="22"/>
        </w:rPr>
        <w:t>供应商应在报价文件中提出其安装调试过程中使用单位需配合的内容。</w:t>
      </w:r>
    </w:p>
    <w:p>
      <w:pPr>
        <w:autoSpaceDE w:val="0"/>
        <w:autoSpaceDN w:val="0"/>
        <w:snapToGrid w:val="0"/>
        <w:spacing w:line="454" w:lineRule="atLeast"/>
        <w:rPr>
          <w:color w:val="000000"/>
          <w:sz w:val="22"/>
        </w:rPr>
      </w:pPr>
      <w:r>
        <w:rPr>
          <w:rFonts w:hint="eastAsia"/>
          <w:color w:val="000000"/>
          <w:sz w:val="22"/>
        </w:rPr>
        <w:t>6</w:t>
      </w:r>
      <w:r>
        <w:rPr>
          <w:color w:val="000000"/>
          <w:sz w:val="22"/>
        </w:rPr>
        <w:t>．完工期</w:t>
      </w:r>
    </w:p>
    <w:p>
      <w:pPr>
        <w:adjustRightInd w:val="0"/>
        <w:snapToGrid w:val="0"/>
        <w:spacing w:line="420" w:lineRule="exact"/>
        <w:outlineLvl w:val="0"/>
        <w:rPr>
          <w:color w:val="000000"/>
          <w:sz w:val="22"/>
        </w:rPr>
      </w:pPr>
      <w:r>
        <w:rPr>
          <w:color w:val="000000"/>
          <w:sz w:val="22"/>
        </w:rPr>
        <w:t>完工期：</w:t>
      </w:r>
      <w:r>
        <w:rPr>
          <w:rFonts w:hint="eastAsia" w:cs="仿宋_GB2312"/>
          <w:b/>
          <w:color w:val="000000"/>
          <w:sz w:val="22"/>
          <w:szCs w:val="22"/>
          <w:u w:val="single"/>
          <w:lang w:val="zh-CN"/>
        </w:rPr>
        <w:t>接到通知后最长不得超出60日历天</w:t>
      </w:r>
      <w:r>
        <w:rPr>
          <w:rFonts w:hint="eastAsia"/>
          <w:color w:val="000000"/>
          <w:sz w:val="22"/>
        </w:rPr>
        <w:t>（供应商提供最短时间）</w:t>
      </w:r>
      <w:r>
        <w:rPr>
          <w:color w:val="000000"/>
          <w:sz w:val="22"/>
        </w:rPr>
        <w:t>。</w:t>
      </w:r>
    </w:p>
    <w:p>
      <w:pPr>
        <w:autoSpaceDE w:val="0"/>
        <w:autoSpaceDN w:val="0"/>
        <w:snapToGrid w:val="0"/>
        <w:spacing w:line="454" w:lineRule="atLeast"/>
        <w:rPr>
          <w:rFonts w:hint="eastAsia"/>
          <w:color w:val="000000"/>
        </w:rPr>
      </w:pPr>
      <w:r>
        <w:rPr>
          <w:rFonts w:hint="eastAsia"/>
          <w:color w:val="000000"/>
        </w:rPr>
        <w:t>服务期：1年。</w:t>
      </w:r>
    </w:p>
    <w:p>
      <w:pPr>
        <w:autoSpaceDE w:val="0"/>
        <w:autoSpaceDN w:val="0"/>
        <w:snapToGrid w:val="0"/>
        <w:spacing w:line="454" w:lineRule="atLeast"/>
        <w:rPr>
          <w:b/>
          <w:color w:val="000000"/>
          <w:sz w:val="22"/>
        </w:rPr>
      </w:pPr>
      <w:r>
        <w:rPr>
          <w:rFonts w:hint="eastAsia"/>
          <w:b/>
          <w:color w:val="000000"/>
          <w:sz w:val="22"/>
        </w:rPr>
        <w:t>7</w:t>
      </w:r>
      <w:r>
        <w:rPr>
          <w:b/>
          <w:color w:val="000000"/>
          <w:sz w:val="22"/>
        </w:rPr>
        <w:t>、验收</w:t>
      </w:r>
    </w:p>
    <w:p>
      <w:pPr>
        <w:autoSpaceDE w:val="0"/>
        <w:autoSpaceDN w:val="0"/>
        <w:snapToGrid w:val="0"/>
        <w:spacing w:line="454" w:lineRule="atLeast"/>
        <w:rPr>
          <w:color w:val="000000"/>
          <w:sz w:val="22"/>
        </w:rPr>
      </w:pPr>
      <w:r>
        <w:rPr>
          <w:color w:val="000000"/>
          <w:sz w:val="22"/>
        </w:rPr>
        <w:t>中标供应商已按合同规定提供了符合采购文件规定的要求的货物，并经采购人组织检验合格，所有的技术资料和清单已向采购人提交并被接受，验收视为合格</w:t>
      </w:r>
      <w:r>
        <w:rPr>
          <w:rFonts w:hint="eastAsia"/>
          <w:color w:val="000000"/>
          <w:sz w:val="22"/>
        </w:rPr>
        <w:t>，</w:t>
      </w:r>
      <w:r>
        <w:rPr>
          <w:color w:val="000000"/>
          <w:sz w:val="22"/>
        </w:rPr>
        <w:t>若因中标供应商质量问题等导致验收不合格，中标供应商应及时予以处理，直至验收合格，期间发生的一切费用由中标供应商承担，采购人保留向中标供应商索赔的权利。</w:t>
      </w:r>
    </w:p>
    <w:p>
      <w:pPr>
        <w:snapToGrid w:val="0"/>
        <w:spacing w:line="360" w:lineRule="auto"/>
        <w:rPr>
          <w:b/>
          <w:color w:val="000000"/>
          <w:sz w:val="22"/>
          <w:szCs w:val="22"/>
        </w:rPr>
      </w:pPr>
      <w:r>
        <w:rPr>
          <w:rFonts w:hint="eastAsia"/>
          <w:b/>
          <w:color w:val="000000"/>
          <w:sz w:val="22"/>
          <w:szCs w:val="22"/>
        </w:rPr>
        <w:t>8、本项目有下列情形的，采购人有权终止合同：</w:t>
      </w:r>
    </w:p>
    <w:p>
      <w:pPr>
        <w:snapToGrid w:val="0"/>
        <w:spacing w:line="360" w:lineRule="auto"/>
        <w:ind w:firstLine="440" w:firstLineChars="200"/>
        <w:rPr>
          <w:color w:val="000000"/>
          <w:sz w:val="22"/>
          <w:szCs w:val="22"/>
        </w:rPr>
      </w:pPr>
      <w:r>
        <w:rPr>
          <w:rFonts w:hint="eastAsia"/>
          <w:color w:val="000000"/>
          <w:sz w:val="22"/>
          <w:szCs w:val="22"/>
        </w:rPr>
        <w:t>（一）合同生效：本合同自甲乙双方法定代表人签字、盖章之日起生效。</w:t>
      </w:r>
    </w:p>
    <w:p>
      <w:pPr>
        <w:snapToGrid w:val="0"/>
        <w:spacing w:line="360" w:lineRule="auto"/>
        <w:ind w:firstLine="440" w:firstLineChars="200"/>
        <w:rPr>
          <w:color w:val="000000"/>
          <w:sz w:val="22"/>
          <w:szCs w:val="22"/>
        </w:rPr>
      </w:pPr>
      <w:r>
        <w:rPr>
          <w:rFonts w:hint="eastAsia"/>
          <w:color w:val="000000"/>
          <w:sz w:val="22"/>
          <w:szCs w:val="22"/>
        </w:rPr>
        <w:t>（二）合同终止：本项目有下列情形的，采购人有权终止合同：</w:t>
      </w:r>
    </w:p>
    <w:p>
      <w:pPr>
        <w:snapToGrid w:val="0"/>
        <w:spacing w:line="360" w:lineRule="auto"/>
        <w:ind w:firstLine="440" w:firstLineChars="200"/>
        <w:rPr>
          <w:color w:val="000000"/>
          <w:sz w:val="22"/>
          <w:szCs w:val="22"/>
        </w:rPr>
      </w:pPr>
      <w:r>
        <w:rPr>
          <w:color w:val="000000"/>
          <w:sz w:val="22"/>
          <w:szCs w:val="22"/>
        </w:rPr>
        <w:t>1</w:t>
      </w:r>
      <w:r>
        <w:rPr>
          <w:rFonts w:hint="eastAsia"/>
          <w:color w:val="000000"/>
          <w:sz w:val="22"/>
          <w:szCs w:val="22"/>
        </w:rPr>
        <w:t>）本项目遇不可抗力影响或法律、法规、国家政策重大调整影响合同无法执行的；</w:t>
      </w:r>
    </w:p>
    <w:p>
      <w:pPr>
        <w:snapToGrid w:val="0"/>
        <w:spacing w:line="360" w:lineRule="auto"/>
        <w:ind w:firstLine="440" w:firstLineChars="200"/>
        <w:rPr>
          <w:color w:val="000000"/>
          <w:sz w:val="22"/>
          <w:szCs w:val="22"/>
        </w:rPr>
      </w:pPr>
      <w:r>
        <w:rPr>
          <w:rFonts w:hint="eastAsia"/>
          <w:color w:val="000000"/>
          <w:sz w:val="22"/>
          <w:szCs w:val="22"/>
        </w:rPr>
        <w:t>2）中标供应商对监管人员，考核成员有行贿或其它利益输送行为的。</w:t>
      </w:r>
    </w:p>
    <w:p>
      <w:pPr>
        <w:snapToGrid w:val="0"/>
        <w:spacing w:line="360" w:lineRule="auto"/>
        <w:ind w:firstLine="440" w:firstLineChars="200"/>
        <w:rPr>
          <w:color w:val="000000"/>
          <w:sz w:val="22"/>
          <w:szCs w:val="22"/>
        </w:rPr>
      </w:pPr>
      <w:r>
        <w:rPr>
          <w:rFonts w:hint="eastAsia"/>
          <w:color w:val="000000"/>
          <w:sz w:val="22"/>
          <w:szCs w:val="22"/>
        </w:rPr>
        <w:t>3）按相关法律、法规、招标文件规定及考核办法，有下列情形之一的，采购人有权终止合同：</w:t>
      </w:r>
    </w:p>
    <w:p>
      <w:pPr>
        <w:snapToGrid w:val="0"/>
        <w:spacing w:line="360" w:lineRule="auto"/>
        <w:ind w:firstLine="440" w:firstLineChars="200"/>
        <w:rPr>
          <w:color w:val="000000"/>
          <w:sz w:val="22"/>
          <w:szCs w:val="22"/>
        </w:rPr>
      </w:pPr>
      <w:r>
        <w:rPr>
          <w:rFonts w:hint="eastAsia"/>
          <w:color w:val="000000"/>
          <w:sz w:val="22"/>
          <w:szCs w:val="22"/>
        </w:rPr>
        <w:t>（1）全年有两次被严重警告或三次被警告（含一次严重警告，两次警告）的承包单位，采购人有权无责任终止采购合同。</w:t>
      </w:r>
    </w:p>
    <w:p>
      <w:pPr>
        <w:snapToGrid w:val="0"/>
        <w:spacing w:line="360" w:lineRule="auto"/>
        <w:ind w:firstLine="440" w:firstLineChars="200"/>
        <w:rPr>
          <w:color w:val="000000"/>
          <w:sz w:val="22"/>
          <w:szCs w:val="22"/>
        </w:rPr>
      </w:pPr>
      <w:r>
        <w:rPr>
          <w:rFonts w:hint="eastAsia"/>
          <w:color w:val="000000"/>
          <w:sz w:val="22"/>
          <w:szCs w:val="22"/>
        </w:rPr>
        <w:t>（</w:t>
      </w:r>
      <w:r>
        <w:rPr>
          <w:color w:val="000000"/>
          <w:sz w:val="22"/>
          <w:szCs w:val="22"/>
        </w:rPr>
        <w:t>2</w:t>
      </w:r>
      <w:r>
        <w:rPr>
          <w:rFonts w:hint="eastAsia"/>
          <w:color w:val="000000"/>
          <w:sz w:val="22"/>
          <w:szCs w:val="22"/>
        </w:rPr>
        <w:t>）二次平均考核得分率低于75%（不含）的，采购人有权无责任终止采购合同。</w:t>
      </w:r>
    </w:p>
    <w:p>
      <w:pPr>
        <w:snapToGrid w:val="0"/>
        <w:spacing w:line="360" w:lineRule="auto"/>
        <w:ind w:firstLine="440" w:firstLineChars="200"/>
        <w:rPr>
          <w:color w:val="000000"/>
          <w:sz w:val="22"/>
          <w:szCs w:val="22"/>
        </w:rPr>
      </w:pPr>
      <w:r>
        <w:rPr>
          <w:rFonts w:hint="eastAsia"/>
          <w:color w:val="000000"/>
          <w:sz w:val="22"/>
          <w:szCs w:val="22"/>
        </w:rPr>
        <w:t>（3）经有关部门认定严重违反劳动法，造成恶劣影响的；或其它</w:t>
      </w:r>
      <w:r>
        <w:rPr>
          <w:color w:val="000000"/>
          <w:sz w:val="22"/>
          <w:szCs w:val="22"/>
        </w:rPr>
        <w:t>因违法经营受到刑事处罚或者责令停产停业、吊销许可证或者执照、较大数额罚款等行政处罚</w:t>
      </w:r>
      <w:r>
        <w:rPr>
          <w:rFonts w:hint="eastAsia"/>
          <w:color w:val="000000"/>
          <w:sz w:val="22"/>
          <w:szCs w:val="22"/>
        </w:rPr>
        <w:t>的。</w:t>
      </w:r>
    </w:p>
    <w:p>
      <w:pPr>
        <w:snapToGrid w:val="0"/>
        <w:spacing w:line="360" w:lineRule="auto"/>
        <w:ind w:firstLine="440" w:firstLineChars="200"/>
        <w:rPr>
          <w:color w:val="000000"/>
          <w:sz w:val="22"/>
          <w:szCs w:val="22"/>
        </w:rPr>
      </w:pPr>
      <w:r>
        <w:rPr>
          <w:rFonts w:hint="eastAsia"/>
          <w:color w:val="000000"/>
          <w:sz w:val="22"/>
          <w:szCs w:val="22"/>
        </w:rPr>
        <w:t>（4）其它弄虚作假及其他不正当行为。</w:t>
      </w:r>
    </w:p>
    <w:p>
      <w:pPr>
        <w:snapToGrid w:val="0"/>
        <w:spacing w:line="360" w:lineRule="auto"/>
        <w:ind w:firstLine="440" w:firstLineChars="200"/>
        <w:rPr>
          <w:color w:val="000000"/>
          <w:sz w:val="22"/>
          <w:szCs w:val="22"/>
        </w:rPr>
      </w:pPr>
      <w:r>
        <w:rPr>
          <w:rFonts w:hint="eastAsia"/>
          <w:color w:val="000000"/>
          <w:sz w:val="22"/>
          <w:szCs w:val="22"/>
        </w:rPr>
        <w:t>（5）合同履约期间，中标供应商法人组织破产，或重组变更法人主体的；</w:t>
      </w:r>
    </w:p>
    <w:p>
      <w:pPr>
        <w:snapToGrid w:val="0"/>
        <w:spacing w:line="360" w:lineRule="auto"/>
        <w:ind w:firstLine="440" w:firstLineChars="200"/>
        <w:rPr>
          <w:color w:val="000000"/>
          <w:sz w:val="22"/>
          <w:szCs w:val="22"/>
        </w:rPr>
      </w:pPr>
      <w:r>
        <w:rPr>
          <w:rFonts w:hint="eastAsia"/>
          <w:color w:val="000000"/>
          <w:sz w:val="22"/>
          <w:szCs w:val="22"/>
        </w:rPr>
        <w:t>（6）根据招标文件及合同约定，其它终止合同的规定，其它法律规定的终止情形。</w:t>
      </w:r>
    </w:p>
    <w:p>
      <w:pPr>
        <w:snapToGrid w:val="0"/>
        <w:spacing w:line="360" w:lineRule="auto"/>
        <w:ind w:firstLine="442" w:firstLineChars="200"/>
        <w:rPr>
          <w:b/>
          <w:color w:val="000000"/>
          <w:sz w:val="22"/>
          <w:szCs w:val="22"/>
        </w:rPr>
      </w:pPr>
      <w:r>
        <w:rPr>
          <w:rFonts w:hint="eastAsia"/>
          <w:b/>
          <w:color w:val="000000"/>
          <w:sz w:val="22"/>
          <w:szCs w:val="22"/>
        </w:rPr>
        <w:t>（7）由于中标供应商原因造成采购人经济损失的，所造成的损失由中标供应商承担；同时采购人有权终止合同。</w:t>
      </w:r>
    </w:p>
    <w:p>
      <w:pPr>
        <w:adjustRightInd w:val="0"/>
        <w:snapToGrid w:val="0"/>
        <w:spacing w:line="420" w:lineRule="exact"/>
        <w:outlineLvl w:val="0"/>
        <w:rPr>
          <w:rFonts w:hint="eastAsia"/>
          <w:color w:val="000000"/>
          <w:sz w:val="22"/>
          <w:szCs w:val="22"/>
        </w:rPr>
      </w:pPr>
      <w:r>
        <w:rPr>
          <w:rFonts w:hint="eastAsia"/>
          <w:color w:val="000000"/>
          <w:sz w:val="22"/>
          <w:szCs w:val="22"/>
        </w:rPr>
        <w:t>四、工作范围：</w:t>
      </w:r>
    </w:p>
    <w:p>
      <w:pPr>
        <w:adjustRightInd w:val="0"/>
        <w:snapToGrid w:val="0"/>
        <w:spacing w:line="420" w:lineRule="exact"/>
        <w:rPr>
          <w:rFonts w:hint="eastAsia"/>
          <w:color w:val="000000"/>
          <w:sz w:val="22"/>
          <w:szCs w:val="22"/>
        </w:rPr>
      </w:pPr>
      <w:r>
        <w:rPr>
          <w:rFonts w:hint="eastAsia"/>
          <w:color w:val="000000"/>
          <w:sz w:val="22"/>
          <w:szCs w:val="22"/>
        </w:rPr>
        <w:t>根据招标文件，各供应商须按国家有关标准及规范完成下列工作：</w:t>
      </w:r>
    </w:p>
    <w:p>
      <w:pPr>
        <w:tabs>
          <w:tab w:val="left" w:pos="1740"/>
        </w:tabs>
        <w:adjustRightInd w:val="0"/>
        <w:snapToGrid w:val="0"/>
        <w:spacing w:line="420" w:lineRule="exact"/>
        <w:outlineLvl w:val="0"/>
        <w:rPr>
          <w:rFonts w:hint="eastAsia"/>
          <w:color w:val="000000"/>
          <w:sz w:val="22"/>
          <w:szCs w:val="22"/>
        </w:rPr>
      </w:pPr>
      <w:r>
        <w:rPr>
          <w:rFonts w:hint="eastAsia"/>
          <w:color w:val="000000"/>
          <w:sz w:val="22"/>
          <w:szCs w:val="22"/>
        </w:rPr>
        <w:t>1</w:t>
      </w:r>
      <w:r>
        <w:rPr>
          <w:color w:val="000000"/>
          <w:sz w:val="22"/>
          <w:szCs w:val="22"/>
        </w:rPr>
        <w:t>.</w:t>
      </w:r>
      <w:r>
        <w:rPr>
          <w:rFonts w:hint="eastAsia"/>
          <w:color w:val="000000"/>
          <w:sz w:val="22"/>
          <w:szCs w:val="22"/>
        </w:rPr>
        <w:t>提供完整成套的货物或服务</w:t>
      </w:r>
    </w:p>
    <w:p>
      <w:pPr>
        <w:adjustRightInd w:val="0"/>
        <w:snapToGrid w:val="0"/>
        <w:spacing w:line="420" w:lineRule="exact"/>
        <w:rPr>
          <w:rFonts w:hint="eastAsia"/>
          <w:color w:val="000000"/>
          <w:sz w:val="22"/>
          <w:szCs w:val="22"/>
        </w:rPr>
      </w:pPr>
      <w:r>
        <w:rPr>
          <w:color w:val="000000"/>
          <w:sz w:val="22"/>
          <w:szCs w:val="22"/>
        </w:rPr>
        <w:t>2.</w:t>
      </w:r>
      <w:r>
        <w:rPr>
          <w:rFonts w:hint="eastAsia"/>
          <w:color w:val="000000"/>
          <w:sz w:val="22"/>
          <w:szCs w:val="22"/>
        </w:rPr>
        <w:t xml:space="preserve">货物及相关附件的提供、运输、装卸、就位、施工、检验、通过验收； </w:t>
      </w:r>
    </w:p>
    <w:p>
      <w:pPr>
        <w:tabs>
          <w:tab w:val="left" w:pos="1740"/>
        </w:tabs>
        <w:adjustRightInd w:val="0"/>
        <w:snapToGrid w:val="0"/>
        <w:spacing w:line="420" w:lineRule="exact"/>
        <w:rPr>
          <w:rFonts w:hint="eastAsia"/>
          <w:color w:val="000000"/>
          <w:sz w:val="22"/>
          <w:szCs w:val="22"/>
        </w:rPr>
      </w:pPr>
      <w:r>
        <w:rPr>
          <w:color w:val="000000"/>
          <w:sz w:val="22"/>
          <w:szCs w:val="22"/>
        </w:rPr>
        <w:t>3.</w:t>
      </w:r>
      <w:r>
        <w:rPr>
          <w:rFonts w:hint="eastAsia"/>
          <w:color w:val="000000"/>
          <w:sz w:val="22"/>
          <w:szCs w:val="22"/>
        </w:rPr>
        <w:t>完成各项施工、检验、测试工作，并在采购人的配合下进行验收；提供各种数据资料；直至通过验收。</w:t>
      </w:r>
    </w:p>
    <w:p>
      <w:pPr>
        <w:adjustRightInd w:val="0"/>
        <w:snapToGrid w:val="0"/>
        <w:spacing w:line="420" w:lineRule="exact"/>
        <w:rPr>
          <w:rFonts w:hint="eastAsia"/>
          <w:color w:val="000000"/>
          <w:sz w:val="22"/>
          <w:szCs w:val="22"/>
        </w:rPr>
      </w:pPr>
      <w:r>
        <w:rPr>
          <w:rFonts w:hint="eastAsia"/>
          <w:color w:val="000000"/>
          <w:sz w:val="22"/>
          <w:szCs w:val="22"/>
        </w:rPr>
        <w:t>4.保期内系统的维保及维修；</w:t>
      </w:r>
    </w:p>
    <w:p>
      <w:pPr>
        <w:adjustRightInd w:val="0"/>
        <w:snapToGrid w:val="0"/>
        <w:spacing w:line="420" w:lineRule="exact"/>
        <w:rPr>
          <w:rFonts w:hint="eastAsia"/>
          <w:color w:val="000000"/>
          <w:sz w:val="22"/>
          <w:szCs w:val="22"/>
        </w:rPr>
      </w:pPr>
      <w:r>
        <w:rPr>
          <w:rFonts w:hint="eastAsia"/>
          <w:color w:val="000000"/>
          <w:sz w:val="22"/>
          <w:szCs w:val="22"/>
        </w:rPr>
        <w:t>5</w:t>
      </w:r>
      <w:r>
        <w:rPr>
          <w:color w:val="000000"/>
          <w:sz w:val="22"/>
          <w:szCs w:val="22"/>
        </w:rPr>
        <w:t>.</w:t>
      </w:r>
      <w:r>
        <w:rPr>
          <w:rFonts w:hint="eastAsia"/>
          <w:color w:val="000000"/>
          <w:sz w:val="22"/>
          <w:szCs w:val="22"/>
        </w:rPr>
        <w:t>售后服务的措施及承诺。</w:t>
      </w:r>
    </w:p>
    <w:p>
      <w:pPr>
        <w:spacing w:line="420" w:lineRule="exact"/>
        <w:ind w:firstLine="440" w:firstLineChars="200"/>
        <w:rPr>
          <w:color w:val="000000"/>
          <w:sz w:val="22"/>
          <w:szCs w:val="22"/>
        </w:rPr>
      </w:pPr>
      <w:r>
        <w:rPr>
          <w:rFonts w:hint="eastAsia"/>
          <w:color w:val="000000"/>
          <w:sz w:val="22"/>
          <w:szCs w:val="22"/>
        </w:rPr>
        <w:t>以上工作内容的费用均包含在投标报价中。</w:t>
      </w:r>
    </w:p>
    <w:p>
      <w:pPr>
        <w:snapToGrid w:val="0"/>
        <w:spacing w:line="460" w:lineRule="atLeast"/>
        <w:rPr>
          <w:b/>
          <w:color w:val="000000"/>
          <w:sz w:val="22"/>
        </w:rPr>
      </w:pPr>
      <w:r>
        <w:rPr>
          <w:rFonts w:hint="eastAsia"/>
          <w:b/>
          <w:color w:val="000000"/>
          <w:sz w:val="22"/>
        </w:rPr>
        <w:t>附件：《</w:t>
      </w:r>
      <w:r>
        <w:rPr>
          <w:rFonts w:hint="eastAsia"/>
          <w:b/>
          <w:color w:val="000000"/>
          <w:sz w:val="22"/>
          <w:lang w:eastAsia="zh-CN"/>
        </w:rPr>
        <w:t>海洋牧歌田园综合体―数字南麂设备采购项目</w:t>
      </w:r>
      <w:r>
        <w:rPr>
          <w:rFonts w:hint="eastAsia"/>
          <w:b/>
          <w:color w:val="000000"/>
          <w:sz w:val="22"/>
        </w:rPr>
        <w:t>实时动态考核评分细则》（采购人可根据项目实际进行调整）</w:t>
      </w:r>
    </w:p>
    <w:tbl>
      <w:tblPr>
        <w:tblStyle w:val="58"/>
        <w:tblW w:w="9300" w:type="dxa"/>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9"/>
        <w:gridCol w:w="993"/>
        <w:gridCol w:w="1700"/>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0" w:type="dxa"/>
            <w:gridSpan w:val="4"/>
          </w:tcPr>
          <w:p>
            <w:pPr>
              <w:spacing w:line="400" w:lineRule="exact"/>
              <w:outlineLvl w:val="0"/>
              <w:rPr>
                <w:color w:val="000000"/>
                <w:sz w:val="22"/>
                <w:szCs w:val="22"/>
              </w:rPr>
            </w:pPr>
            <w:r>
              <w:rPr>
                <w:rFonts w:hint="eastAsia"/>
                <w:color w:val="000000"/>
                <w:sz w:val="22"/>
                <w:szCs w:val="22"/>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0" w:type="dxa"/>
            <w:gridSpan w:val="4"/>
          </w:tcPr>
          <w:p>
            <w:pPr>
              <w:spacing w:line="400" w:lineRule="exact"/>
              <w:outlineLvl w:val="0"/>
              <w:rPr>
                <w:color w:val="000000"/>
                <w:sz w:val="22"/>
                <w:szCs w:val="22"/>
              </w:rPr>
            </w:pPr>
            <w:r>
              <w:rPr>
                <w:rFonts w:hint="eastAsia"/>
                <w:color w:val="000000"/>
                <w:sz w:val="22"/>
                <w:szCs w:val="22"/>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0" w:type="dxa"/>
            <w:gridSpan w:val="4"/>
          </w:tcPr>
          <w:p>
            <w:pPr>
              <w:spacing w:line="400" w:lineRule="exact"/>
              <w:outlineLvl w:val="0"/>
              <w:rPr>
                <w:color w:val="000000"/>
                <w:sz w:val="22"/>
                <w:szCs w:val="22"/>
              </w:rPr>
            </w:pPr>
            <w:r>
              <w:rPr>
                <w:rFonts w:hint="eastAsia"/>
                <w:color w:val="000000"/>
                <w:sz w:val="22"/>
                <w:szCs w:val="22"/>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vAlign w:val="center"/>
          </w:tcPr>
          <w:p>
            <w:pPr>
              <w:spacing w:line="400" w:lineRule="exact"/>
              <w:jc w:val="center"/>
              <w:outlineLvl w:val="0"/>
              <w:rPr>
                <w:color w:val="000000"/>
                <w:sz w:val="22"/>
                <w:szCs w:val="22"/>
              </w:rPr>
            </w:pPr>
            <w:r>
              <w:rPr>
                <w:rFonts w:hint="eastAsia"/>
                <w:color w:val="000000"/>
                <w:sz w:val="22"/>
                <w:szCs w:val="22"/>
              </w:rPr>
              <w:t>考核内容</w:t>
            </w:r>
          </w:p>
        </w:tc>
        <w:tc>
          <w:tcPr>
            <w:tcW w:w="993" w:type="dxa"/>
            <w:vAlign w:val="center"/>
          </w:tcPr>
          <w:p>
            <w:pPr>
              <w:spacing w:line="400" w:lineRule="exact"/>
              <w:jc w:val="center"/>
              <w:outlineLvl w:val="0"/>
              <w:rPr>
                <w:color w:val="000000"/>
                <w:sz w:val="22"/>
                <w:szCs w:val="22"/>
              </w:rPr>
            </w:pPr>
            <w:r>
              <w:rPr>
                <w:rFonts w:hint="eastAsia"/>
                <w:color w:val="000000"/>
                <w:sz w:val="22"/>
                <w:szCs w:val="22"/>
              </w:rPr>
              <w:t>分值</w:t>
            </w:r>
          </w:p>
        </w:tc>
        <w:tc>
          <w:tcPr>
            <w:tcW w:w="1700" w:type="dxa"/>
            <w:vAlign w:val="center"/>
          </w:tcPr>
          <w:p>
            <w:pPr>
              <w:spacing w:line="400" w:lineRule="exact"/>
              <w:jc w:val="center"/>
              <w:outlineLvl w:val="0"/>
              <w:rPr>
                <w:color w:val="000000"/>
                <w:sz w:val="22"/>
                <w:szCs w:val="22"/>
              </w:rPr>
            </w:pPr>
            <w:r>
              <w:rPr>
                <w:rFonts w:hint="eastAsia"/>
                <w:color w:val="000000"/>
                <w:sz w:val="22"/>
                <w:szCs w:val="22"/>
              </w:rPr>
              <w:t>扣分原因</w:t>
            </w:r>
          </w:p>
        </w:tc>
        <w:tc>
          <w:tcPr>
            <w:tcW w:w="1258" w:type="dxa"/>
            <w:vAlign w:val="center"/>
          </w:tcPr>
          <w:p>
            <w:pPr>
              <w:spacing w:line="400" w:lineRule="exact"/>
              <w:jc w:val="center"/>
              <w:outlineLvl w:val="0"/>
              <w:rPr>
                <w:color w:val="000000"/>
                <w:sz w:val="22"/>
                <w:szCs w:val="22"/>
              </w:rPr>
            </w:pPr>
            <w:r>
              <w:rPr>
                <w:rFonts w:hint="eastAsia"/>
                <w:color w:val="000000"/>
                <w:sz w:val="22"/>
                <w:szCs w:val="22"/>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1、是否在规定的时限内完成监控系统项目工作、</w:t>
            </w:r>
            <w:r>
              <w:rPr>
                <w:rFonts w:hint="eastAsia" w:cs="Arial"/>
                <w:color w:val="000000"/>
                <w:sz w:val="22"/>
                <w:szCs w:val="22"/>
              </w:rPr>
              <w:t>紧急项目未按采购指令要求时间完成</w:t>
            </w:r>
          </w:p>
        </w:tc>
        <w:tc>
          <w:tcPr>
            <w:tcW w:w="993" w:type="dxa"/>
            <w:vAlign w:val="center"/>
          </w:tcPr>
          <w:p>
            <w:pPr>
              <w:spacing w:line="400" w:lineRule="exact"/>
              <w:jc w:val="center"/>
              <w:outlineLvl w:val="0"/>
              <w:rPr>
                <w:color w:val="000000"/>
                <w:sz w:val="22"/>
                <w:szCs w:val="22"/>
              </w:rPr>
            </w:pPr>
            <w:r>
              <w:rPr>
                <w:rFonts w:hint="eastAsia"/>
                <w:color w:val="000000"/>
                <w:sz w:val="22"/>
                <w:szCs w:val="22"/>
              </w:rPr>
              <w:t>20</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2、是否有固定人员承担本项目联系人</w:t>
            </w:r>
          </w:p>
        </w:tc>
        <w:tc>
          <w:tcPr>
            <w:tcW w:w="993" w:type="dxa"/>
            <w:vAlign w:val="center"/>
          </w:tcPr>
          <w:p>
            <w:pPr>
              <w:spacing w:line="400" w:lineRule="exact"/>
              <w:jc w:val="center"/>
              <w:outlineLvl w:val="0"/>
              <w:rPr>
                <w:color w:val="000000"/>
                <w:sz w:val="22"/>
                <w:szCs w:val="22"/>
              </w:rPr>
            </w:pPr>
            <w:r>
              <w:rPr>
                <w:rFonts w:hint="eastAsia"/>
                <w:color w:val="000000"/>
                <w:sz w:val="22"/>
                <w:szCs w:val="22"/>
              </w:rPr>
              <w:t>10</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4、项目实施过程中发现重大问题是否及时进行沟通</w:t>
            </w:r>
          </w:p>
        </w:tc>
        <w:tc>
          <w:tcPr>
            <w:tcW w:w="993" w:type="dxa"/>
            <w:vAlign w:val="center"/>
          </w:tcPr>
          <w:p>
            <w:pPr>
              <w:spacing w:line="400" w:lineRule="exact"/>
              <w:jc w:val="center"/>
              <w:outlineLvl w:val="0"/>
              <w:rPr>
                <w:color w:val="000000"/>
                <w:sz w:val="22"/>
                <w:szCs w:val="22"/>
              </w:rPr>
            </w:pPr>
            <w:r>
              <w:rPr>
                <w:rFonts w:hint="eastAsia"/>
                <w:color w:val="000000"/>
                <w:sz w:val="22"/>
                <w:szCs w:val="22"/>
              </w:rPr>
              <w:t>10</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5、投标文件中承诺的相关内容是否到位</w:t>
            </w:r>
          </w:p>
        </w:tc>
        <w:tc>
          <w:tcPr>
            <w:tcW w:w="993" w:type="dxa"/>
            <w:vAlign w:val="center"/>
          </w:tcPr>
          <w:p>
            <w:pPr>
              <w:spacing w:line="400" w:lineRule="exact"/>
              <w:jc w:val="center"/>
              <w:outlineLvl w:val="0"/>
              <w:rPr>
                <w:color w:val="000000"/>
                <w:sz w:val="22"/>
                <w:szCs w:val="22"/>
              </w:rPr>
            </w:pPr>
            <w:r>
              <w:rPr>
                <w:rFonts w:hint="eastAsia"/>
                <w:color w:val="000000"/>
                <w:sz w:val="22"/>
                <w:szCs w:val="22"/>
              </w:rPr>
              <w:t>15</w:t>
            </w:r>
          </w:p>
        </w:tc>
        <w:tc>
          <w:tcPr>
            <w:tcW w:w="1700" w:type="dxa"/>
            <w:vAlign w:val="center"/>
          </w:tcPr>
          <w:p>
            <w:pPr>
              <w:spacing w:line="400" w:lineRule="exact"/>
              <w:outlineLvl w:val="0"/>
              <w:rPr>
                <w:color w:val="000000"/>
                <w:sz w:val="22"/>
                <w:szCs w:val="22"/>
              </w:rPr>
            </w:pPr>
          </w:p>
        </w:tc>
        <w:tc>
          <w:tcPr>
            <w:tcW w:w="1258" w:type="dxa"/>
            <w:vAlign w:val="center"/>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6、投标产品及安装是否完全符合投标文件及相关要求</w:t>
            </w:r>
          </w:p>
        </w:tc>
        <w:tc>
          <w:tcPr>
            <w:tcW w:w="993" w:type="dxa"/>
            <w:vAlign w:val="center"/>
          </w:tcPr>
          <w:p>
            <w:pPr>
              <w:spacing w:line="400" w:lineRule="exact"/>
              <w:jc w:val="center"/>
              <w:outlineLvl w:val="0"/>
              <w:rPr>
                <w:color w:val="000000"/>
                <w:sz w:val="22"/>
                <w:szCs w:val="22"/>
              </w:rPr>
            </w:pPr>
            <w:r>
              <w:rPr>
                <w:rFonts w:hint="eastAsia"/>
                <w:color w:val="000000"/>
                <w:sz w:val="22"/>
                <w:szCs w:val="22"/>
              </w:rPr>
              <w:t>15</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360" w:lineRule="exact"/>
              <w:outlineLvl w:val="0"/>
              <w:rPr>
                <w:rFonts w:hint="eastAsia"/>
                <w:color w:val="000000"/>
                <w:sz w:val="22"/>
                <w:szCs w:val="22"/>
              </w:rPr>
            </w:pPr>
            <w:r>
              <w:rPr>
                <w:rFonts w:hint="eastAsia"/>
                <w:color w:val="000000"/>
                <w:sz w:val="22"/>
                <w:szCs w:val="22"/>
              </w:rPr>
              <w:t>7、安装工程的质量及满意度</w:t>
            </w:r>
          </w:p>
        </w:tc>
        <w:tc>
          <w:tcPr>
            <w:tcW w:w="993" w:type="dxa"/>
            <w:vAlign w:val="center"/>
          </w:tcPr>
          <w:p>
            <w:pPr>
              <w:spacing w:line="400" w:lineRule="exact"/>
              <w:jc w:val="center"/>
              <w:outlineLvl w:val="0"/>
              <w:rPr>
                <w:rFonts w:hint="eastAsia"/>
                <w:color w:val="000000"/>
                <w:sz w:val="22"/>
                <w:szCs w:val="22"/>
              </w:rPr>
            </w:pPr>
            <w:r>
              <w:rPr>
                <w:rFonts w:hint="eastAsia"/>
                <w:color w:val="000000"/>
                <w:sz w:val="22"/>
                <w:szCs w:val="22"/>
              </w:rPr>
              <w:t>15</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8、维护期内维护是否及时，技术服务是否到位</w:t>
            </w:r>
          </w:p>
        </w:tc>
        <w:tc>
          <w:tcPr>
            <w:tcW w:w="993" w:type="dxa"/>
            <w:vAlign w:val="center"/>
          </w:tcPr>
          <w:p>
            <w:pPr>
              <w:spacing w:line="400" w:lineRule="exact"/>
              <w:jc w:val="center"/>
              <w:outlineLvl w:val="0"/>
              <w:rPr>
                <w:color w:val="000000"/>
                <w:sz w:val="22"/>
                <w:szCs w:val="22"/>
              </w:rPr>
            </w:pPr>
            <w:r>
              <w:rPr>
                <w:rFonts w:hint="eastAsia"/>
                <w:color w:val="000000"/>
                <w:sz w:val="22"/>
                <w:szCs w:val="22"/>
              </w:rPr>
              <w:t>15</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jc w:val="center"/>
              <w:outlineLvl w:val="0"/>
              <w:rPr>
                <w:color w:val="000000"/>
                <w:sz w:val="22"/>
                <w:szCs w:val="22"/>
              </w:rPr>
            </w:pPr>
            <w:r>
              <w:rPr>
                <w:rFonts w:hint="eastAsia"/>
                <w:color w:val="000000"/>
                <w:sz w:val="22"/>
                <w:szCs w:val="22"/>
              </w:rPr>
              <w:t>总得分</w:t>
            </w:r>
          </w:p>
        </w:tc>
        <w:tc>
          <w:tcPr>
            <w:tcW w:w="993" w:type="dxa"/>
          </w:tcPr>
          <w:p>
            <w:pPr>
              <w:spacing w:line="400" w:lineRule="exact"/>
              <w:jc w:val="center"/>
              <w:outlineLvl w:val="0"/>
              <w:rPr>
                <w:color w:val="000000"/>
                <w:sz w:val="22"/>
                <w:szCs w:val="22"/>
              </w:rPr>
            </w:pPr>
            <w:r>
              <w:rPr>
                <w:rFonts w:hint="eastAsia"/>
                <w:color w:val="000000"/>
                <w:sz w:val="22"/>
                <w:szCs w:val="22"/>
              </w:rPr>
              <w:fldChar w:fldCharType="begin"/>
            </w:r>
            <w:r>
              <w:rPr>
                <w:rFonts w:hint="eastAsia"/>
                <w:color w:val="000000"/>
                <w:sz w:val="22"/>
                <w:szCs w:val="22"/>
              </w:rPr>
              <w:instrText xml:space="preserve"> =SUM(ABOVE) </w:instrText>
            </w:r>
            <w:r>
              <w:rPr>
                <w:rFonts w:hint="eastAsia"/>
                <w:color w:val="000000"/>
                <w:sz w:val="22"/>
                <w:szCs w:val="22"/>
              </w:rPr>
              <w:fldChar w:fldCharType="separate"/>
            </w:r>
            <w:r>
              <w:rPr>
                <w:rFonts w:hint="eastAsia"/>
                <w:color w:val="000000"/>
                <w:sz w:val="22"/>
                <w:szCs w:val="22"/>
              </w:rPr>
              <w:t>100</w:t>
            </w:r>
            <w:r>
              <w:rPr>
                <w:rFonts w:hint="eastAsia"/>
                <w:color w:val="000000"/>
                <w:sz w:val="22"/>
                <w:szCs w:val="22"/>
              </w:rPr>
              <w:fldChar w:fldCharType="end"/>
            </w:r>
          </w:p>
        </w:tc>
        <w:tc>
          <w:tcPr>
            <w:tcW w:w="2958" w:type="dxa"/>
            <w:gridSpan w:val="2"/>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300" w:type="dxa"/>
            <w:gridSpan w:val="4"/>
          </w:tcPr>
          <w:p>
            <w:pPr>
              <w:spacing w:line="360" w:lineRule="auto"/>
              <w:outlineLvl w:val="0"/>
              <w:rPr>
                <w:rFonts w:hint="eastAsia"/>
                <w:color w:val="000000"/>
                <w:sz w:val="22"/>
                <w:szCs w:val="22"/>
              </w:rPr>
            </w:pPr>
            <w:r>
              <w:rPr>
                <w:rFonts w:hint="eastAsia"/>
                <w:color w:val="000000"/>
                <w:sz w:val="22"/>
                <w:szCs w:val="22"/>
              </w:rPr>
              <w:t>考核实施办法：</w:t>
            </w:r>
          </w:p>
          <w:p>
            <w:pPr>
              <w:spacing w:line="360" w:lineRule="auto"/>
              <w:ind w:firstLine="440" w:firstLineChars="200"/>
              <w:outlineLvl w:val="0"/>
              <w:rPr>
                <w:rFonts w:hint="eastAsia"/>
                <w:color w:val="000000"/>
                <w:sz w:val="22"/>
                <w:szCs w:val="22"/>
              </w:rPr>
            </w:pPr>
            <w:r>
              <w:rPr>
                <w:rFonts w:hint="eastAsia"/>
                <w:color w:val="000000"/>
                <w:sz w:val="22"/>
                <w:szCs w:val="22"/>
              </w:rPr>
              <w:t>1.每季度考核一次，考核满分100分。考核总得分≥80分，视为当次考核合格。考核总得分＜80分，每分扣200元，在款项支付中扣除；考核总得分＜75分，视为当次考核不合格。</w:t>
            </w:r>
          </w:p>
          <w:p>
            <w:pPr>
              <w:spacing w:line="360" w:lineRule="auto"/>
              <w:ind w:firstLine="440" w:firstLineChars="200"/>
              <w:outlineLvl w:val="0"/>
              <w:rPr>
                <w:rFonts w:hint="eastAsia"/>
                <w:color w:val="000000"/>
                <w:sz w:val="22"/>
                <w:szCs w:val="22"/>
              </w:rPr>
            </w:pPr>
            <w:r>
              <w:rPr>
                <w:rFonts w:hint="eastAsia"/>
                <w:color w:val="000000"/>
                <w:sz w:val="22"/>
                <w:szCs w:val="22"/>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spacing w:line="400" w:lineRule="exact"/>
              <w:outlineLvl w:val="0"/>
              <w:rPr>
                <w:color w:val="000000"/>
                <w:sz w:val="22"/>
                <w:szCs w:val="22"/>
              </w:rPr>
            </w:pPr>
            <w:r>
              <w:rPr>
                <w:rFonts w:hint="eastAsia"/>
                <w:color w:val="000000"/>
                <w:sz w:val="22"/>
                <w:szCs w:val="22"/>
              </w:rPr>
              <w:t>3.因成交供应商原因（包括但不限于质量、安全、工期延误等原因），造成采购人损失的，由成交供应商承担相关责任，成交供应商违规罚款可达合同总金额的20%。</w:t>
            </w:r>
          </w:p>
        </w:tc>
      </w:tr>
    </w:tbl>
    <w:p>
      <w:pPr>
        <w:tabs>
          <w:tab w:val="left" w:pos="400"/>
        </w:tabs>
        <w:adjustRightInd w:val="0"/>
        <w:snapToGrid w:val="0"/>
        <w:spacing w:line="460" w:lineRule="exact"/>
        <w:rPr>
          <w:rFonts w:hint="eastAsia"/>
          <w:b/>
          <w:color w:val="000000"/>
          <w:sz w:val="22"/>
          <w:u w:val="single"/>
        </w:rPr>
      </w:pPr>
    </w:p>
    <w:p>
      <w:pPr>
        <w:pStyle w:val="56"/>
        <w:rPr>
          <w:rFonts w:hint="eastAsia"/>
          <w:color w:val="000000"/>
          <w:lang w:val="zh-CN"/>
        </w:rPr>
      </w:pPr>
      <w:r>
        <w:rPr>
          <w:rFonts w:hint="eastAsia"/>
          <w:color w:val="000000"/>
          <w:lang w:val="zh-CN"/>
        </w:rPr>
        <w:t>第三部分   供应商须知</w:t>
      </w:r>
    </w:p>
    <w:p>
      <w:pPr>
        <w:autoSpaceDE w:val="0"/>
        <w:autoSpaceDN w:val="0"/>
        <w:adjustRightInd w:val="0"/>
        <w:snapToGrid w:val="0"/>
        <w:spacing w:line="460" w:lineRule="exact"/>
        <w:textAlignment w:val="bottom"/>
        <w:rPr>
          <w:rFonts w:hint="eastAsia"/>
          <w:color w:val="000000"/>
          <w:sz w:val="22"/>
          <w:szCs w:val="22"/>
        </w:rPr>
      </w:pPr>
      <w:r>
        <w:rPr>
          <w:rFonts w:hint="eastAsia"/>
          <w:color w:val="000000"/>
          <w:sz w:val="22"/>
          <w:szCs w:val="22"/>
        </w:rPr>
        <w:t>一、说明</w:t>
      </w:r>
    </w:p>
    <w:p>
      <w:pPr>
        <w:adjustRightInd w:val="0"/>
        <w:spacing w:line="460" w:lineRule="exact"/>
        <w:ind w:firstLine="431" w:firstLineChars="196"/>
        <w:rPr>
          <w:rFonts w:hint="eastAsia"/>
          <w:color w:val="000000"/>
          <w:sz w:val="22"/>
          <w:szCs w:val="22"/>
        </w:rPr>
      </w:pPr>
      <w:r>
        <w:rPr>
          <w:rFonts w:hint="eastAsia"/>
          <w:color w:val="000000"/>
          <w:sz w:val="22"/>
          <w:szCs w:val="22"/>
        </w:rPr>
        <w:t>1、本次采购工作是按照《中华人民共和国政府采购法》及相关法律规章组织和实施。</w:t>
      </w:r>
    </w:p>
    <w:p>
      <w:pPr>
        <w:adjustRightInd w:val="0"/>
        <w:spacing w:line="460" w:lineRule="exact"/>
        <w:ind w:firstLine="431" w:firstLineChars="196"/>
        <w:rPr>
          <w:rFonts w:hint="eastAsia"/>
          <w:color w:val="000000"/>
          <w:sz w:val="22"/>
          <w:szCs w:val="22"/>
        </w:rPr>
      </w:pPr>
      <w:r>
        <w:rPr>
          <w:rFonts w:hint="eastAsia"/>
          <w:color w:val="000000"/>
          <w:sz w:val="22"/>
          <w:szCs w:val="22"/>
        </w:rPr>
        <w:t>2、</w:t>
      </w:r>
      <w:r>
        <w:rPr>
          <w:color w:val="000000"/>
          <w:sz w:val="22"/>
        </w:rPr>
        <w:t>供应商必须对全部内容进行报价，只对部分内容进行报价的供应商将按无效报价处理。</w:t>
      </w:r>
    </w:p>
    <w:p>
      <w:pPr>
        <w:adjustRightInd w:val="0"/>
        <w:spacing w:line="460" w:lineRule="exact"/>
        <w:ind w:firstLine="431" w:firstLineChars="196"/>
        <w:rPr>
          <w:rFonts w:hint="eastAsia"/>
          <w:color w:val="000000"/>
          <w:sz w:val="22"/>
          <w:szCs w:val="22"/>
        </w:rPr>
      </w:pPr>
      <w:r>
        <w:rPr>
          <w:rFonts w:hint="eastAsia"/>
          <w:color w:val="000000"/>
          <w:sz w:val="22"/>
          <w:szCs w:val="22"/>
        </w:rPr>
        <w:t>3、无论投标过程中的作法和结果如何，供应商自行承担投标活动中所发生的全部费用。</w:t>
      </w:r>
    </w:p>
    <w:p>
      <w:pPr>
        <w:autoSpaceDE w:val="0"/>
        <w:autoSpaceDN w:val="0"/>
        <w:adjustRightInd w:val="0"/>
        <w:snapToGrid w:val="0"/>
        <w:spacing w:line="400" w:lineRule="exact"/>
        <w:ind w:firstLine="446" w:firstLineChars="203"/>
        <w:textAlignment w:val="bottom"/>
        <w:rPr>
          <w:rFonts w:hint="eastAsia"/>
          <w:color w:val="000000"/>
          <w:sz w:val="22"/>
        </w:rPr>
      </w:pPr>
      <w:r>
        <w:rPr>
          <w:rFonts w:hint="eastAsia"/>
          <w:color w:val="000000"/>
          <w:sz w:val="22"/>
        </w:rPr>
        <w:t>4、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hint="eastAsia"/>
          <w:b/>
          <w:color w:val="000000"/>
          <w:sz w:val="22"/>
          <w:szCs w:val="22"/>
        </w:rPr>
      </w:pPr>
      <w:r>
        <w:rPr>
          <w:rFonts w:hint="eastAsia"/>
          <w:b/>
          <w:color w:val="000000"/>
          <w:sz w:val="22"/>
          <w:szCs w:val="22"/>
        </w:rPr>
        <w:t>5、供应商须自行现场勘察，以求得准确的报价依据。供应商须自行考虑投标报价的风险。</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rPr>
          <w:rFonts w:hint="eastAsia"/>
          <w:b/>
          <w:color w:val="000000"/>
          <w:sz w:val="22"/>
          <w:szCs w:val="22"/>
          <w:u w:val="single"/>
        </w:rPr>
      </w:pPr>
      <w:r>
        <w:rPr>
          <w:rFonts w:hint="eastAsia"/>
          <w:b/>
          <w:color w:val="000000"/>
          <w:sz w:val="22"/>
          <w:szCs w:val="22"/>
        </w:rPr>
        <w:t>6.4投标供应商提供的货物中如使用其他公司的相关专利，应在标书中出示相关授权，如未出示但使用了其他公司的专利，导致供应商中标而引起相关诉讼，由投标供应商承担。</w:t>
      </w:r>
    </w:p>
    <w:p>
      <w:pPr>
        <w:pStyle w:val="11"/>
        <w:adjustRightInd w:val="0"/>
        <w:snapToGrid w:val="0"/>
        <w:spacing w:line="460" w:lineRule="exact"/>
        <w:ind w:firstLine="442"/>
        <w:rPr>
          <w:rFonts w:hint="eastAsia" w:ascii="宋体"/>
          <w:b/>
          <w:color w:val="000000"/>
          <w:sz w:val="22"/>
          <w:szCs w:val="22"/>
        </w:rPr>
      </w:pPr>
      <w:r>
        <w:rPr>
          <w:rFonts w:hint="eastAsia" w:ascii="宋体"/>
          <w:b/>
          <w:color w:val="000000"/>
          <w:sz w:val="22"/>
          <w:lang w:val="zh-CN"/>
        </w:rPr>
        <w:t>7、</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rFonts w:hint="eastAsia"/>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snapToGrid w:val="0"/>
        <w:spacing w:line="400" w:lineRule="exact"/>
        <w:ind w:firstLine="420" w:firstLineChars="190"/>
        <w:rPr>
          <w:b/>
          <w:color w:val="000000"/>
          <w:sz w:val="22"/>
          <w:szCs w:val="22"/>
          <w:lang w:val="zh-CN"/>
        </w:rPr>
      </w:pPr>
      <w:r>
        <w:rPr>
          <w:rFonts w:hint="eastAsia"/>
          <w:b/>
          <w:color w:val="000000"/>
          <w:sz w:val="22"/>
          <w:szCs w:val="22"/>
          <w:lang w:val="zh-CN"/>
        </w:rPr>
        <w:t>8、</w:t>
      </w:r>
      <w:r>
        <w:rPr>
          <w:b/>
          <w:color w:val="000000"/>
          <w:sz w:val="22"/>
          <w:szCs w:val="22"/>
          <w:lang w:val="zh-CN"/>
        </w:rPr>
        <w:t>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adjustRightInd w:val="0"/>
        <w:spacing w:line="440" w:lineRule="atLeast"/>
        <w:ind w:firstLine="433" w:firstLineChars="196"/>
        <w:rPr>
          <w:b/>
          <w:color w:val="000000"/>
          <w:sz w:val="22"/>
        </w:rPr>
      </w:pPr>
      <w:r>
        <w:rPr>
          <w:b/>
          <w:color w:val="000000"/>
          <w:sz w:val="22"/>
          <w:szCs w:val="22"/>
          <w:lang w:val="zh-CN"/>
        </w:rPr>
        <w:t>非单一产品采购项目，</w:t>
      </w:r>
      <w:r>
        <w:rPr>
          <w:rFonts w:hint="eastAsia"/>
          <w:b/>
          <w:color w:val="000000"/>
          <w:sz w:val="22"/>
          <w:szCs w:val="22"/>
          <w:lang w:val="zh-CN"/>
        </w:rPr>
        <w:t>单项</w:t>
      </w:r>
      <w:r>
        <w:rPr>
          <w:b/>
          <w:color w:val="000000"/>
          <w:sz w:val="22"/>
          <w:szCs w:val="22"/>
          <w:lang w:val="zh-CN"/>
        </w:rPr>
        <w:t>产品</w:t>
      </w:r>
      <w:r>
        <w:rPr>
          <w:rFonts w:hint="eastAsia"/>
          <w:b/>
          <w:color w:val="000000"/>
          <w:sz w:val="22"/>
          <w:szCs w:val="22"/>
          <w:lang w:val="zh-CN"/>
        </w:rPr>
        <w:t>投标</w:t>
      </w:r>
      <w:r>
        <w:rPr>
          <w:b/>
          <w:color w:val="000000"/>
          <w:sz w:val="22"/>
          <w:szCs w:val="22"/>
          <w:lang w:val="zh-CN"/>
        </w:rPr>
        <w:t>价格比重</w:t>
      </w:r>
      <w:r>
        <w:rPr>
          <w:rFonts w:hint="eastAsia"/>
          <w:b/>
          <w:color w:val="000000"/>
          <w:sz w:val="22"/>
          <w:szCs w:val="22"/>
          <w:lang w:val="zh-CN"/>
        </w:rPr>
        <w:t>占总投标价50%及以上的认定为</w:t>
      </w:r>
      <w:r>
        <w:rPr>
          <w:b/>
          <w:color w:val="000000"/>
          <w:sz w:val="22"/>
          <w:szCs w:val="22"/>
          <w:lang w:val="zh-CN"/>
        </w:rPr>
        <w:t>核心产品</w:t>
      </w:r>
      <w:r>
        <w:rPr>
          <w:rFonts w:hint="eastAsia"/>
          <w:b/>
          <w:color w:val="000000"/>
          <w:sz w:val="22"/>
          <w:szCs w:val="22"/>
          <w:lang w:val="zh-CN"/>
        </w:rPr>
        <w:t>（有效投标供应商中一家供应商该项投标价格占总投标价50%及以上即认定），</w:t>
      </w:r>
      <w:r>
        <w:rPr>
          <w:b/>
          <w:color w:val="000000"/>
          <w:sz w:val="22"/>
          <w:szCs w:val="22"/>
          <w:lang w:val="zh-CN"/>
        </w:rPr>
        <w:t>多家投标供应商提供的核心产品品牌相同的，按前款规定处理。</w:t>
      </w:r>
    </w:p>
    <w:p>
      <w:pPr>
        <w:pStyle w:val="11"/>
        <w:adjustRightInd w:val="0"/>
        <w:snapToGrid w:val="0"/>
        <w:spacing w:line="400" w:lineRule="exact"/>
        <w:ind w:firstLine="442"/>
        <w:rPr>
          <w:rFonts w:hint="eastAsia" w:ascii="宋体"/>
          <w:b/>
          <w:color w:val="000000"/>
          <w:sz w:val="22"/>
          <w:szCs w:val="22"/>
          <w:lang w:val="zh-CN"/>
        </w:rPr>
      </w:pPr>
      <w:r>
        <w:rPr>
          <w:rFonts w:hint="eastAsia" w:ascii="宋体"/>
          <w:b/>
          <w:color w:val="000000"/>
          <w:sz w:val="22"/>
          <w:szCs w:val="22"/>
          <w:lang w:val="zh-CN"/>
        </w:rPr>
        <w:t>9、本次招标文件中，带有“▲”标注的有关技术和商务条款要求供应商做实质性响应，供应商要特别加以注意，必须对此回答并完全满足这些要求▲。否则若有一项“▲”的指标未响应或不满足，将按投标无效处理。</w:t>
      </w:r>
      <w:r>
        <w:rPr>
          <w:rFonts w:hint="eastAsia" w:ascii="宋体" w:cs="宋体"/>
          <w:b/>
          <w:color w:val="000000"/>
          <w:sz w:val="22"/>
          <w:szCs w:val="22"/>
          <w:u w:val="single"/>
        </w:rPr>
        <w:t>带有“</w:t>
      </w:r>
      <w:r>
        <w:rPr>
          <w:rFonts w:hint="eastAsia" w:ascii="宋体" w:hAnsi="宋体" w:cs="Arial"/>
          <w:color w:val="000000"/>
        </w:rPr>
        <w:t>★</w:t>
      </w:r>
      <w:r>
        <w:rPr>
          <w:rFonts w:hint="eastAsia" w:ascii="宋体" w:cs="宋体"/>
          <w:b/>
          <w:color w:val="000000"/>
          <w:sz w:val="22"/>
          <w:szCs w:val="22"/>
          <w:u w:val="single"/>
        </w:rPr>
        <w:t>”标注的有关技术和商务条款要求为重要指标，不符合着重扣分处理。</w:t>
      </w:r>
    </w:p>
    <w:p>
      <w:pPr>
        <w:pStyle w:val="11"/>
        <w:adjustRightInd w:val="0"/>
        <w:snapToGrid w:val="0"/>
        <w:spacing w:line="400" w:lineRule="exact"/>
        <w:ind w:firstLine="440"/>
        <w:rPr>
          <w:rFonts w:hint="eastAsia" w:ascii="宋体" w:hAnsi="宋体"/>
          <w:b/>
          <w:color w:val="000000"/>
          <w:sz w:val="22"/>
          <w:szCs w:val="22"/>
        </w:rPr>
      </w:pPr>
      <w:r>
        <w:rPr>
          <w:rFonts w:hint="eastAsia" w:ascii="宋体"/>
          <w:color w:val="000000"/>
          <w:sz w:val="22"/>
        </w:rPr>
        <w:t>10、根据</w:t>
      </w:r>
      <w:r>
        <w:rPr>
          <w:rFonts w:ascii="宋体"/>
          <w:color w:val="000000"/>
          <w:sz w:val="22"/>
        </w:rPr>
        <w:t>《工业和信息化部、国家统计局、国家发展和改革委员会、财政部关于印发中小企业划型标准规定的通知》（工信部联企业[2011]300号）</w:t>
      </w:r>
      <w:r>
        <w:rPr>
          <w:rFonts w:hint="eastAsia" w:ascii="宋体"/>
          <w:color w:val="000000"/>
          <w:sz w:val="22"/>
        </w:rPr>
        <w:t>，</w:t>
      </w:r>
      <w:r>
        <w:rPr>
          <w:rFonts w:ascii="宋体"/>
          <w:b/>
          <w:bCs/>
          <w:color w:val="000000"/>
          <w:sz w:val="22"/>
        </w:rPr>
        <w:t>本项目所属行业为</w:t>
      </w:r>
      <w:r>
        <w:rPr>
          <w:rFonts w:hint="eastAsia" w:ascii="宋体"/>
          <w:b/>
          <w:bCs/>
          <w:color w:val="000000"/>
          <w:sz w:val="22"/>
          <w:u w:val="single"/>
        </w:rPr>
        <w:t>工业（包括采矿业，制造业，电力、热力、燃气及水生产和供应业）</w:t>
      </w:r>
      <w:r>
        <w:rPr>
          <w:rFonts w:hint="eastAsia" w:ascii="宋体"/>
          <w:color w:val="000000"/>
          <w:sz w:val="22"/>
        </w:rPr>
        <w:t>，</w:t>
      </w:r>
      <w:r>
        <w:rPr>
          <w:rFonts w:ascii="宋体"/>
          <w:color w:val="000000"/>
          <w:sz w:val="22"/>
        </w:rPr>
        <w:t>投标供应商属于</w:t>
      </w:r>
      <w:r>
        <w:rPr>
          <w:rFonts w:hint="eastAsia" w:ascii="宋体"/>
          <w:color w:val="000000"/>
          <w:sz w:val="22"/>
        </w:rPr>
        <w:t>招标</w:t>
      </w:r>
      <w:r>
        <w:rPr>
          <w:rFonts w:ascii="宋体"/>
          <w:color w:val="000000"/>
          <w:sz w:val="22"/>
        </w:rPr>
        <w:t>文件中明确的行业所对应的小微企业享受价格优惠折扣</w:t>
      </w:r>
      <w:r>
        <w:rPr>
          <w:rFonts w:hint="eastAsia" w:ascii="宋体"/>
          <w:color w:val="000000"/>
          <w:sz w:val="22"/>
        </w:rPr>
        <w:t>，</w:t>
      </w:r>
      <w:r>
        <w:rPr>
          <w:rFonts w:ascii="宋体"/>
          <w:color w:val="000000"/>
          <w:sz w:val="22"/>
        </w:rPr>
        <w:t>否则不享受</w:t>
      </w:r>
      <w:r>
        <w:rPr>
          <w:rFonts w:hint="eastAsia" w:ascii="宋体"/>
          <w:color w:val="000000"/>
          <w:sz w:val="22"/>
        </w:rPr>
        <w:t>。</w:t>
      </w:r>
    </w:p>
    <w:p>
      <w:pPr>
        <w:snapToGrid w:val="0"/>
        <w:spacing w:line="400" w:lineRule="exact"/>
        <w:ind w:firstLine="420" w:firstLineChars="190"/>
        <w:rPr>
          <w:rFonts w:hint="eastAsia"/>
          <w:b/>
          <w:color w:val="000000"/>
          <w:sz w:val="22"/>
          <w:lang w:val="zh-CN"/>
        </w:rPr>
      </w:pPr>
      <w:r>
        <w:rPr>
          <w:rFonts w:hint="eastAsia"/>
          <w:b/>
          <w:color w:val="000000"/>
          <w:sz w:val="22"/>
          <w:lang w:val="zh-CN"/>
        </w:rPr>
        <w:t>1</w:t>
      </w:r>
      <w:r>
        <w:rPr>
          <w:rFonts w:hint="eastAsia"/>
          <w:b/>
          <w:color w:val="000000"/>
          <w:sz w:val="22"/>
        </w:rPr>
        <w:t>1</w:t>
      </w:r>
      <w:r>
        <w:rPr>
          <w:rFonts w:hint="eastAsia"/>
          <w:b/>
          <w:color w:val="000000"/>
          <w:sz w:val="22"/>
          <w:lang w:val="zh-CN"/>
        </w:rPr>
        <w:t>、</w:t>
      </w:r>
      <w:r>
        <w:rPr>
          <w:b/>
          <w:color w:val="000000"/>
          <w:sz w:val="22"/>
          <w:lang w:val="zh-CN"/>
        </w:rPr>
        <w:t>投标供应商信用信息查询渠道及截止时点、信用信息查询记录和证据留存的具体方式、信用信息的使用规则等</w:t>
      </w:r>
      <w:r>
        <w:rPr>
          <w:rFonts w:hint="eastAsia"/>
          <w:b/>
          <w:color w:val="000000"/>
          <w:sz w:val="22"/>
          <w:lang w:val="zh-CN"/>
        </w:rPr>
        <w:t>：</w:t>
      </w:r>
    </w:p>
    <w:p>
      <w:pPr>
        <w:snapToGrid w:val="0"/>
        <w:spacing w:line="400" w:lineRule="exact"/>
        <w:ind w:firstLine="418" w:firstLineChars="190"/>
        <w:rPr>
          <w:color w:val="000000"/>
          <w:sz w:val="22"/>
          <w:lang w:val="zh-CN"/>
        </w:rPr>
      </w:pPr>
      <w:r>
        <w:rPr>
          <w:color w:val="000000"/>
          <w:sz w:val="22"/>
          <w:lang w:val="zh-CN"/>
        </w:rPr>
        <w:t>1</w:t>
      </w:r>
      <w:r>
        <w:rPr>
          <w:rFonts w:hint="eastAsia"/>
          <w:color w:val="000000"/>
          <w:sz w:val="22"/>
          <w:lang w:val="zh-CN"/>
        </w:rPr>
        <w:t>）投标供应商</w:t>
      </w:r>
      <w:r>
        <w:rPr>
          <w:color w:val="000000"/>
          <w:sz w:val="22"/>
          <w:lang w:val="zh-CN"/>
        </w:rPr>
        <w:t>信用信息查询的查询渠道</w:t>
      </w:r>
      <w:r>
        <w:rPr>
          <w:rFonts w:hint="eastAsia"/>
          <w:color w:val="000000"/>
          <w:sz w:val="22"/>
          <w:lang w:val="zh-CN"/>
        </w:rPr>
        <w:t>：</w:t>
      </w:r>
      <w:r>
        <w:rPr>
          <w:color w:val="000000"/>
          <w:sz w:val="22"/>
          <w:lang w:val="zh-CN"/>
        </w:rPr>
        <w:t>“信用中国”(</w:t>
      </w:r>
      <w:r>
        <w:fldChar w:fldCharType="begin"/>
      </w:r>
      <w:r>
        <w:instrText xml:space="preserve"> HYPERLINK "http://www.creditchina.gov.cn" </w:instrText>
      </w:r>
      <w:r>
        <w:fldChar w:fldCharType="separate"/>
      </w:r>
      <w:r>
        <w:rPr>
          <w:color w:val="000000"/>
          <w:sz w:val="22"/>
          <w:lang w:val="zh-CN"/>
        </w:rPr>
        <w:t>www.creditchina.gov.cn</w:t>
      </w:r>
      <w:r>
        <w:rPr>
          <w:color w:val="000000"/>
          <w:sz w:val="22"/>
          <w:lang w:val="zh-CN"/>
        </w:rPr>
        <w:fldChar w:fldCharType="end"/>
      </w:r>
      <w:r>
        <w:rPr>
          <w:color w:val="000000"/>
          <w:sz w:val="22"/>
          <w:lang w:val="zh-CN"/>
        </w:rPr>
        <w:t>)</w:t>
      </w:r>
      <w:r>
        <w:rPr>
          <w:rFonts w:hint="eastAsia"/>
          <w:color w:val="000000"/>
          <w:sz w:val="22"/>
          <w:lang w:val="zh-CN"/>
        </w:rPr>
        <w:t>；“中国政府采购网”（</w:t>
      </w:r>
      <w:r>
        <w:rPr>
          <w:color w:val="000000"/>
          <w:sz w:val="22"/>
          <w:lang w:val="zh-CN"/>
        </w:rPr>
        <w:t>http://www.ccgp.gov.cn/</w:t>
      </w:r>
      <w:r>
        <w:rPr>
          <w:rFonts w:hint="eastAsia"/>
          <w:color w:val="000000"/>
          <w:sz w:val="22"/>
          <w:lang w:val="zh-CN"/>
        </w:rPr>
        <w:t>）；</w:t>
      </w:r>
    </w:p>
    <w:p>
      <w:pPr>
        <w:snapToGrid w:val="0"/>
        <w:spacing w:line="400" w:lineRule="exact"/>
        <w:ind w:firstLine="418" w:firstLineChars="190"/>
        <w:rPr>
          <w:color w:val="000000"/>
          <w:sz w:val="22"/>
          <w:lang w:val="zh-CN"/>
        </w:rPr>
      </w:pPr>
      <w:r>
        <w:rPr>
          <w:rFonts w:hint="eastAsia"/>
          <w:color w:val="000000"/>
          <w:sz w:val="22"/>
          <w:lang w:val="zh-CN"/>
        </w:rPr>
        <w:t>2）投标供应商信用信息查询</w:t>
      </w:r>
      <w:r>
        <w:rPr>
          <w:color w:val="000000"/>
          <w:sz w:val="22"/>
          <w:lang w:val="zh-CN"/>
        </w:rPr>
        <w:t>截止时点</w:t>
      </w:r>
      <w:r>
        <w:rPr>
          <w:rFonts w:hint="eastAsia"/>
          <w:color w:val="000000"/>
          <w:sz w:val="22"/>
          <w:lang w:val="zh-CN"/>
        </w:rPr>
        <w:t>：本项目投标截止时间。</w:t>
      </w:r>
    </w:p>
    <w:p>
      <w:pPr>
        <w:snapToGrid w:val="0"/>
        <w:spacing w:line="400" w:lineRule="exact"/>
        <w:ind w:firstLine="418" w:firstLineChars="190"/>
        <w:rPr>
          <w:color w:val="000000"/>
          <w:sz w:val="22"/>
          <w:lang w:val="zh-CN"/>
        </w:rPr>
      </w:pPr>
      <w:r>
        <w:rPr>
          <w:rFonts w:hint="eastAsia"/>
          <w:color w:val="000000"/>
          <w:sz w:val="22"/>
          <w:lang w:val="zh-CN"/>
        </w:rPr>
        <w:t>3）投标供应商</w:t>
      </w:r>
      <w:r>
        <w:rPr>
          <w:color w:val="000000"/>
          <w:sz w:val="22"/>
          <w:lang w:val="zh-CN"/>
        </w:rPr>
        <w:t>信用信息查询记录和证据留存的具体方式</w:t>
      </w:r>
      <w:r>
        <w:rPr>
          <w:rFonts w:hint="eastAsia"/>
          <w:color w:val="000000"/>
          <w:sz w:val="22"/>
          <w:lang w:val="zh-CN"/>
        </w:rPr>
        <w:t>：网页截图打印；</w:t>
      </w:r>
    </w:p>
    <w:p>
      <w:pPr>
        <w:autoSpaceDE w:val="0"/>
        <w:autoSpaceDN w:val="0"/>
        <w:adjustRightInd w:val="0"/>
        <w:snapToGrid w:val="0"/>
        <w:spacing w:line="460" w:lineRule="exact"/>
        <w:ind w:firstLine="431" w:firstLineChars="196"/>
        <w:textAlignment w:val="bottom"/>
        <w:rPr>
          <w:rFonts w:hint="eastAsia"/>
          <w:color w:val="000000"/>
          <w:sz w:val="22"/>
          <w:lang w:val="zh-CN"/>
        </w:rPr>
      </w:pPr>
      <w:r>
        <w:rPr>
          <w:rFonts w:hint="eastAsia"/>
          <w:color w:val="000000"/>
          <w:sz w:val="22"/>
          <w:lang w:val="zh-CN"/>
        </w:rPr>
        <w:t>4）</w:t>
      </w:r>
      <w:r>
        <w:rPr>
          <w:color w:val="000000"/>
          <w:sz w:val="22"/>
          <w:lang w:val="zh-CN"/>
        </w:rPr>
        <w:t>信用信息的使用规则</w:t>
      </w:r>
      <w:r>
        <w:rPr>
          <w:rFonts w:hint="eastAsia"/>
          <w:color w:val="000000"/>
          <w:sz w:val="22"/>
          <w:lang w:val="zh-CN"/>
        </w:rPr>
        <w:t>：</w:t>
      </w:r>
      <w:r>
        <w:rPr>
          <w:color w:val="000000"/>
          <w:sz w:val="22"/>
          <w:lang w:val="zh-CN"/>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33" w:firstLineChars="196"/>
        <w:textAlignment w:val="bottom"/>
        <w:rPr>
          <w:rFonts w:hint="eastAsia"/>
          <w:b/>
          <w:color w:val="000000"/>
          <w:sz w:val="22"/>
          <w:u w:val="single"/>
        </w:rPr>
      </w:pPr>
      <w:r>
        <w:rPr>
          <w:rFonts w:hint="eastAsia"/>
          <w:b/>
          <w:color w:val="000000"/>
          <w:sz w:val="22"/>
          <w:szCs w:val="22"/>
        </w:rPr>
        <w:t>12、</w:t>
      </w:r>
      <w:r>
        <w:rPr>
          <w:b/>
          <w:color w:val="000000"/>
          <w:sz w:val="22"/>
          <w:u w:val="single"/>
        </w:rPr>
        <w:t>供应商进行电子</w:t>
      </w:r>
      <w:r>
        <w:rPr>
          <w:rFonts w:hint="eastAsia"/>
          <w:b/>
          <w:color w:val="000000"/>
          <w:sz w:val="22"/>
          <w:u w:val="single"/>
        </w:rPr>
        <w:t>投标</w:t>
      </w:r>
      <w:r>
        <w:rPr>
          <w:b/>
          <w:color w:val="000000"/>
          <w:sz w:val="22"/>
          <w:u w:val="single"/>
        </w:rPr>
        <w:t>应安装客户端软件，并按照采购文件和电子交易平台的要求编制并加密</w:t>
      </w:r>
      <w:r>
        <w:rPr>
          <w:rFonts w:hint="eastAsia"/>
          <w:b/>
          <w:color w:val="000000"/>
          <w:sz w:val="22"/>
          <w:u w:val="single"/>
        </w:rPr>
        <w:t>投标</w:t>
      </w:r>
      <w:r>
        <w:rPr>
          <w:b/>
          <w:color w:val="000000"/>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color w:val="000000"/>
          <w:sz w:val="22"/>
          <w:szCs w:val="22"/>
        </w:rPr>
      </w:pPr>
      <w:r>
        <w:rPr>
          <w:rFonts w:hint="eastAsia" w:cs="黑体"/>
          <w:b/>
          <w:color w:val="000000"/>
          <w:sz w:val="22"/>
          <w:szCs w:val="22"/>
        </w:rPr>
        <w:t>13、</w:t>
      </w:r>
      <w:r>
        <w:rPr>
          <w:rFonts w:hint="eastAsia"/>
          <w:color w:val="000000"/>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color w:val="000000"/>
          <w:sz w:val="22"/>
          <w:szCs w:val="22"/>
        </w:rPr>
        <w:t>2019〕19号）</w:t>
      </w:r>
      <w:r>
        <w:rPr>
          <w:rFonts w:hint="eastAsia" w:cs="黑体"/>
          <w:color w:val="000000"/>
          <w:sz w:val="22"/>
          <w:szCs w:val="22"/>
        </w:rPr>
        <w:t>。</w:t>
      </w:r>
    </w:p>
    <w:p>
      <w:pPr>
        <w:autoSpaceDE w:val="0"/>
        <w:autoSpaceDN w:val="0"/>
        <w:adjustRightInd w:val="0"/>
        <w:snapToGrid w:val="0"/>
        <w:spacing w:line="460" w:lineRule="atLeast"/>
        <w:ind w:firstLine="422" w:firstLineChars="191"/>
        <w:textAlignment w:val="bottom"/>
        <w:rPr>
          <w:rFonts w:hint="eastAsia" w:cs="黑体"/>
          <w:b/>
          <w:color w:val="000000"/>
          <w:sz w:val="22"/>
          <w:szCs w:val="22"/>
        </w:rPr>
      </w:pPr>
      <w:r>
        <w:rPr>
          <w:rFonts w:hint="eastAsia" w:cs="黑体"/>
          <w:b/>
          <w:color w:val="000000"/>
          <w:sz w:val="22"/>
          <w:szCs w:val="22"/>
        </w:rPr>
        <w:t>14、</w:t>
      </w:r>
      <w:r>
        <w:rPr>
          <w:rFonts w:hint="eastAsia" w:cs="黑体"/>
          <w:color w:val="000000"/>
          <w:sz w:val="22"/>
          <w:szCs w:val="22"/>
        </w:rPr>
        <w:t>本项目采用在线投标响应方式，执行《浙江省财政厅关于印发浙江省政府采购项目电子交易管理暂行办法的通知》（浙财采监〔</w:t>
      </w:r>
      <w:r>
        <w:rPr>
          <w:rFonts w:cs="黑体"/>
          <w:color w:val="000000"/>
          <w:sz w:val="22"/>
          <w:szCs w:val="22"/>
        </w:rPr>
        <w:t>2019〕10 号）等相关规定</w:t>
      </w:r>
      <w:r>
        <w:rPr>
          <w:rFonts w:cs="黑体"/>
          <w:b/>
          <w:color w:val="000000"/>
          <w:sz w:val="22"/>
          <w:szCs w:val="22"/>
        </w:rPr>
        <w:t>。</w:t>
      </w:r>
    </w:p>
    <w:p>
      <w:pPr>
        <w:autoSpaceDE w:val="0"/>
        <w:autoSpaceDN w:val="0"/>
        <w:adjustRightInd w:val="0"/>
        <w:snapToGrid w:val="0"/>
        <w:spacing w:line="460" w:lineRule="atLeast"/>
        <w:ind w:firstLine="422" w:firstLineChars="191"/>
        <w:textAlignment w:val="bottom"/>
        <w:rPr>
          <w:rFonts w:hint="eastAsia" w:cs="黑体"/>
          <w:b/>
          <w:color w:val="000000"/>
          <w:sz w:val="22"/>
          <w:szCs w:val="22"/>
        </w:rPr>
      </w:pPr>
      <w:r>
        <w:rPr>
          <w:rFonts w:hint="eastAsia" w:cs="黑体"/>
          <w:b/>
          <w:color w:val="000000"/>
          <w:sz w:val="22"/>
          <w:szCs w:val="22"/>
        </w:rPr>
        <w:t>15、</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hint="eastAsia"/>
          <w:b/>
          <w:color w:val="000000"/>
          <w:sz w:val="22"/>
          <w:szCs w:val="22"/>
          <w:u w:val="single"/>
        </w:rPr>
      </w:pPr>
      <w:r>
        <w:rPr>
          <w:rFonts w:hint="eastAsia"/>
          <w:b/>
          <w:color w:val="000000"/>
          <w:sz w:val="22"/>
          <w:szCs w:val="22"/>
          <w:u w:val="single"/>
        </w:rPr>
        <w:t>16、为保证供应商顺利投标，供应商须在投标截止日前自行登录浙江省政府采购网，查看是否有补充更正公告文件。如供应商未按补充更正公告文件进行投标的，责任自负。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60" w:lineRule="exact"/>
        <w:ind w:firstLine="433" w:firstLineChars="196"/>
        <w:textAlignment w:val="bottom"/>
        <w:rPr>
          <w:b/>
          <w:color w:val="000000"/>
          <w:sz w:val="22"/>
          <w:szCs w:val="22"/>
          <w:highlight w:val="none"/>
          <w:u w:val="single"/>
        </w:rPr>
      </w:pPr>
      <w:r>
        <w:rPr>
          <w:rFonts w:hint="eastAsia"/>
          <w:b/>
          <w:color w:val="000000"/>
          <w:sz w:val="22"/>
          <w:szCs w:val="22"/>
          <w:highlight w:val="none"/>
          <w:u w:val="single"/>
        </w:rPr>
        <w:t>17、因实施地点为平阳县南麂镇人民政府属海岛区域，报价包含一切人员工资、奖金、各种加班费、各种社会保险、食宿与交通差旅、船费、办公费、管理费、仪器材料设备费、技术服务费、安全、管理费用、税费、履约验收费、利润以及完成协议所需的一切本身和不可或缺的所有工作开支、政策性文件规定。供应商应根据上述因素自行考虑含入总价。</w:t>
      </w:r>
    </w:p>
    <w:p>
      <w:pPr>
        <w:autoSpaceDE w:val="0"/>
        <w:autoSpaceDN w:val="0"/>
        <w:adjustRightInd w:val="0"/>
        <w:snapToGrid w:val="0"/>
        <w:spacing w:line="420" w:lineRule="exact"/>
        <w:textAlignment w:val="bottom"/>
        <w:rPr>
          <w:rFonts w:hint="eastAsia"/>
          <w:color w:val="000000"/>
          <w:sz w:val="22"/>
          <w:szCs w:val="22"/>
        </w:rPr>
      </w:pPr>
      <w:r>
        <w:rPr>
          <w:rFonts w:hint="eastAsia"/>
          <w:color w:val="000000"/>
          <w:sz w:val="22"/>
          <w:szCs w:val="22"/>
        </w:rPr>
        <w:t>二、供应商资格要求</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按招标公告要求</w:t>
      </w:r>
    </w:p>
    <w:p>
      <w:pPr>
        <w:autoSpaceDE w:val="0"/>
        <w:autoSpaceDN w:val="0"/>
        <w:adjustRightInd w:val="0"/>
        <w:snapToGrid w:val="0"/>
        <w:spacing w:line="420" w:lineRule="exact"/>
        <w:textAlignment w:val="bottom"/>
        <w:rPr>
          <w:rFonts w:hint="eastAsia"/>
          <w:color w:val="000000"/>
          <w:sz w:val="22"/>
          <w:szCs w:val="22"/>
        </w:rPr>
      </w:pPr>
      <w:r>
        <w:rPr>
          <w:rFonts w:hint="eastAsia"/>
          <w:color w:val="000000"/>
          <w:sz w:val="22"/>
          <w:szCs w:val="22"/>
        </w:rPr>
        <w:t>三、招标文件</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1、招标文件</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1.1招标文件发放</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1.2招标文件约束力</w:t>
      </w:r>
    </w:p>
    <w:p>
      <w:pPr>
        <w:autoSpaceDE w:val="0"/>
        <w:autoSpaceDN w:val="0"/>
        <w:adjustRightInd w:val="0"/>
        <w:snapToGrid w:val="0"/>
        <w:spacing w:line="420" w:lineRule="exact"/>
        <w:ind w:firstLine="431" w:firstLineChars="196"/>
        <w:textAlignment w:val="bottom"/>
        <w:rPr>
          <w:rFonts w:hint="eastAsia"/>
          <w:color w:val="000000"/>
          <w:sz w:val="22"/>
          <w:szCs w:val="22"/>
          <w:u w:val="single"/>
        </w:rPr>
      </w:pPr>
      <w:r>
        <w:rPr>
          <w:rFonts w:hint="eastAsia"/>
          <w:color w:val="000000"/>
          <w:sz w:val="22"/>
          <w:szCs w:val="22"/>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1.3招标文件的组成</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2、招标文件的澄清</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供应商对招标文件如有疑点要求澄清，可用书面形式（包括信函、传真，下同）通知</w:t>
      </w:r>
      <w:r>
        <w:rPr>
          <w:rFonts w:hint="eastAsia"/>
          <w:color w:val="000000"/>
          <w:sz w:val="22"/>
          <w:szCs w:val="22"/>
          <w:u w:val="single"/>
        </w:rPr>
        <w:t>招标代理机构</w:t>
      </w:r>
      <w:r>
        <w:rPr>
          <w:rFonts w:hint="eastAsia"/>
          <w:color w:val="000000"/>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3、招标文件的修改</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hint="eastAsia"/>
          <w:color w:val="000000"/>
          <w:sz w:val="22"/>
          <w:szCs w:val="22"/>
        </w:rPr>
      </w:pPr>
      <w:r>
        <w:rPr>
          <w:rFonts w:hint="eastAsia"/>
          <w:color w:val="000000"/>
          <w:sz w:val="22"/>
          <w:szCs w:val="22"/>
        </w:rPr>
        <w:t>四、投标文件</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olor w:val="000000"/>
          <w:sz w:val="22"/>
          <w:szCs w:val="22"/>
        </w:rPr>
        <w:t>1、投标文件</w:t>
      </w:r>
    </w:p>
    <w:p>
      <w:pPr>
        <w:autoSpaceDE w:val="0"/>
        <w:autoSpaceDN w:val="0"/>
        <w:adjustRightInd w:val="0"/>
        <w:snapToGrid w:val="0"/>
        <w:spacing w:line="420" w:lineRule="exact"/>
        <w:ind w:firstLine="440" w:firstLineChars="200"/>
        <w:textAlignment w:val="bottom"/>
        <w:rPr>
          <w:rFonts w:hint="eastAsia" w:cs="Arial"/>
          <w:color w:val="000000"/>
          <w:sz w:val="22"/>
          <w:szCs w:val="22"/>
        </w:rPr>
      </w:pPr>
      <w:r>
        <w:rPr>
          <w:rFonts w:hint="eastAsia" w:cs="仿宋_GB2312"/>
          <w:color w:val="000000"/>
          <w:sz w:val="22"/>
          <w:szCs w:val="22"/>
          <w:lang w:val="zh-CN"/>
        </w:rPr>
        <w:t>1.1</w:t>
      </w:r>
      <w:r>
        <w:rPr>
          <w:rFonts w:hint="eastAsia" w:cs="Arial"/>
          <w:color w:val="000000"/>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hint="eastAsia" w:cs="Arial"/>
          <w:color w:val="000000"/>
          <w:sz w:val="22"/>
          <w:szCs w:val="22"/>
        </w:rPr>
      </w:pPr>
      <w:r>
        <w:rPr>
          <w:rFonts w:hint="eastAsia" w:cs="仿宋_GB2312"/>
          <w:color w:val="000000"/>
          <w:sz w:val="22"/>
          <w:szCs w:val="22"/>
          <w:lang w:val="zh-CN"/>
        </w:rPr>
        <w:t>1.2</w:t>
      </w:r>
      <w:r>
        <w:rPr>
          <w:rFonts w:hint="eastAsia" w:cs="Arial"/>
          <w:color w:val="000000"/>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hint="eastAsia"/>
          <w:color w:val="000000"/>
          <w:sz w:val="22"/>
          <w:szCs w:val="22"/>
        </w:rPr>
      </w:pPr>
      <w:r>
        <w:rPr>
          <w:rFonts w:hint="eastAsia" w:cs="仿宋_GB2312"/>
          <w:color w:val="000000"/>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3" w:firstLineChars="196"/>
        <w:textAlignment w:val="bottom"/>
        <w:rPr>
          <w:rFonts w:hint="eastAsia"/>
          <w:b/>
          <w:color w:val="000000"/>
          <w:sz w:val="22"/>
          <w:szCs w:val="22"/>
        </w:rPr>
      </w:pPr>
      <w:r>
        <w:rPr>
          <w:rFonts w:hint="eastAsia"/>
          <w:b/>
          <w:color w:val="000000"/>
          <w:sz w:val="22"/>
          <w:szCs w:val="22"/>
        </w:rPr>
        <w:t xml:space="preserve">2、投标文件的组成  </w:t>
      </w:r>
    </w:p>
    <w:p>
      <w:pPr>
        <w:autoSpaceDE w:val="0"/>
        <w:autoSpaceDN w:val="0"/>
        <w:adjustRightInd w:val="0"/>
        <w:snapToGrid w:val="0"/>
        <w:spacing w:line="460" w:lineRule="exact"/>
        <w:ind w:firstLine="442" w:firstLineChars="200"/>
        <w:rPr>
          <w:rFonts w:hint="eastAsia"/>
          <w:b/>
          <w:color w:val="000000"/>
          <w:sz w:val="22"/>
          <w:szCs w:val="22"/>
          <w:lang w:val="zh-CN"/>
        </w:rPr>
      </w:pPr>
      <w:r>
        <w:rPr>
          <w:rFonts w:hint="eastAsia"/>
          <w:b/>
          <w:color w:val="000000"/>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rFonts w:hint="eastAsia"/>
          <w:b/>
          <w:color w:val="000000"/>
          <w:sz w:val="22"/>
          <w:szCs w:val="22"/>
          <w:u w:val="single"/>
        </w:rPr>
      </w:pPr>
      <w:r>
        <w:rPr>
          <w:rFonts w:hint="eastAsia"/>
          <w:b/>
          <w:color w:val="000000"/>
          <w:sz w:val="22"/>
          <w:szCs w:val="22"/>
          <w:lang w:val="zh-CN"/>
        </w:rPr>
        <w:t>2.1</w:t>
      </w:r>
      <w:r>
        <w:rPr>
          <w:rFonts w:hint="eastAsia"/>
          <w:b/>
          <w:color w:val="000000"/>
          <w:sz w:val="22"/>
          <w:szCs w:val="22"/>
          <w:u w:val="single"/>
        </w:rPr>
        <w:t>资格文件组成</w:t>
      </w:r>
    </w:p>
    <w:p>
      <w:pPr>
        <w:autoSpaceDE w:val="0"/>
        <w:autoSpaceDN w:val="0"/>
        <w:adjustRightInd w:val="0"/>
        <w:snapToGrid w:val="0"/>
        <w:spacing w:line="460" w:lineRule="exact"/>
        <w:ind w:firstLine="442" w:firstLineChars="200"/>
        <w:textAlignment w:val="bottom"/>
        <w:rPr>
          <w:rFonts w:hint="eastAsia"/>
          <w:b/>
          <w:color w:val="000000"/>
          <w:sz w:val="22"/>
          <w:szCs w:val="22"/>
        </w:rPr>
      </w:pPr>
      <w:r>
        <w:rPr>
          <w:rFonts w:hint="eastAsia"/>
          <w:b/>
          <w:color w:val="000000"/>
          <w:sz w:val="22"/>
          <w:szCs w:val="22"/>
        </w:rPr>
        <w:t>1）“资格文件”封面</w:t>
      </w:r>
    </w:p>
    <w:p>
      <w:pPr>
        <w:autoSpaceDE w:val="0"/>
        <w:autoSpaceDN w:val="0"/>
        <w:adjustRightInd w:val="0"/>
        <w:snapToGrid w:val="0"/>
        <w:spacing w:line="460" w:lineRule="exact"/>
        <w:ind w:firstLine="442" w:firstLineChars="200"/>
        <w:textAlignment w:val="bottom"/>
        <w:rPr>
          <w:color w:val="000000"/>
          <w:sz w:val="22"/>
          <w:szCs w:val="22"/>
        </w:rPr>
      </w:pPr>
      <w:r>
        <w:rPr>
          <w:rFonts w:hint="eastAsia"/>
          <w:b/>
          <w:color w:val="000000"/>
          <w:sz w:val="22"/>
          <w:szCs w:val="22"/>
        </w:rPr>
        <w:t>2）</w:t>
      </w:r>
      <w:r>
        <w:rPr>
          <w:rFonts w:hint="eastAsia"/>
          <w:color w:val="000000"/>
          <w:sz w:val="22"/>
          <w:szCs w:val="22"/>
        </w:rPr>
        <w:t>具有独立承担民事责任能力的证明材料：企业法人营业执照（提供复制件加盖供应商公章）或供应商为依法允许经营的事业单位的，应提交事业单位法人证书（提供复制件加盖供应商公章）</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000000"/>
          <w:sz w:val="22"/>
          <w:szCs w:val="22"/>
        </w:rPr>
        <w:t>总公司（总机构）授权书或房产权证或其他有效财产证明材料（</w:t>
      </w:r>
      <w:r>
        <w:rPr>
          <w:rFonts w:hint="eastAsia"/>
          <w:color w:val="000000"/>
          <w:sz w:val="22"/>
          <w:szCs w:val="22"/>
        </w:rPr>
        <w:t>提供</w:t>
      </w:r>
      <w:r>
        <w:rPr>
          <w:rFonts w:hint="eastAsia" w:cs="Arial"/>
          <w:color w:val="000000"/>
          <w:sz w:val="22"/>
          <w:szCs w:val="22"/>
        </w:rPr>
        <w:t>复制件</w:t>
      </w:r>
      <w:r>
        <w:rPr>
          <w:rFonts w:hint="eastAsia"/>
          <w:color w:val="000000"/>
          <w:sz w:val="22"/>
          <w:szCs w:val="22"/>
        </w:rPr>
        <w:t>加盖供应商公章</w:t>
      </w:r>
      <w:r>
        <w:rPr>
          <w:rFonts w:hint="eastAsia" w:cs="Arial"/>
          <w:color w:val="000000"/>
          <w:sz w:val="22"/>
          <w:szCs w:val="22"/>
        </w:rPr>
        <w:t>）。</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3）</w:t>
      </w:r>
      <w:r>
        <w:rPr>
          <w:rFonts w:hint="eastAsia"/>
          <w:b/>
          <w:color w:val="000000"/>
          <w:sz w:val="22"/>
          <w:szCs w:val="22"/>
        </w:rPr>
        <w:t>供应商符合参与政府采购活动资格条件的承诺函，格式见附件</w:t>
      </w:r>
      <w:r>
        <w:rPr>
          <w:rFonts w:hint="eastAsia"/>
          <w:b/>
          <w:color w:val="000000"/>
          <w:sz w:val="22"/>
          <w:szCs w:val="22"/>
          <w:u w:val="single"/>
        </w:rPr>
        <w:t>。</w:t>
      </w:r>
    </w:p>
    <w:p>
      <w:pPr>
        <w:autoSpaceDE w:val="0"/>
        <w:autoSpaceDN w:val="0"/>
        <w:adjustRightInd w:val="0"/>
        <w:snapToGrid w:val="0"/>
        <w:spacing w:line="460" w:lineRule="exact"/>
        <w:ind w:firstLine="442" w:firstLineChars="200"/>
        <w:textAlignment w:val="bottom"/>
        <w:rPr>
          <w:rFonts w:hint="eastAsia"/>
          <w:b/>
          <w:color w:val="000000"/>
          <w:sz w:val="22"/>
          <w:szCs w:val="22"/>
        </w:rPr>
      </w:pPr>
      <w:r>
        <w:rPr>
          <w:rFonts w:hint="eastAsia"/>
          <w:b/>
          <w:color w:val="000000"/>
          <w:sz w:val="22"/>
          <w:szCs w:val="22"/>
        </w:rPr>
        <w:t>上述资格条件审查材料2-3项有一项不提供的，视为资格审查不通过。</w:t>
      </w:r>
    </w:p>
    <w:p>
      <w:pPr>
        <w:autoSpaceDE w:val="0"/>
        <w:autoSpaceDN w:val="0"/>
        <w:adjustRightInd w:val="0"/>
        <w:snapToGrid w:val="0"/>
        <w:spacing w:line="460" w:lineRule="exact"/>
        <w:ind w:firstLine="442" w:firstLineChars="200"/>
        <w:rPr>
          <w:rFonts w:hint="eastAsia"/>
          <w:b/>
          <w:color w:val="000000"/>
          <w:sz w:val="22"/>
          <w:szCs w:val="22"/>
          <w:lang w:val="zh-CN"/>
        </w:rPr>
      </w:pPr>
      <w:r>
        <w:rPr>
          <w:rFonts w:hint="eastAsia"/>
          <w:b/>
          <w:color w:val="000000"/>
          <w:sz w:val="22"/>
          <w:szCs w:val="22"/>
          <w:lang w:val="zh-CN"/>
        </w:rPr>
        <w:t>2.2、</w:t>
      </w:r>
      <w:r>
        <w:rPr>
          <w:rFonts w:hint="eastAsia"/>
          <w:b/>
          <w:color w:val="000000"/>
          <w:sz w:val="22"/>
          <w:szCs w:val="22"/>
          <w:u w:val="single"/>
        </w:rPr>
        <w:t>报价文件</w:t>
      </w:r>
      <w:r>
        <w:rPr>
          <w:rFonts w:hint="eastAsia"/>
          <w:b/>
          <w:color w:val="000000"/>
          <w:sz w:val="22"/>
          <w:szCs w:val="22"/>
          <w:u w:val="single"/>
          <w:lang w:val="zh-CN"/>
        </w:rPr>
        <w:t>组成（</w:t>
      </w:r>
      <w:r>
        <w:rPr>
          <w:rFonts w:hint="eastAsia" w:cs="Courier New"/>
          <w:b/>
          <w:color w:val="000000"/>
          <w:sz w:val="22"/>
          <w:u w:val="single"/>
          <w:lang w:val="zh-CN"/>
        </w:rPr>
        <w:t>▲</w:t>
      </w:r>
      <w:r>
        <w:rPr>
          <w:rFonts w:hint="eastAsia" w:cs="Courier New"/>
          <w:color w:val="000000"/>
          <w:sz w:val="22"/>
          <w:u w:val="single"/>
          <w:lang w:val="zh-CN"/>
        </w:rPr>
        <w:t>序号2投标供应商必须提供，否则不能通过符合性审查的，责任自负。</w:t>
      </w:r>
      <w:r>
        <w:rPr>
          <w:rFonts w:hint="eastAsia"/>
          <w:b/>
          <w:color w:val="000000"/>
          <w:sz w:val="22"/>
          <w:szCs w:val="22"/>
          <w:u w:val="single"/>
          <w:lang w:val="zh-CN"/>
        </w:rPr>
        <w:t>）</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1）报价文件封面</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2）开标一览表</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3）随机备品备件、专用工具清单</w:t>
      </w:r>
      <w:r>
        <w:rPr>
          <w:color w:val="000000"/>
          <w:sz w:val="22"/>
          <w:szCs w:val="22"/>
        </w:rPr>
        <w:t xml:space="preserve">(如有) </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4）产品零件、易损件、备品备件报价表（如有）</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5）5.1</w:t>
      </w:r>
      <w:r>
        <w:rPr>
          <w:color w:val="000000"/>
          <w:sz w:val="22"/>
          <w:szCs w:val="22"/>
        </w:rPr>
        <w:t>投标供应商享受小微企业价格折扣应提供以下证明材料（放在报价文件中）：</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w:t>
      </w:r>
      <w:r>
        <w:rPr>
          <w:color w:val="000000"/>
          <w:sz w:val="22"/>
          <w:szCs w:val="22"/>
        </w:rPr>
        <w:t>1）《中小企业声明函》（加盖供应商公章）。</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w:t>
      </w:r>
      <w:r>
        <w:rPr>
          <w:color w:val="000000"/>
          <w:sz w:val="22"/>
          <w:szCs w:val="22"/>
        </w:rPr>
        <w:t>2、投标供应商享受监狱企业价格折扣应提供以下证明材料（放在报价文件中，不提供的不享受价格折扣）：</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w:t>
      </w:r>
      <w:r>
        <w:rPr>
          <w:color w:val="000000"/>
          <w:sz w:val="22"/>
          <w:szCs w:val="22"/>
        </w:rPr>
        <w:t>1）监狱企业参加政府采购活动时，应当提供由省级及以上监狱管理局、戒毒管理局(含新疆生产建设兵团)出具的属于监狱企业的证明文件（加盖投标供应商公章）。在政府采购活动中，监狱企业视同小型、微型企业，享受评审中价格扣除政策。</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w:t>
      </w:r>
      <w:r>
        <w:rPr>
          <w:color w:val="000000"/>
          <w:sz w:val="22"/>
          <w:szCs w:val="22"/>
        </w:rPr>
        <w:t>3、投标供应商享受残疾人福利性单位价格折扣应提供以下证明材料（放在报价文件中，不提供的不享受价格折扣）：</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w:t>
      </w:r>
      <w:r>
        <w:rPr>
          <w:color w:val="000000"/>
          <w:sz w:val="22"/>
          <w:szCs w:val="22"/>
        </w:rPr>
        <w:t>1）残疾人福利性单位声明函（加盖投标供应商公章，格式见招标文件第四部分附件2）。在政府采购活动中，残疾人福利性单位视同小型、微型企业，享受评审中价格扣除政策。</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w:t>
      </w:r>
      <w:r>
        <w:rPr>
          <w:color w:val="000000"/>
          <w:sz w:val="22"/>
          <w:szCs w:val="22"/>
        </w:rPr>
        <w:t>4、属于小微企业（含监狱企业、残疾人福利性单位）的投标供应商提供其他制造商制造的货物参与投标的，还应提供所投产品制造商属于小微企业（含监狱企业、残疾人福利性单位）的证明材料并加盖投标供应商公章，否则不享受价格折扣。</w:t>
      </w:r>
    </w:p>
    <w:p>
      <w:pPr>
        <w:autoSpaceDE w:val="0"/>
        <w:autoSpaceDN w:val="0"/>
        <w:adjustRightInd w:val="0"/>
        <w:snapToGrid w:val="0"/>
        <w:spacing w:line="460" w:lineRule="exact"/>
        <w:ind w:firstLine="440" w:firstLineChars="200"/>
        <w:textAlignment w:val="bottom"/>
        <w:rPr>
          <w:rFonts w:hint="eastAsia"/>
          <w:color w:val="000000"/>
          <w:sz w:val="22"/>
        </w:rPr>
      </w:pPr>
      <w:r>
        <w:rPr>
          <w:rFonts w:hint="eastAsia"/>
          <w:color w:val="000000"/>
          <w:sz w:val="22"/>
          <w:szCs w:val="22"/>
        </w:rPr>
        <w:t>6）其他须说明的资料（如有则提供）</w:t>
      </w:r>
    </w:p>
    <w:p>
      <w:pPr>
        <w:autoSpaceDE w:val="0"/>
        <w:autoSpaceDN w:val="0"/>
        <w:adjustRightInd w:val="0"/>
        <w:snapToGrid w:val="0"/>
        <w:spacing w:line="460" w:lineRule="exact"/>
        <w:ind w:firstLine="440" w:firstLineChars="200"/>
        <w:textAlignment w:val="bottom"/>
        <w:rPr>
          <w:rFonts w:hint="eastAsia"/>
          <w:bCs/>
          <w:color w:val="000000"/>
          <w:sz w:val="22"/>
          <w:szCs w:val="22"/>
          <w:u w:val="single"/>
        </w:rPr>
      </w:pPr>
      <w:r>
        <w:rPr>
          <w:rFonts w:hint="eastAsia"/>
          <w:color w:val="000000"/>
          <w:sz w:val="22"/>
          <w:szCs w:val="22"/>
        </w:rPr>
        <w:t>2.3、</w:t>
      </w:r>
      <w:r>
        <w:rPr>
          <w:rFonts w:hint="eastAsia" w:cs="Arial"/>
          <w:bCs/>
          <w:color w:val="000000"/>
          <w:sz w:val="22"/>
          <w:szCs w:val="22"/>
          <w:u w:val="single"/>
        </w:rPr>
        <w:t>商务技术文件</w:t>
      </w:r>
      <w:r>
        <w:rPr>
          <w:rFonts w:hint="eastAsia"/>
          <w:bCs/>
          <w:color w:val="000000"/>
          <w:sz w:val="22"/>
          <w:szCs w:val="22"/>
          <w:u w:val="single"/>
        </w:rPr>
        <w:t>组成</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1）商务技术文件封面</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2）供应商自评分指引表</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w:t>
      </w:r>
      <w:r>
        <w:rPr>
          <w:color w:val="000000"/>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4) 投标函；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5）法定代表人授权书；</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6）投标供应商情况声明</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7）投标产品的数量、</w:t>
      </w:r>
      <w:r>
        <w:rPr>
          <w:rFonts w:hint="eastAsia"/>
          <w:color w:val="000000"/>
          <w:spacing w:val="20"/>
          <w:sz w:val="22"/>
          <w:szCs w:val="22"/>
        </w:rPr>
        <w:t>配置及主要技术参数表</w:t>
      </w:r>
      <w:r>
        <w:rPr>
          <w:rFonts w:hint="eastAsia"/>
          <w:color w:val="000000"/>
          <w:sz w:val="22"/>
          <w:szCs w:val="22"/>
        </w:rPr>
        <w:t>；</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8）投标产品的主要技术、配置、性能、特点和质量水平的详细描述及产品样本图册</w:t>
      </w:r>
      <w:r>
        <w:rPr>
          <w:rFonts w:hint="eastAsia"/>
          <w:color w:val="000000"/>
          <w:sz w:val="22"/>
          <w:szCs w:val="22"/>
          <w:u w:val="thick"/>
        </w:rPr>
        <w:t>（包括配置、部件来源说明等）</w:t>
      </w:r>
      <w:r>
        <w:rPr>
          <w:rFonts w:hint="eastAsia"/>
          <w:color w:val="000000"/>
          <w:sz w:val="22"/>
          <w:szCs w:val="22"/>
        </w:rPr>
        <w:t>（</w:t>
      </w:r>
      <w:r>
        <w:rPr>
          <w:rFonts w:hint="eastAsia"/>
          <w:b/>
          <w:color w:val="000000"/>
          <w:sz w:val="22"/>
          <w:szCs w:val="22"/>
          <w:u w:val="thick"/>
        </w:rPr>
        <w:t>如果资料提供不全或完全抄袭招标文件，可能导致对供应商不利的评定</w:t>
      </w:r>
      <w:r>
        <w:rPr>
          <w:rFonts w:hint="eastAsia"/>
          <w:color w:val="000000"/>
          <w:sz w:val="22"/>
          <w:szCs w:val="22"/>
        </w:rPr>
        <w:t>）；</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9）商务响应表、技术响应表（</w:t>
      </w:r>
      <w:r>
        <w:rPr>
          <w:rFonts w:hint="eastAsia"/>
          <w:color w:val="000000"/>
          <w:sz w:val="22"/>
          <w:szCs w:val="22"/>
          <w:u w:val="single"/>
        </w:rPr>
        <w:t>如有偏离须明确列出</w:t>
      </w:r>
      <w:r>
        <w:rPr>
          <w:rFonts w:hint="eastAsia"/>
          <w:color w:val="000000"/>
          <w:sz w:val="22"/>
          <w:szCs w:val="22"/>
        </w:rPr>
        <w:t>）；</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10） 供应商（制造商）质量体系认证证书、供应商相关资质、资信或信用证书（如有则提供，复印件加盖有效公章）；</w:t>
      </w:r>
    </w:p>
    <w:p>
      <w:pPr>
        <w:autoSpaceDE w:val="0"/>
        <w:autoSpaceDN w:val="0"/>
        <w:adjustRightInd w:val="0"/>
        <w:snapToGrid w:val="0"/>
        <w:spacing w:line="460" w:lineRule="exact"/>
        <w:ind w:firstLine="442" w:firstLineChars="200"/>
        <w:textAlignment w:val="bottom"/>
        <w:rPr>
          <w:color w:val="000000"/>
          <w:sz w:val="22"/>
          <w:szCs w:val="22"/>
          <w:u w:val="thick"/>
        </w:rPr>
      </w:pPr>
      <w:r>
        <w:rPr>
          <w:rFonts w:hint="eastAsia"/>
          <w:b/>
          <w:color w:val="000000"/>
          <w:sz w:val="22"/>
          <w:szCs w:val="22"/>
          <w:u w:val="single"/>
        </w:rPr>
        <w:t>11）</w:t>
      </w:r>
      <w:r>
        <w:rPr>
          <w:rFonts w:hint="eastAsia"/>
          <w:color w:val="000000"/>
          <w:sz w:val="22"/>
          <w:szCs w:val="22"/>
          <w:u w:val="thick"/>
        </w:rPr>
        <w:t>节能产品认证证书、相关投标产品的工业品生产许可证、3C认证、检测报告等技术要求中要求的各种资格证书；（如有则提供，复印件加盖投标供应商有效公章）</w:t>
      </w:r>
    </w:p>
    <w:p>
      <w:pPr>
        <w:autoSpaceDE w:val="0"/>
        <w:autoSpaceDN w:val="0"/>
        <w:adjustRightInd w:val="0"/>
        <w:snapToGrid w:val="0"/>
        <w:spacing w:line="460" w:lineRule="exact"/>
        <w:ind w:firstLine="442" w:firstLineChars="200"/>
        <w:textAlignment w:val="bottom"/>
        <w:rPr>
          <w:color w:val="000000"/>
          <w:sz w:val="22"/>
          <w:szCs w:val="22"/>
        </w:rPr>
      </w:pPr>
      <w:r>
        <w:rPr>
          <w:rFonts w:hint="eastAsia"/>
          <w:b/>
          <w:color w:val="000000"/>
          <w:sz w:val="22"/>
          <w:szCs w:val="22"/>
        </w:rPr>
        <w:t>12）2020年1月1日以来供应商同类业绩证明（按评标细则要求提供）；</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13）节能环保产品声明函（如有）、节能（环保）产品清单（如有）；</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14）针对本项目拟派人员名单</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15）供应商认为有必要提供的其他材料或说明（如有）</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16</w:t>
      </w:r>
      <w:r>
        <w:rPr>
          <w:rFonts w:hint="eastAsia"/>
          <w:b/>
          <w:color w:val="000000"/>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hint="eastAsia"/>
          <w:bCs/>
          <w:color w:val="000000"/>
          <w:sz w:val="22"/>
          <w:szCs w:val="22"/>
          <w:u w:val="single"/>
        </w:rPr>
      </w:pPr>
      <w:r>
        <w:rPr>
          <w:rFonts w:hint="eastAsia"/>
          <w:color w:val="000000"/>
          <w:sz w:val="22"/>
          <w:szCs w:val="22"/>
        </w:rPr>
        <w:t>17）售后服务详细的计划方案说明与承诺、产品的质量保证期，距离采购人最近的售后服务机构的详细介绍、服务机构总负责人，电话，地址，技术力量配置等；质保期外服务收费内容及保证措施。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 投标文件编制</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3.1本项目通过“政府采购云平台（</w:t>
      </w:r>
      <w:r>
        <w:rPr>
          <w:color w:val="000000"/>
          <w:sz w:val="22"/>
          <w:szCs w:val="22"/>
        </w:rPr>
        <w:t>www.</w:t>
      </w:r>
      <w:r>
        <w:rPr>
          <w:rFonts w:hint="eastAsia"/>
          <w:color w:val="000000"/>
          <w:sz w:val="22"/>
          <w:szCs w:val="22"/>
        </w:rPr>
        <w:t>zcy</w:t>
      </w:r>
      <w:r>
        <w:rPr>
          <w:color w:val="000000"/>
          <w:sz w:val="22"/>
          <w:szCs w:val="22"/>
        </w:rPr>
        <w:t>gov.cn</w:t>
      </w:r>
      <w:r>
        <w:rPr>
          <w:rFonts w:hint="eastAsia"/>
          <w:color w:val="000000"/>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3.2投标供应商应当按照</w:t>
      </w:r>
      <w:r>
        <w:rPr>
          <w:color w:val="000000"/>
          <w:sz w:val="22"/>
          <w:szCs w:val="22"/>
        </w:rPr>
        <w:t>本</w:t>
      </w:r>
      <w:r>
        <w:rPr>
          <w:rFonts w:hint="eastAsia"/>
          <w:color w:val="000000"/>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3.3</w:t>
      </w:r>
      <w:r>
        <w:rPr>
          <w:color w:val="000000"/>
          <w:sz w:val="22"/>
          <w:szCs w:val="22"/>
        </w:rPr>
        <w:t>《投标文件》内容不完整、编排混乱导致《投标文件》被误读、漏读或者查找不到相关内容的，是投标供应商的责任。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3.4《</w:t>
      </w:r>
      <w:r>
        <w:rPr>
          <w:color w:val="000000"/>
          <w:sz w:val="22"/>
          <w:szCs w:val="22"/>
        </w:rPr>
        <w:t>投标文件</w:t>
      </w:r>
      <w:r>
        <w:rPr>
          <w:rFonts w:hint="eastAsia"/>
          <w:color w:val="000000"/>
          <w:sz w:val="22"/>
          <w:szCs w:val="22"/>
        </w:rPr>
        <w:t>》</w:t>
      </w:r>
      <w:r>
        <w:rPr>
          <w:color w:val="000000"/>
          <w:sz w:val="22"/>
          <w:szCs w:val="22"/>
        </w:rPr>
        <w:t>因字迹潦草或表达不清所引起的后果由投标供应商负责。</w:t>
      </w:r>
    </w:p>
    <w:p>
      <w:pPr>
        <w:autoSpaceDE w:val="0"/>
        <w:autoSpaceDN w:val="0"/>
        <w:adjustRightInd w:val="0"/>
        <w:snapToGrid w:val="0"/>
        <w:spacing w:line="460" w:lineRule="exact"/>
        <w:ind w:firstLine="440" w:firstLineChars="200"/>
        <w:textAlignment w:val="bottom"/>
        <w:rPr>
          <w:rFonts w:hint="eastAsia"/>
          <w:color w:val="000000"/>
          <w:sz w:val="22"/>
          <w:szCs w:val="22"/>
        </w:rPr>
      </w:pPr>
      <w:r>
        <w:rPr>
          <w:rFonts w:hint="eastAsia"/>
          <w:color w:val="000000"/>
          <w:sz w:val="22"/>
          <w:szCs w:val="22"/>
        </w:rPr>
        <w:t>3.5</w:t>
      </w:r>
      <w:r>
        <w:rPr>
          <w:color w:val="000000"/>
          <w:sz w:val="22"/>
          <w:szCs w:val="22"/>
        </w:rPr>
        <w:t>投标供应商没有按照本</w:t>
      </w:r>
      <w:r>
        <w:rPr>
          <w:rFonts w:hint="eastAsia"/>
          <w:color w:val="000000"/>
          <w:sz w:val="22"/>
          <w:szCs w:val="22"/>
        </w:rPr>
        <w:t>章节 “投标文件组成”</w:t>
      </w:r>
      <w:r>
        <w:rPr>
          <w:color w:val="000000"/>
          <w:sz w:val="22"/>
          <w:szCs w:val="22"/>
        </w:rPr>
        <w:t>要求提供全部资料，</w:t>
      </w:r>
      <w:r>
        <w:rPr>
          <w:rFonts w:hint="eastAsia"/>
          <w:color w:val="000000"/>
          <w:sz w:val="22"/>
          <w:szCs w:val="22"/>
        </w:rPr>
        <w:t>或者没有仔细阅读招标文件，</w:t>
      </w:r>
      <w:r>
        <w:rPr>
          <w:color w:val="000000"/>
          <w:sz w:val="22"/>
          <w:szCs w:val="22"/>
        </w:rPr>
        <w:t>或者没有对招标文件在各方面的要求作出实质性响应是投标供应商的风险</w:t>
      </w:r>
      <w:r>
        <w:rPr>
          <w:rFonts w:hint="eastAsia"/>
          <w:color w:val="000000"/>
          <w:sz w:val="22"/>
          <w:szCs w:val="22"/>
        </w:rPr>
        <w:t>，由此造成的一切后果由投标供应商自行承担。</w:t>
      </w:r>
    </w:p>
    <w:p>
      <w:pPr>
        <w:autoSpaceDE w:val="0"/>
        <w:autoSpaceDN w:val="0"/>
        <w:adjustRightInd w:val="0"/>
        <w:snapToGrid w:val="0"/>
        <w:spacing w:line="420" w:lineRule="exact"/>
        <w:textAlignment w:val="bottom"/>
        <w:rPr>
          <w:rFonts w:hint="eastAsia" w:cs="Arial"/>
          <w:color w:val="000000"/>
          <w:sz w:val="22"/>
          <w:szCs w:val="22"/>
        </w:rPr>
      </w:pPr>
      <w:r>
        <w:rPr>
          <w:rFonts w:hint="eastAsia" w:cs="Arial"/>
          <w:color w:val="000000"/>
          <w:sz w:val="22"/>
          <w:szCs w:val="22"/>
        </w:rPr>
        <w:t xml:space="preserve">    </w:t>
      </w:r>
      <w:bookmarkStart w:id="3" w:name="_Toc132122115"/>
      <w:bookmarkStart w:id="4" w:name="_Toc132122412"/>
      <w:r>
        <w:rPr>
          <w:rFonts w:hint="eastAsia" w:cs="Arial"/>
          <w:color w:val="000000"/>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hint="eastAsia" w:cs="Arial"/>
          <w:color w:val="000000"/>
          <w:sz w:val="22"/>
          <w:szCs w:val="22"/>
        </w:rPr>
      </w:pPr>
      <w:r>
        <w:rPr>
          <w:rFonts w:hint="eastAsia" w:cs="Arial"/>
          <w:color w:val="000000"/>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hint="eastAsia" w:cs="Arial"/>
          <w:bCs/>
          <w:color w:val="000000"/>
          <w:sz w:val="22"/>
          <w:szCs w:val="22"/>
        </w:rPr>
      </w:pPr>
      <w:r>
        <w:rPr>
          <w:rFonts w:hint="eastAsia" w:cs="Arial"/>
          <w:bCs/>
          <w:color w:val="000000"/>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hint="eastAsia" w:cs="Arial"/>
          <w:color w:val="000000"/>
          <w:sz w:val="22"/>
          <w:szCs w:val="22"/>
          <w:u w:val="single"/>
        </w:rPr>
      </w:pPr>
      <w:r>
        <w:rPr>
          <w:rFonts w:hint="eastAsia" w:cs="Arial"/>
          <w:color w:val="000000"/>
          <w:sz w:val="22"/>
          <w:szCs w:val="22"/>
        </w:rPr>
        <w:t>4.3、</w:t>
      </w:r>
      <w:r>
        <w:rPr>
          <w:rFonts w:hint="eastAsia" w:cs="Arial"/>
          <w:color w:val="000000"/>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60" w:lineRule="exact"/>
        <w:ind w:firstLine="431" w:firstLineChars="196"/>
        <w:rPr>
          <w:rFonts w:hint="eastAsia" w:cs="Arial"/>
          <w:color w:val="000000"/>
          <w:sz w:val="22"/>
          <w:szCs w:val="22"/>
        </w:rPr>
      </w:pPr>
      <w:bookmarkStart w:id="5" w:name="_Toc132122414"/>
      <w:bookmarkStart w:id="6" w:name="_Toc132122117"/>
      <w:bookmarkStart w:id="7" w:name="_Toc132122118"/>
      <w:bookmarkStart w:id="8" w:name="_Toc132122415"/>
      <w:r>
        <w:rPr>
          <w:rFonts w:hint="eastAsia" w:cs="Arial"/>
          <w:color w:val="000000"/>
          <w:sz w:val="22"/>
          <w:szCs w:val="22"/>
        </w:rPr>
        <w:t>5、投标文件的有效期</w:t>
      </w:r>
      <w:bookmarkEnd w:id="5"/>
      <w:bookmarkEnd w:id="6"/>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5.1自开标日起90天内，投标文件应保持有效。有效期短于这个规定期限的投标将被拒绝。</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5.2在特殊情况下，采购人可与供应商协商延长投标文件的有效期，这种要求和答复均应以书面形式进行。</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5.3供应商可拒绝接受延期要求而不会导致处罚。同意延长有效期的供应商不能修改投标文件。</w:t>
      </w:r>
    </w:p>
    <w:bookmarkEnd w:id="7"/>
    <w:bookmarkEnd w:id="8"/>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6、投标文件的签章</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6</w:t>
      </w:r>
      <w:r>
        <w:rPr>
          <w:rFonts w:hint="eastAsia" w:hAnsi="宋体" w:cs="Arial"/>
          <w:color w:val="000000"/>
          <w:sz w:val="22"/>
          <w:szCs w:val="22"/>
        </w:rPr>
        <w:t>.1《</w:t>
      </w:r>
      <w:r>
        <w:rPr>
          <w:rFonts w:hAnsi="宋体" w:cs="Arial"/>
          <w:color w:val="000000"/>
          <w:sz w:val="22"/>
          <w:szCs w:val="22"/>
        </w:rPr>
        <w:t>投标文件</w:t>
      </w:r>
      <w:r>
        <w:rPr>
          <w:rFonts w:hint="eastAsia" w:hAnsi="宋体" w:cs="Arial"/>
          <w:color w:val="000000"/>
          <w:sz w:val="22"/>
          <w:szCs w:val="22"/>
        </w:rPr>
        <w:t>》的签章：</w:t>
      </w:r>
      <w:r>
        <w:rPr>
          <w:rFonts w:hint="eastAsia" w:hAnsi="宋体" w:cs="宋体"/>
          <w:b/>
          <w:color w:val="000000"/>
          <w:sz w:val="22"/>
          <w:szCs w:val="22"/>
        </w:rPr>
        <w:t>电子签章。</w:t>
      </w:r>
      <w:r>
        <w:rPr>
          <w:rFonts w:hint="eastAsia" w:hAnsi="宋体"/>
          <w:color w:val="000000"/>
          <w:sz w:val="22"/>
          <w:szCs w:val="22"/>
        </w:rPr>
        <w:t>采购文件所指的加盖单位公章为电子签章。</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6</w:t>
      </w:r>
      <w:r>
        <w:rPr>
          <w:rFonts w:hint="eastAsia" w:hAnsi="宋体" w:cs="Arial"/>
          <w:color w:val="000000"/>
          <w:sz w:val="22"/>
          <w:szCs w:val="22"/>
        </w:rPr>
        <w:t>.2《</w:t>
      </w:r>
      <w:r>
        <w:rPr>
          <w:rFonts w:hAnsi="宋体" w:cs="Arial"/>
          <w:color w:val="000000"/>
          <w:sz w:val="22"/>
          <w:szCs w:val="22"/>
        </w:rPr>
        <w:t>投标文件</w:t>
      </w:r>
      <w:r>
        <w:rPr>
          <w:rFonts w:hint="eastAsia" w:hAnsi="宋体" w:cs="Arial"/>
          <w:color w:val="000000"/>
          <w:sz w:val="22"/>
          <w:szCs w:val="22"/>
        </w:rPr>
        <w:t>》应由投标供应商法定代表人或其授权代表签字（或盖章），并时加盖投标供应商公章。</w:t>
      </w:r>
    </w:p>
    <w:p>
      <w:pPr>
        <w:pStyle w:val="33"/>
        <w:adjustRightInd w:val="0"/>
        <w:snapToGrid w:val="0"/>
        <w:spacing w:line="460" w:lineRule="exact"/>
        <w:ind w:firstLine="440" w:firstLineChars="200"/>
        <w:rPr>
          <w:rFonts w:hAnsi="宋体" w:cs="Arial"/>
          <w:color w:val="000000"/>
          <w:sz w:val="22"/>
          <w:szCs w:val="22"/>
        </w:rPr>
      </w:pPr>
      <w:r>
        <w:rPr>
          <w:rFonts w:hAnsi="宋体" w:cs="Arial"/>
          <w:color w:val="000000"/>
          <w:sz w:val="22"/>
          <w:szCs w:val="22"/>
        </w:rPr>
        <w:t>6</w:t>
      </w:r>
      <w:r>
        <w:rPr>
          <w:rFonts w:hint="eastAsia" w:hAnsi="宋体" w:cs="Arial"/>
          <w:color w:val="000000"/>
          <w:sz w:val="22"/>
          <w:szCs w:val="22"/>
        </w:rPr>
        <w:t>.</w:t>
      </w:r>
      <w:r>
        <w:rPr>
          <w:rFonts w:hAnsi="宋体" w:cs="Arial"/>
          <w:color w:val="000000"/>
          <w:sz w:val="22"/>
          <w:szCs w:val="22"/>
        </w:rPr>
        <w:t>3</w:t>
      </w:r>
      <w:r>
        <w:rPr>
          <w:rFonts w:hint="eastAsia" w:hAnsi="宋体" w:cs="Arial"/>
          <w:color w:val="000000"/>
          <w:sz w:val="22"/>
          <w:szCs w:val="22"/>
        </w:rPr>
        <w:t>电子签章操作指南详见采购公告附件《供应商项目采购-电子招投标操作指南》。</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7、投标文件的形式</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7</w:t>
      </w:r>
      <w:r>
        <w:rPr>
          <w:rFonts w:hint="eastAsia" w:hAnsi="宋体" w:cs="Arial"/>
          <w:color w:val="000000"/>
          <w:sz w:val="22"/>
          <w:szCs w:val="22"/>
        </w:rPr>
        <w:t>.1投标文件的形式：见投标通知(邀 请)书；</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7</w:t>
      </w:r>
      <w:r>
        <w:rPr>
          <w:rFonts w:hint="eastAsia" w:hAnsi="宋体" w:cs="Arial"/>
          <w:color w:val="000000"/>
          <w:sz w:val="22"/>
          <w:szCs w:val="22"/>
        </w:rPr>
        <w:t>.2“电子加密投标文件”：“电子加密投标文件”是指通过“政采云电子交易客户端”完成投标文件编制后生成并加密的数据电文形式的投标文件。</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7</w:t>
      </w:r>
      <w:r>
        <w:rPr>
          <w:rFonts w:hint="eastAsia" w:hAnsi="宋体" w:cs="Arial"/>
          <w:color w:val="000000"/>
          <w:sz w:val="22"/>
          <w:szCs w:val="22"/>
        </w:rPr>
        <w:t>.3“备份投标文件”：“备份投标文件”是指与“电子加密投标文件”同时生成的数据电文形式的电子文件（备份标书），其他方式编制的“备份投标文件”视为无效的“备份投标文件”。</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8、投标文件的份数</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8</w:t>
      </w:r>
      <w:r>
        <w:rPr>
          <w:rFonts w:hint="eastAsia" w:hAnsi="宋体" w:cs="Arial"/>
          <w:color w:val="000000"/>
          <w:sz w:val="22"/>
          <w:szCs w:val="22"/>
        </w:rPr>
        <w:t>.1投标文件的份数：见投标通知(邀 请)书。</w:t>
      </w:r>
    </w:p>
    <w:p>
      <w:pPr>
        <w:snapToGrid w:val="0"/>
        <w:spacing w:line="420" w:lineRule="exact"/>
        <w:ind w:firstLine="527"/>
        <w:outlineLvl w:val="0"/>
        <w:rPr>
          <w:rFonts w:hint="eastAsia" w:cs="Arial"/>
          <w:b/>
          <w:color w:val="000000"/>
          <w:sz w:val="22"/>
          <w:szCs w:val="22"/>
        </w:rPr>
      </w:pPr>
      <w:r>
        <w:rPr>
          <w:rFonts w:hint="eastAsia" w:cs="Arial"/>
          <w:b/>
          <w:color w:val="000000"/>
          <w:sz w:val="22"/>
          <w:szCs w:val="22"/>
        </w:rPr>
        <w:t>五、投标</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1、投标文件的上传和递交</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1</w:t>
      </w:r>
      <w:r>
        <w:rPr>
          <w:rFonts w:hint="eastAsia" w:hAnsi="宋体" w:cs="Arial"/>
          <w:color w:val="000000"/>
          <w:sz w:val="22"/>
          <w:szCs w:val="22"/>
        </w:rPr>
        <w:t>.1“投标文件”的上传、递交：见投标通知(邀 请)书。</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2、“电子加密投标文件”解密和异常情况处理</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2</w:t>
      </w:r>
      <w:r>
        <w:rPr>
          <w:rFonts w:hint="eastAsia" w:hAnsi="宋体" w:cs="Arial"/>
          <w:color w:val="000000"/>
          <w:sz w:val="22"/>
          <w:szCs w:val="22"/>
        </w:rPr>
        <w:t>.1“电子加密投标文件”解密：见投标通知(邀 请)书。</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3、投标文件的补充、修改或撤回</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3</w:t>
      </w:r>
      <w:r>
        <w:rPr>
          <w:rFonts w:hint="eastAsia" w:hAnsi="宋体" w:cs="Arial"/>
          <w:color w:val="000000"/>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33"/>
        <w:adjustRightInd w:val="0"/>
        <w:snapToGrid w:val="0"/>
        <w:spacing w:line="460" w:lineRule="exact"/>
        <w:ind w:firstLine="442" w:firstLineChars="200"/>
        <w:rPr>
          <w:rFonts w:hint="eastAsia" w:hAnsi="宋体" w:cs="Arial"/>
          <w:b/>
          <w:color w:val="000000"/>
          <w:sz w:val="22"/>
          <w:szCs w:val="22"/>
        </w:rPr>
      </w:pPr>
      <w:r>
        <w:rPr>
          <w:rFonts w:hAnsi="宋体" w:cs="Arial"/>
          <w:b/>
          <w:color w:val="000000"/>
          <w:sz w:val="22"/>
          <w:szCs w:val="22"/>
        </w:rPr>
        <w:t>3</w:t>
      </w:r>
      <w:r>
        <w:rPr>
          <w:rFonts w:hint="eastAsia" w:hAnsi="宋体" w:cs="Arial"/>
          <w:b/>
          <w:color w:val="000000"/>
          <w:sz w:val="22"/>
          <w:szCs w:val="22"/>
        </w:rPr>
        <w:t>.2</w:t>
      </w:r>
      <w:r>
        <w:rPr>
          <w:rFonts w:hAnsi="宋体" w:cs="Arial"/>
          <w:b/>
          <w:color w:val="000000"/>
          <w:sz w:val="22"/>
          <w:szCs w:val="22"/>
        </w:rPr>
        <w:t>投标截止时间后，投标供应商不得撤回、修改《投标文件》</w:t>
      </w:r>
      <w:r>
        <w:rPr>
          <w:rFonts w:hint="eastAsia" w:hAnsi="宋体" w:cs="Arial"/>
          <w:b/>
          <w:color w:val="000000"/>
          <w:sz w:val="22"/>
          <w:szCs w:val="22"/>
        </w:rPr>
        <w:t>。</w:t>
      </w:r>
    </w:p>
    <w:p>
      <w:pPr>
        <w:pStyle w:val="33"/>
        <w:adjustRightInd w:val="0"/>
        <w:snapToGrid w:val="0"/>
        <w:spacing w:line="460" w:lineRule="exact"/>
        <w:ind w:firstLine="440" w:firstLineChars="200"/>
        <w:rPr>
          <w:rFonts w:hint="eastAsia" w:hAnsi="宋体" w:cs="Arial"/>
          <w:color w:val="000000"/>
          <w:sz w:val="22"/>
          <w:szCs w:val="22"/>
        </w:rPr>
      </w:pPr>
      <w:r>
        <w:rPr>
          <w:rFonts w:hint="eastAsia" w:hAnsi="宋体" w:cs="Arial"/>
          <w:color w:val="000000"/>
          <w:sz w:val="22"/>
          <w:szCs w:val="22"/>
        </w:rPr>
        <w:t>4、投标文件的备选方案</w:t>
      </w:r>
    </w:p>
    <w:p>
      <w:pPr>
        <w:pStyle w:val="33"/>
        <w:adjustRightInd w:val="0"/>
        <w:snapToGrid w:val="0"/>
        <w:spacing w:line="460" w:lineRule="exact"/>
        <w:ind w:firstLine="440" w:firstLineChars="200"/>
        <w:rPr>
          <w:rFonts w:hint="eastAsia" w:hAnsi="宋体" w:cs="Arial"/>
          <w:color w:val="000000"/>
          <w:sz w:val="22"/>
          <w:szCs w:val="22"/>
        </w:rPr>
      </w:pPr>
      <w:r>
        <w:rPr>
          <w:rFonts w:hAnsi="宋体" w:cs="Arial"/>
          <w:color w:val="000000"/>
          <w:sz w:val="22"/>
          <w:szCs w:val="22"/>
        </w:rPr>
        <w:t>4.1</w:t>
      </w:r>
      <w:r>
        <w:rPr>
          <w:rFonts w:hint="eastAsia" w:hAnsi="宋体" w:cs="Arial"/>
          <w:color w:val="000000"/>
          <w:sz w:val="22"/>
          <w:szCs w:val="22"/>
        </w:rPr>
        <w:t>投标供应商不得递交任何的</w:t>
      </w:r>
      <w:r>
        <w:rPr>
          <w:rFonts w:hAnsi="宋体" w:cs="Arial"/>
          <w:color w:val="000000"/>
          <w:sz w:val="22"/>
          <w:szCs w:val="22"/>
        </w:rPr>
        <w:t>投标备选（替代）方案</w:t>
      </w:r>
      <w:r>
        <w:rPr>
          <w:rFonts w:hint="eastAsia" w:hAnsi="宋体" w:cs="Arial"/>
          <w:color w:val="000000"/>
          <w:sz w:val="22"/>
          <w:szCs w:val="22"/>
        </w:rPr>
        <w:t>，否则其投标文件将作无效标处理。与“电子加密投标文件”同时生成的“备份投标文件”不是投标备选（替代）方案。</w:t>
      </w:r>
    </w:p>
    <w:p>
      <w:pPr>
        <w:snapToGrid w:val="0"/>
        <w:spacing w:line="420" w:lineRule="exact"/>
        <w:ind w:firstLine="527"/>
        <w:outlineLvl w:val="0"/>
        <w:rPr>
          <w:rFonts w:hint="eastAsia"/>
          <w:color w:val="000000"/>
          <w:sz w:val="22"/>
          <w:szCs w:val="22"/>
        </w:rPr>
      </w:pPr>
      <w:r>
        <w:rPr>
          <w:rFonts w:hint="eastAsia"/>
          <w:color w:val="000000"/>
          <w:sz w:val="22"/>
          <w:szCs w:val="22"/>
        </w:rPr>
        <w:t>六、开标和评标</w:t>
      </w:r>
    </w:p>
    <w:p>
      <w:pPr>
        <w:snapToGrid w:val="0"/>
        <w:spacing w:line="420" w:lineRule="exact"/>
        <w:ind w:firstLine="527"/>
        <w:rPr>
          <w:rFonts w:hint="eastAsia" w:cs="Arial"/>
          <w:b/>
          <w:color w:val="000000"/>
          <w:sz w:val="22"/>
          <w:szCs w:val="22"/>
        </w:rPr>
      </w:pPr>
      <w:r>
        <w:rPr>
          <w:rFonts w:hint="eastAsia" w:cs="Arial"/>
          <w:b/>
          <w:color w:val="000000"/>
          <w:sz w:val="22"/>
          <w:szCs w:val="22"/>
        </w:rPr>
        <w:t>一）开标</w:t>
      </w:r>
    </w:p>
    <w:p>
      <w:pPr>
        <w:snapToGrid w:val="0"/>
        <w:spacing w:line="420" w:lineRule="exact"/>
        <w:ind w:firstLine="527"/>
        <w:rPr>
          <w:rFonts w:hint="eastAsia" w:cs="Arial"/>
          <w:b/>
          <w:color w:val="000000"/>
          <w:sz w:val="22"/>
          <w:szCs w:val="22"/>
        </w:rPr>
      </w:pPr>
      <w:r>
        <w:rPr>
          <w:rFonts w:hint="eastAsia" w:cs="Arial"/>
          <w:b/>
          <w:color w:val="000000"/>
          <w:sz w:val="22"/>
          <w:szCs w:val="22"/>
        </w:rPr>
        <w:t>1、开标形式</w:t>
      </w:r>
    </w:p>
    <w:p>
      <w:pPr>
        <w:snapToGrid w:val="0"/>
        <w:spacing w:line="420" w:lineRule="exact"/>
        <w:ind w:firstLine="527"/>
        <w:rPr>
          <w:rFonts w:hint="eastAsia" w:cs="Arial"/>
          <w:color w:val="000000"/>
          <w:sz w:val="22"/>
          <w:szCs w:val="22"/>
        </w:rPr>
      </w:pPr>
      <w:r>
        <w:rPr>
          <w:rFonts w:hint="eastAsia" w:cs="Arial"/>
          <w:color w:val="000000"/>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000000"/>
          <w:sz w:val="22"/>
          <w:szCs w:val="22"/>
        </w:rPr>
      </w:pPr>
      <w:r>
        <w:rPr>
          <w:rFonts w:hint="eastAsia" w:cs="Arial"/>
          <w:b/>
          <w:color w:val="000000"/>
          <w:sz w:val="22"/>
          <w:szCs w:val="22"/>
        </w:rPr>
        <w:t>2、</w:t>
      </w:r>
      <w:r>
        <w:rPr>
          <w:rFonts w:cs="Arial"/>
          <w:b/>
          <w:color w:val="000000"/>
          <w:sz w:val="22"/>
          <w:szCs w:val="22"/>
        </w:rPr>
        <w:t>开标准备</w:t>
      </w:r>
    </w:p>
    <w:p>
      <w:pPr>
        <w:snapToGrid w:val="0"/>
        <w:spacing w:line="420" w:lineRule="exact"/>
        <w:ind w:firstLine="527"/>
        <w:rPr>
          <w:rFonts w:hint="eastAsia" w:cs="Arial"/>
          <w:color w:val="000000"/>
          <w:sz w:val="22"/>
          <w:szCs w:val="22"/>
        </w:rPr>
      </w:pPr>
      <w:r>
        <w:rPr>
          <w:rFonts w:cs="Arial"/>
          <w:color w:val="000000"/>
          <w:sz w:val="22"/>
          <w:szCs w:val="22"/>
        </w:rPr>
        <w:t>2</w:t>
      </w:r>
      <w:r>
        <w:rPr>
          <w:rFonts w:hint="eastAsia" w:cs="Arial"/>
          <w:color w:val="000000"/>
          <w:sz w:val="22"/>
          <w:szCs w:val="22"/>
        </w:rPr>
        <w:t>.1开标的准备工作由采购组织机构负责落实；</w:t>
      </w:r>
    </w:p>
    <w:p>
      <w:pPr>
        <w:snapToGrid w:val="0"/>
        <w:spacing w:line="420" w:lineRule="exact"/>
        <w:ind w:firstLine="527"/>
        <w:rPr>
          <w:rFonts w:hint="eastAsia" w:cs="Arial"/>
          <w:color w:val="000000"/>
          <w:sz w:val="22"/>
          <w:szCs w:val="22"/>
        </w:rPr>
      </w:pPr>
      <w:r>
        <w:rPr>
          <w:rFonts w:cs="Arial"/>
          <w:color w:val="000000"/>
          <w:sz w:val="22"/>
          <w:szCs w:val="22"/>
        </w:rPr>
        <w:t>2</w:t>
      </w:r>
      <w:r>
        <w:rPr>
          <w:rFonts w:hint="eastAsia" w:cs="Arial"/>
          <w:color w:val="000000"/>
          <w:sz w:val="22"/>
          <w:szCs w:val="22"/>
        </w:rPr>
        <w:t>.2采购组织机构将按照招标文件规定的时间通过“政府采购云平台”组织开标、开启投标文件，所有供应商均应当准时在线参加。投标供应商</w:t>
      </w:r>
      <w:r>
        <w:rPr>
          <w:rFonts w:cs="Arial"/>
          <w:color w:val="000000"/>
          <w:sz w:val="22"/>
          <w:szCs w:val="22"/>
        </w:rPr>
        <w:t>如不</w:t>
      </w:r>
      <w:r>
        <w:rPr>
          <w:rFonts w:hint="eastAsia" w:cs="Arial"/>
          <w:color w:val="000000"/>
          <w:sz w:val="22"/>
          <w:szCs w:val="22"/>
        </w:rPr>
        <w:t>参加</w:t>
      </w:r>
      <w:r>
        <w:rPr>
          <w:rFonts w:cs="Arial"/>
          <w:color w:val="000000"/>
          <w:sz w:val="22"/>
          <w:szCs w:val="22"/>
        </w:rPr>
        <w:t>开标大会的，</w:t>
      </w:r>
      <w:r>
        <w:rPr>
          <w:rFonts w:hint="eastAsia" w:cs="Arial"/>
          <w:color w:val="000000"/>
          <w:sz w:val="22"/>
          <w:szCs w:val="22"/>
        </w:rPr>
        <w:t>视同认可开标结果，</w:t>
      </w:r>
      <w:r>
        <w:rPr>
          <w:rFonts w:cs="Arial"/>
          <w:color w:val="000000"/>
          <w:sz w:val="22"/>
          <w:szCs w:val="22"/>
        </w:rPr>
        <w:t>事后不得对采购相关人员、开标过程和开标结果提出异议</w:t>
      </w:r>
      <w:r>
        <w:rPr>
          <w:rFonts w:hint="eastAsia" w:cs="Arial"/>
          <w:color w:val="000000"/>
          <w:sz w:val="22"/>
          <w:szCs w:val="22"/>
        </w:rPr>
        <w:t>，同时投标供应商因未在线参加开标而导致投标文件无法按时解密等一切后果由供应商自己承担。</w:t>
      </w:r>
    </w:p>
    <w:p>
      <w:pPr>
        <w:snapToGrid w:val="0"/>
        <w:spacing w:line="420" w:lineRule="exact"/>
        <w:ind w:firstLine="527"/>
        <w:rPr>
          <w:rFonts w:cs="Arial"/>
          <w:color w:val="000000"/>
          <w:sz w:val="22"/>
          <w:szCs w:val="22"/>
        </w:rPr>
      </w:pPr>
      <w:r>
        <w:rPr>
          <w:rFonts w:hint="eastAsia" w:cs="Arial"/>
          <w:color w:val="000000"/>
          <w:sz w:val="22"/>
          <w:szCs w:val="22"/>
        </w:rPr>
        <w:t>3、</w:t>
      </w:r>
      <w:r>
        <w:rPr>
          <w:rFonts w:cs="Arial"/>
          <w:color w:val="000000"/>
          <w:sz w:val="22"/>
          <w:szCs w:val="22"/>
        </w:rPr>
        <w:t>开标</w:t>
      </w:r>
      <w:r>
        <w:rPr>
          <w:rFonts w:hint="eastAsia" w:cs="Arial"/>
          <w:color w:val="000000"/>
          <w:sz w:val="22"/>
          <w:szCs w:val="22"/>
        </w:rPr>
        <w:t>流程（两阶段）</w:t>
      </w:r>
    </w:p>
    <w:p>
      <w:pPr>
        <w:snapToGrid w:val="0"/>
        <w:spacing w:line="420" w:lineRule="exact"/>
        <w:ind w:firstLine="527"/>
        <w:rPr>
          <w:rFonts w:hint="eastAsia" w:cs="Arial"/>
          <w:color w:val="000000"/>
          <w:sz w:val="22"/>
          <w:szCs w:val="22"/>
        </w:rPr>
      </w:pPr>
      <w:r>
        <w:rPr>
          <w:rFonts w:hint="eastAsia" w:cs="Arial"/>
          <w:color w:val="000000"/>
          <w:sz w:val="22"/>
          <w:szCs w:val="22"/>
        </w:rPr>
        <w:t>3.1开标第一阶段</w:t>
      </w:r>
    </w:p>
    <w:p>
      <w:pPr>
        <w:snapToGrid w:val="0"/>
        <w:spacing w:line="420" w:lineRule="exact"/>
        <w:ind w:firstLine="527"/>
        <w:rPr>
          <w:rFonts w:hint="eastAsia" w:cs="Arial"/>
          <w:color w:val="000000"/>
          <w:sz w:val="22"/>
          <w:szCs w:val="22"/>
        </w:rPr>
      </w:pPr>
      <w:r>
        <w:rPr>
          <w:rFonts w:hint="eastAsia" w:cs="Arial"/>
          <w:color w:val="000000"/>
          <w:sz w:val="22"/>
          <w:szCs w:val="22"/>
        </w:rPr>
        <w:t>（</w:t>
      </w:r>
      <w:r>
        <w:rPr>
          <w:rFonts w:cs="Arial"/>
          <w:color w:val="000000"/>
          <w:sz w:val="22"/>
          <w:szCs w:val="22"/>
        </w:rPr>
        <w:t>1</w:t>
      </w:r>
      <w:r>
        <w:rPr>
          <w:rFonts w:hint="eastAsia" w:cs="Arial"/>
          <w:color w:val="000000"/>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hint="eastAsia" w:cs="Arial"/>
          <w:color w:val="000000"/>
          <w:sz w:val="22"/>
          <w:szCs w:val="22"/>
        </w:rPr>
      </w:pPr>
      <w:r>
        <w:rPr>
          <w:rFonts w:hint="eastAsia" w:cs="Arial"/>
          <w:color w:val="000000"/>
          <w:sz w:val="22"/>
          <w:szCs w:val="22"/>
        </w:rPr>
        <w:t>（</w:t>
      </w:r>
      <w:r>
        <w:rPr>
          <w:rFonts w:cs="Arial"/>
          <w:color w:val="000000"/>
          <w:sz w:val="22"/>
          <w:szCs w:val="22"/>
        </w:rPr>
        <w:t>2</w:t>
      </w:r>
      <w:r>
        <w:rPr>
          <w:rFonts w:hint="eastAsia" w:cs="Arial"/>
          <w:color w:val="000000"/>
          <w:sz w:val="22"/>
          <w:szCs w:val="22"/>
        </w:rPr>
        <w:t>）投标文件解密结束，发送各投标人组织签署《政府采购活动现场确认声明书》；</w:t>
      </w:r>
    </w:p>
    <w:p>
      <w:pPr>
        <w:snapToGrid w:val="0"/>
        <w:spacing w:line="420" w:lineRule="exact"/>
        <w:ind w:firstLine="527"/>
        <w:rPr>
          <w:rFonts w:hint="eastAsia" w:cs="Arial"/>
          <w:color w:val="000000"/>
          <w:sz w:val="22"/>
          <w:szCs w:val="22"/>
        </w:rPr>
      </w:pPr>
      <w:r>
        <w:rPr>
          <w:rFonts w:hint="eastAsia" w:cs="Arial"/>
          <w:color w:val="000000"/>
          <w:sz w:val="22"/>
          <w:szCs w:val="22"/>
        </w:rPr>
        <w:t>（</w:t>
      </w:r>
      <w:r>
        <w:rPr>
          <w:rFonts w:cs="Arial"/>
          <w:color w:val="000000"/>
          <w:sz w:val="22"/>
          <w:szCs w:val="22"/>
        </w:rPr>
        <w:t>3</w:t>
      </w:r>
      <w:r>
        <w:rPr>
          <w:rFonts w:hint="eastAsia" w:cs="Arial"/>
          <w:color w:val="000000"/>
          <w:sz w:val="22"/>
          <w:szCs w:val="22"/>
        </w:rPr>
        <w:t>）开启投标文件，进入资格审查；</w:t>
      </w:r>
    </w:p>
    <w:p>
      <w:pPr>
        <w:snapToGrid w:val="0"/>
        <w:spacing w:line="420" w:lineRule="exact"/>
        <w:ind w:firstLine="527"/>
        <w:rPr>
          <w:rFonts w:hint="eastAsia" w:cs="Arial"/>
          <w:color w:val="000000"/>
          <w:sz w:val="22"/>
          <w:szCs w:val="22"/>
        </w:rPr>
      </w:pPr>
      <w:r>
        <w:rPr>
          <w:rFonts w:hint="eastAsia" w:cs="Arial"/>
          <w:color w:val="000000"/>
          <w:sz w:val="22"/>
          <w:szCs w:val="22"/>
        </w:rPr>
        <w:t>（</w:t>
      </w:r>
      <w:r>
        <w:rPr>
          <w:rFonts w:cs="Arial"/>
          <w:color w:val="000000"/>
          <w:sz w:val="22"/>
          <w:szCs w:val="22"/>
        </w:rPr>
        <w:t>4</w:t>
      </w:r>
      <w:r>
        <w:rPr>
          <w:rFonts w:hint="eastAsia" w:cs="Arial"/>
          <w:color w:val="000000"/>
          <w:sz w:val="22"/>
          <w:szCs w:val="22"/>
        </w:rPr>
        <w:t>）开启资格审查通过的投标供应商的商务技术文件进入符合性审查、商务技术评审；</w:t>
      </w:r>
    </w:p>
    <w:p>
      <w:pPr>
        <w:snapToGrid w:val="0"/>
        <w:spacing w:line="420" w:lineRule="exact"/>
        <w:ind w:firstLine="527"/>
        <w:rPr>
          <w:rFonts w:hint="eastAsia" w:cs="Arial"/>
          <w:color w:val="000000"/>
          <w:sz w:val="22"/>
          <w:szCs w:val="22"/>
        </w:rPr>
      </w:pPr>
      <w:r>
        <w:rPr>
          <w:rFonts w:hint="eastAsia" w:cs="Arial"/>
          <w:color w:val="000000"/>
          <w:sz w:val="22"/>
          <w:szCs w:val="22"/>
        </w:rPr>
        <w:t>（</w:t>
      </w:r>
      <w:r>
        <w:rPr>
          <w:rFonts w:cs="Arial"/>
          <w:color w:val="000000"/>
          <w:sz w:val="22"/>
          <w:szCs w:val="22"/>
        </w:rPr>
        <w:t>5</w:t>
      </w:r>
      <w:r>
        <w:rPr>
          <w:rFonts w:hint="eastAsia" w:cs="Arial"/>
          <w:color w:val="000000"/>
          <w:sz w:val="22"/>
          <w:szCs w:val="22"/>
        </w:rPr>
        <w:t>）第一阶段开标结束。</w:t>
      </w:r>
    </w:p>
    <w:p>
      <w:pPr>
        <w:snapToGrid w:val="0"/>
        <w:spacing w:line="420" w:lineRule="exact"/>
        <w:ind w:firstLine="527"/>
        <w:rPr>
          <w:rFonts w:hint="eastAsia" w:cs="Arial"/>
          <w:color w:val="000000"/>
          <w:sz w:val="22"/>
          <w:szCs w:val="22"/>
        </w:rPr>
      </w:pPr>
      <w:r>
        <w:rPr>
          <w:rFonts w:hint="eastAsia" w:cs="Arial"/>
          <w:color w:val="000000"/>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hint="eastAsia" w:cs="Arial"/>
          <w:color w:val="000000"/>
          <w:sz w:val="22"/>
          <w:szCs w:val="22"/>
        </w:rPr>
      </w:pPr>
      <w:r>
        <w:rPr>
          <w:rFonts w:hint="eastAsia" w:cs="Arial"/>
          <w:color w:val="000000"/>
          <w:sz w:val="22"/>
          <w:szCs w:val="22"/>
        </w:rPr>
        <w:t>3.2开标大会第二阶段</w:t>
      </w:r>
    </w:p>
    <w:p>
      <w:pPr>
        <w:snapToGrid w:val="0"/>
        <w:spacing w:line="420" w:lineRule="exact"/>
        <w:ind w:firstLine="527"/>
        <w:rPr>
          <w:rFonts w:hint="eastAsia"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hint="eastAsia" w:cs="Arial"/>
          <w:color w:val="000000"/>
          <w:sz w:val="22"/>
          <w:szCs w:val="22"/>
        </w:rPr>
      </w:pPr>
      <w:r>
        <w:rPr>
          <w:rFonts w:hint="eastAsia" w:cs="Arial"/>
          <w:color w:val="000000"/>
          <w:sz w:val="22"/>
          <w:szCs w:val="22"/>
        </w:rPr>
        <w:t>（2）开启符合性审查、商务技术评审有效投标供应商的《报价文件》，供应商</w:t>
      </w:r>
      <w:r>
        <w:rPr>
          <w:rFonts w:cs="Arial"/>
          <w:color w:val="000000"/>
          <w:sz w:val="22"/>
          <w:szCs w:val="22"/>
        </w:rPr>
        <w:t>签字确认（</w:t>
      </w:r>
      <w:r>
        <w:rPr>
          <w:rFonts w:hint="eastAsia" w:cs="Arial"/>
          <w:color w:val="000000"/>
          <w:sz w:val="22"/>
          <w:szCs w:val="22"/>
        </w:rPr>
        <w:t>10分钟内未</w:t>
      </w:r>
      <w:r>
        <w:rPr>
          <w:rFonts w:cs="Arial"/>
          <w:color w:val="000000"/>
          <w:sz w:val="22"/>
          <w:szCs w:val="22"/>
        </w:rPr>
        <w:t>确认的视为无异议），由评标委员会对报价的合理性、准确性等进行审查核实</w:t>
      </w:r>
      <w:r>
        <w:rPr>
          <w:rFonts w:hint="eastAsia" w:cs="Arial"/>
          <w:color w:val="000000"/>
          <w:sz w:val="22"/>
          <w:szCs w:val="22"/>
        </w:rPr>
        <w:t>。</w:t>
      </w:r>
    </w:p>
    <w:p>
      <w:pPr>
        <w:snapToGrid w:val="0"/>
        <w:spacing w:line="420" w:lineRule="exact"/>
        <w:ind w:firstLine="527"/>
        <w:rPr>
          <w:rFonts w:hint="eastAsia"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hint="eastAsia" w:cs="Arial"/>
          <w:b/>
          <w:color w:val="000000"/>
          <w:sz w:val="22"/>
          <w:szCs w:val="22"/>
        </w:rPr>
      </w:pPr>
      <w:r>
        <w:rPr>
          <w:rFonts w:hint="eastAsia" w:cs="Arial"/>
          <w:b/>
          <w:color w:val="000000"/>
          <w:sz w:val="22"/>
          <w:szCs w:val="22"/>
        </w:rPr>
        <w:t>特别说明：如遇“政府采购云平台”电子化开标或评审程序调整的，按调整后程序执行。</w:t>
      </w:r>
    </w:p>
    <w:p>
      <w:pPr>
        <w:snapToGrid w:val="0"/>
        <w:spacing w:line="420" w:lineRule="exact"/>
        <w:ind w:firstLine="527"/>
        <w:rPr>
          <w:rFonts w:hint="eastAsia" w:cs="Arial"/>
          <w:b/>
          <w:color w:val="000000"/>
          <w:sz w:val="22"/>
          <w:szCs w:val="22"/>
        </w:rPr>
      </w:pPr>
      <w:bookmarkStart w:id="9" w:name="_Toc24550037"/>
      <w:bookmarkStart w:id="10" w:name="_Toc33194393"/>
      <w:r>
        <w:rPr>
          <w:rFonts w:hint="eastAsia" w:cs="Arial"/>
          <w:b/>
          <w:color w:val="000000"/>
          <w:sz w:val="22"/>
          <w:szCs w:val="22"/>
        </w:rPr>
        <w:t>4、投标供应商资格审查</w:t>
      </w:r>
      <w:bookmarkEnd w:id="9"/>
      <w:bookmarkEnd w:id="10"/>
    </w:p>
    <w:p>
      <w:pPr>
        <w:snapToGrid w:val="0"/>
        <w:spacing w:line="420" w:lineRule="exact"/>
        <w:ind w:firstLine="527"/>
        <w:rPr>
          <w:rFonts w:hint="eastAsia" w:cs="Arial"/>
          <w:color w:val="000000"/>
          <w:sz w:val="22"/>
          <w:szCs w:val="22"/>
        </w:rPr>
      </w:pPr>
      <w:r>
        <w:rPr>
          <w:rFonts w:cs="Arial"/>
          <w:color w:val="000000"/>
          <w:sz w:val="22"/>
          <w:szCs w:val="22"/>
        </w:rPr>
        <w:t>4</w:t>
      </w:r>
      <w:r>
        <w:rPr>
          <w:rFonts w:hint="eastAsia" w:cs="Arial"/>
          <w:color w:val="000000"/>
          <w:sz w:val="22"/>
          <w:szCs w:val="22"/>
        </w:rPr>
        <w:t>.1开标大会第一阶段结束后，采购人或采购代理机构首先依法对各投标供应商的资格进行审查，审查各投标供应商的资格是否满足招标文件的要求。</w:t>
      </w:r>
      <w:r>
        <w:rPr>
          <w:rFonts w:cs="Arial"/>
          <w:color w:val="000000"/>
          <w:sz w:val="22"/>
          <w:szCs w:val="22"/>
        </w:rPr>
        <w:t>采购人或采购代理机构对投标</w:t>
      </w:r>
      <w:r>
        <w:rPr>
          <w:rFonts w:hint="eastAsia" w:cs="Arial"/>
          <w:color w:val="000000"/>
          <w:sz w:val="22"/>
          <w:szCs w:val="22"/>
        </w:rPr>
        <w:t>供应商</w:t>
      </w:r>
      <w:r>
        <w:rPr>
          <w:rFonts w:cs="Arial"/>
          <w:color w:val="000000"/>
          <w:sz w:val="22"/>
          <w:szCs w:val="22"/>
        </w:rPr>
        <w:t>所</w:t>
      </w:r>
      <w:r>
        <w:rPr>
          <w:rFonts w:hint="eastAsia" w:cs="Arial"/>
          <w:color w:val="000000"/>
          <w:sz w:val="22"/>
          <w:szCs w:val="22"/>
        </w:rPr>
        <w:t>提交</w:t>
      </w:r>
      <w:r>
        <w:rPr>
          <w:rFonts w:cs="Arial"/>
          <w:color w:val="000000"/>
          <w:sz w:val="22"/>
          <w:szCs w:val="22"/>
        </w:rPr>
        <w:t>的资格证明材料仅负审核的责任。如发现投标</w:t>
      </w:r>
      <w:r>
        <w:rPr>
          <w:rFonts w:hint="eastAsia" w:cs="Arial"/>
          <w:color w:val="000000"/>
          <w:sz w:val="22"/>
          <w:szCs w:val="22"/>
        </w:rPr>
        <w:t>供应商</w:t>
      </w:r>
      <w:r>
        <w:rPr>
          <w:rFonts w:cs="Arial"/>
          <w:color w:val="000000"/>
          <w:sz w:val="22"/>
          <w:szCs w:val="22"/>
        </w:rPr>
        <w:t>所提</w:t>
      </w:r>
      <w:r>
        <w:rPr>
          <w:rFonts w:hint="eastAsia" w:cs="Arial"/>
          <w:color w:val="000000"/>
          <w:sz w:val="22"/>
          <w:szCs w:val="22"/>
        </w:rPr>
        <w:t>交</w:t>
      </w:r>
      <w:r>
        <w:rPr>
          <w:rFonts w:cs="Arial"/>
          <w:color w:val="000000"/>
          <w:sz w:val="22"/>
          <w:szCs w:val="22"/>
        </w:rPr>
        <w:t>的资格证明材料不合法或</w:t>
      </w:r>
      <w:r>
        <w:rPr>
          <w:rFonts w:hint="eastAsia" w:cs="Arial"/>
          <w:color w:val="000000"/>
          <w:sz w:val="22"/>
          <w:szCs w:val="22"/>
        </w:rPr>
        <w:t>与事实不符</w:t>
      </w:r>
      <w:r>
        <w:rPr>
          <w:rFonts w:cs="Arial"/>
          <w:color w:val="000000"/>
          <w:sz w:val="22"/>
          <w:szCs w:val="22"/>
        </w:rPr>
        <w:t>，采购人可取消</w:t>
      </w:r>
      <w:r>
        <w:rPr>
          <w:rFonts w:hint="eastAsia" w:cs="Arial"/>
          <w:color w:val="000000"/>
          <w:sz w:val="22"/>
          <w:szCs w:val="22"/>
        </w:rPr>
        <w:t>其</w:t>
      </w:r>
      <w:r>
        <w:rPr>
          <w:rFonts w:cs="Arial"/>
          <w:color w:val="000000"/>
          <w:sz w:val="22"/>
          <w:szCs w:val="22"/>
        </w:rPr>
        <w:t>中标资格并追究投标</w:t>
      </w:r>
      <w:r>
        <w:rPr>
          <w:rFonts w:hint="eastAsia" w:cs="Arial"/>
          <w:color w:val="000000"/>
          <w:sz w:val="22"/>
          <w:szCs w:val="22"/>
        </w:rPr>
        <w:t>供应商</w:t>
      </w:r>
      <w:r>
        <w:rPr>
          <w:rFonts w:cs="Arial"/>
          <w:color w:val="000000"/>
          <w:sz w:val="22"/>
          <w:szCs w:val="22"/>
        </w:rPr>
        <w:t>的法律责任。</w:t>
      </w:r>
    </w:p>
    <w:p>
      <w:pPr>
        <w:snapToGrid w:val="0"/>
        <w:spacing w:line="420" w:lineRule="exact"/>
        <w:ind w:firstLine="527"/>
        <w:rPr>
          <w:rFonts w:hint="eastAsia" w:cs="Arial"/>
          <w:color w:val="000000"/>
          <w:sz w:val="22"/>
          <w:szCs w:val="22"/>
        </w:rPr>
      </w:pPr>
      <w:r>
        <w:rPr>
          <w:rFonts w:cs="Arial"/>
          <w:color w:val="000000"/>
          <w:sz w:val="22"/>
          <w:szCs w:val="22"/>
        </w:rPr>
        <w:t>4</w:t>
      </w:r>
      <w:r>
        <w:rPr>
          <w:rFonts w:hint="eastAsia" w:cs="Arial"/>
          <w:color w:val="000000"/>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hint="eastAsia" w:cs="Arial"/>
          <w:color w:val="000000"/>
          <w:sz w:val="22"/>
          <w:szCs w:val="22"/>
        </w:rPr>
      </w:pPr>
      <w:r>
        <w:rPr>
          <w:rFonts w:cs="Arial"/>
          <w:color w:val="000000"/>
          <w:sz w:val="22"/>
          <w:szCs w:val="22"/>
        </w:rPr>
        <w:t>4</w:t>
      </w:r>
      <w:r>
        <w:rPr>
          <w:rFonts w:hint="eastAsia" w:cs="Arial"/>
          <w:color w:val="000000"/>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hint="eastAsia" w:cs="Arial"/>
          <w:b/>
          <w:color w:val="000000"/>
          <w:sz w:val="22"/>
          <w:szCs w:val="22"/>
        </w:rPr>
      </w:pPr>
      <w:r>
        <w:rPr>
          <w:rFonts w:hint="eastAsia" w:cs="Arial"/>
          <w:b/>
          <w:color w:val="000000"/>
          <w:sz w:val="22"/>
          <w:szCs w:val="22"/>
        </w:rPr>
        <w:t>二）评标</w:t>
      </w:r>
    </w:p>
    <w:p>
      <w:pPr>
        <w:snapToGrid w:val="0"/>
        <w:spacing w:line="420" w:lineRule="exact"/>
        <w:ind w:firstLine="527"/>
        <w:rPr>
          <w:rFonts w:hint="eastAsia" w:cs="Arial"/>
          <w:color w:val="000000"/>
          <w:sz w:val="22"/>
          <w:szCs w:val="22"/>
        </w:rPr>
      </w:pPr>
      <w:r>
        <w:rPr>
          <w:rFonts w:hint="eastAsia" w:cs="Arial"/>
          <w:color w:val="000000"/>
          <w:sz w:val="22"/>
          <w:szCs w:val="22"/>
        </w:rPr>
        <w:t>2.1评标由采购人依法组建的评标委员会负责</w:t>
      </w:r>
      <w:r>
        <w:rPr>
          <w:rFonts w:hint="eastAsia"/>
          <w:color w:val="000000"/>
          <w:sz w:val="22"/>
          <w:szCs w:val="22"/>
        </w:rPr>
        <w:t>，并独立履行下列职责：</w:t>
      </w:r>
    </w:p>
    <w:p>
      <w:pPr>
        <w:snapToGrid w:val="0"/>
        <w:spacing w:line="420" w:lineRule="exact"/>
        <w:ind w:firstLine="527"/>
        <w:rPr>
          <w:rFonts w:hint="eastAsia"/>
          <w:color w:val="000000"/>
          <w:sz w:val="22"/>
          <w:szCs w:val="22"/>
        </w:rPr>
      </w:pPr>
      <w:r>
        <w:rPr>
          <w:rFonts w:hint="eastAsia"/>
          <w:color w:val="000000"/>
          <w:sz w:val="22"/>
          <w:szCs w:val="22"/>
        </w:rPr>
        <w:t>1）审查投标文件是否符合招标文件要求，并作出评价；</w:t>
      </w:r>
    </w:p>
    <w:p>
      <w:pPr>
        <w:snapToGrid w:val="0"/>
        <w:spacing w:line="420" w:lineRule="exact"/>
        <w:ind w:firstLine="527"/>
        <w:rPr>
          <w:rFonts w:hint="eastAsia"/>
          <w:color w:val="000000"/>
          <w:sz w:val="22"/>
          <w:szCs w:val="22"/>
        </w:rPr>
      </w:pPr>
      <w:r>
        <w:rPr>
          <w:rFonts w:hint="eastAsia"/>
          <w:color w:val="000000"/>
          <w:sz w:val="22"/>
          <w:szCs w:val="22"/>
        </w:rPr>
        <w:t>2）要求投标供应商对投标文件有关事项作出解释或者澄清；</w:t>
      </w:r>
    </w:p>
    <w:p>
      <w:pPr>
        <w:snapToGrid w:val="0"/>
        <w:spacing w:line="420" w:lineRule="exact"/>
        <w:ind w:firstLine="527"/>
        <w:rPr>
          <w:rFonts w:hint="eastAsia"/>
          <w:color w:val="000000"/>
          <w:sz w:val="22"/>
          <w:szCs w:val="22"/>
        </w:rPr>
      </w:pPr>
      <w:r>
        <w:rPr>
          <w:rFonts w:hint="eastAsia"/>
          <w:color w:val="000000"/>
          <w:sz w:val="22"/>
          <w:szCs w:val="22"/>
        </w:rPr>
        <w:t>3）根据采购人授权确定中标供应商；</w:t>
      </w:r>
    </w:p>
    <w:p>
      <w:pPr>
        <w:snapToGrid w:val="0"/>
        <w:spacing w:line="420" w:lineRule="exact"/>
        <w:ind w:firstLine="431" w:firstLineChars="196"/>
        <w:rPr>
          <w:rFonts w:hint="eastAsia"/>
          <w:color w:val="000000"/>
          <w:sz w:val="22"/>
          <w:szCs w:val="22"/>
        </w:rPr>
      </w:pPr>
      <w:r>
        <w:rPr>
          <w:rFonts w:hint="eastAsia"/>
          <w:color w:val="000000"/>
          <w:sz w:val="22"/>
          <w:szCs w:val="22"/>
        </w:rPr>
        <w:t>4）向采购代理机构或者有关部门报告非法干预评标工作的行为。</w:t>
      </w:r>
    </w:p>
    <w:p>
      <w:pPr>
        <w:snapToGrid w:val="0"/>
        <w:spacing w:line="420" w:lineRule="exact"/>
        <w:ind w:firstLine="431" w:firstLineChars="196"/>
        <w:rPr>
          <w:rFonts w:hint="eastAsia"/>
          <w:color w:val="000000"/>
          <w:sz w:val="22"/>
          <w:szCs w:val="22"/>
        </w:rPr>
      </w:pPr>
      <w:r>
        <w:rPr>
          <w:rFonts w:hint="eastAsia"/>
          <w:color w:val="000000"/>
          <w:sz w:val="22"/>
          <w:szCs w:val="22"/>
        </w:rPr>
        <w:t>2.2、评标应当遵循下列工作程序：</w:t>
      </w:r>
    </w:p>
    <w:p>
      <w:pPr>
        <w:snapToGrid w:val="0"/>
        <w:spacing w:line="420" w:lineRule="exact"/>
        <w:rPr>
          <w:rFonts w:hint="eastAsia" w:cs="Arial"/>
          <w:b/>
          <w:color w:val="000000"/>
          <w:sz w:val="22"/>
          <w:szCs w:val="22"/>
          <w:u w:val="single"/>
        </w:rPr>
      </w:pPr>
      <w:r>
        <w:rPr>
          <w:rFonts w:hint="eastAsia"/>
          <w:color w:val="000000"/>
          <w:sz w:val="22"/>
          <w:szCs w:val="22"/>
        </w:rPr>
        <w:t xml:space="preserve">    1）投标文件初审。初审分为资格性检查和符合性检查。</w:t>
      </w:r>
    </w:p>
    <w:p>
      <w:pPr>
        <w:snapToGrid w:val="0"/>
        <w:spacing w:line="420" w:lineRule="exact"/>
        <w:rPr>
          <w:rFonts w:hint="eastAsia"/>
          <w:color w:val="000000"/>
          <w:sz w:val="22"/>
          <w:szCs w:val="22"/>
        </w:rPr>
      </w:pPr>
      <w:r>
        <w:rPr>
          <w:rFonts w:hint="eastAsia"/>
          <w:color w:val="000000"/>
          <w:sz w:val="22"/>
          <w:szCs w:val="22"/>
        </w:rPr>
        <w:t xml:space="preserve">   （1)资格性检查。依据法律法规和招标文件的规定，对投标文件中的</w:t>
      </w:r>
      <w:r>
        <w:rPr>
          <w:color w:val="000000"/>
          <w:sz w:val="22"/>
          <w:szCs w:val="22"/>
        </w:rPr>
        <w:t>投标</w:t>
      </w:r>
      <w:r>
        <w:rPr>
          <w:rFonts w:hint="eastAsia"/>
          <w:color w:val="000000"/>
          <w:sz w:val="22"/>
          <w:szCs w:val="22"/>
        </w:rPr>
        <w:t>供应商</w:t>
      </w:r>
      <w:r>
        <w:rPr>
          <w:color w:val="000000"/>
          <w:sz w:val="22"/>
          <w:szCs w:val="22"/>
        </w:rPr>
        <w:t>资格文件</w:t>
      </w:r>
      <w:r>
        <w:rPr>
          <w:rFonts w:hint="eastAsia"/>
          <w:color w:val="000000"/>
          <w:sz w:val="22"/>
          <w:szCs w:val="22"/>
        </w:rPr>
        <w:t>等进行审查，以确定投标供应商是否具备投标资格。</w:t>
      </w:r>
    </w:p>
    <w:p>
      <w:pPr>
        <w:snapToGrid w:val="0"/>
        <w:spacing w:line="420" w:lineRule="exact"/>
        <w:rPr>
          <w:rFonts w:hint="eastAsia"/>
          <w:color w:val="000000"/>
          <w:sz w:val="22"/>
          <w:szCs w:val="22"/>
        </w:rPr>
      </w:pPr>
      <w:r>
        <w:rPr>
          <w:rFonts w:hint="eastAsia"/>
          <w:color w:val="000000"/>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hint="eastAsia"/>
          <w:color w:val="000000"/>
          <w:sz w:val="22"/>
          <w:szCs w:val="22"/>
        </w:rPr>
      </w:pPr>
      <w:r>
        <w:rPr>
          <w:rFonts w:hint="eastAsia"/>
          <w:color w:val="000000"/>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color w:val="000000"/>
          <w:sz w:val="22"/>
          <w:szCs w:val="22"/>
        </w:rPr>
      </w:pPr>
      <w:r>
        <w:rPr>
          <w:rFonts w:hint="eastAsia"/>
          <w:color w:val="000000"/>
          <w:sz w:val="22"/>
          <w:szCs w:val="22"/>
        </w:rPr>
        <w:t>3）比较与评价。按招标文件中规定的评标方法和标准，对资格性检查和符合性检查合格的投标文件进行综合评估，综合比较与评价。</w:t>
      </w:r>
    </w:p>
    <w:p>
      <w:pPr>
        <w:pStyle w:val="33"/>
        <w:adjustRightInd w:val="0"/>
        <w:snapToGrid w:val="0"/>
        <w:spacing w:line="420" w:lineRule="exact"/>
        <w:ind w:firstLine="440" w:firstLineChars="200"/>
        <w:rPr>
          <w:rFonts w:hint="eastAsia" w:hAnsi="宋体" w:cs="Arial"/>
          <w:b/>
          <w:color w:val="000000"/>
          <w:sz w:val="22"/>
          <w:szCs w:val="22"/>
          <w:u w:val="single"/>
        </w:rPr>
      </w:pPr>
      <w:r>
        <w:rPr>
          <w:rFonts w:hint="eastAsia" w:hAnsi="宋体" w:cs="Arial"/>
          <w:color w:val="000000"/>
          <w:sz w:val="22"/>
          <w:szCs w:val="22"/>
        </w:rPr>
        <w:t>2.4、</w:t>
      </w:r>
      <w:r>
        <w:rPr>
          <w:rFonts w:hint="eastAsia" w:hAnsi="宋体" w:cs="Arial"/>
          <w:b/>
          <w:color w:val="000000"/>
          <w:sz w:val="22"/>
          <w:szCs w:val="22"/>
          <w:u w:val="single"/>
        </w:rPr>
        <w:t>评标委员会发现投标文件有下列情形之一的属于重大偏差(评标委员会按少数服从多数原则认定),按照无效投标处理：</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1）未按招标文件要求编制或字迹模糊、辨认不清的投标文件；</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2）投标文件存在一个或一个以上备选（替代）投标方案的；仅提交“备份投标文件”的；</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3）没有按招标文件格式要求加盖有效公章、无法定代表人（或授权代表）签字或印章（具体格式见招标文件附件—投标文件格式）；</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4）投标文件未有效授权，法定代表人授权委托书等填写不完整或有涂改的；</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5）供应商商务技术投标文件中出现投标产品的本项目报价；</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6）文件组成内容不齐全，本招标文件规定必须提供而未提供的（属于资格审查范围的除外）；明显不符合要求的投标文件；</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7）付款方式、服务期出现负偏差的；</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8）投标文件附有采购人不能接受的条款；</w:t>
      </w:r>
    </w:p>
    <w:p>
      <w:pPr>
        <w:pStyle w:val="33"/>
        <w:adjustRightInd w:val="0"/>
        <w:snapToGrid w:val="0"/>
        <w:spacing w:line="420" w:lineRule="exact"/>
        <w:ind w:firstLine="431" w:firstLineChars="196"/>
        <w:rPr>
          <w:rFonts w:hint="eastAsia" w:hAnsi="宋体" w:cs="Arial"/>
          <w:color w:val="000000"/>
          <w:sz w:val="22"/>
          <w:szCs w:val="22"/>
        </w:rPr>
      </w:pPr>
      <w:r>
        <w:rPr>
          <w:rFonts w:hint="eastAsia" w:hAnsi="宋体" w:cs="Arial"/>
          <w:color w:val="000000"/>
          <w:sz w:val="22"/>
          <w:szCs w:val="22"/>
        </w:rPr>
        <w:t>9）不符合招标文件中规定的实质性要求的投标文件，是否为偏离实质性要求由评标委员会认定。</w:t>
      </w:r>
    </w:p>
    <w:p>
      <w:pPr>
        <w:pStyle w:val="33"/>
        <w:adjustRightInd w:val="0"/>
        <w:snapToGrid w:val="0"/>
        <w:spacing w:line="420" w:lineRule="exact"/>
        <w:ind w:firstLine="431" w:firstLineChars="196"/>
        <w:rPr>
          <w:rFonts w:hint="eastAsia"/>
          <w:color w:val="000000"/>
        </w:rPr>
      </w:pPr>
      <w:r>
        <w:rPr>
          <w:rFonts w:hint="eastAsia" w:cs="Arial"/>
          <w:color w:val="000000"/>
          <w:sz w:val="22"/>
          <w:szCs w:val="22"/>
        </w:rPr>
        <w:t>10）</w:t>
      </w:r>
      <w:r>
        <w:rPr>
          <w:rFonts w:cs="Arial"/>
          <w:color w:val="000000"/>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33"/>
        <w:adjustRightInd w:val="0"/>
        <w:snapToGrid w:val="0"/>
        <w:spacing w:line="420" w:lineRule="exact"/>
        <w:ind w:firstLine="431" w:firstLineChars="196"/>
        <w:rPr>
          <w:rFonts w:cs="Arial"/>
          <w:color w:val="000000"/>
          <w:sz w:val="22"/>
          <w:szCs w:val="22"/>
        </w:rPr>
      </w:pPr>
      <w:r>
        <w:rPr>
          <w:rFonts w:hint="eastAsia" w:cs="Arial"/>
          <w:color w:val="000000"/>
          <w:sz w:val="22"/>
          <w:szCs w:val="22"/>
        </w:rPr>
        <w:t>11）</w:t>
      </w:r>
      <w:r>
        <w:rPr>
          <w:rFonts w:cs="Arial"/>
          <w:color w:val="000000"/>
          <w:sz w:val="22"/>
          <w:szCs w:val="22"/>
        </w:rPr>
        <w:t>有下列情形之一的，视为投标供应商串通投标，其投标无效：</w:t>
      </w:r>
    </w:p>
    <w:p>
      <w:pPr>
        <w:pStyle w:val="33"/>
        <w:adjustRightInd w:val="0"/>
        <w:snapToGrid w:val="0"/>
        <w:spacing w:line="420" w:lineRule="exact"/>
        <w:ind w:firstLine="431" w:firstLineChars="196"/>
        <w:rPr>
          <w:rFonts w:cs="Arial"/>
          <w:color w:val="000000"/>
          <w:sz w:val="22"/>
          <w:szCs w:val="22"/>
        </w:rPr>
      </w:pPr>
      <w:r>
        <w:rPr>
          <w:rFonts w:cs="Arial"/>
          <w:color w:val="000000"/>
          <w:sz w:val="22"/>
          <w:szCs w:val="22"/>
        </w:rPr>
        <w:t>　　（一）不同投标供应商的投标文件由同一单位或者个人编制；</w:t>
      </w:r>
    </w:p>
    <w:p>
      <w:pPr>
        <w:pStyle w:val="33"/>
        <w:adjustRightInd w:val="0"/>
        <w:snapToGrid w:val="0"/>
        <w:spacing w:line="420" w:lineRule="exact"/>
        <w:ind w:firstLine="431" w:firstLineChars="196"/>
        <w:rPr>
          <w:rFonts w:cs="Arial"/>
          <w:color w:val="000000"/>
          <w:sz w:val="22"/>
          <w:szCs w:val="22"/>
        </w:rPr>
      </w:pPr>
      <w:r>
        <w:rPr>
          <w:rFonts w:cs="Arial"/>
          <w:color w:val="000000"/>
          <w:sz w:val="22"/>
          <w:szCs w:val="22"/>
        </w:rPr>
        <w:t>　　（二）不同投标供应商委托同一单位或者个人办理投标事宜；</w:t>
      </w:r>
    </w:p>
    <w:p>
      <w:pPr>
        <w:pStyle w:val="33"/>
        <w:adjustRightInd w:val="0"/>
        <w:snapToGrid w:val="0"/>
        <w:spacing w:line="420" w:lineRule="exact"/>
        <w:ind w:firstLine="431" w:firstLineChars="196"/>
        <w:rPr>
          <w:rFonts w:cs="Arial"/>
          <w:color w:val="000000"/>
          <w:sz w:val="22"/>
          <w:szCs w:val="22"/>
        </w:rPr>
      </w:pPr>
      <w:r>
        <w:rPr>
          <w:rFonts w:cs="Arial"/>
          <w:color w:val="000000"/>
          <w:sz w:val="22"/>
          <w:szCs w:val="22"/>
        </w:rPr>
        <w:t>　　（三）不同投标供应商的投标文件载明的项目管理成员或者联系人员为同一人；</w:t>
      </w:r>
    </w:p>
    <w:p>
      <w:pPr>
        <w:pStyle w:val="33"/>
        <w:adjustRightInd w:val="0"/>
        <w:snapToGrid w:val="0"/>
        <w:spacing w:line="420" w:lineRule="exact"/>
        <w:ind w:firstLine="431" w:firstLineChars="196"/>
        <w:rPr>
          <w:rFonts w:cs="Arial"/>
          <w:color w:val="000000"/>
          <w:sz w:val="22"/>
          <w:szCs w:val="22"/>
        </w:rPr>
      </w:pPr>
      <w:r>
        <w:rPr>
          <w:rFonts w:cs="Arial"/>
          <w:color w:val="000000"/>
          <w:sz w:val="22"/>
          <w:szCs w:val="22"/>
        </w:rPr>
        <w:t>　　（四）不同投标供应商的投标文件异常一致或者投标报价呈规律性差异；</w:t>
      </w:r>
    </w:p>
    <w:p>
      <w:pPr>
        <w:pStyle w:val="33"/>
        <w:adjustRightInd w:val="0"/>
        <w:snapToGrid w:val="0"/>
        <w:spacing w:line="420" w:lineRule="exact"/>
        <w:ind w:firstLine="431" w:firstLineChars="196"/>
        <w:rPr>
          <w:rFonts w:hint="eastAsia" w:cs="Arial"/>
          <w:color w:val="000000"/>
          <w:sz w:val="22"/>
          <w:szCs w:val="22"/>
        </w:rPr>
      </w:pPr>
      <w:r>
        <w:rPr>
          <w:rFonts w:cs="Arial"/>
          <w:color w:val="000000"/>
          <w:sz w:val="22"/>
          <w:szCs w:val="22"/>
        </w:rPr>
        <w:t>　　（五）不同投标供应商的投标文件相互混装；　　</w:t>
      </w:r>
    </w:p>
    <w:p>
      <w:pPr>
        <w:pStyle w:val="33"/>
        <w:adjustRightInd w:val="0"/>
        <w:snapToGrid w:val="0"/>
        <w:spacing w:line="420" w:lineRule="exact"/>
        <w:ind w:firstLine="431" w:firstLineChars="196"/>
        <w:rPr>
          <w:rFonts w:hint="eastAsia" w:hAnsi="宋体" w:cs="Arial"/>
          <w:color w:val="000000"/>
          <w:sz w:val="22"/>
          <w:szCs w:val="22"/>
          <w:u w:val="single"/>
        </w:rPr>
      </w:pPr>
      <w:r>
        <w:rPr>
          <w:rFonts w:hint="eastAsia" w:hAnsi="宋体" w:cs="Arial"/>
          <w:color w:val="000000"/>
          <w:sz w:val="22"/>
          <w:szCs w:val="22"/>
        </w:rPr>
        <w:t>12）其他经评标委员会认定的未能在实质上响应的或违反国家有关规定的投标文件。</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2.7、评标委员会在评标中，不得改变招标文件中规定的评标标准、方法和中标条件。</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3.投标文件的澄清</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3.1对于投标文件中含义不明确、同类问题表述不一致或者有明显文字和计算错误的内容，评标委员会将以书面形式（或通过“政府采购云平台”在线询标）的形式要求</w:t>
      </w:r>
      <w:r>
        <w:rPr>
          <w:rFonts w:cs="Arial"/>
          <w:color w:val="000000"/>
          <w:sz w:val="22"/>
          <w:szCs w:val="22"/>
        </w:rPr>
        <w:t>投标供应商</w:t>
      </w:r>
      <w:r>
        <w:rPr>
          <w:rFonts w:hint="eastAsia" w:cs="Arial"/>
          <w:color w:val="000000"/>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3.2</w:t>
      </w:r>
      <w:r>
        <w:rPr>
          <w:rFonts w:cs="Arial"/>
          <w:color w:val="000000"/>
          <w:sz w:val="22"/>
          <w:szCs w:val="22"/>
        </w:rPr>
        <w:t>投标供应商</w:t>
      </w:r>
      <w:r>
        <w:rPr>
          <w:rFonts w:hint="eastAsia" w:cs="Arial"/>
          <w:color w:val="000000"/>
          <w:sz w:val="22"/>
          <w:szCs w:val="22"/>
        </w:rPr>
        <w:t>的澄清、说明或者补正应当采用书面（或通过“政府采购云平台”在线答复）形式提交，并加盖公章，或者由法定代表人或其授权的代表签字。</w:t>
      </w:r>
      <w:r>
        <w:rPr>
          <w:rFonts w:cs="Arial"/>
          <w:color w:val="000000"/>
          <w:sz w:val="22"/>
          <w:szCs w:val="22"/>
        </w:rPr>
        <w:t>投标供应商</w:t>
      </w:r>
      <w:r>
        <w:rPr>
          <w:rFonts w:hint="eastAsia" w:cs="Arial"/>
          <w:color w:val="000000"/>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color w:val="000000"/>
          <w:sz w:val="22"/>
          <w:szCs w:val="22"/>
        </w:rPr>
      </w:pPr>
      <w:r>
        <w:rPr>
          <w:rFonts w:hint="eastAsia" w:cs="Arial"/>
          <w:b/>
          <w:color w:val="000000"/>
          <w:sz w:val="22"/>
          <w:szCs w:val="22"/>
        </w:rPr>
        <w:t>4、在采购中，出现下列情形之一的，应予废标：</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 xml:space="preserve">(1) 截止时间及评审期间，出现有效供应商不足三家的，作流（废）标处理，并重新组织招标。 </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(2)出现影响采购公正的违法、违规行为的；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(3)报价均超过预算，不能支付的；</w:t>
      </w:r>
    </w:p>
    <w:p>
      <w:pPr>
        <w:adjustRightInd w:val="0"/>
        <w:snapToGrid w:val="0"/>
        <w:spacing w:line="420" w:lineRule="exact"/>
        <w:ind w:firstLine="440" w:firstLineChars="200"/>
        <w:rPr>
          <w:rFonts w:hint="eastAsia" w:cs="Arial"/>
          <w:color w:val="000000"/>
          <w:sz w:val="22"/>
          <w:szCs w:val="22"/>
        </w:rPr>
      </w:pPr>
      <w:r>
        <w:rPr>
          <w:rFonts w:hint="eastAsia" w:cs="Arial"/>
          <w:color w:val="000000"/>
          <w:sz w:val="22"/>
          <w:szCs w:val="22"/>
        </w:rPr>
        <w:t>(4)因重大变故，采购任务取消的。</w:t>
      </w:r>
    </w:p>
    <w:p>
      <w:pPr>
        <w:adjustRightInd w:val="0"/>
        <w:snapToGrid w:val="0"/>
        <w:spacing w:line="420" w:lineRule="exact"/>
        <w:ind w:firstLine="442" w:firstLineChars="200"/>
        <w:rPr>
          <w:rFonts w:hint="eastAsia" w:cs="Arial"/>
          <w:b/>
          <w:color w:val="000000"/>
          <w:sz w:val="22"/>
          <w:szCs w:val="22"/>
        </w:rPr>
      </w:pPr>
      <w:r>
        <w:rPr>
          <w:rFonts w:hint="eastAsia" w:cs="Arial"/>
          <w:b/>
          <w:color w:val="000000"/>
          <w:sz w:val="22"/>
          <w:szCs w:val="22"/>
        </w:rPr>
        <w:t>5、可中止电子交易活动的情形</w:t>
      </w:r>
    </w:p>
    <w:p>
      <w:pPr>
        <w:adjustRightInd w:val="0"/>
        <w:snapToGrid w:val="0"/>
        <w:spacing w:line="420" w:lineRule="exact"/>
        <w:ind w:firstLine="442" w:firstLineChars="200"/>
        <w:rPr>
          <w:rFonts w:cs="Arial"/>
          <w:b/>
          <w:color w:val="000000"/>
          <w:sz w:val="22"/>
          <w:szCs w:val="22"/>
        </w:rPr>
      </w:pPr>
      <w:r>
        <w:rPr>
          <w:rFonts w:hint="eastAsia" w:cs="Arial"/>
          <w:b/>
          <w:color w:val="000000"/>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1）电子交易平台发生故障而无法登录访问的；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2）电子交易平台应用或数据库出现错误，不能进行正常操作的；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3）电子交易平台发现严重安全漏洞，有潜在泄密危险的；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4）病毒发作导致不能进行正常操作的；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5）其他无法保证电子交易的公平、公正和安全的情况。</w:t>
      </w:r>
    </w:p>
    <w:p>
      <w:pPr>
        <w:adjustRightInd w:val="0"/>
        <w:snapToGrid w:val="0"/>
        <w:spacing w:line="420" w:lineRule="exact"/>
        <w:ind w:firstLine="442" w:firstLineChars="200"/>
        <w:rPr>
          <w:rFonts w:hint="eastAsia" w:cs="Arial"/>
          <w:b/>
          <w:color w:val="000000"/>
          <w:sz w:val="22"/>
          <w:szCs w:val="22"/>
        </w:rPr>
      </w:pPr>
      <w:r>
        <w:rPr>
          <w:rFonts w:hint="eastAsia" w:cs="Arial"/>
          <w:b/>
          <w:color w:val="000000"/>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hint="eastAsia" w:cs="Arial"/>
          <w:color w:val="000000"/>
          <w:sz w:val="22"/>
          <w:szCs w:val="22"/>
        </w:rPr>
      </w:pPr>
      <w:r>
        <w:rPr>
          <w:rFonts w:hint="eastAsia" w:cs="Arial"/>
          <w:color w:val="000000"/>
          <w:sz w:val="22"/>
          <w:szCs w:val="22"/>
        </w:rPr>
        <w:t>6、评标原则</w:t>
      </w:r>
    </w:p>
    <w:p>
      <w:pPr>
        <w:snapToGrid w:val="0"/>
        <w:spacing w:line="420" w:lineRule="exact"/>
        <w:ind w:firstLine="527"/>
        <w:rPr>
          <w:rFonts w:hint="eastAsia" w:cs="Arial"/>
          <w:color w:val="000000"/>
          <w:sz w:val="22"/>
          <w:szCs w:val="22"/>
        </w:rPr>
      </w:pPr>
      <w:r>
        <w:rPr>
          <w:rFonts w:hint="eastAsia" w:cs="Arial"/>
          <w:color w:val="000000"/>
          <w:sz w:val="22"/>
          <w:szCs w:val="22"/>
        </w:rPr>
        <w:t>评标委员会按照招标文件的要求和条件对投标文件进行资格、商务和技术评估，综合比较与评价。</w:t>
      </w:r>
    </w:p>
    <w:p>
      <w:pPr>
        <w:snapToGrid w:val="0"/>
        <w:spacing w:line="420" w:lineRule="exact"/>
        <w:ind w:firstLine="527"/>
        <w:rPr>
          <w:rFonts w:hint="eastAsia" w:cs="Arial"/>
          <w:color w:val="000000"/>
          <w:sz w:val="22"/>
          <w:szCs w:val="22"/>
        </w:rPr>
      </w:pPr>
      <w:r>
        <w:rPr>
          <w:rFonts w:hint="eastAsia" w:cs="Arial"/>
          <w:color w:val="000000"/>
          <w:sz w:val="22"/>
          <w:szCs w:val="22"/>
        </w:rPr>
        <w:t>评标办法具体见本招标文件第六部分。</w:t>
      </w:r>
    </w:p>
    <w:p>
      <w:pPr>
        <w:snapToGrid w:val="0"/>
        <w:spacing w:line="420" w:lineRule="exact"/>
        <w:ind w:firstLine="527"/>
        <w:rPr>
          <w:rFonts w:hint="eastAsia" w:cs="Arial"/>
          <w:color w:val="000000"/>
          <w:sz w:val="22"/>
          <w:szCs w:val="22"/>
        </w:rPr>
      </w:pPr>
      <w:r>
        <w:rPr>
          <w:rFonts w:hint="eastAsia" w:cs="Arial"/>
          <w:color w:val="000000"/>
          <w:sz w:val="22"/>
          <w:szCs w:val="22"/>
        </w:rPr>
        <w:t>7、评标过程中遇到特殊情况，由评标委员会遵循公开、公正原则，采取投票方式按照少数服从多数原则决定。</w:t>
      </w:r>
    </w:p>
    <w:p>
      <w:pPr>
        <w:snapToGrid w:val="0"/>
        <w:spacing w:line="420" w:lineRule="exact"/>
        <w:ind w:firstLine="527"/>
        <w:outlineLvl w:val="0"/>
        <w:rPr>
          <w:rFonts w:hint="eastAsia"/>
          <w:color w:val="000000"/>
          <w:sz w:val="22"/>
          <w:szCs w:val="22"/>
        </w:rPr>
      </w:pPr>
      <w:r>
        <w:rPr>
          <w:rFonts w:hint="eastAsia"/>
          <w:color w:val="000000"/>
          <w:sz w:val="22"/>
          <w:szCs w:val="22"/>
        </w:rPr>
        <w:t>七、授予合同</w:t>
      </w:r>
    </w:p>
    <w:p>
      <w:pPr>
        <w:snapToGrid w:val="0"/>
        <w:spacing w:line="420" w:lineRule="exact"/>
        <w:ind w:firstLine="527"/>
        <w:rPr>
          <w:rFonts w:hint="eastAsia"/>
          <w:color w:val="000000"/>
          <w:sz w:val="22"/>
          <w:szCs w:val="22"/>
        </w:rPr>
      </w:pPr>
      <w:r>
        <w:rPr>
          <w:rFonts w:hint="eastAsia"/>
          <w:color w:val="000000"/>
          <w:sz w:val="22"/>
          <w:szCs w:val="22"/>
        </w:rPr>
        <w:t>1、决标</w:t>
      </w:r>
    </w:p>
    <w:p>
      <w:pPr>
        <w:snapToGrid w:val="0"/>
        <w:spacing w:line="420" w:lineRule="exact"/>
        <w:ind w:firstLine="527"/>
        <w:rPr>
          <w:rFonts w:hint="eastAsia"/>
          <w:color w:val="000000"/>
          <w:sz w:val="22"/>
          <w:szCs w:val="22"/>
        </w:rPr>
      </w:pPr>
      <w:r>
        <w:rPr>
          <w:rFonts w:hint="eastAsia"/>
          <w:color w:val="000000"/>
          <w:sz w:val="22"/>
          <w:szCs w:val="22"/>
        </w:rPr>
        <w:t>评标结束后，评标委员会按照招标文件确定的评标办法，根据采购人授权确定中标供应商。</w:t>
      </w:r>
    </w:p>
    <w:p>
      <w:pPr>
        <w:snapToGrid w:val="0"/>
        <w:spacing w:line="420" w:lineRule="exact"/>
        <w:ind w:firstLine="545" w:firstLineChars="248"/>
        <w:rPr>
          <w:rFonts w:hint="eastAsia"/>
          <w:color w:val="000000"/>
          <w:sz w:val="22"/>
          <w:szCs w:val="22"/>
        </w:rPr>
      </w:pPr>
      <w:r>
        <w:rPr>
          <w:rFonts w:hint="eastAsia"/>
          <w:color w:val="000000"/>
          <w:sz w:val="22"/>
          <w:szCs w:val="22"/>
        </w:rPr>
        <w:t>2、中标通知书</w:t>
      </w:r>
    </w:p>
    <w:p>
      <w:pPr>
        <w:snapToGrid w:val="0"/>
        <w:spacing w:line="420" w:lineRule="exact"/>
        <w:ind w:firstLine="527"/>
        <w:rPr>
          <w:rFonts w:hint="eastAsia"/>
          <w:color w:val="000000"/>
          <w:sz w:val="22"/>
          <w:szCs w:val="22"/>
        </w:rPr>
      </w:pPr>
      <w:r>
        <w:rPr>
          <w:rFonts w:hint="eastAsia"/>
          <w:color w:val="000000"/>
          <w:sz w:val="22"/>
          <w:szCs w:val="22"/>
        </w:rPr>
        <w:t>2.1、</w:t>
      </w:r>
      <w:r>
        <w:rPr>
          <w:rFonts w:hint="eastAsia" w:cs="Arial"/>
          <w:color w:val="000000"/>
          <w:sz w:val="22"/>
          <w:szCs w:val="22"/>
        </w:rPr>
        <w:t>招标机构</w:t>
      </w:r>
      <w:r>
        <w:rPr>
          <w:rFonts w:hint="eastAsia"/>
          <w:color w:val="000000"/>
          <w:spacing w:val="10"/>
          <w:sz w:val="22"/>
          <w:szCs w:val="22"/>
        </w:rPr>
        <w:t>在浙江省政府采购网上公告中标结果。</w:t>
      </w:r>
    </w:p>
    <w:p>
      <w:pPr>
        <w:snapToGrid w:val="0"/>
        <w:spacing w:line="420" w:lineRule="exact"/>
        <w:ind w:firstLine="527"/>
        <w:rPr>
          <w:rFonts w:hint="eastAsia"/>
          <w:color w:val="000000"/>
          <w:sz w:val="22"/>
          <w:szCs w:val="22"/>
        </w:rPr>
      </w:pPr>
      <w:r>
        <w:rPr>
          <w:rFonts w:hint="eastAsia"/>
          <w:color w:val="000000"/>
          <w:sz w:val="22"/>
          <w:szCs w:val="22"/>
        </w:rPr>
        <w:t>2.2、中标供应商须在中标结果公告后主动联系采购机构领取中标通知书（中标通知书可以采用邮寄）；中标通知书对采购人和中标供应商具有法律约束力。中标通知书发出后，采购人改变中标结果或者中标供应商放弃中标的，应当承担法律责任。</w:t>
      </w:r>
    </w:p>
    <w:p>
      <w:pPr>
        <w:snapToGrid w:val="0"/>
        <w:spacing w:line="420" w:lineRule="exact"/>
        <w:ind w:firstLine="527"/>
        <w:rPr>
          <w:rFonts w:hint="eastAsia"/>
          <w:color w:val="000000"/>
          <w:sz w:val="22"/>
          <w:szCs w:val="22"/>
        </w:rPr>
      </w:pPr>
      <w:r>
        <w:rPr>
          <w:rFonts w:hint="eastAsia"/>
          <w:color w:val="000000"/>
          <w:sz w:val="22"/>
          <w:szCs w:val="22"/>
        </w:rPr>
        <w:t>3、评标委员会对未中标的供应商不作落标原因解释。</w:t>
      </w:r>
    </w:p>
    <w:p>
      <w:pPr>
        <w:snapToGrid w:val="0"/>
        <w:spacing w:line="420" w:lineRule="exact"/>
        <w:ind w:firstLine="527"/>
        <w:rPr>
          <w:rFonts w:hint="eastAsia"/>
          <w:color w:val="000000"/>
          <w:sz w:val="22"/>
          <w:szCs w:val="22"/>
        </w:rPr>
      </w:pPr>
      <w:r>
        <w:rPr>
          <w:rFonts w:hint="eastAsia"/>
          <w:color w:val="000000"/>
          <w:sz w:val="22"/>
          <w:szCs w:val="22"/>
        </w:rPr>
        <w:t>4、签订合同</w:t>
      </w:r>
    </w:p>
    <w:p>
      <w:pPr>
        <w:snapToGrid w:val="0"/>
        <w:spacing w:line="420" w:lineRule="exact"/>
        <w:ind w:firstLine="527"/>
        <w:rPr>
          <w:rFonts w:hint="eastAsia"/>
          <w:color w:val="000000"/>
          <w:sz w:val="22"/>
          <w:szCs w:val="22"/>
        </w:rPr>
      </w:pPr>
      <w:r>
        <w:rPr>
          <w:rFonts w:hint="eastAsia"/>
          <w:color w:val="000000"/>
          <w:sz w:val="22"/>
          <w:szCs w:val="22"/>
        </w:rPr>
        <w:t>4.1、中标供应商领取中标通知书后与采购人签订合同（采购结果公告发出后30日内）。中标供应商未经采购人许可，在规定时间内未与采购人签订合同，则视为拒签合同。</w:t>
      </w:r>
    </w:p>
    <w:p>
      <w:pPr>
        <w:snapToGrid w:val="0"/>
        <w:spacing w:line="420" w:lineRule="exact"/>
        <w:ind w:firstLine="527"/>
        <w:rPr>
          <w:rFonts w:hint="eastAsia"/>
          <w:color w:val="000000"/>
          <w:sz w:val="22"/>
          <w:szCs w:val="22"/>
        </w:rPr>
      </w:pPr>
      <w:r>
        <w:rPr>
          <w:rFonts w:hint="eastAsia"/>
          <w:color w:val="000000"/>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rFonts w:hint="eastAsia"/>
          <w:color w:val="000000"/>
          <w:sz w:val="22"/>
          <w:szCs w:val="22"/>
        </w:rPr>
      </w:pPr>
      <w:r>
        <w:rPr>
          <w:rFonts w:hint="eastAsia"/>
          <w:color w:val="000000"/>
          <w:sz w:val="22"/>
          <w:szCs w:val="22"/>
        </w:rPr>
        <w:t>4.3 拒签合同的责任</w:t>
      </w:r>
    </w:p>
    <w:p>
      <w:pPr>
        <w:autoSpaceDE w:val="0"/>
        <w:autoSpaceDN w:val="0"/>
        <w:adjustRightInd w:val="0"/>
        <w:snapToGrid w:val="0"/>
        <w:spacing w:line="420" w:lineRule="exact"/>
        <w:ind w:firstLine="440" w:firstLineChars="200"/>
        <w:textAlignment w:val="bottom"/>
        <w:rPr>
          <w:rFonts w:hint="eastAsia"/>
          <w:color w:val="000000"/>
          <w:sz w:val="22"/>
          <w:szCs w:val="22"/>
        </w:rPr>
      </w:pPr>
      <w:r>
        <w:rPr>
          <w:rFonts w:hint="eastAsia"/>
          <w:color w:val="000000"/>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33"/>
        <w:adjustRightInd w:val="0"/>
        <w:snapToGrid w:val="0"/>
        <w:spacing w:line="420" w:lineRule="exact"/>
        <w:rPr>
          <w:rFonts w:hint="eastAsia"/>
          <w:color w:val="000000"/>
          <w:sz w:val="22"/>
          <w:szCs w:val="22"/>
        </w:rPr>
      </w:pPr>
      <w:r>
        <w:rPr>
          <w:rFonts w:hint="eastAsia" w:hAnsi="宋体"/>
          <w:color w:val="000000"/>
          <w:sz w:val="22"/>
          <w:szCs w:val="22"/>
        </w:rPr>
        <w:t xml:space="preserve">  </w:t>
      </w: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rFonts w:hint="eastAsia"/>
          <w:color w:val="000000"/>
          <w:sz w:val="32"/>
          <w:szCs w:val="32"/>
          <w:lang w:val="zh-CN"/>
        </w:rPr>
      </w:pP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napToGrid w:val="0"/>
        <w:spacing w:line="440" w:lineRule="atLeast"/>
        <w:rPr>
          <w:color w:val="000000"/>
          <w:sz w:val="22"/>
        </w:rPr>
      </w:pPr>
      <w:r>
        <w:rPr>
          <w:color w:val="000000"/>
          <w:sz w:val="22"/>
        </w:rPr>
        <w:t>（1）关于印发《</w:t>
      </w:r>
      <w:r>
        <w:rPr>
          <w:rFonts w:hint="eastAsia"/>
          <w:color w:val="000000"/>
          <w:sz w:val="22"/>
        </w:rPr>
        <w:t>政府采购促进中小企业发展管理办法</w:t>
      </w:r>
      <w:r>
        <w:rPr>
          <w:color w:val="000000"/>
          <w:sz w:val="22"/>
        </w:rPr>
        <w:t>》的通知（</w:t>
      </w:r>
      <w:r>
        <w:rPr>
          <w:rFonts w:hint="eastAsia"/>
          <w:color w:val="000000"/>
          <w:sz w:val="22"/>
        </w:rPr>
        <w:t>财库〔2020〕46号</w:t>
      </w:r>
      <w:r>
        <w:rPr>
          <w:color w:val="000000"/>
          <w:sz w:val="22"/>
        </w:rPr>
        <w:t>）</w:t>
      </w:r>
    </w:p>
    <w:p>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）浙江省财政厅、浙江省经济和信息化委员会《关于简化中小企业类别确认流程有关事项的通知》(浙财采监[2018]2号)</w:t>
      </w:r>
    </w:p>
    <w:p>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）浙江省省财政厅《关于开展政府采购供应商网上注册登记和诚信管理工作的通知》（浙财采监〔2010〕8号)</w:t>
      </w:r>
    </w:p>
    <w:p>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）《工业和信息化部、国家统计局、国家发展和改革委员会、财政部关于印发中小企业划型标准规定的通知》（工信部联企业[2011]300号）</w:t>
      </w:r>
    </w:p>
    <w:p>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）财政部、司法部《关于政府采购支持监狱企业发展有关问题的通知》（财库〔2014〕68号）</w:t>
      </w:r>
    </w:p>
    <w:p>
      <w:pPr>
        <w:snapToGrid w:val="0"/>
        <w:spacing w:line="440" w:lineRule="atLeast"/>
        <w:rPr>
          <w:rFonts w:hint="eastAsia"/>
          <w:color w:val="000000"/>
          <w:sz w:val="22"/>
        </w:rPr>
      </w:pPr>
      <w:r>
        <w:rPr>
          <w:color w:val="000000"/>
          <w:sz w:val="22"/>
        </w:rPr>
        <w:t>（</w:t>
      </w:r>
      <w:r>
        <w:rPr>
          <w:rFonts w:hint="eastAsia"/>
          <w:color w:val="000000"/>
          <w:sz w:val="22"/>
        </w:rPr>
        <w:t>6</w:t>
      </w:r>
      <w:r>
        <w:rPr>
          <w:color w:val="000000"/>
          <w:sz w:val="22"/>
        </w:rPr>
        <w:t>）《财政部 民政部 中国残疾人联合会关于促进残疾人就业政府采购政策的通知》（财库〔2017〕 141号）</w:t>
      </w:r>
    </w:p>
    <w:p>
      <w:pPr>
        <w:snapToGrid w:val="0"/>
        <w:spacing w:line="440" w:lineRule="atLeast"/>
        <w:rPr>
          <w:rFonts w:hint="eastAsia"/>
          <w:color w:val="000000"/>
          <w:sz w:val="22"/>
        </w:rPr>
      </w:pPr>
      <w:r>
        <w:rPr>
          <w:rFonts w:hint="eastAsia"/>
          <w:color w:val="000000"/>
          <w:sz w:val="22"/>
        </w:rPr>
        <w:t>（7）浙江省财政厅关于进一步加大政府采购支持中小企业力度助力扎实稳住经济的通知(浙财采监〔2022〕3号)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rFonts w:hint="eastAsia"/>
          <w:color w:val="000000"/>
          <w:sz w:val="22"/>
          <w:szCs w:val="22"/>
        </w:rPr>
      </w:pPr>
      <w:r>
        <w:rPr>
          <w:rFonts w:hint="eastAsia"/>
          <w:color w:val="000000"/>
          <w:sz w:val="22"/>
          <w:szCs w:val="22"/>
        </w:rPr>
        <w:t>（1）符合中小企业划分标准；</w:t>
      </w:r>
    </w:p>
    <w:p>
      <w:pPr>
        <w:spacing w:line="440" w:lineRule="atLeast"/>
        <w:rPr>
          <w:rFonts w:hint="eastAsia"/>
          <w:color w:val="000000"/>
          <w:sz w:val="22"/>
          <w:szCs w:val="22"/>
        </w:rPr>
      </w:pPr>
      <w:r>
        <w:rPr>
          <w:rFonts w:hint="eastAsia"/>
          <w:color w:val="000000"/>
          <w:sz w:val="22"/>
          <w:szCs w:val="22"/>
        </w:rPr>
        <w:t>（2）提供本企业制造的货物、承担的工程或者服务，或者提供其他中小企业制造的货物。本项所称货物不包括使用大型企业注册商标的货物。</w:t>
      </w:r>
    </w:p>
    <w:p>
      <w:pPr>
        <w:spacing w:line="440" w:lineRule="atLeast"/>
        <w:rPr>
          <w:rFonts w:hint="eastAsia"/>
          <w:color w:val="000000"/>
          <w:sz w:val="22"/>
          <w:szCs w:val="22"/>
        </w:rPr>
      </w:pPr>
      <w:r>
        <w:rPr>
          <w:rFonts w:hint="eastAsia"/>
          <w:color w:val="000000"/>
          <w:sz w:val="22"/>
          <w:szCs w:val="22"/>
        </w:rPr>
        <w:t>  中小企业划分标准，是指国务院有关部门根据企业从业人员、营业收入、资产总额等指标制定的中小企业划型标准。</w:t>
      </w:r>
    </w:p>
    <w:p>
      <w:pPr>
        <w:spacing w:line="440" w:lineRule="atLeast"/>
        <w:rPr>
          <w:color w:val="000000"/>
          <w:sz w:val="22"/>
          <w:szCs w:val="22"/>
        </w:rPr>
      </w:pP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（3）本项目对小型和微型企业产品的价格给予10%的扣除，用扣除后的价格参与评审。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rFonts w:hint="eastAsia"/>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rFonts w:hint="eastAsia"/>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rFonts w:hint="eastAsia"/>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rFonts w:hint="eastAsia"/>
          <w:color w:val="000000"/>
          <w:sz w:val="22"/>
        </w:rPr>
      </w:pPr>
      <w:r>
        <w:rPr>
          <w:color w:val="000000"/>
          <w:sz w:val="22"/>
        </w:rPr>
        <w:t>中小企业声明函（货物）</w:t>
      </w:r>
    </w:p>
    <w:p>
      <w:pPr>
        <w:snapToGrid w:val="0"/>
        <w:spacing w:line="440" w:lineRule="atLeast"/>
        <w:ind w:firstLine="440" w:firstLineChars="200"/>
        <w:rPr>
          <w:rFonts w:hint="eastAsia"/>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rFonts w:hint="eastAsia"/>
          <w:b/>
          <w:bCs/>
          <w:color w:val="000000"/>
          <w:sz w:val="22"/>
          <w:u w:val="single"/>
        </w:rPr>
        <w:t>工业（包括采矿业，制造业，电力、热力、燃气及水生产和供应业）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rFonts w:hint="eastAsia"/>
          <w:color w:val="000000"/>
          <w:sz w:val="22"/>
        </w:rPr>
      </w:pPr>
      <w:r>
        <w:rPr>
          <w:color w:val="000000"/>
          <w:sz w:val="22"/>
        </w:rPr>
        <w:t xml:space="preserve">企业名称（盖章）： </w:t>
      </w:r>
    </w:p>
    <w:p>
      <w:pPr>
        <w:snapToGrid w:val="0"/>
        <w:spacing w:line="440" w:lineRule="atLeast"/>
        <w:ind w:firstLine="3740" w:firstLineChars="1700"/>
        <w:rPr>
          <w:rFonts w:hint="eastAsia"/>
          <w:color w:val="000000"/>
          <w:sz w:val="22"/>
        </w:rPr>
      </w:pPr>
      <w:r>
        <w:rPr>
          <w:color w:val="000000"/>
          <w:sz w:val="22"/>
        </w:rPr>
        <w:t>日 期：</w:t>
      </w:r>
    </w:p>
    <w:p>
      <w:pPr>
        <w:spacing w:line="440" w:lineRule="atLeast"/>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p>
    <w:p>
      <w:pPr>
        <w:spacing w:line="588" w:lineRule="exact"/>
        <w:jc w:val="center"/>
        <w:rPr>
          <w:color w:val="000000"/>
          <w:spacing w:val="6"/>
          <w:sz w:val="22"/>
          <w:szCs w:val="22"/>
        </w:rPr>
      </w:pPr>
      <w:bookmarkStart w:id="11" w:name="OLE_LINK14"/>
      <w:bookmarkStart w:id="12" w:name="OLE_LINK13"/>
      <w:r>
        <w:rPr>
          <w:rFonts w:hint="eastAsia"/>
          <w:color w:val="000000"/>
          <w:spacing w:val="6"/>
          <w:sz w:val="22"/>
          <w:szCs w:val="22"/>
        </w:rPr>
        <w:t>残疾人福利性单位声明函</w:t>
      </w:r>
    </w:p>
    <w:bookmarkEnd w:id="11"/>
    <w:bookmarkEnd w:id="12"/>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hint="eastAsia" w:eastAsia="宋体"/>
          <w:color w:val="000000"/>
          <w:spacing w:val="6"/>
          <w:sz w:val="22"/>
          <w:szCs w:val="22"/>
          <w:lang w:eastAsia="zh-CN"/>
        </w:rPr>
      </w:pPr>
      <w:r>
        <w:rPr>
          <w:rFonts w:hint="eastAsia"/>
          <w:color w:val="000000"/>
          <w:spacing w:val="6"/>
          <w:sz w:val="22"/>
          <w:szCs w:val="22"/>
        </w:rPr>
        <w:t>本单位对上述声明的真实性负责。如有虚假，将依法承担相应责任</w:t>
      </w:r>
      <w:r>
        <w:rPr>
          <w:rFonts w:hint="eastAsia"/>
          <w:color w:val="000000"/>
          <w:spacing w:val="6"/>
          <w:sz w:val="22"/>
          <w:szCs w:val="22"/>
          <w:lang w:eastAsia="zh-CN"/>
        </w:rPr>
        <w:t>。</w:t>
      </w: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tabs>
          <w:tab w:val="left" w:pos="4860"/>
        </w:tabs>
        <w:spacing w:line="588" w:lineRule="exact"/>
        <w:ind w:right="1560"/>
        <w:rPr>
          <w:color w:val="000000"/>
          <w:sz w:val="22"/>
          <w:szCs w:val="22"/>
        </w:rPr>
      </w:pPr>
      <w:r>
        <w:rPr>
          <w:rFonts w:hint="eastAsia"/>
          <w:color w:val="000000"/>
          <w:sz w:val="22"/>
          <w:szCs w:val="22"/>
        </w:rPr>
        <w:t>备注说明：</w:t>
      </w:r>
    </w:p>
    <w:p>
      <w:pPr>
        <w:tabs>
          <w:tab w:val="left" w:pos="4860"/>
        </w:tabs>
        <w:spacing w:line="588" w:lineRule="exact"/>
        <w:ind w:right="1560"/>
        <w:rPr>
          <w:color w:val="000000"/>
          <w:sz w:val="22"/>
          <w:szCs w:val="22"/>
        </w:rPr>
      </w:pPr>
      <w:r>
        <w:rPr>
          <w:rFonts w:hint="eastAsia"/>
          <w:color w:val="000000"/>
          <w:sz w:val="22"/>
          <w:szCs w:val="22"/>
        </w:rPr>
        <w:t>1、如中标，将在中标公示中将此残疾人福利性单位声明函予以公示，接受社会监督；</w:t>
      </w:r>
    </w:p>
    <w:p>
      <w:pPr>
        <w:tabs>
          <w:tab w:val="left" w:pos="4860"/>
        </w:tabs>
        <w:spacing w:line="588" w:lineRule="exact"/>
        <w:ind w:right="1560"/>
        <w:rPr>
          <w:rFonts w:hint="eastAsia"/>
          <w:color w:val="000000"/>
          <w:spacing w:val="6"/>
          <w:sz w:val="22"/>
          <w:szCs w:val="22"/>
        </w:rPr>
      </w:pPr>
      <w:r>
        <w:rPr>
          <w:color w:val="000000"/>
          <w:sz w:val="22"/>
          <w:szCs w:val="22"/>
        </w:rPr>
        <w:t>2</w:t>
      </w:r>
      <w:r>
        <w:rPr>
          <w:rFonts w:hint="eastAsia"/>
          <w:color w:val="000000"/>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color w:val="000000"/>
          <w:sz w:val="22"/>
          <w:szCs w:val="22"/>
        </w:rPr>
      </w:pPr>
    </w:p>
    <w:p>
      <w:pPr>
        <w:tabs>
          <w:tab w:val="left" w:pos="4860"/>
        </w:tabs>
        <w:spacing w:line="588" w:lineRule="exact"/>
        <w:ind w:right="1560"/>
        <w:rPr>
          <w:color w:val="000000"/>
          <w:sz w:val="22"/>
          <w:szCs w:val="22"/>
        </w:rPr>
      </w:pPr>
      <w:r>
        <w:rPr>
          <w:rFonts w:hint="eastAsia"/>
          <w:color w:val="000000"/>
          <w:sz w:val="22"/>
          <w:szCs w:val="22"/>
        </w:rPr>
        <w:t>二、节能、环保产品优先（强制）采购政策说明</w:t>
      </w:r>
    </w:p>
    <w:p>
      <w:pPr>
        <w:tabs>
          <w:tab w:val="left" w:pos="4860"/>
        </w:tabs>
        <w:spacing w:line="588" w:lineRule="exact"/>
        <w:ind w:right="1560"/>
        <w:rPr>
          <w:color w:val="000000"/>
          <w:sz w:val="22"/>
          <w:szCs w:val="22"/>
        </w:rPr>
      </w:pPr>
      <w:r>
        <w:rPr>
          <w:rFonts w:hint="eastAsia"/>
          <w:color w:val="000000"/>
          <w:sz w:val="22"/>
          <w:szCs w:val="22"/>
        </w:rPr>
        <w:t>1、政策依据</w:t>
      </w:r>
    </w:p>
    <w:p>
      <w:pPr>
        <w:tabs>
          <w:tab w:val="left" w:pos="4860"/>
        </w:tabs>
        <w:spacing w:line="588" w:lineRule="exact"/>
        <w:ind w:right="1560"/>
        <w:rPr>
          <w:color w:val="000000"/>
          <w:sz w:val="22"/>
          <w:szCs w:val="22"/>
        </w:rPr>
      </w:pPr>
      <w:r>
        <w:rPr>
          <w:rFonts w:hint="eastAsia"/>
          <w:color w:val="000000"/>
          <w:sz w:val="22"/>
          <w:szCs w:val="22"/>
        </w:rPr>
        <w:t>（一）《国务院办公厅关于建立政府强制采购节能产品制度的通知》(国办发[2007]51号)</w:t>
      </w:r>
    </w:p>
    <w:p>
      <w:pPr>
        <w:tabs>
          <w:tab w:val="left" w:pos="4860"/>
        </w:tabs>
        <w:spacing w:line="588" w:lineRule="exact"/>
        <w:ind w:right="1560"/>
        <w:rPr>
          <w:color w:val="000000"/>
          <w:sz w:val="22"/>
          <w:szCs w:val="22"/>
        </w:rPr>
      </w:pPr>
      <w:r>
        <w:rPr>
          <w:rFonts w:hint="eastAsia"/>
          <w:color w:val="000000"/>
          <w:sz w:val="22"/>
          <w:szCs w:val="22"/>
        </w:rPr>
        <w:t>（二）财政部、发展改革委发布的《节能产品政府采购实施意见》(财库[2004]185号)</w:t>
      </w:r>
    </w:p>
    <w:p>
      <w:pPr>
        <w:tabs>
          <w:tab w:val="left" w:pos="4860"/>
        </w:tabs>
        <w:spacing w:line="588" w:lineRule="exact"/>
        <w:ind w:right="1560"/>
        <w:rPr>
          <w:color w:val="000000"/>
          <w:sz w:val="22"/>
          <w:szCs w:val="22"/>
        </w:rPr>
      </w:pPr>
      <w:r>
        <w:rPr>
          <w:rFonts w:hint="eastAsia"/>
          <w:color w:val="000000"/>
          <w:sz w:val="22"/>
          <w:szCs w:val="22"/>
        </w:rPr>
        <w:t>（三）财政部、原环保总局印发的《环境标志产品政府采购实施的意见》（财库 [2006]90号）</w:t>
      </w:r>
    </w:p>
    <w:p>
      <w:pPr>
        <w:tabs>
          <w:tab w:val="left" w:pos="4860"/>
        </w:tabs>
        <w:spacing w:line="588" w:lineRule="exact"/>
        <w:ind w:right="1560"/>
        <w:rPr>
          <w:color w:val="000000"/>
          <w:sz w:val="22"/>
          <w:szCs w:val="22"/>
        </w:rPr>
      </w:pPr>
      <w:r>
        <w:rPr>
          <w:rFonts w:hint="eastAsia"/>
          <w:color w:val="000000"/>
          <w:sz w:val="22"/>
          <w:szCs w:val="22"/>
        </w:rPr>
        <w:t>2、供应商投标货物属于节能、环保优先（强制）采购范围的，须提供相关证明材料。</w:t>
      </w:r>
    </w:p>
    <w:p>
      <w:pPr>
        <w:snapToGrid w:val="0"/>
        <w:spacing w:line="420" w:lineRule="exact"/>
        <w:jc w:val="center"/>
        <w:rPr>
          <w:rFonts w:hint="eastAsia"/>
          <w:color w:val="000000"/>
          <w:sz w:val="36"/>
        </w:rPr>
      </w:pPr>
    </w:p>
    <w:p>
      <w:pPr>
        <w:snapToGrid w:val="0"/>
        <w:spacing w:line="420" w:lineRule="exact"/>
        <w:jc w:val="center"/>
        <w:rPr>
          <w:rFonts w:hint="eastAsia"/>
          <w:color w:val="000000"/>
          <w:sz w:val="32"/>
        </w:rPr>
      </w:pPr>
      <w:r>
        <w:rPr>
          <w:rFonts w:hint="eastAsia"/>
          <w:color w:val="000000"/>
          <w:sz w:val="36"/>
        </w:rPr>
        <w:t>第五部分     合同格式（仅供参考）</w:t>
      </w:r>
    </w:p>
    <w:p>
      <w:pPr>
        <w:spacing w:line="360" w:lineRule="auto"/>
        <w:ind w:firstLine="440" w:firstLineChars="200"/>
        <w:rPr>
          <w:color w:val="000000"/>
          <w:sz w:val="22"/>
          <w:szCs w:val="22"/>
        </w:rPr>
      </w:pPr>
      <w:r>
        <w:rPr>
          <w:color w:val="000000"/>
          <w:sz w:val="22"/>
          <w:szCs w:val="22"/>
          <w:u w:val="single"/>
          <w:lang w:val="zh-CN"/>
        </w:rPr>
        <w:t xml:space="preserve">      </w:t>
      </w:r>
      <w:r>
        <w:rPr>
          <w:rFonts w:hint="eastAsia"/>
          <w:color w:val="000000"/>
          <w:sz w:val="22"/>
          <w:szCs w:val="22"/>
          <w:lang w:val="zh-CN"/>
        </w:rPr>
        <w:t>年</w:t>
      </w:r>
      <w:r>
        <w:rPr>
          <w:color w:val="000000"/>
          <w:sz w:val="22"/>
          <w:szCs w:val="22"/>
          <w:u w:val="single"/>
          <w:lang w:val="zh-CN"/>
        </w:rPr>
        <w:t xml:space="preserve">    </w:t>
      </w:r>
      <w:r>
        <w:rPr>
          <w:rFonts w:hint="eastAsia"/>
          <w:color w:val="000000"/>
          <w:sz w:val="22"/>
          <w:szCs w:val="22"/>
          <w:lang w:val="zh-CN"/>
        </w:rPr>
        <w:t>月</w:t>
      </w:r>
      <w:r>
        <w:rPr>
          <w:color w:val="000000"/>
          <w:sz w:val="22"/>
          <w:szCs w:val="22"/>
          <w:u w:val="single"/>
          <w:lang w:val="zh-CN"/>
        </w:rPr>
        <w:t xml:space="preserve">    </w:t>
      </w:r>
      <w:r>
        <w:rPr>
          <w:rFonts w:hint="eastAsia"/>
          <w:color w:val="000000"/>
          <w:sz w:val="22"/>
          <w:szCs w:val="22"/>
          <w:lang w:val="zh-CN"/>
        </w:rPr>
        <w:t>日</w:t>
      </w:r>
      <w:r>
        <w:rPr>
          <w:rFonts w:hint="eastAsia"/>
          <w:color w:val="000000"/>
          <w:sz w:val="22"/>
          <w:szCs w:val="22"/>
        </w:rPr>
        <w:t>，</w:t>
      </w:r>
      <w:r>
        <w:rPr>
          <w:rFonts w:hint="eastAsia"/>
          <w:bCs/>
          <w:color w:val="000000"/>
          <w:sz w:val="22"/>
          <w:szCs w:val="22"/>
          <w:u w:val="single"/>
        </w:rPr>
        <w:t>平阳县南麂镇人民政府</w:t>
      </w:r>
      <w:r>
        <w:rPr>
          <w:rFonts w:hint="eastAsia"/>
          <w:color w:val="000000"/>
          <w:sz w:val="22"/>
          <w:szCs w:val="22"/>
        </w:rPr>
        <w:t>以</w:t>
      </w:r>
      <w:r>
        <w:rPr>
          <w:rFonts w:hint="eastAsia"/>
          <w:color w:val="000000"/>
          <w:sz w:val="22"/>
          <w:szCs w:val="22"/>
          <w:u w:val="single"/>
        </w:rPr>
        <w:t xml:space="preserve">    招标</w:t>
      </w:r>
      <w:r>
        <w:rPr>
          <w:color w:val="000000"/>
          <w:sz w:val="22"/>
          <w:szCs w:val="22"/>
          <w:u w:val="single"/>
        </w:rPr>
        <w:t>方式</w:t>
      </w:r>
      <w:r>
        <w:rPr>
          <w:rFonts w:hint="eastAsia"/>
          <w:color w:val="000000"/>
          <w:sz w:val="22"/>
          <w:szCs w:val="22"/>
        </w:rPr>
        <w:t>对</w:t>
      </w:r>
      <w:r>
        <w:rPr>
          <w:color w:val="000000"/>
          <w:sz w:val="22"/>
          <w:szCs w:val="22"/>
          <w:u w:val="single"/>
        </w:rPr>
        <w:t xml:space="preserve"> </w:t>
      </w:r>
      <w:r>
        <w:rPr>
          <w:rFonts w:hint="eastAsia"/>
          <w:color w:val="000000"/>
          <w:sz w:val="22"/>
          <w:szCs w:val="22"/>
          <w:u w:val="single"/>
          <w:lang w:eastAsia="zh-CN"/>
        </w:rPr>
        <w:t>海洋牧歌田园综合体―数字南麂设备采购项目</w:t>
      </w:r>
      <w:r>
        <w:rPr>
          <w:rFonts w:hint="eastAsia"/>
          <w:color w:val="000000"/>
          <w:sz w:val="22"/>
          <w:szCs w:val="22"/>
        </w:rPr>
        <w:t>进行了采购。经</w:t>
      </w:r>
      <w:r>
        <w:rPr>
          <w:color w:val="000000"/>
          <w:sz w:val="22"/>
          <w:szCs w:val="22"/>
          <w:u w:val="single"/>
        </w:rPr>
        <w:t xml:space="preserve">   （相关评定主体名称）   </w:t>
      </w:r>
      <w:r>
        <w:rPr>
          <w:rFonts w:hint="eastAsia"/>
          <w:color w:val="000000"/>
          <w:sz w:val="22"/>
          <w:szCs w:val="22"/>
        </w:rPr>
        <w:t>评定，</w:t>
      </w:r>
      <w:r>
        <w:rPr>
          <w:color w:val="000000"/>
          <w:sz w:val="22"/>
          <w:szCs w:val="22"/>
          <w:u w:val="single"/>
        </w:rPr>
        <w:t xml:space="preserve">   （中标供应商名称）</w:t>
      </w:r>
      <w:r>
        <w:rPr>
          <w:rFonts w:hint="eastAsia"/>
          <w:color w:val="000000"/>
          <w:sz w:val="22"/>
          <w:szCs w:val="22"/>
        </w:rPr>
        <w:t>为该项目中标供应商。现于中标通知书发出之日起三十日内，按照采购文件确定的事项签订本合同。</w:t>
      </w:r>
    </w:p>
    <w:p>
      <w:pPr>
        <w:spacing w:line="360" w:lineRule="auto"/>
        <w:ind w:firstLine="440" w:firstLineChars="200"/>
        <w:rPr>
          <w:color w:val="000000"/>
          <w:sz w:val="22"/>
          <w:szCs w:val="22"/>
          <w:u w:val="single"/>
          <w:lang w:val="zh-CN"/>
        </w:rPr>
      </w:pPr>
      <w:r>
        <w:rPr>
          <w:rFonts w:hint="eastAsia"/>
          <w:color w:val="000000"/>
          <w:sz w:val="22"/>
          <w:szCs w:val="22"/>
          <w:u w:val="single"/>
          <w:lang w:val="zh-CN"/>
        </w:rPr>
        <w:t>根据《中华人民共和国民法典》、《中华人民共和国政府采购法》等相关法律法规之规定，按照平等、自愿、公平、诚实信用和绿色的原则，经</w:t>
      </w:r>
      <w:r>
        <w:rPr>
          <w:color w:val="000000"/>
          <w:sz w:val="22"/>
          <w:szCs w:val="22"/>
          <w:u w:val="single"/>
          <w:lang w:val="zh-CN"/>
        </w:rPr>
        <w:t xml:space="preserve">   </w:t>
      </w:r>
      <w:r>
        <w:rPr>
          <w:rFonts w:hint="eastAsia"/>
          <w:color w:val="000000"/>
          <w:sz w:val="22"/>
          <w:szCs w:val="22"/>
          <w:u w:val="single"/>
          <w:lang w:val="zh-CN"/>
        </w:rPr>
        <w:t>（采购人）</w:t>
      </w:r>
      <w:r>
        <w:rPr>
          <w:color w:val="000000"/>
          <w:sz w:val="22"/>
          <w:szCs w:val="22"/>
          <w:u w:val="single"/>
          <w:lang w:val="zh-CN"/>
        </w:rPr>
        <w:t xml:space="preserve">   (以下简称：甲方)和   （中标供应商名称）   (以下简称：乙方)协商一致，约定以下合同</w:t>
      </w:r>
      <w:r>
        <w:rPr>
          <w:rFonts w:hint="eastAsia"/>
          <w:color w:val="000000"/>
          <w:sz w:val="22"/>
          <w:szCs w:val="22"/>
          <w:u w:val="single"/>
          <w:lang w:val="zh-CN"/>
        </w:rPr>
        <w:t>条款，以兹共同遵守、全面履行。</w:t>
      </w:r>
    </w:p>
    <w:p>
      <w:pPr>
        <w:pStyle w:val="33"/>
        <w:snapToGrid w:val="0"/>
        <w:spacing w:line="400" w:lineRule="exact"/>
        <w:rPr>
          <w:rFonts w:hint="eastAsia" w:hAnsi="宋体" w:cs="宋体"/>
          <w:color w:val="000000"/>
          <w:sz w:val="22"/>
          <w:szCs w:val="22"/>
        </w:rPr>
      </w:pPr>
      <w:r>
        <w:rPr>
          <w:rFonts w:hint="eastAsia" w:hAnsi="宋体" w:cs="宋体"/>
          <w:color w:val="000000"/>
          <w:sz w:val="22"/>
          <w:szCs w:val="22"/>
        </w:rPr>
        <w:t>第一条：采购清单及合同价格</w:t>
      </w:r>
    </w:p>
    <w:p>
      <w:pPr>
        <w:snapToGrid w:val="0"/>
        <w:spacing w:line="400" w:lineRule="exact"/>
        <w:ind w:firstLine="540"/>
        <w:rPr>
          <w:rFonts w:hint="eastAsia"/>
          <w:color w:val="000000"/>
          <w:sz w:val="22"/>
          <w:szCs w:val="22"/>
        </w:rPr>
      </w:pPr>
      <w:r>
        <w:rPr>
          <w:rFonts w:hint="eastAsia"/>
          <w:color w:val="000000"/>
          <w:sz w:val="22"/>
          <w:szCs w:val="22"/>
        </w:rPr>
        <w:t xml:space="preserve">中标供应商保证提供如下内容的合格产品：    </w:t>
      </w:r>
    </w:p>
    <w:tbl>
      <w:tblPr>
        <w:tblStyle w:val="58"/>
        <w:tblW w:w="949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1128"/>
        <w:gridCol w:w="1129"/>
        <w:gridCol w:w="1129"/>
        <w:gridCol w:w="1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hint="eastAsia"/>
                <w:sz w:val="22"/>
              </w:rPr>
            </w:pPr>
            <w:r>
              <w:rPr>
                <w:rFonts w:hint="eastAsia"/>
                <w:sz w:val="22"/>
              </w:rPr>
              <w:t>采购产品名称</w:t>
            </w:r>
          </w:p>
        </w:tc>
        <w:tc>
          <w:tcPr>
            <w:tcW w:w="2713" w:type="dxa"/>
            <w:vAlign w:val="center"/>
          </w:tcPr>
          <w:p>
            <w:pPr>
              <w:snapToGrid w:val="0"/>
              <w:spacing w:line="440" w:lineRule="atLeast"/>
              <w:jc w:val="center"/>
              <w:rPr>
                <w:rFonts w:hint="eastAsia"/>
                <w:sz w:val="22"/>
              </w:rPr>
            </w:pPr>
            <w:r>
              <w:rPr>
                <w:rFonts w:hint="eastAsia"/>
                <w:sz w:val="22"/>
              </w:rPr>
              <w:t>型号规格和主要配置</w:t>
            </w:r>
          </w:p>
        </w:tc>
        <w:tc>
          <w:tcPr>
            <w:tcW w:w="1128" w:type="dxa"/>
            <w:vAlign w:val="center"/>
          </w:tcPr>
          <w:p>
            <w:pPr>
              <w:snapToGrid w:val="0"/>
              <w:spacing w:line="440" w:lineRule="atLeast"/>
              <w:jc w:val="center"/>
              <w:rPr>
                <w:rFonts w:hint="eastAsia"/>
                <w:sz w:val="22"/>
              </w:rPr>
            </w:pPr>
            <w:r>
              <w:rPr>
                <w:rFonts w:hint="eastAsia"/>
                <w:sz w:val="22"/>
              </w:rPr>
              <w:t>数量</w:t>
            </w:r>
          </w:p>
        </w:tc>
        <w:tc>
          <w:tcPr>
            <w:tcW w:w="1129" w:type="dxa"/>
            <w:vAlign w:val="center"/>
          </w:tcPr>
          <w:p>
            <w:pPr>
              <w:snapToGrid w:val="0"/>
              <w:spacing w:line="440" w:lineRule="atLeast"/>
              <w:jc w:val="center"/>
              <w:rPr>
                <w:rFonts w:hint="eastAsia"/>
                <w:sz w:val="22"/>
              </w:rPr>
            </w:pPr>
            <w:r>
              <w:rPr>
                <w:rFonts w:hint="eastAsia"/>
                <w:sz w:val="22"/>
              </w:rPr>
              <w:t>中标价</w:t>
            </w:r>
          </w:p>
        </w:tc>
        <w:tc>
          <w:tcPr>
            <w:tcW w:w="1129" w:type="dxa"/>
            <w:vAlign w:val="center"/>
          </w:tcPr>
          <w:p>
            <w:pPr>
              <w:snapToGrid w:val="0"/>
              <w:spacing w:line="440" w:lineRule="atLeast"/>
              <w:jc w:val="center"/>
              <w:rPr>
                <w:rFonts w:hint="eastAsia"/>
                <w:sz w:val="22"/>
              </w:rPr>
            </w:pPr>
            <w:r>
              <w:rPr>
                <w:rFonts w:hint="eastAsia"/>
                <w:sz w:val="22"/>
              </w:rPr>
              <w:t>完工期</w:t>
            </w:r>
          </w:p>
        </w:tc>
        <w:tc>
          <w:tcPr>
            <w:tcW w:w="1129" w:type="dxa"/>
            <w:vAlign w:val="center"/>
          </w:tcPr>
          <w:p>
            <w:pPr>
              <w:snapToGrid w:val="0"/>
              <w:spacing w:line="440" w:lineRule="atLeast"/>
              <w:jc w:val="center"/>
              <w:rPr>
                <w:rFonts w:hint="eastAsia"/>
                <w:sz w:val="22"/>
              </w:rPr>
            </w:pPr>
            <w:r>
              <w:rPr>
                <w:rFonts w:hint="eastAsia"/>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267" w:type="dxa"/>
            <w:vAlign w:val="center"/>
          </w:tcPr>
          <w:p>
            <w:pPr>
              <w:snapToGrid w:val="0"/>
              <w:spacing w:line="440" w:lineRule="atLeast"/>
              <w:jc w:val="center"/>
              <w:rPr>
                <w:rFonts w:hint="eastAsia"/>
                <w:sz w:val="22"/>
              </w:rPr>
            </w:pPr>
          </w:p>
        </w:tc>
        <w:tc>
          <w:tcPr>
            <w:tcW w:w="2713" w:type="dxa"/>
            <w:vAlign w:val="center"/>
          </w:tcPr>
          <w:p>
            <w:pPr>
              <w:snapToGrid w:val="0"/>
              <w:spacing w:line="440" w:lineRule="atLeast"/>
              <w:jc w:val="center"/>
              <w:rPr>
                <w:rFonts w:hint="eastAsia"/>
                <w:sz w:val="22"/>
              </w:rPr>
            </w:pPr>
          </w:p>
        </w:tc>
        <w:tc>
          <w:tcPr>
            <w:tcW w:w="1128" w:type="dxa"/>
            <w:vAlign w:val="center"/>
          </w:tcPr>
          <w:p>
            <w:pPr>
              <w:snapToGrid w:val="0"/>
              <w:spacing w:line="440" w:lineRule="atLeast"/>
              <w:jc w:val="center"/>
              <w:rPr>
                <w:rFonts w:hint="eastAsia"/>
                <w:sz w:val="22"/>
              </w:rPr>
            </w:pPr>
          </w:p>
        </w:tc>
        <w:tc>
          <w:tcPr>
            <w:tcW w:w="1129" w:type="dxa"/>
            <w:vAlign w:val="center"/>
          </w:tcPr>
          <w:p>
            <w:pPr>
              <w:snapToGrid w:val="0"/>
              <w:spacing w:line="440" w:lineRule="atLeast"/>
              <w:jc w:val="center"/>
              <w:rPr>
                <w:rFonts w:hint="eastAsia"/>
                <w:sz w:val="22"/>
              </w:rPr>
            </w:pPr>
          </w:p>
        </w:tc>
        <w:tc>
          <w:tcPr>
            <w:tcW w:w="1129" w:type="dxa"/>
            <w:vAlign w:val="center"/>
          </w:tcPr>
          <w:p>
            <w:pPr>
              <w:snapToGrid w:val="0"/>
              <w:spacing w:line="440" w:lineRule="atLeast"/>
              <w:jc w:val="center"/>
              <w:rPr>
                <w:rFonts w:hint="eastAsia"/>
                <w:sz w:val="22"/>
              </w:rPr>
            </w:pPr>
          </w:p>
        </w:tc>
        <w:tc>
          <w:tcPr>
            <w:tcW w:w="1129" w:type="dxa"/>
            <w:vAlign w:val="center"/>
          </w:tcPr>
          <w:p>
            <w:pPr>
              <w:snapToGrid w:val="0"/>
              <w:spacing w:line="440" w:lineRule="atLeast"/>
              <w:jc w:val="center"/>
              <w:rPr>
                <w:rFonts w:hint="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2267" w:type="dxa"/>
            <w:vAlign w:val="center"/>
          </w:tcPr>
          <w:p>
            <w:pPr>
              <w:snapToGrid w:val="0"/>
              <w:spacing w:line="440" w:lineRule="atLeast"/>
              <w:jc w:val="center"/>
              <w:rPr>
                <w:rFonts w:hint="eastAsia"/>
                <w:sz w:val="22"/>
              </w:rPr>
            </w:pPr>
          </w:p>
        </w:tc>
        <w:tc>
          <w:tcPr>
            <w:tcW w:w="2713" w:type="dxa"/>
            <w:vAlign w:val="center"/>
          </w:tcPr>
          <w:p>
            <w:pPr>
              <w:snapToGrid w:val="0"/>
              <w:spacing w:line="440" w:lineRule="atLeast"/>
              <w:jc w:val="center"/>
              <w:rPr>
                <w:rFonts w:hint="eastAsia"/>
                <w:sz w:val="22"/>
              </w:rPr>
            </w:pPr>
          </w:p>
        </w:tc>
        <w:tc>
          <w:tcPr>
            <w:tcW w:w="1128" w:type="dxa"/>
            <w:vAlign w:val="center"/>
          </w:tcPr>
          <w:p>
            <w:pPr>
              <w:snapToGrid w:val="0"/>
              <w:spacing w:line="440" w:lineRule="atLeast"/>
              <w:jc w:val="center"/>
              <w:rPr>
                <w:rFonts w:hint="eastAsia"/>
                <w:sz w:val="22"/>
              </w:rPr>
            </w:pPr>
          </w:p>
        </w:tc>
        <w:tc>
          <w:tcPr>
            <w:tcW w:w="1129" w:type="dxa"/>
            <w:vAlign w:val="center"/>
          </w:tcPr>
          <w:p>
            <w:pPr>
              <w:snapToGrid w:val="0"/>
              <w:spacing w:line="440" w:lineRule="atLeast"/>
              <w:jc w:val="center"/>
              <w:rPr>
                <w:rFonts w:hint="eastAsia"/>
                <w:sz w:val="22"/>
              </w:rPr>
            </w:pPr>
          </w:p>
        </w:tc>
        <w:tc>
          <w:tcPr>
            <w:tcW w:w="1129" w:type="dxa"/>
            <w:vAlign w:val="center"/>
          </w:tcPr>
          <w:p>
            <w:pPr>
              <w:snapToGrid w:val="0"/>
              <w:spacing w:line="440" w:lineRule="atLeast"/>
              <w:jc w:val="center"/>
              <w:rPr>
                <w:rFonts w:hint="eastAsia"/>
                <w:sz w:val="22"/>
              </w:rPr>
            </w:pPr>
          </w:p>
        </w:tc>
        <w:tc>
          <w:tcPr>
            <w:tcW w:w="1129" w:type="dxa"/>
            <w:vAlign w:val="center"/>
          </w:tcPr>
          <w:p>
            <w:pPr>
              <w:snapToGrid w:val="0"/>
              <w:spacing w:line="440" w:lineRule="atLeast"/>
              <w:jc w:val="center"/>
              <w:rPr>
                <w:rFonts w:hint="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2267" w:type="dxa"/>
            <w:vAlign w:val="center"/>
          </w:tcPr>
          <w:p>
            <w:pPr>
              <w:snapToGrid w:val="0"/>
              <w:spacing w:line="440" w:lineRule="atLeast"/>
              <w:jc w:val="center"/>
              <w:rPr>
                <w:rFonts w:hint="eastAsia"/>
                <w:sz w:val="22"/>
              </w:rPr>
            </w:pPr>
            <w:r>
              <w:rPr>
                <w:rFonts w:hint="eastAsia"/>
                <w:bCs/>
                <w:color w:val="000000"/>
                <w:sz w:val="22"/>
                <w:szCs w:val="22"/>
                <w:lang w:val="zh-CN"/>
              </w:rPr>
              <w:t>合同总计（人民币）</w:t>
            </w:r>
          </w:p>
        </w:tc>
        <w:tc>
          <w:tcPr>
            <w:tcW w:w="7228" w:type="dxa"/>
            <w:gridSpan w:val="5"/>
            <w:vAlign w:val="center"/>
          </w:tcPr>
          <w:p>
            <w:pPr>
              <w:snapToGrid w:val="0"/>
              <w:spacing w:line="440" w:lineRule="atLeast"/>
              <w:jc w:val="both"/>
              <w:rPr>
                <w:rFonts w:hint="eastAsia"/>
                <w:sz w:val="22"/>
              </w:rPr>
            </w:pPr>
            <w:r>
              <w:rPr>
                <w:rFonts w:hint="eastAsia"/>
                <w:bCs/>
                <w:color w:val="000000"/>
                <w:sz w:val="22"/>
                <w:szCs w:val="22"/>
                <w:lang w:val="zh-CN"/>
              </w:rPr>
              <w:t>小写：</w:t>
            </w:r>
            <w:r>
              <w:rPr>
                <w:rFonts w:hint="eastAsia"/>
                <w:bCs/>
                <w:color w:val="000000"/>
                <w:sz w:val="22"/>
                <w:szCs w:val="22"/>
                <w:u w:val="single"/>
                <w:lang w:val="zh-CN"/>
              </w:rPr>
              <w:t xml:space="preserve">                </w:t>
            </w:r>
            <w:r>
              <w:rPr>
                <w:rFonts w:hint="eastAsia"/>
                <w:bCs/>
                <w:color w:val="000000"/>
                <w:sz w:val="22"/>
                <w:szCs w:val="22"/>
                <w:lang w:val="zh-CN"/>
              </w:rPr>
              <w:t xml:space="preserve">          大写:</w:t>
            </w:r>
            <w:r>
              <w:rPr>
                <w:rFonts w:hint="eastAsia"/>
                <w:bCs/>
                <w:color w:val="000000"/>
                <w:sz w:val="22"/>
                <w:szCs w:val="22"/>
                <w:u w:val="single"/>
                <w:lang w:val="zh-CN"/>
              </w:rPr>
              <w:t xml:space="preserve">               </w:t>
            </w:r>
          </w:p>
        </w:tc>
      </w:tr>
    </w:tbl>
    <w:p>
      <w:pPr>
        <w:snapToGrid w:val="0"/>
        <w:spacing w:line="400" w:lineRule="exact"/>
        <w:ind w:firstLine="540"/>
        <w:rPr>
          <w:rFonts w:hint="eastAsia"/>
          <w:color w:val="000000"/>
          <w:sz w:val="22"/>
          <w:szCs w:val="22"/>
        </w:rPr>
      </w:pPr>
      <w:r>
        <w:rPr>
          <w:rFonts w:hint="eastAsia"/>
          <w:color w:val="000000"/>
          <w:sz w:val="22"/>
          <w:szCs w:val="22"/>
        </w:rPr>
        <w:t xml:space="preserve">   </w:t>
      </w:r>
    </w:p>
    <w:p>
      <w:pPr>
        <w:pStyle w:val="33"/>
        <w:snapToGrid w:val="0"/>
        <w:spacing w:line="400" w:lineRule="exact"/>
        <w:rPr>
          <w:rFonts w:hint="eastAsia" w:hAnsi="宋体" w:cs="宋体"/>
          <w:color w:val="000000"/>
          <w:sz w:val="22"/>
          <w:szCs w:val="22"/>
        </w:rPr>
      </w:pPr>
      <w:r>
        <w:rPr>
          <w:rFonts w:hint="eastAsia" w:hAnsi="宋体" w:cs="宋体"/>
          <w:color w:val="000000"/>
          <w:sz w:val="22"/>
          <w:szCs w:val="22"/>
        </w:rPr>
        <w:t>第二条：质量标准和要求</w:t>
      </w:r>
    </w:p>
    <w:p>
      <w:pPr>
        <w:snapToGrid w:val="0"/>
        <w:spacing w:line="400" w:lineRule="exact"/>
        <w:ind w:firstLine="440" w:firstLineChars="200"/>
        <w:rPr>
          <w:color w:val="000000"/>
          <w:sz w:val="22"/>
          <w:szCs w:val="22"/>
        </w:rPr>
      </w:pPr>
      <w:r>
        <w:rPr>
          <w:rFonts w:hint="eastAsia"/>
          <w:color w:val="000000"/>
          <w:sz w:val="22"/>
          <w:szCs w:val="22"/>
        </w:rPr>
        <w:t>（一）为保证质量，投标供应商需保证投标产品参数的真实性，供货时采购人及第三方单位（如有）将进行如实核对，如查实投标产品技术参数有弄虚作假，将上报采购主管部门，废除其中标人资格并保留追究责任的权利；</w:t>
      </w:r>
    </w:p>
    <w:p>
      <w:pPr>
        <w:snapToGrid w:val="0"/>
        <w:spacing w:line="400" w:lineRule="exact"/>
        <w:ind w:firstLine="440" w:firstLineChars="200"/>
        <w:rPr>
          <w:color w:val="000000"/>
          <w:sz w:val="22"/>
          <w:szCs w:val="22"/>
        </w:rPr>
      </w:pPr>
      <w:r>
        <w:rPr>
          <w:rFonts w:hint="eastAsia"/>
          <w:color w:val="000000"/>
          <w:sz w:val="22"/>
          <w:szCs w:val="22"/>
        </w:rPr>
        <w:t>（二）为保证工质量，本项目采购人及第三方单位（如有）将对到货设备进行严格验收，如实际安装设备达不到招标文件技术要求或安装型号参数与投标文件不一致的，做验收不通过处理，对此采购人有权无条件取消合同并不予退还履约保证金；供应商到货及安装、退货等所造成的损失自行承担；</w:t>
      </w:r>
    </w:p>
    <w:p>
      <w:pPr>
        <w:snapToGrid w:val="0"/>
        <w:spacing w:line="400" w:lineRule="exact"/>
        <w:rPr>
          <w:rFonts w:hint="eastAsia"/>
          <w:color w:val="000000"/>
          <w:sz w:val="22"/>
          <w:szCs w:val="22"/>
        </w:rPr>
      </w:pPr>
      <w:r>
        <w:rPr>
          <w:rFonts w:hint="eastAsia"/>
          <w:color w:val="000000"/>
          <w:sz w:val="22"/>
          <w:szCs w:val="22"/>
        </w:rPr>
        <w:t>第三条：权利瑕疵担保</w:t>
      </w:r>
    </w:p>
    <w:p>
      <w:pPr>
        <w:snapToGrid w:val="0"/>
        <w:spacing w:line="400" w:lineRule="exact"/>
        <w:ind w:firstLine="420"/>
        <w:rPr>
          <w:rFonts w:hint="eastAsia"/>
          <w:color w:val="000000"/>
          <w:sz w:val="22"/>
          <w:szCs w:val="22"/>
        </w:rPr>
      </w:pPr>
      <w:r>
        <w:rPr>
          <w:rFonts w:hint="eastAsia"/>
          <w:color w:val="000000"/>
          <w:sz w:val="22"/>
          <w:szCs w:val="22"/>
        </w:rPr>
        <w:t>1、中标供应商保证对其出售的货物或服务享有合法的权利。</w:t>
      </w:r>
    </w:p>
    <w:p>
      <w:pPr>
        <w:snapToGrid w:val="0"/>
        <w:spacing w:line="400" w:lineRule="exact"/>
        <w:ind w:firstLine="420"/>
        <w:rPr>
          <w:rFonts w:hint="eastAsia"/>
          <w:color w:val="000000"/>
          <w:sz w:val="22"/>
          <w:szCs w:val="22"/>
        </w:rPr>
      </w:pPr>
      <w:r>
        <w:rPr>
          <w:rFonts w:hint="eastAsia"/>
          <w:color w:val="000000"/>
          <w:sz w:val="22"/>
          <w:szCs w:val="22"/>
        </w:rPr>
        <w:t>2、中标供应商保证在其出售的货物或服务上不存在任何未曾向采购人透露的担保物权，如抵押权、质押权、留置权等。</w:t>
      </w:r>
    </w:p>
    <w:p>
      <w:pPr>
        <w:snapToGrid w:val="0"/>
        <w:spacing w:line="400" w:lineRule="exact"/>
        <w:ind w:firstLine="420"/>
        <w:rPr>
          <w:rFonts w:hint="eastAsia"/>
          <w:color w:val="000000"/>
          <w:sz w:val="22"/>
          <w:szCs w:val="22"/>
        </w:rPr>
      </w:pPr>
      <w:r>
        <w:rPr>
          <w:rFonts w:hint="eastAsia"/>
          <w:color w:val="000000"/>
          <w:sz w:val="22"/>
          <w:szCs w:val="22"/>
        </w:rPr>
        <w:t>3、中标供应商保证其所出售的货物或服务没有侵犯任何第三人的知识产权和商业秘密等权利。</w:t>
      </w:r>
    </w:p>
    <w:p>
      <w:pPr>
        <w:pStyle w:val="33"/>
        <w:snapToGrid w:val="0"/>
        <w:spacing w:line="400" w:lineRule="exact"/>
        <w:ind w:firstLine="330" w:firstLineChars="150"/>
        <w:rPr>
          <w:rFonts w:hint="eastAsia" w:hAnsi="宋体" w:cs="宋体"/>
          <w:color w:val="000000"/>
          <w:sz w:val="22"/>
          <w:szCs w:val="22"/>
        </w:rPr>
      </w:pPr>
      <w:r>
        <w:rPr>
          <w:rFonts w:hint="eastAsia" w:hAnsi="宋体" w:cs="宋体"/>
          <w:color w:val="000000"/>
          <w:sz w:val="22"/>
          <w:szCs w:val="22"/>
        </w:rPr>
        <w:t xml:space="preserve"> 4、如采购人使用该货物或服务构成上述侵权的，则由中标供应商承担全部责任。</w:t>
      </w:r>
    </w:p>
    <w:p>
      <w:pPr>
        <w:snapToGrid w:val="0"/>
        <w:spacing w:line="400" w:lineRule="exact"/>
        <w:rPr>
          <w:rFonts w:hint="eastAsia"/>
          <w:color w:val="000000"/>
          <w:sz w:val="22"/>
          <w:szCs w:val="22"/>
        </w:rPr>
      </w:pPr>
      <w:r>
        <w:rPr>
          <w:rFonts w:hint="eastAsia"/>
          <w:color w:val="000000"/>
          <w:sz w:val="22"/>
          <w:szCs w:val="22"/>
        </w:rPr>
        <w:t>第四条：包装要求</w:t>
      </w:r>
    </w:p>
    <w:p>
      <w:pPr>
        <w:snapToGrid w:val="0"/>
        <w:spacing w:line="400" w:lineRule="exact"/>
        <w:rPr>
          <w:rFonts w:hint="eastAsia"/>
          <w:color w:val="000000"/>
          <w:sz w:val="22"/>
          <w:szCs w:val="22"/>
        </w:rPr>
      </w:pPr>
      <w:r>
        <w:rPr>
          <w:rFonts w:hint="eastAsia"/>
          <w:color w:val="000000"/>
          <w:sz w:val="22"/>
          <w:szCs w:val="22"/>
        </w:rPr>
        <w:t xml:space="preserve">    1、中标供应商所提供的全部货物均应按标准保护措施进行包装，这类包装应适应于远距离运输、防潮、防震、防锈和防野蛮装卸等要求，以确保货物安全无损地运抵指定现场。</w:t>
      </w:r>
    </w:p>
    <w:p>
      <w:pPr>
        <w:pStyle w:val="33"/>
        <w:snapToGrid w:val="0"/>
        <w:spacing w:line="400" w:lineRule="exact"/>
        <w:ind w:firstLine="440"/>
        <w:rPr>
          <w:rFonts w:hint="eastAsia" w:hAnsi="宋体" w:cs="宋体"/>
          <w:color w:val="000000"/>
          <w:sz w:val="22"/>
          <w:szCs w:val="22"/>
        </w:rPr>
      </w:pPr>
      <w:r>
        <w:rPr>
          <w:rFonts w:hint="eastAsia" w:hAnsi="宋体" w:cs="宋体"/>
          <w:color w:val="000000"/>
          <w:sz w:val="22"/>
          <w:szCs w:val="22"/>
        </w:rPr>
        <w:t xml:space="preserve"> 2、每一个包装箱内应附一份详细装箱单、质量证书和保修保养证书。</w:t>
      </w:r>
    </w:p>
    <w:p>
      <w:pPr>
        <w:autoSpaceDE w:val="0"/>
        <w:autoSpaceDN w:val="0"/>
        <w:adjustRightInd w:val="0"/>
        <w:snapToGrid w:val="0"/>
        <w:spacing w:line="420" w:lineRule="exact"/>
        <w:textAlignment w:val="bottom"/>
        <w:rPr>
          <w:rFonts w:hint="eastAsia" w:cs="仿宋_GB2312"/>
          <w:color w:val="000000"/>
          <w:sz w:val="22"/>
          <w:szCs w:val="22"/>
          <w:lang w:val="zh-CN"/>
        </w:rPr>
      </w:pPr>
      <w:r>
        <w:rPr>
          <w:rFonts w:hint="eastAsia"/>
          <w:color w:val="000000"/>
          <w:sz w:val="22"/>
          <w:szCs w:val="22"/>
        </w:rPr>
        <w:t>第五条：</w:t>
      </w:r>
      <w:r>
        <w:rPr>
          <w:rFonts w:hint="eastAsia" w:cs="仿宋_GB2312"/>
          <w:color w:val="000000"/>
          <w:sz w:val="22"/>
          <w:szCs w:val="22"/>
          <w:lang w:val="zh-CN"/>
        </w:rPr>
        <w:t>完工期及服务期限</w:t>
      </w:r>
    </w:p>
    <w:p>
      <w:pPr>
        <w:adjustRightInd w:val="0"/>
        <w:snapToGrid w:val="0"/>
        <w:spacing w:line="420" w:lineRule="exact"/>
        <w:outlineLvl w:val="0"/>
        <w:rPr>
          <w:color w:val="000000"/>
          <w:sz w:val="22"/>
        </w:rPr>
      </w:pPr>
      <w:r>
        <w:rPr>
          <w:color w:val="000000"/>
          <w:sz w:val="22"/>
        </w:rPr>
        <w:t>完工期：</w:t>
      </w:r>
      <w:r>
        <w:rPr>
          <w:rFonts w:hint="eastAsia" w:cs="仿宋_GB2312"/>
          <w:b/>
          <w:color w:val="000000"/>
          <w:sz w:val="22"/>
          <w:szCs w:val="22"/>
          <w:u w:val="single"/>
          <w:lang w:val="zh-CN"/>
        </w:rPr>
        <w:t>接到通知后最长不得超出60日历天</w:t>
      </w:r>
      <w:r>
        <w:rPr>
          <w:rFonts w:hint="eastAsia"/>
          <w:color w:val="000000"/>
          <w:sz w:val="22"/>
        </w:rPr>
        <w:t>（供应商提供最短时间）</w:t>
      </w:r>
      <w:r>
        <w:rPr>
          <w:color w:val="000000"/>
          <w:sz w:val="22"/>
        </w:rPr>
        <w:t>。</w:t>
      </w:r>
    </w:p>
    <w:p>
      <w:pPr>
        <w:snapToGrid w:val="0"/>
        <w:spacing w:line="400" w:lineRule="exact"/>
        <w:rPr>
          <w:rFonts w:hint="eastAsia"/>
          <w:color w:val="000000"/>
          <w:sz w:val="22"/>
          <w:szCs w:val="22"/>
        </w:rPr>
      </w:pPr>
      <w:r>
        <w:rPr>
          <w:rFonts w:hint="eastAsia"/>
          <w:color w:val="000000"/>
        </w:rPr>
        <w:t>服务期：1年。</w:t>
      </w:r>
    </w:p>
    <w:p>
      <w:pPr>
        <w:snapToGrid w:val="0"/>
        <w:spacing w:line="400" w:lineRule="exact"/>
        <w:rPr>
          <w:rFonts w:hint="eastAsia"/>
          <w:color w:val="000000"/>
          <w:sz w:val="22"/>
          <w:szCs w:val="22"/>
        </w:rPr>
      </w:pPr>
      <w:r>
        <w:rPr>
          <w:rFonts w:hint="eastAsia"/>
          <w:color w:val="000000"/>
          <w:sz w:val="22"/>
          <w:szCs w:val="22"/>
        </w:rPr>
        <w:t>第六条：安装施工：需供应商提供技术人员安装调试</w:t>
      </w:r>
    </w:p>
    <w:p>
      <w:pPr>
        <w:tabs>
          <w:tab w:val="left" w:pos="840"/>
        </w:tabs>
        <w:snapToGrid w:val="0"/>
        <w:spacing w:line="400" w:lineRule="exact"/>
        <w:ind w:firstLine="440" w:firstLineChars="200"/>
        <w:rPr>
          <w:rFonts w:hint="eastAsia"/>
          <w:color w:val="000000"/>
          <w:sz w:val="22"/>
          <w:szCs w:val="22"/>
        </w:rPr>
      </w:pPr>
      <w:r>
        <w:rPr>
          <w:rFonts w:hint="eastAsia"/>
          <w:color w:val="000000"/>
          <w:sz w:val="22"/>
          <w:szCs w:val="22"/>
        </w:rPr>
        <w:t>安装施工地点：按采购单位要求。</w:t>
      </w:r>
    </w:p>
    <w:p>
      <w:pPr>
        <w:tabs>
          <w:tab w:val="left" w:pos="840"/>
        </w:tabs>
        <w:snapToGrid w:val="0"/>
        <w:spacing w:line="400" w:lineRule="exact"/>
        <w:ind w:firstLine="440" w:firstLineChars="200"/>
        <w:rPr>
          <w:rFonts w:hint="eastAsia"/>
          <w:color w:val="000000"/>
          <w:sz w:val="22"/>
          <w:szCs w:val="22"/>
        </w:rPr>
      </w:pPr>
      <w:r>
        <w:rPr>
          <w:rFonts w:hint="eastAsia"/>
          <w:color w:val="000000"/>
          <w:sz w:val="22"/>
          <w:szCs w:val="22"/>
        </w:rPr>
        <w:t>安装施工标准：符合我国国家有关技术规范要求和技术标准。</w:t>
      </w:r>
    </w:p>
    <w:p>
      <w:pPr>
        <w:tabs>
          <w:tab w:val="left" w:pos="840"/>
        </w:tabs>
        <w:snapToGrid w:val="0"/>
        <w:spacing w:line="400" w:lineRule="exact"/>
        <w:ind w:firstLine="440" w:firstLineChars="200"/>
        <w:rPr>
          <w:rFonts w:hint="eastAsia"/>
          <w:color w:val="000000"/>
          <w:sz w:val="22"/>
          <w:szCs w:val="22"/>
        </w:rPr>
      </w:pPr>
      <w:r>
        <w:rPr>
          <w:rFonts w:hint="eastAsia"/>
          <w:color w:val="000000"/>
          <w:sz w:val="22"/>
          <w:szCs w:val="22"/>
        </w:rPr>
        <w:t>安装施工过程中发生的费用由成交供应商负责。</w:t>
      </w:r>
    </w:p>
    <w:p>
      <w:pPr>
        <w:snapToGrid w:val="0"/>
        <w:spacing w:line="440" w:lineRule="exact"/>
        <w:ind w:firstLine="440" w:firstLineChars="200"/>
        <w:rPr>
          <w:rFonts w:hint="eastAsia"/>
          <w:color w:val="000000"/>
          <w:sz w:val="22"/>
          <w:szCs w:val="22"/>
        </w:rPr>
      </w:pPr>
      <w:r>
        <w:rPr>
          <w:rFonts w:hint="eastAsia"/>
          <w:color w:val="000000"/>
          <w:sz w:val="22"/>
          <w:szCs w:val="22"/>
        </w:rPr>
        <w:t>供应商应在投标文件中提供其安装调试过程中使用单位需配合的内容。</w:t>
      </w:r>
    </w:p>
    <w:p>
      <w:pPr>
        <w:snapToGrid w:val="0"/>
        <w:spacing w:afterLines="50" w:line="400" w:lineRule="exact"/>
        <w:rPr>
          <w:rFonts w:hint="eastAsia"/>
          <w:color w:val="000000"/>
          <w:sz w:val="22"/>
          <w:szCs w:val="22"/>
        </w:rPr>
      </w:pPr>
      <w:r>
        <w:rPr>
          <w:rFonts w:hint="eastAsia"/>
          <w:color w:val="000000"/>
          <w:sz w:val="22"/>
          <w:szCs w:val="22"/>
        </w:rPr>
        <w:t>第七条：验收</w:t>
      </w:r>
    </w:p>
    <w:p>
      <w:pPr>
        <w:snapToGrid w:val="0"/>
        <w:spacing w:line="360" w:lineRule="auto"/>
        <w:ind w:firstLine="440" w:firstLineChars="200"/>
        <w:rPr>
          <w:color w:val="000000"/>
          <w:sz w:val="22"/>
          <w:szCs w:val="22"/>
        </w:rPr>
      </w:pPr>
      <w:r>
        <w:rPr>
          <w:rFonts w:hint="eastAsia"/>
          <w:color w:val="000000"/>
          <w:sz w:val="22"/>
          <w:szCs w:val="22"/>
        </w:rPr>
        <w:t>1）政府采购项目无论金额大小，都要进行履约验收，履约验收工作由采购人负责。采购人可以根据采购项目具体情况自行组织验收，或者委托采购代理机构组织验收，但委托验收不能免除采购人应当承担的法律责任。</w:t>
      </w:r>
    </w:p>
    <w:p>
      <w:pPr>
        <w:snapToGrid w:val="0"/>
        <w:spacing w:line="360" w:lineRule="auto"/>
        <w:ind w:firstLine="440" w:firstLineChars="200"/>
        <w:rPr>
          <w:color w:val="000000"/>
          <w:sz w:val="22"/>
          <w:szCs w:val="22"/>
        </w:rPr>
      </w:pPr>
      <w:r>
        <w:rPr>
          <w:rFonts w:hint="eastAsia"/>
          <w:color w:val="000000"/>
          <w:sz w:val="22"/>
          <w:szCs w:val="22"/>
        </w:rPr>
        <w:t>2）采购人对中标(成交)人的履约验收应按《温州市政府采购履约验收办法》执行。</w:t>
      </w:r>
    </w:p>
    <w:p>
      <w:pPr>
        <w:pStyle w:val="33"/>
        <w:snapToGrid w:val="0"/>
        <w:spacing w:line="360" w:lineRule="auto"/>
        <w:ind w:firstLine="440"/>
        <w:rPr>
          <w:rFonts w:hint="eastAsia" w:hAnsi="宋体" w:cs="宋体"/>
          <w:color w:val="000000"/>
          <w:sz w:val="22"/>
          <w:szCs w:val="22"/>
        </w:rPr>
      </w:pPr>
      <w:r>
        <w:rPr>
          <w:rFonts w:hint="eastAsia" w:hAnsi="宋体" w:cs="宋体"/>
          <w:color w:val="000000"/>
          <w:sz w:val="22"/>
          <w:szCs w:val="22"/>
        </w:rPr>
        <w:t>第八条：</w:t>
      </w:r>
      <w:r>
        <w:rPr>
          <w:rFonts w:hint="eastAsia"/>
          <w:color w:val="000000"/>
          <w:sz w:val="22"/>
          <w:szCs w:val="22"/>
        </w:rPr>
        <w:t>质保期</w:t>
      </w:r>
    </w:p>
    <w:p>
      <w:pPr>
        <w:pStyle w:val="33"/>
        <w:snapToGrid w:val="0"/>
        <w:spacing w:line="360" w:lineRule="auto"/>
        <w:ind w:firstLine="440" w:firstLineChars="200"/>
        <w:rPr>
          <w:rFonts w:hAnsi="宋体" w:cs="宋体"/>
          <w:color w:val="000000"/>
          <w:sz w:val="22"/>
          <w:szCs w:val="22"/>
        </w:rPr>
      </w:pPr>
      <w:r>
        <w:rPr>
          <w:rFonts w:hint="eastAsia" w:hAnsi="宋体" w:cs="宋体"/>
          <w:color w:val="000000"/>
          <w:sz w:val="22"/>
          <w:szCs w:val="22"/>
        </w:rPr>
        <w:t>1</w:t>
      </w:r>
      <w:r>
        <w:rPr>
          <w:rFonts w:hAnsi="宋体" w:cs="宋体"/>
          <w:color w:val="000000"/>
          <w:sz w:val="22"/>
          <w:szCs w:val="22"/>
        </w:rPr>
        <w:t>)免费质保期为</w:t>
      </w:r>
      <w:r>
        <w:rPr>
          <w:rFonts w:hint="eastAsia" w:hAnsi="宋体" w:cs="宋体"/>
          <w:color w:val="000000"/>
          <w:sz w:val="22"/>
          <w:szCs w:val="22"/>
        </w:rPr>
        <w:t>三</w:t>
      </w:r>
      <w:r>
        <w:rPr>
          <w:rFonts w:hAnsi="宋体" w:cs="宋体"/>
          <w:color w:val="000000"/>
          <w:sz w:val="22"/>
          <w:szCs w:val="22"/>
        </w:rPr>
        <w:t>年（除投标文件另外规定的），质保期从验收合格交付使用之日起算。</w:t>
      </w:r>
    </w:p>
    <w:p>
      <w:pPr>
        <w:pStyle w:val="33"/>
        <w:snapToGrid w:val="0"/>
        <w:spacing w:line="360" w:lineRule="auto"/>
        <w:ind w:firstLine="440" w:firstLineChars="200"/>
        <w:rPr>
          <w:rFonts w:hAnsi="宋体" w:cs="宋体"/>
          <w:color w:val="000000"/>
          <w:sz w:val="22"/>
          <w:szCs w:val="22"/>
        </w:rPr>
      </w:pPr>
      <w:r>
        <w:rPr>
          <w:rFonts w:hint="eastAsia" w:hAnsi="宋体" w:cs="宋体"/>
          <w:color w:val="000000"/>
          <w:sz w:val="22"/>
          <w:szCs w:val="22"/>
        </w:rPr>
        <w:t>2</w:t>
      </w:r>
      <w:r>
        <w:rPr>
          <w:rFonts w:hAnsi="宋体" w:cs="宋体"/>
          <w:color w:val="000000"/>
          <w:sz w:val="22"/>
          <w:szCs w:val="22"/>
        </w:rPr>
        <w:t>)提供质保期内巡视保养措施、时间。</w:t>
      </w:r>
    </w:p>
    <w:p>
      <w:pPr>
        <w:pStyle w:val="33"/>
        <w:snapToGrid w:val="0"/>
        <w:spacing w:line="360" w:lineRule="auto"/>
        <w:ind w:firstLine="440" w:firstLineChars="200"/>
        <w:rPr>
          <w:rFonts w:hAnsi="宋体" w:cs="宋体"/>
          <w:color w:val="000000"/>
          <w:sz w:val="22"/>
          <w:szCs w:val="22"/>
        </w:rPr>
      </w:pPr>
      <w:r>
        <w:rPr>
          <w:rFonts w:hint="eastAsia" w:hAnsi="宋体" w:cs="宋体"/>
          <w:color w:val="000000"/>
          <w:sz w:val="22"/>
          <w:szCs w:val="22"/>
        </w:rPr>
        <w:t>3</w:t>
      </w:r>
      <w:r>
        <w:rPr>
          <w:rFonts w:hAnsi="宋体" w:cs="宋体"/>
          <w:color w:val="000000"/>
          <w:sz w:val="22"/>
          <w:szCs w:val="22"/>
        </w:rPr>
        <w:t>)质保期内因设备本身缺陷造成各种故障应由供应商免费技术服务和维修。</w:t>
      </w:r>
    </w:p>
    <w:p>
      <w:pPr>
        <w:pStyle w:val="33"/>
        <w:snapToGrid w:val="0"/>
        <w:spacing w:line="360" w:lineRule="auto"/>
        <w:ind w:firstLine="440" w:firstLineChars="200"/>
        <w:rPr>
          <w:rFonts w:hint="eastAsia" w:hAnsi="宋体" w:cs="宋体"/>
          <w:color w:val="000000"/>
          <w:sz w:val="22"/>
          <w:szCs w:val="22"/>
        </w:rPr>
      </w:pPr>
      <w:r>
        <w:rPr>
          <w:rFonts w:hint="eastAsia" w:hAnsi="宋体" w:cs="宋体"/>
          <w:color w:val="000000"/>
          <w:sz w:val="22"/>
          <w:szCs w:val="22"/>
        </w:rPr>
        <w:t>4</w:t>
      </w:r>
      <w:r>
        <w:rPr>
          <w:rFonts w:hAnsi="宋体" w:cs="宋体"/>
          <w:color w:val="000000"/>
          <w:sz w:val="22"/>
          <w:szCs w:val="22"/>
        </w:rPr>
        <w:t>)投标供应商在投标响应文件中说明质保期内提供的服务计划及培训计划。</w:t>
      </w:r>
    </w:p>
    <w:p>
      <w:pPr>
        <w:pStyle w:val="33"/>
        <w:snapToGrid w:val="0"/>
        <w:spacing w:line="360" w:lineRule="auto"/>
        <w:ind w:firstLine="440"/>
        <w:rPr>
          <w:rFonts w:hint="eastAsia" w:hAnsi="宋体" w:cs="宋体"/>
          <w:color w:val="000000"/>
          <w:sz w:val="22"/>
          <w:szCs w:val="22"/>
        </w:rPr>
      </w:pPr>
      <w:r>
        <w:rPr>
          <w:rFonts w:hint="eastAsia" w:hAnsi="宋体" w:cs="宋体"/>
          <w:color w:val="000000"/>
          <w:sz w:val="22"/>
          <w:szCs w:val="22"/>
        </w:rPr>
        <w:t>第九条：履约保证金</w:t>
      </w:r>
    </w:p>
    <w:p>
      <w:pPr>
        <w:pStyle w:val="33"/>
        <w:snapToGrid w:val="0"/>
        <w:spacing w:line="360" w:lineRule="auto"/>
        <w:ind w:firstLine="440" w:firstLineChars="200"/>
        <w:rPr>
          <w:rFonts w:hint="eastAsia" w:hAnsi="宋体" w:cs="宋体"/>
          <w:color w:val="000000"/>
          <w:sz w:val="22"/>
          <w:szCs w:val="22"/>
        </w:rPr>
      </w:pPr>
      <w:r>
        <w:rPr>
          <w:rFonts w:hint="eastAsia" w:hAnsi="宋体" w:cs="宋体"/>
          <w:color w:val="000000"/>
          <w:sz w:val="22"/>
          <w:szCs w:val="22"/>
        </w:rPr>
        <w:t>合同签订后</w:t>
      </w:r>
      <w:r>
        <w:rPr>
          <w:rFonts w:hAnsi="宋体" w:cs="宋体"/>
          <w:color w:val="000000"/>
          <w:sz w:val="22"/>
          <w:szCs w:val="22"/>
        </w:rPr>
        <w:t>7个工作日内，中标供应商提供合同价的</w:t>
      </w:r>
      <w:r>
        <w:rPr>
          <w:rFonts w:hint="eastAsia" w:hAnsi="宋体" w:cs="宋体"/>
          <w:color w:val="000000"/>
          <w:sz w:val="22"/>
          <w:szCs w:val="22"/>
        </w:rPr>
        <w:t>1</w:t>
      </w:r>
      <w:r>
        <w:rPr>
          <w:rFonts w:hAnsi="宋体" w:cs="宋体"/>
          <w:color w:val="000000"/>
          <w:sz w:val="22"/>
          <w:szCs w:val="22"/>
        </w:rPr>
        <w:t>%金额作为履约保证金（以保函或转账汇款的形式提供）。在合同履约到期且无异议情况下30日内无息退还。</w:t>
      </w:r>
    </w:p>
    <w:p>
      <w:pPr>
        <w:pStyle w:val="33"/>
        <w:snapToGrid w:val="0"/>
        <w:spacing w:line="360" w:lineRule="auto"/>
        <w:ind w:firstLine="440"/>
        <w:rPr>
          <w:rFonts w:hint="eastAsia" w:hAnsi="宋体" w:cs="宋体"/>
          <w:color w:val="000000"/>
          <w:sz w:val="22"/>
          <w:szCs w:val="22"/>
        </w:rPr>
      </w:pPr>
      <w:r>
        <w:rPr>
          <w:rFonts w:hint="eastAsia" w:hAnsi="宋体" w:cs="宋体"/>
          <w:color w:val="000000"/>
          <w:sz w:val="22"/>
          <w:szCs w:val="22"/>
        </w:rPr>
        <w:t xml:space="preserve">第十条：付款方式： </w:t>
      </w:r>
    </w:p>
    <w:p>
      <w:pPr>
        <w:autoSpaceDE w:val="0"/>
        <w:autoSpaceDN w:val="0"/>
        <w:adjustRightInd w:val="0"/>
        <w:spacing w:line="460" w:lineRule="atLeast"/>
        <w:ind w:firstLine="480" w:firstLineChars="200"/>
        <w:rPr>
          <w:rFonts w:hint="eastAsia" w:cs="Courier New"/>
          <w:b/>
          <w:bCs/>
          <w:color w:val="000000"/>
          <w:sz w:val="22"/>
        </w:rPr>
      </w:pPr>
      <w:r>
        <w:rPr>
          <w:rFonts w:hint="eastAsia"/>
          <w:color w:val="000000"/>
        </w:rPr>
        <w:t>（1）</w:t>
      </w:r>
      <w:r>
        <w:rPr>
          <w:color w:val="000000"/>
        </w:rPr>
        <w:t>▲</w:t>
      </w:r>
      <w:r>
        <w:rPr>
          <w:b/>
          <w:color w:val="000000"/>
          <w:sz w:val="22"/>
          <w:szCs w:val="22"/>
          <w:u w:val="single"/>
        </w:rPr>
        <w:t>合同签订后，</w:t>
      </w:r>
      <w:r>
        <w:rPr>
          <w:rFonts w:hint="eastAsia"/>
          <w:b/>
          <w:color w:val="000000"/>
          <w:sz w:val="22"/>
          <w:szCs w:val="22"/>
          <w:u w:val="single"/>
        </w:rPr>
        <w:t>中标供应商应向采购人提供合同总金额1%的履约保证金（可以以非现金形式提交）。预付款条款：中小企业要不低于40%，一般的企业要不低于30%。（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7个工作日内支付。）；（采购单位根据项目特点、供应商诚信等因素，可以要求供应商提交银行、保险公司等金融机构出具的预付款保函或其他担保措施。）；项目完成验收通过后支付剩余款项。具体付款根据浙江省财政厅关于进一步发挥政府采购政策功能全力推动经济稳进提质的通知(浙财采监〔2022〕3号)相关规定。</w:t>
      </w:r>
      <w:r>
        <w:rPr>
          <w:rFonts w:hint="eastAsia"/>
          <w:color w:val="000000"/>
          <w:sz w:val="22"/>
        </w:rPr>
        <w:t>（</w:t>
      </w:r>
      <w:r>
        <w:rPr>
          <w:rFonts w:hint="eastAsia" w:cs="Courier New"/>
          <w:b/>
          <w:bCs/>
          <w:color w:val="000000"/>
          <w:sz w:val="22"/>
        </w:rPr>
        <w:t>具体每笔款项支付视财政部门资金拨付情况而定或按合同约定）</w:t>
      </w:r>
    </w:p>
    <w:p>
      <w:pPr>
        <w:autoSpaceDE w:val="0"/>
        <w:autoSpaceDN w:val="0"/>
        <w:adjustRightInd w:val="0"/>
        <w:spacing w:line="460" w:lineRule="atLeast"/>
        <w:ind w:firstLine="442" w:firstLineChars="200"/>
        <w:rPr>
          <w:rFonts w:hint="eastAsia" w:cs="Courier New"/>
          <w:b/>
          <w:bCs/>
          <w:color w:val="000000"/>
          <w:sz w:val="22"/>
        </w:rPr>
      </w:pPr>
      <w:r>
        <w:rPr>
          <w:rFonts w:cs="Courier New"/>
          <w:b/>
          <w:bCs/>
          <w:color w:val="000000"/>
          <w:sz w:val="22"/>
        </w:rPr>
        <w:t>采购文件合同条款中</w:t>
      </w:r>
      <w:r>
        <w:rPr>
          <w:rFonts w:hint="eastAsia" w:cs="Courier New"/>
          <w:b/>
          <w:bCs/>
          <w:color w:val="000000"/>
          <w:sz w:val="22"/>
        </w:rPr>
        <w:t>须</w:t>
      </w:r>
      <w:r>
        <w:rPr>
          <w:rFonts w:cs="Courier New"/>
          <w:b/>
          <w:bCs/>
          <w:color w:val="000000"/>
          <w:sz w:val="22"/>
        </w:rPr>
        <w:t>注明满足合同约定支付条件，供应商提交发票后7个工作日内支付资金项目</w:t>
      </w:r>
      <w:r>
        <w:rPr>
          <w:rFonts w:hint="eastAsia" w:cs="Courier New"/>
          <w:b/>
          <w:bCs/>
          <w:color w:val="000000"/>
          <w:sz w:val="22"/>
        </w:rPr>
        <w:t>。</w:t>
      </w:r>
    </w:p>
    <w:p>
      <w:pPr>
        <w:tabs>
          <w:tab w:val="left" w:pos="592"/>
        </w:tabs>
        <w:snapToGrid w:val="0"/>
        <w:spacing w:line="400" w:lineRule="exact"/>
        <w:ind w:firstLine="440" w:firstLineChars="200"/>
        <w:rPr>
          <w:rFonts w:hint="eastAsia"/>
          <w:b/>
          <w:color w:val="000000"/>
          <w:sz w:val="22"/>
          <w:szCs w:val="22"/>
        </w:rPr>
      </w:pPr>
      <w:r>
        <w:rPr>
          <w:rFonts w:hint="eastAsia"/>
          <w:color w:val="000000"/>
          <w:sz w:val="22"/>
          <w:lang w:val="zh-CN"/>
        </w:rPr>
        <w:t>（</w:t>
      </w:r>
      <w:r>
        <w:rPr>
          <w:rFonts w:hint="eastAsia"/>
          <w:color w:val="000000"/>
          <w:sz w:val="22"/>
        </w:rPr>
        <w:t>2</w:t>
      </w:r>
      <w:r>
        <w:rPr>
          <w:rFonts w:hint="eastAsia"/>
          <w:color w:val="000000"/>
          <w:sz w:val="22"/>
          <w:lang w:val="zh-CN"/>
        </w:rPr>
        <w:t>）</w:t>
      </w:r>
      <w:r>
        <w:rPr>
          <w:rFonts w:hint="eastAsia"/>
          <w:color w:val="000000"/>
          <w:sz w:val="22"/>
        </w:rPr>
        <w:t>合同履约期满后，采购人一次性无息退还履约保证金。</w:t>
      </w:r>
    </w:p>
    <w:p>
      <w:pPr>
        <w:pStyle w:val="33"/>
        <w:snapToGrid w:val="0"/>
        <w:spacing w:line="360" w:lineRule="auto"/>
        <w:ind w:firstLine="440"/>
        <w:rPr>
          <w:rFonts w:hint="eastAsia" w:hAnsi="宋体" w:cs="宋体"/>
          <w:color w:val="000000"/>
          <w:sz w:val="22"/>
          <w:szCs w:val="22"/>
        </w:rPr>
      </w:pPr>
      <w:r>
        <w:rPr>
          <w:rFonts w:hint="eastAsia" w:hAnsi="宋体" w:cs="宋体"/>
          <w:color w:val="000000"/>
          <w:sz w:val="22"/>
          <w:szCs w:val="22"/>
        </w:rPr>
        <w:t>第十一条：辅助服务</w:t>
      </w:r>
    </w:p>
    <w:p>
      <w:pPr>
        <w:snapToGrid w:val="0"/>
        <w:spacing w:line="360" w:lineRule="auto"/>
        <w:ind w:firstLine="440" w:firstLineChars="200"/>
        <w:rPr>
          <w:rFonts w:hint="eastAsia"/>
          <w:color w:val="000000"/>
          <w:sz w:val="22"/>
          <w:szCs w:val="22"/>
        </w:rPr>
      </w:pPr>
      <w:r>
        <w:rPr>
          <w:rFonts w:hint="eastAsia"/>
          <w:color w:val="000000"/>
          <w:sz w:val="22"/>
          <w:szCs w:val="22"/>
        </w:rPr>
        <w:t>中标供应商应提交所提供货物或服务的技术文件，包括相应的每一套中文技术文件，例如：产品目录、图纸、操作手册、使用说明、维护手册和/或服务指南。这些文件应包装好随同货物一起发运。</w:t>
      </w:r>
    </w:p>
    <w:p>
      <w:pPr>
        <w:snapToGrid w:val="0"/>
        <w:spacing w:line="360" w:lineRule="auto"/>
        <w:rPr>
          <w:rFonts w:hint="eastAsia"/>
          <w:color w:val="000000"/>
          <w:sz w:val="22"/>
          <w:szCs w:val="22"/>
        </w:rPr>
      </w:pPr>
      <w:r>
        <w:rPr>
          <w:rFonts w:hint="eastAsia"/>
          <w:color w:val="000000"/>
          <w:sz w:val="22"/>
          <w:szCs w:val="22"/>
        </w:rPr>
        <w:t xml:space="preserve">     中标供应商还应提供下列服务：</w:t>
      </w:r>
    </w:p>
    <w:p>
      <w:pPr>
        <w:snapToGrid w:val="0"/>
        <w:spacing w:line="360" w:lineRule="auto"/>
        <w:outlineLvl w:val="0"/>
        <w:rPr>
          <w:rFonts w:hint="eastAsia"/>
          <w:color w:val="000000"/>
          <w:sz w:val="22"/>
          <w:szCs w:val="22"/>
        </w:rPr>
      </w:pPr>
      <w:r>
        <w:rPr>
          <w:rFonts w:hint="eastAsia"/>
          <w:color w:val="000000"/>
          <w:sz w:val="22"/>
          <w:szCs w:val="22"/>
        </w:rPr>
        <w:t xml:space="preserve">    （1）现场安装、施工、启动监督及技术支持；</w:t>
      </w:r>
    </w:p>
    <w:p>
      <w:pPr>
        <w:snapToGrid w:val="0"/>
        <w:spacing w:line="360" w:lineRule="auto"/>
        <w:rPr>
          <w:rFonts w:hint="eastAsia"/>
          <w:color w:val="000000"/>
          <w:sz w:val="22"/>
          <w:szCs w:val="22"/>
        </w:rPr>
      </w:pPr>
      <w:r>
        <w:rPr>
          <w:rFonts w:hint="eastAsia"/>
          <w:color w:val="000000"/>
          <w:sz w:val="22"/>
          <w:szCs w:val="22"/>
        </w:rPr>
        <w:t xml:space="preserve">    （2）在厂家和/或项目现场就货物的指导安装、启动、运营、维护对采购人操作人员进行培训。辅助服务的费用包含在合同价中，采购人不再另行支付。</w:t>
      </w:r>
    </w:p>
    <w:p>
      <w:pPr>
        <w:snapToGrid w:val="0"/>
        <w:spacing w:line="400" w:lineRule="exact"/>
        <w:rPr>
          <w:rFonts w:hint="eastAsia"/>
          <w:color w:val="000000"/>
          <w:sz w:val="22"/>
          <w:szCs w:val="22"/>
        </w:rPr>
      </w:pPr>
      <w:r>
        <w:rPr>
          <w:rFonts w:hint="eastAsia"/>
          <w:color w:val="000000"/>
          <w:sz w:val="22"/>
          <w:szCs w:val="22"/>
        </w:rPr>
        <w:t>第十二条：补救措施和索赔</w:t>
      </w:r>
    </w:p>
    <w:p>
      <w:pPr>
        <w:snapToGrid w:val="0"/>
        <w:spacing w:line="400" w:lineRule="exact"/>
        <w:ind w:firstLine="420"/>
        <w:rPr>
          <w:rFonts w:hint="eastAsia"/>
          <w:color w:val="000000"/>
          <w:sz w:val="22"/>
          <w:szCs w:val="22"/>
        </w:rPr>
      </w:pPr>
      <w:r>
        <w:rPr>
          <w:rFonts w:hint="eastAsia"/>
          <w:color w:val="000000"/>
          <w:sz w:val="22"/>
          <w:szCs w:val="22"/>
        </w:rPr>
        <w:t>1、采购人有权根据权威质量检测部门出具的检验报告向中标供应商提出索赔。</w:t>
      </w:r>
    </w:p>
    <w:p>
      <w:pPr>
        <w:snapToGrid w:val="0"/>
        <w:spacing w:line="400" w:lineRule="exact"/>
        <w:ind w:firstLine="420"/>
        <w:rPr>
          <w:rFonts w:hint="eastAsia"/>
          <w:color w:val="000000"/>
          <w:sz w:val="22"/>
          <w:szCs w:val="22"/>
        </w:rPr>
      </w:pPr>
      <w:r>
        <w:rPr>
          <w:rFonts w:hint="eastAsia"/>
          <w:color w:val="000000"/>
          <w:sz w:val="22"/>
          <w:szCs w:val="22"/>
        </w:rPr>
        <w:t>2、在质量保证期内，如果中标供应商对缺陷负有责任而采购人提出索赔，中标供应商应按照采购人同意的下列一种或多种方式解决索赔事宜，并且采购人可以收取中标供应商合同总价3%的违约金：</w:t>
      </w:r>
    </w:p>
    <w:p>
      <w:pPr>
        <w:snapToGrid w:val="0"/>
        <w:spacing w:line="400" w:lineRule="exact"/>
        <w:ind w:firstLine="440" w:firstLineChars="200"/>
        <w:rPr>
          <w:rFonts w:hint="eastAsia"/>
          <w:color w:val="000000"/>
          <w:sz w:val="22"/>
          <w:szCs w:val="22"/>
        </w:rPr>
      </w:pPr>
      <w:r>
        <w:rPr>
          <w:rFonts w:hint="eastAsia"/>
          <w:color w:val="000000"/>
          <w:sz w:val="22"/>
          <w:szCs w:val="22"/>
        </w:rPr>
        <w:t>（1） 中标供应商返工并将施工款退还给采购人，由此发生的一切费用和损失由中标供应商承担。</w:t>
      </w:r>
    </w:p>
    <w:p>
      <w:pPr>
        <w:snapToGrid w:val="0"/>
        <w:spacing w:line="400" w:lineRule="exact"/>
        <w:ind w:firstLine="440" w:firstLineChars="200"/>
        <w:rPr>
          <w:rFonts w:hint="eastAsia"/>
          <w:color w:val="000000"/>
          <w:sz w:val="22"/>
          <w:szCs w:val="22"/>
        </w:rPr>
      </w:pPr>
      <w:r>
        <w:rPr>
          <w:rFonts w:hint="eastAsia"/>
          <w:color w:val="000000"/>
          <w:sz w:val="22"/>
          <w:szCs w:val="22"/>
        </w:rPr>
        <w:t>（2） 根据质量状况以及采购人所遭受的损失，经过甲乙双方商定降低项目价格。</w:t>
      </w:r>
    </w:p>
    <w:p>
      <w:pPr>
        <w:snapToGrid w:val="0"/>
        <w:spacing w:line="400" w:lineRule="exact"/>
        <w:ind w:firstLine="440" w:firstLineChars="200"/>
        <w:rPr>
          <w:rFonts w:hint="eastAsia"/>
          <w:color w:val="000000"/>
          <w:sz w:val="22"/>
          <w:szCs w:val="22"/>
        </w:rPr>
      </w:pPr>
      <w:r>
        <w:rPr>
          <w:rFonts w:hint="eastAsia"/>
          <w:color w:val="000000"/>
          <w:sz w:val="22"/>
          <w:szCs w:val="22"/>
        </w:rPr>
        <w:t>（3） 中标供应商应在接到采购人通知后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hint="eastAsia"/>
          <w:color w:val="000000"/>
          <w:sz w:val="22"/>
          <w:szCs w:val="22"/>
        </w:rPr>
      </w:pPr>
      <w:r>
        <w:rPr>
          <w:rFonts w:hint="eastAsia"/>
          <w:color w:val="000000"/>
          <w:sz w:val="22"/>
          <w:szCs w:val="22"/>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hint="eastAsia"/>
          <w:color w:val="000000"/>
          <w:sz w:val="22"/>
          <w:szCs w:val="22"/>
        </w:rPr>
      </w:pPr>
      <w:r>
        <w:rPr>
          <w:rFonts w:hint="eastAsia"/>
          <w:color w:val="000000"/>
          <w:sz w:val="22"/>
          <w:szCs w:val="22"/>
        </w:rPr>
        <w:t>第十三条：履约延误</w:t>
      </w:r>
    </w:p>
    <w:p>
      <w:pPr>
        <w:snapToGrid w:val="0"/>
        <w:spacing w:line="400" w:lineRule="exact"/>
        <w:rPr>
          <w:rFonts w:hint="eastAsia"/>
          <w:color w:val="000000"/>
          <w:sz w:val="22"/>
          <w:szCs w:val="22"/>
        </w:rPr>
      </w:pPr>
      <w:r>
        <w:rPr>
          <w:rFonts w:hint="eastAsia"/>
          <w:color w:val="000000"/>
          <w:sz w:val="22"/>
          <w:szCs w:val="22"/>
        </w:rPr>
        <w:t xml:space="preserve">    1、中标供应商应按照《合同》规定的时间、地点交货和提供服务。</w:t>
      </w:r>
    </w:p>
    <w:p>
      <w:pPr>
        <w:snapToGrid w:val="0"/>
        <w:spacing w:line="400" w:lineRule="exact"/>
        <w:rPr>
          <w:rFonts w:hint="eastAsia"/>
          <w:color w:val="000000"/>
          <w:sz w:val="22"/>
          <w:szCs w:val="22"/>
        </w:rPr>
      </w:pPr>
      <w:r>
        <w:rPr>
          <w:rFonts w:hint="eastAsia"/>
          <w:color w:val="000000"/>
          <w:sz w:val="22"/>
          <w:szCs w:val="22"/>
        </w:rPr>
        <w:t xml:space="preserve">    2、在履行《合同》过程中，如果中标供应商可能遇到妨碍按时提供服务的情况时，应及时将拖延的事实、可能拖延的期限和理由通知采购人。采购人在收到中标供应商供应商通知后，应尽快对情况进行评价，并确定是否同意延期提供服务。</w:t>
      </w:r>
    </w:p>
    <w:p>
      <w:pPr>
        <w:snapToGrid w:val="0"/>
        <w:spacing w:line="400" w:lineRule="exact"/>
        <w:ind w:firstLine="440" w:firstLineChars="200"/>
        <w:rPr>
          <w:rFonts w:hint="eastAsia"/>
          <w:color w:val="000000"/>
          <w:sz w:val="22"/>
          <w:szCs w:val="22"/>
        </w:rPr>
      </w:pPr>
      <w:r>
        <w:rPr>
          <w:rFonts w:hint="eastAsia"/>
          <w:color w:val="000000"/>
          <w:sz w:val="22"/>
          <w:szCs w:val="22"/>
        </w:rPr>
        <w:t>3、如中标供应商无正当理由而拖延，经协商无效,采购人有权追究中标供应商的违约责任。延期违约责任按每延期一天罚款1000元处理，如果超出合同规定期限10天，则采购人可以终止合同，并收取中标供应商合同总价3%的违约金。</w:t>
      </w:r>
    </w:p>
    <w:p>
      <w:pPr>
        <w:snapToGrid w:val="0"/>
        <w:spacing w:line="400" w:lineRule="exact"/>
        <w:rPr>
          <w:rFonts w:hint="eastAsia"/>
          <w:color w:val="000000"/>
          <w:sz w:val="22"/>
          <w:szCs w:val="22"/>
        </w:rPr>
      </w:pPr>
      <w:r>
        <w:rPr>
          <w:rFonts w:hint="eastAsia"/>
          <w:color w:val="000000"/>
          <w:sz w:val="22"/>
          <w:szCs w:val="22"/>
        </w:rPr>
        <w:t xml:space="preserve"> 第十四条：不可抗力</w:t>
      </w:r>
    </w:p>
    <w:p>
      <w:pPr>
        <w:snapToGrid w:val="0"/>
        <w:spacing w:line="400" w:lineRule="exact"/>
        <w:rPr>
          <w:rFonts w:hint="eastAsia"/>
          <w:color w:val="000000"/>
          <w:sz w:val="22"/>
          <w:szCs w:val="22"/>
        </w:rPr>
      </w:pPr>
      <w:r>
        <w:rPr>
          <w:rFonts w:hint="eastAsia"/>
          <w:color w:val="000000"/>
          <w:sz w:val="22"/>
          <w:szCs w:val="22"/>
        </w:rPr>
        <w:t xml:space="preserve">    1、如果合同各方因不可抗力而导致合同实施延误或不能履行合同义务的话，不应该承担误期赔偿或不能履行合同义务的责任。</w:t>
      </w:r>
    </w:p>
    <w:p>
      <w:pPr>
        <w:snapToGrid w:val="0"/>
        <w:spacing w:line="400" w:lineRule="exact"/>
        <w:rPr>
          <w:rFonts w:hint="eastAsia"/>
          <w:color w:val="000000"/>
          <w:sz w:val="22"/>
          <w:szCs w:val="22"/>
        </w:rPr>
      </w:pPr>
      <w:r>
        <w:rPr>
          <w:rFonts w:hint="eastAsia"/>
          <w:color w:val="000000"/>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hint="eastAsia"/>
          <w:color w:val="000000"/>
          <w:sz w:val="22"/>
          <w:szCs w:val="22"/>
        </w:rPr>
      </w:pPr>
      <w:r>
        <w:rPr>
          <w:rFonts w:hint="eastAsia"/>
          <w:color w:val="000000"/>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33"/>
        <w:snapToGrid w:val="0"/>
        <w:spacing w:afterLines="50" w:line="400" w:lineRule="exact"/>
        <w:ind w:firstLine="440"/>
        <w:rPr>
          <w:rFonts w:hint="eastAsia" w:hAnsi="宋体" w:cs="宋体"/>
          <w:color w:val="000000"/>
          <w:sz w:val="22"/>
          <w:szCs w:val="22"/>
        </w:rPr>
      </w:pPr>
      <w:r>
        <w:rPr>
          <w:rFonts w:hint="eastAsia" w:hAnsi="宋体" w:cs="宋体"/>
          <w:color w:val="000000"/>
          <w:sz w:val="22"/>
          <w:szCs w:val="22"/>
        </w:rPr>
        <w:t>第十五条：争议的解决</w:t>
      </w:r>
    </w:p>
    <w:p>
      <w:pPr>
        <w:snapToGrid w:val="0"/>
        <w:spacing w:line="360" w:lineRule="auto"/>
        <w:ind w:firstLine="440" w:firstLineChars="200"/>
        <w:rPr>
          <w:color w:val="000000"/>
          <w:kern w:val="2"/>
          <w:sz w:val="22"/>
          <w:szCs w:val="22"/>
        </w:rPr>
      </w:pPr>
      <w:r>
        <w:rPr>
          <w:color w:val="000000"/>
          <w:kern w:val="2"/>
          <w:sz w:val="22"/>
          <w:szCs w:val="22"/>
        </w:rPr>
        <w:t>1、合同在履行过程中发生争议时，甲方与乙方及时协商解决。协商不成时，向平阳县人民法院进行诉讼。</w:t>
      </w:r>
    </w:p>
    <w:p>
      <w:pPr>
        <w:snapToGrid w:val="0"/>
        <w:spacing w:line="360" w:lineRule="auto"/>
        <w:ind w:firstLine="440" w:firstLineChars="200"/>
        <w:rPr>
          <w:rFonts w:hint="eastAsia"/>
          <w:color w:val="000000"/>
          <w:kern w:val="2"/>
          <w:sz w:val="22"/>
          <w:szCs w:val="22"/>
        </w:rPr>
      </w:pPr>
      <w:r>
        <w:rPr>
          <w:color w:val="000000"/>
          <w:kern w:val="2"/>
          <w:sz w:val="22"/>
          <w:szCs w:val="22"/>
        </w:rPr>
        <w:t>2、对于因违反或终止合同而引起的损失、损害的赔偿，由甲方与乙方友好协商解决，经协商仍未能达成一致的，向平阳县人民法院进行诉讼。</w:t>
      </w:r>
    </w:p>
    <w:p>
      <w:pPr>
        <w:snapToGrid w:val="0"/>
        <w:spacing w:line="360" w:lineRule="auto"/>
        <w:ind w:firstLine="440" w:firstLineChars="200"/>
        <w:rPr>
          <w:rFonts w:hint="eastAsia"/>
          <w:color w:val="000000"/>
          <w:sz w:val="22"/>
          <w:szCs w:val="22"/>
        </w:rPr>
      </w:pPr>
      <w:r>
        <w:rPr>
          <w:rFonts w:hint="eastAsia"/>
          <w:color w:val="000000"/>
          <w:sz w:val="22"/>
          <w:szCs w:val="22"/>
        </w:rPr>
        <w:t>第十六条：违约处理</w:t>
      </w:r>
    </w:p>
    <w:p>
      <w:pPr>
        <w:snapToGrid w:val="0"/>
        <w:spacing w:line="400" w:lineRule="exact"/>
        <w:rPr>
          <w:rFonts w:hint="eastAsia"/>
          <w:color w:val="000000"/>
          <w:sz w:val="22"/>
          <w:szCs w:val="22"/>
        </w:rPr>
      </w:pPr>
      <w:r>
        <w:rPr>
          <w:rFonts w:hint="eastAsia"/>
          <w:color w:val="000000"/>
          <w:sz w:val="22"/>
          <w:szCs w:val="22"/>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hint="eastAsia"/>
          <w:color w:val="000000"/>
          <w:sz w:val="22"/>
          <w:szCs w:val="22"/>
        </w:rPr>
      </w:pPr>
      <w:r>
        <w:rPr>
          <w:rFonts w:hint="eastAsia"/>
          <w:color w:val="000000"/>
          <w:sz w:val="22"/>
          <w:szCs w:val="22"/>
        </w:rPr>
        <w:t xml:space="preserve">   （1）中标供应商提供的产品质量、配置不符合国家规定和承诺的标准；</w:t>
      </w:r>
    </w:p>
    <w:p>
      <w:pPr>
        <w:snapToGrid w:val="0"/>
        <w:spacing w:line="400" w:lineRule="exact"/>
        <w:ind w:firstLine="360"/>
        <w:rPr>
          <w:rFonts w:hint="eastAsia"/>
          <w:color w:val="000000"/>
          <w:sz w:val="22"/>
          <w:szCs w:val="22"/>
        </w:rPr>
      </w:pPr>
      <w:r>
        <w:rPr>
          <w:rFonts w:hint="eastAsia"/>
          <w:color w:val="000000"/>
          <w:sz w:val="22"/>
          <w:szCs w:val="22"/>
        </w:rPr>
        <w:t>（2）中标供应商没有按承诺的时间供货、维修或提供其他服务；</w:t>
      </w:r>
    </w:p>
    <w:p>
      <w:pPr>
        <w:snapToGrid w:val="0"/>
        <w:spacing w:line="400" w:lineRule="exact"/>
        <w:outlineLvl w:val="0"/>
        <w:rPr>
          <w:rFonts w:hint="eastAsia"/>
          <w:color w:val="000000"/>
          <w:sz w:val="22"/>
          <w:szCs w:val="22"/>
        </w:rPr>
      </w:pPr>
      <w:r>
        <w:rPr>
          <w:rFonts w:hint="eastAsia"/>
          <w:color w:val="000000"/>
          <w:sz w:val="22"/>
          <w:szCs w:val="22"/>
        </w:rPr>
        <w:t xml:space="preserve">   （3）中标供应商没有按承诺的价格或优惠率签订合同并供货；</w:t>
      </w:r>
    </w:p>
    <w:p>
      <w:pPr>
        <w:snapToGrid w:val="0"/>
        <w:spacing w:line="400" w:lineRule="exact"/>
        <w:rPr>
          <w:rFonts w:hint="eastAsia"/>
          <w:color w:val="000000"/>
          <w:sz w:val="22"/>
          <w:szCs w:val="22"/>
        </w:rPr>
      </w:pPr>
      <w:r>
        <w:rPr>
          <w:rFonts w:hint="eastAsia"/>
          <w:color w:val="000000"/>
          <w:sz w:val="22"/>
          <w:szCs w:val="22"/>
        </w:rPr>
        <w:t xml:space="preserve">    2、如果采购人根据上述的规定，终止了全部或部分合同，采购人可以依其认为适当的条件和方法购买与未完成服务类似的服务，中标供应商应对购买类似服务所超出的那部分费用负责。但是，中标供应商应继续执行合同中未终止的部分。</w:t>
      </w:r>
    </w:p>
    <w:p>
      <w:pPr>
        <w:snapToGrid w:val="0"/>
        <w:spacing w:line="400" w:lineRule="exact"/>
        <w:rPr>
          <w:rFonts w:hint="eastAsia"/>
          <w:color w:val="000000"/>
          <w:sz w:val="22"/>
          <w:szCs w:val="22"/>
        </w:rPr>
      </w:pPr>
      <w:r>
        <w:rPr>
          <w:rFonts w:hint="eastAsia"/>
          <w:color w:val="000000"/>
          <w:sz w:val="22"/>
          <w:szCs w:val="22"/>
        </w:rPr>
        <w:t>第十七条：合同转让和分包</w:t>
      </w:r>
    </w:p>
    <w:p>
      <w:pPr>
        <w:snapToGrid w:val="0"/>
        <w:spacing w:afterLines="50" w:line="400" w:lineRule="exact"/>
        <w:rPr>
          <w:rFonts w:hint="eastAsia"/>
          <w:color w:val="000000"/>
          <w:sz w:val="22"/>
          <w:szCs w:val="22"/>
        </w:rPr>
      </w:pPr>
      <w:r>
        <w:rPr>
          <w:rFonts w:hint="eastAsia"/>
          <w:color w:val="000000"/>
          <w:sz w:val="22"/>
          <w:szCs w:val="22"/>
        </w:rPr>
        <w:t xml:space="preserve">    除采购人事先书面同意外，中标供应商不得转让和分包其应履行的合同义务。</w:t>
      </w:r>
    </w:p>
    <w:p>
      <w:pPr>
        <w:snapToGrid w:val="0"/>
        <w:spacing w:line="360" w:lineRule="auto"/>
        <w:rPr>
          <w:b/>
          <w:color w:val="000000"/>
          <w:sz w:val="22"/>
          <w:szCs w:val="22"/>
        </w:rPr>
      </w:pPr>
      <w:r>
        <w:rPr>
          <w:rFonts w:hint="eastAsia"/>
          <w:b/>
          <w:color w:val="000000"/>
          <w:sz w:val="22"/>
          <w:szCs w:val="22"/>
        </w:rPr>
        <w:t>第十八条：本项目有下列情形的，采购人有权终止合同：</w:t>
      </w:r>
    </w:p>
    <w:p>
      <w:pPr>
        <w:snapToGrid w:val="0"/>
        <w:spacing w:line="360" w:lineRule="auto"/>
        <w:ind w:firstLine="440" w:firstLineChars="200"/>
        <w:rPr>
          <w:color w:val="000000"/>
          <w:sz w:val="22"/>
          <w:szCs w:val="22"/>
        </w:rPr>
      </w:pPr>
      <w:r>
        <w:rPr>
          <w:rFonts w:hint="eastAsia"/>
          <w:color w:val="000000"/>
          <w:sz w:val="22"/>
          <w:szCs w:val="22"/>
        </w:rPr>
        <w:t>（一）合同生效：本合同自甲乙双方法定代表人签字、盖章之日起生效。</w:t>
      </w:r>
    </w:p>
    <w:p>
      <w:pPr>
        <w:snapToGrid w:val="0"/>
        <w:spacing w:line="360" w:lineRule="auto"/>
        <w:ind w:firstLine="440" w:firstLineChars="200"/>
        <w:rPr>
          <w:color w:val="000000"/>
          <w:sz w:val="22"/>
          <w:szCs w:val="22"/>
        </w:rPr>
      </w:pPr>
      <w:r>
        <w:rPr>
          <w:rFonts w:hint="eastAsia"/>
          <w:color w:val="000000"/>
          <w:sz w:val="22"/>
          <w:szCs w:val="22"/>
        </w:rPr>
        <w:t>（二）合同终止：本项目有下列情形的，采购人有权终止合同：</w:t>
      </w:r>
    </w:p>
    <w:p>
      <w:pPr>
        <w:snapToGrid w:val="0"/>
        <w:spacing w:line="360" w:lineRule="auto"/>
        <w:ind w:firstLine="440" w:firstLineChars="200"/>
        <w:rPr>
          <w:color w:val="000000"/>
          <w:sz w:val="22"/>
          <w:szCs w:val="22"/>
        </w:rPr>
      </w:pPr>
      <w:r>
        <w:rPr>
          <w:color w:val="000000"/>
          <w:sz w:val="22"/>
          <w:szCs w:val="22"/>
        </w:rPr>
        <w:t>1</w:t>
      </w:r>
      <w:r>
        <w:rPr>
          <w:rFonts w:hint="eastAsia"/>
          <w:color w:val="000000"/>
          <w:sz w:val="22"/>
          <w:szCs w:val="22"/>
        </w:rPr>
        <w:t>）本项目遇不可抗力影响或法律、法规、国家政策重大调整影响合同无法执行的；</w:t>
      </w:r>
    </w:p>
    <w:p>
      <w:pPr>
        <w:snapToGrid w:val="0"/>
        <w:spacing w:line="360" w:lineRule="auto"/>
        <w:ind w:firstLine="440" w:firstLineChars="200"/>
        <w:rPr>
          <w:color w:val="000000"/>
          <w:sz w:val="22"/>
          <w:szCs w:val="22"/>
        </w:rPr>
      </w:pPr>
      <w:r>
        <w:rPr>
          <w:rFonts w:hint="eastAsia"/>
          <w:color w:val="000000"/>
          <w:sz w:val="22"/>
          <w:szCs w:val="22"/>
        </w:rPr>
        <w:t>2）中标供应商对监管人员，考核成员有行贿或其它利益输送行为的。</w:t>
      </w:r>
    </w:p>
    <w:p>
      <w:pPr>
        <w:snapToGrid w:val="0"/>
        <w:spacing w:line="360" w:lineRule="auto"/>
        <w:ind w:firstLine="440" w:firstLineChars="200"/>
        <w:rPr>
          <w:color w:val="000000"/>
          <w:sz w:val="22"/>
          <w:szCs w:val="22"/>
        </w:rPr>
      </w:pPr>
      <w:r>
        <w:rPr>
          <w:rFonts w:hint="eastAsia"/>
          <w:color w:val="000000"/>
          <w:sz w:val="22"/>
          <w:szCs w:val="22"/>
        </w:rPr>
        <w:t>3）按相关法律、法规、招标文件规定及考核办法，有下列情形之一的，采购人有权终止合同：</w:t>
      </w:r>
    </w:p>
    <w:p>
      <w:pPr>
        <w:snapToGrid w:val="0"/>
        <w:spacing w:line="360" w:lineRule="auto"/>
        <w:ind w:firstLine="440" w:firstLineChars="200"/>
        <w:rPr>
          <w:color w:val="000000"/>
          <w:sz w:val="22"/>
          <w:szCs w:val="22"/>
        </w:rPr>
      </w:pPr>
      <w:r>
        <w:rPr>
          <w:rFonts w:hint="eastAsia"/>
          <w:color w:val="000000"/>
          <w:sz w:val="22"/>
          <w:szCs w:val="22"/>
        </w:rPr>
        <w:t>（1）全年有两次被严重警告或三次被警告（含一次严重警告，两次警告）的承包单位，采购人有权无责任终止采购合同。</w:t>
      </w:r>
    </w:p>
    <w:p>
      <w:pPr>
        <w:snapToGrid w:val="0"/>
        <w:spacing w:line="360" w:lineRule="auto"/>
        <w:ind w:firstLine="440" w:firstLineChars="200"/>
        <w:rPr>
          <w:color w:val="000000"/>
          <w:sz w:val="22"/>
          <w:szCs w:val="22"/>
        </w:rPr>
      </w:pPr>
      <w:r>
        <w:rPr>
          <w:rFonts w:hint="eastAsia"/>
          <w:color w:val="000000"/>
          <w:sz w:val="22"/>
          <w:szCs w:val="22"/>
        </w:rPr>
        <w:t>（</w:t>
      </w:r>
      <w:r>
        <w:rPr>
          <w:color w:val="000000"/>
          <w:sz w:val="22"/>
          <w:szCs w:val="22"/>
        </w:rPr>
        <w:t>2</w:t>
      </w:r>
      <w:r>
        <w:rPr>
          <w:rFonts w:hint="eastAsia"/>
          <w:color w:val="000000"/>
          <w:sz w:val="22"/>
          <w:szCs w:val="22"/>
        </w:rPr>
        <w:t>）二次平均考核得分率低于75%（不含）的，采购人有权无责任终止采购合同。</w:t>
      </w:r>
    </w:p>
    <w:p>
      <w:pPr>
        <w:snapToGrid w:val="0"/>
        <w:spacing w:line="360" w:lineRule="auto"/>
        <w:ind w:firstLine="440" w:firstLineChars="200"/>
        <w:rPr>
          <w:color w:val="000000"/>
          <w:sz w:val="22"/>
          <w:szCs w:val="22"/>
        </w:rPr>
      </w:pPr>
      <w:r>
        <w:rPr>
          <w:rFonts w:hint="eastAsia"/>
          <w:color w:val="000000"/>
          <w:sz w:val="22"/>
          <w:szCs w:val="22"/>
        </w:rPr>
        <w:t>（3）经有关部门认定严重违反劳动法，造成恶劣影响的；或其它</w:t>
      </w:r>
      <w:r>
        <w:rPr>
          <w:color w:val="000000"/>
          <w:sz w:val="22"/>
          <w:szCs w:val="22"/>
        </w:rPr>
        <w:t>因违法经营受到刑事处罚或者责令停产停业、吊销许可证或者执照、较大数额罚款等行政处罚</w:t>
      </w:r>
      <w:r>
        <w:rPr>
          <w:rFonts w:hint="eastAsia"/>
          <w:color w:val="000000"/>
          <w:sz w:val="22"/>
          <w:szCs w:val="22"/>
        </w:rPr>
        <w:t>的。</w:t>
      </w:r>
    </w:p>
    <w:p>
      <w:pPr>
        <w:snapToGrid w:val="0"/>
        <w:spacing w:line="360" w:lineRule="auto"/>
        <w:ind w:firstLine="440" w:firstLineChars="200"/>
        <w:rPr>
          <w:color w:val="000000"/>
          <w:sz w:val="22"/>
          <w:szCs w:val="22"/>
        </w:rPr>
      </w:pPr>
      <w:r>
        <w:rPr>
          <w:rFonts w:hint="eastAsia"/>
          <w:color w:val="000000"/>
          <w:sz w:val="22"/>
          <w:szCs w:val="22"/>
        </w:rPr>
        <w:t>（4）其它弄虚作假及其他不正当行为。</w:t>
      </w:r>
    </w:p>
    <w:p>
      <w:pPr>
        <w:snapToGrid w:val="0"/>
        <w:spacing w:line="360" w:lineRule="auto"/>
        <w:ind w:firstLine="440" w:firstLineChars="200"/>
        <w:rPr>
          <w:color w:val="000000"/>
          <w:sz w:val="22"/>
          <w:szCs w:val="22"/>
        </w:rPr>
      </w:pPr>
      <w:r>
        <w:rPr>
          <w:rFonts w:hint="eastAsia"/>
          <w:color w:val="000000"/>
          <w:sz w:val="22"/>
          <w:szCs w:val="22"/>
        </w:rPr>
        <w:t>（5）合同履约期间，中标供应商法人组织破产，或重组变更法人主体的；</w:t>
      </w:r>
    </w:p>
    <w:p>
      <w:pPr>
        <w:snapToGrid w:val="0"/>
        <w:spacing w:line="360" w:lineRule="auto"/>
        <w:ind w:firstLine="440" w:firstLineChars="200"/>
        <w:rPr>
          <w:color w:val="000000"/>
          <w:sz w:val="22"/>
          <w:szCs w:val="22"/>
        </w:rPr>
      </w:pPr>
      <w:r>
        <w:rPr>
          <w:rFonts w:hint="eastAsia"/>
          <w:color w:val="000000"/>
          <w:sz w:val="22"/>
          <w:szCs w:val="22"/>
        </w:rPr>
        <w:t>（6）根据招标文件及合同约定，其它终止合同的规定，其它法律规定的终止情形。</w:t>
      </w:r>
    </w:p>
    <w:p>
      <w:pPr>
        <w:snapToGrid w:val="0"/>
        <w:spacing w:line="360" w:lineRule="auto"/>
        <w:ind w:firstLine="442" w:firstLineChars="200"/>
        <w:rPr>
          <w:rFonts w:hint="eastAsia"/>
          <w:b/>
          <w:color w:val="000000"/>
          <w:sz w:val="22"/>
          <w:szCs w:val="22"/>
        </w:rPr>
      </w:pPr>
      <w:r>
        <w:rPr>
          <w:rFonts w:hint="eastAsia"/>
          <w:b/>
          <w:color w:val="000000"/>
          <w:sz w:val="22"/>
          <w:szCs w:val="22"/>
        </w:rPr>
        <w:t>（7）由于中标供应商原因造成采购人经济损失的，所造成的损失由中标供应商承担；同时采购人有权终止合同。</w:t>
      </w:r>
    </w:p>
    <w:p>
      <w:pPr>
        <w:snapToGrid w:val="0"/>
        <w:spacing w:line="460" w:lineRule="atLeast"/>
        <w:rPr>
          <w:b/>
          <w:color w:val="000000"/>
          <w:sz w:val="22"/>
        </w:rPr>
      </w:pPr>
      <w:r>
        <w:rPr>
          <w:rFonts w:hint="eastAsia"/>
          <w:b/>
          <w:color w:val="000000"/>
          <w:sz w:val="22"/>
        </w:rPr>
        <w:t>附件：《</w:t>
      </w:r>
      <w:r>
        <w:rPr>
          <w:rFonts w:hint="eastAsia"/>
          <w:b/>
          <w:color w:val="000000"/>
          <w:sz w:val="22"/>
          <w:lang w:eastAsia="zh-CN"/>
        </w:rPr>
        <w:t>海洋牧歌田园综合体―数字南麂设备采购项目</w:t>
      </w:r>
      <w:r>
        <w:rPr>
          <w:rFonts w:hint="eastAsia"/>
          <w:b/>
          <w:color w:val="000000"/>
          <w:sz w:val="22"/>
        </w:rPr>
        <w:t>实时动态考核评分细则》（采购人可根据项目实际进行调整）</w:t>
      </w:r>
    </w:p>
    <w:tbl>
      <w:tblPr>
        <w:tblStyle w:val="58"/>
        <w:tblW w:w="9300" w:type="dxa"/>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9"/>
        <w:gridCol w:w="993"/>
        <w:gridCol w:w="1700"/>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0" w:type="dxa"/>
            <w:gridSpan w:val="4"/>
          </w:tcPr>
          <w:p>
            <w:pPr>
              <w:spacing w:line="400" w:lineRule="exact"/>
              <w:outlineLvl w:val="0"/>
              <w:rPr>
                <w:color w:val="000000"/>
                <w:sz w:val="22"/>
                <w:szCs w:val="22"/>
              </w:rPr>
            </w:pPr>
            <w:r>
              <w:rPr>
                <w:rFonts w:hint="eastAsia"/>
                <w:color w:val="000000"/>
                <w:sz w:val="22"/>
                <w:szCs w:val="22"/>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0" w:type="dxa"/>
            <w:gridSpan w:val="4"/>
          </w:tcPr>
          <w:p>
            <w:pPr>
              <w:spacing w:line="400" w:lineRule="exact"/>
              <w:outlineLvl w:val="0"/>
              <w:rPr>
                <w:color w:val="000000"/>
                <w:sz w:val="22"/>
                <w:szCs w:val="22"/>
              </w:rPr>
            </w:pPr>
            <w:r>
              <w:rPr>
                <w:rFonts w:hint="eastAsia"/>
                <w:color w:val="000000"/>
                <w:sz w:val="22"/>
                <w:szCs w:val="22"/>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0" w:type="dxa"/>
            <w:gridSpan w:val="4"/>
          </w:tcPr>
          <w:p>
            <w:pPr>
              <w:spacing w:line="400" w:lineRule="exact"/>
              <w:outlineLvl w:val="0"/>
              <w:rPr>
                <w:color w:val="000000"/>
                <w:sz w:val="22"/>
                <w:szCs w:val="22"/>
              </w:rPr>
            </w:pPr>
            <w:r>
              <w:rPr>
                <w:rFonts w:hint="eastAsia"/>
                <w:color w:val="000000"/>
                <w:sz w:val="22"/>
                <w:szCs w:val="22"/>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vAlign w:val="center"/>
          </w:tcPr>
          <w:p>
            <w:pPr>
              <w:spacing w:line="400" w:lineRule="exact"/>
              <w:jc w:val="center"/>
              <w:outlineLvl w:val="0"/>
              <w:rPr>
                <w:color w:val="000000"/>
                <w:sz w:val="22"/>
                <w:szCs w:val="22"/>
              </w:rPr>
            </w:pPr>
            <w:r>
              <w:rPr>
                <w:rFonts w:hint="eastAsia"/>
                <w:color w:val="000000"/>
                <w:sz w:val="22"/>
                <w:szCs w:val="22"/>
              </w:rPr>
              <w:t>考核内容</w:t>
            </w:r>
          </w:p>
        </w:tc>
        <w:tc>
          <w:tcPr>
            <w:tcW w:w="993" w:type="dxa"/>
            <w:vAlign w:val="center"/>
          </w:tcPr>
          <w:p>
            <w:pPr>
              <w:spacing w:line="400" w:lineRule="exact"/>
              <w:jc w:val="center"/>
              <w:outlineLvl w:val="0"/>
              <w:rPr>
                <w:color w:val="000000"/>
                <w:sz w:val="22"/>
                <w:szCs w:val="22"/>
              </w:rPr>
            </w:pPr>
            <w:r>
              <w:rPr>
                <w:rFonts w:hint="eastAsia"/>
                <w:color w:val="000000"/>
                <w:sz w:val="22"/>
                <w:szCs w:val="22"/>
              </w:rPr>
              <w:t>分值</w:t>
            </w:r>
          </w:p>
        </w:tc>
        <w:tc>
          <w:tcPr>
            <w:tcW w:w="1700" w:type="dxa"/>
            <w:vAlign w:val="center"/>
          </w:tcPr>
          <w:p>
            <w:pPr>
              <w:spacing w:line="400" w:lineRule="exact"/>
              <w:jc w:val="center"/>
              <w:outlineLvl w:val="0"/>
              <w:rPr>
                <w:color w:val="000000"/>
                <w:sz w:val="22"/>
                <w:szCs w:val="22"/>
              </w:rPr>
            </w:pPr>
            <w:r>
              <w:rPr>
                <w:rFonts w:hint="eastAsia"/>
                <w:color w:val="000000"/>
                <w:sz w:val="22"/>
                <w:szCs w:val="22"/>
              </w:rPr>
              <w:t>扣分原因</w:t>
            </w:r>
          </w:p>
        </w:tc>
        <w:tc>
          <w:tcPr>
            <w:tcW w:w="1258" w:type="dxa"/>
            <w:vAlign w:val="center"/>
          </w:tcPr>
          <w:p>
            <w:pPr>
              <w:spacing w:line="400" w:lineRule="exact"/>
              <w:jc w:val="center"/>
              <w:outlineLvl w:val="0"/>
              <w:rPr>
                <w:color w:val="000000"/>
                <w:sz w:val="22"/>
                <w:szCs w:val="22"/>
              </w:rPr>
            </w:pPr>
            <w:r>
              <w:rPr>
                <w:rFonts w:hint="eastAsia"/>
                <w:color w:val="000000"/>
                <w:sz w:val="22"/>
                <w:szCs w:val="22"/>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1、是否在规定的时限内完成监控系统项目工作、</w:t>
            </w:r>
            <w:r>
              <w:rPr>
                <w:rFonts w:hint="eastAsia" w:cs="Arial"/>
                <w:color w:val="000000"/>
                <w:sz w:val="22"/>
                <w:szCs w:val="22"/>
              </w:rPr>
              <w:t>紧急项目未按采购指令要求时间完成</w:t>
            </w:r>
          </w:p>
        </w:tc>
        <w:tc>
          <w:tcPr>
            <w:tcW w:w="993" w:type="dxa"/>
            <w:vAlign w:val="center"/>
          </w:tcPr>
          <w:p>
            <w:pPr>
              <w:spacing w:line="400" w:lineRule="exact"/>
              <w:jc w:val="center"/>
              <w:outlineLvl w:val="0"/>
              <w:rPr>
                <w:color w:val="000000"/>
                <w:sz w:val="22"/>
                <w:szCs w:val="22"/>
              </w:rPr>
            </w:pPr>
            <w:r>
              <w:rPr>
                <w:rFonts w:hint="eastAsia"/>
                <w:color w:val="000000"/>
                <w:sz w:val="22"/>
                <w:szCs w:val="22"/>
              </w:rPr>
              <w:t>20</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2、是否有固定人员承担本项目联系人</w:t>
            </w:r>
          </w:p>
        </w:tc>
        <w:tc>
          <w:tcPr>
            <w:tcW w:w="993" w:type="dxa"/>
            <w:vAlign w:val="center"/>
          </w:tcPr>
          <w:p>
            <w:pPr>
              <w:spacing w:line="400" w:lineRule="exact"/>
              <w:jc w:val="center"/>
              <w:outlineLvl w:val="0"/>
              <w:rPr>
                <w:color w:val="000000"/>
                <w:sz w:val="22"/>
                <w:szCs w:val="22"/>
              </w:rPr>
            </w:pPr>
            <w:r>
              <w:rPr>
                <w:rFonts w:hint="eastAsia"/>
                <w:color w:val="000000"/>
                <w:sz w:val="22"/>
                <w:szCs w:val="22"/>
              </w:rPr>
              <w:t>10</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4、项目实施过程中发现重大问题是否及时进行沟通</w:t>
            </w:r>
          </w:p>
        </w:tc>
        <w:tc>
          <w:tcPr>
            <w:tcW w:w="993" w:type="dxa"/>
            <w:vAlign w:val="center"/>
          </w:tcPr>
          <w:p>
            <w:pPr>
              <w:spacing w:line="400" w:lineRule="exact"/>
              <w:jc w:val="center"/>
              <w:outlineLvl w:val="0"/>
              <w:rPr>
                <w:color w:val="000000"/>
                <w:sz w:val="22"/>
                <w:szCs w:val="22"/>
              </w:rPr>
            </w:pPr>
            <w:r>
              <w:rPr>
                <w:rFonts w:hint="eastAsia"/>
                <w:color w:val="000000"/>
                <w:sz w:val="22"/>
                <w:szCs w:val="22"/>
              </w:rPr>
              <w:t>10</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5、投标文件中承诺的相关内容是否到位</w:t>
            </w:r>
          </w:p>
        </w:tc>
        <w:tc>
          <w:tcPr>
            <w:tcW w:w="993" w:type="dxa"/>
            <w:vAlign w:val="center"/>
          </w:tcPr>
          <w:p>
            <w:pPr>
              <w:spacing w:line="400" w:lineRule="exact"/>
              <w:jc w:val="center"/>
              <w:outlineLvl w:val="0"/>
              <w:rPr>
                <w:color w:val="000000"/>
                <w:sz w:val="22"/>
                <w:szCs w:val="22"/>
              </w:rPr>
            </w:pPr>
            <w:r>
              <w:rPr>
                <w:rFonts w:hint="eastAsia"/>
                <w:color w:val="000000"/>
                <w:sz w:val="22"/>
                <w:szCs w:val="22"/>
              </w:rPr>
              <w:t>15</w:t>
            </w:r>
          </w:p>
        </w:tc>
        <w:tc>
          <w:tcPr>
            <w:tcW w:w="1700" w:type="dxa"/>
            <w:vAlign w:val="center"/>
          </w:tcPr>
          <w:p>
            <w:pPr>
              <w:spacing w:line="400" w:lineRule="exact"/>
              <w:outlineLvl w:val="0"/>
              <w:rPr>
                <w:color w:val="000000"/>
                <w:sz w:val="22"/>
                <w:szCs w:val="22"/>
              </w:rPr>
            </w:pPr>
          </w:p>
        </w:tc>
        <w:tc>
          <w:tcPr>
            <w:tcW w:w="1258" w:type="dxa"/>
            <w:vAlign w:val="center"/>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6、投标产品及安装是否完全符合投标文件及相关要求</w:t>
            </w:r>
          </w:p>
        </w:tc>
        <w:tc>
          <w:tcPr>
            <w:tcW w:w="993" w:type="dxa"/>
            <w:vAlign w:val="center"/>
          </w:tcPr>
          <w:p>
            <w:pPr>
              <w:spacing w:line="400" w:lineRule="exact"/>
              <w:jc w:val="center"/>
              <w:outlineLvl w:val="0"/>
              <w:rPr>
                <w:color w:val="000000"/>
                <w:sz w:val="22"/>
                <w:szCs w:val="22"/>
              </w:rPr>
            </w:pPr>
            <w:r>
              <w:rPr>
                <w:rFonts w:hint="eastAsia"/>
                <w:color w:val="000000"/>
                <w:sz w:val="22"/>
                <w:szCs w:val="22"/>
              </w:rPr>
              <w:t>15</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360" w:lineRule="exact"/>
              <w:outlineLvl w:val="0"/>
              <w:rPr>
                <w:rFonts w:hint="eastAsia"/>
                <w:color w:val="000000"/>
                <w:sz w:val="22"/>
                <w:szCs w:val="22"/>
              </w:rPr>
            </w:pPr>
            <w:r>
              <w:rPr>
                <w:rFonts w:hint="eastAsia"/>
                <w:color w:val="000000"/>
                <w:sz w:val="22"/>
                <w:szCs w:val="22"/>
              </w:rPr>
              <w:t>7、安装工程的质量及满意度</w:t>
            </w:r>
          </w:p>
        </w:tc>
        <w:tc>
          <w:tcPr>
            <w:tcW w:w="993" w:type="dxa"/>
            <w:vAlign w:val="center"/>
          </w:tcPr>
          <w:p>
            <w:pPr>
              <w:spacing w:line="400" w:lineRule="exact"/>
              <w:jc w:val="center"/>
              <w:outlineLvl w:val="0"/>
              <w:rPr>
                <w:rFonts w:hint="eastAsia"/>
                <w:color w:val="000000"/>
                <w:sz w:val="22"/>
                <w:szCs w:val="22"/>
              </w:rPr>
            </w:pPr>
            <w:r>
              <w:rPr>
                <w:rFonts w:hint="eastAsia"/>
                <w:color w:val="000000"/>
                <w:sz w:val="22"/>
                <w:szCs w:val="22"/>
              </w:rPr>
              <w:t>15</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outlineLvl w:val="0"/>
              <w:rPr>
                <w:color w:val="000000"/>
                <w:sz w:val="22"/>
                <w:szCs w:val="22"/>
              </w:rPr>
            </w:pPr>
            <w:r>
              <w:rPr>
                <w:rFonts w:hint="eastAsia"/>
                <w:color w:val="000000"/>
                <w:sz w:val="22"/>
                <w:szCs w:val="22"/>
              </w:rPr>
              <w:t>8、维护期内维护是否及时，技术服务是否到位</w:t>
            </w:r>
          </w:p>
        </w:tc>
        <w:tc>
          <w:tcPr>
            <w:tcW w:w="993" w:type="dxa"/>
            <w:vAlign w:val="center"/>
          </w:tcPr>
          <w:p>
            <w:pPr>
              <w:spacing w:line="400" w:lineRule="exact"/>
              <w:jc w:val="center"/>
              <w:outlineLvl w:val="0"/>
              <w:rPr>
                <w:color w:val="000000"/>
                <w:sz w:val="22"/>
                <w:szCs w:val="22"/>
              </w:rPr>
            </w:pPr>
            <w:r>
              <w:rPr>
                <w:rFonts w:hint="eastAsia"/>
                <w:color w:val="000000"/>
                <w:sz w:val="22"/>
                <w:szCs w:val="22"/>
              </w:rPr>
              <w:t>15</w:t>
            </w:r>
          </w:p>
        </w:tc>
        <w:tc>
          <w:tcPr>
            <w:tcW w:w="1700" w:type="dxa"/>
          </w:tcPr>
          <w:p>
            <w:pPr>
              <w:spacing w:line="400" w:lineRule="exact"/>
              <w:outlineLvl w:val="0"/>
              <w:rPr>
                <w:color w:val="000000"/>
                <w:sz w:val="22"/>
                <w:szCs w:val="22"/>
              </w:rPr>
            </w:pPr>
          </w:p>
        </w:tc>
        <w:tc>
          <w:tcPr>
            <w:tcW w:w="1258" w:type="dxa"/>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9" w:type="dxa"/>
          </w:tcPr>
          <w:p>
            <w:pPr>
              <w:spacing w:line="400" w:lineRule="exact"/>
              <w:jc w:val="center"/>
              <w:outlineLvl w:val="0"/>
              <w:rPr>
                <w:color w:val="000000"/>
                <w:sz w:val="22"/>
                <w:szCs w:val="22"/>
              </w:rPr>
            </w:pPr>
            <w:r>
              <w:rPr>
                <w:rFonts w:hint="eastAsia"/>
                <w:color w:val="000000"/>
                <w:sz w:val="22"/>
                <w:szCs w:val="22"/>
              </w:rPr>
              <w:t>总得分</w:t>
            </w:r>
          </w:p>
        </w:tc>
        <w:tc>
          <w:tcPr>
            <w:tcW w:w="993" w:type="dxa"/>
          </w:tcPr>
          <w:p>
            <w:pPr>
              <w:spacing w:line="400" w:lineRule="exact"/>
              <w:jc w:val="center"/>
              <w:outlineLvl w:val="0"/>
              <w:rPr>
                <w:color w:val="000000"/>
                <w:sz w:val="22"/>
                <w:szCs w:val="22"/>
              </w:rPr>
            </w:pPr>
            <w:r>
              <w:rPr>
                <w:rFonts w:hint="eastAsia"/>
                <w:color w:val="000000"/>
                <w:sz w:val="22"/>
                <w:szCs w:val="22"/>
              </w:rPr>
              <w:fldChar w:fldCharType="begin"/>
            </w:r>
            <w:r>
              <w:rPr>
                <w:rFonts w:hint="eastAsia"/>
                <w:color w:val="000000"/>
                <w:sz w:val="22"/>
                <w:szCs w:val="22"/>
              </w:rPr>
              <w:instrText xml:space="preserve"> =SUM(ABOVE) </w:instrText>
            </w:r>
            <w:r>
              <w:rPr>
                <w:rFonts w:hint="eastAsia"/>
                <w:color w:val="000000"/>
                <w:sz w:val="22"/>
                <w:szCs w:val="22"/>
              </w:rPr>
              <w:fldChar w:fldCharType="separate"/>
            </w:r>
            <w:r>
              <w:rPr>
                <w:rFonts w:hint="eastAsia"/>
                <w:color w:val="000000"/>
                <w:sz w:val="22"/>
                <w:szCs w:val="22"/>
              </w:rPr>
              <w:t>100</w:t>
            </w:r>
            <w:r>
              <w:rPr>
                <w:rFonts w:hint="eastAsia"/>
                <w:color w:val="000000"/>
                <w:sz w:val="22"/>
                <w:szCs w:val="22"/>
              </w:rPr>
              <w:fldChar w:fldCharType="end"/>
            </w:r>
          </w:p>
        </w:tc>
        <w:tc>
          <w:tcPr>
            <w:tcW w:w="2958" w:type="dxa"/>
            <w:gridSpan w:val="2"/>
          </w:tcPr>
          <w:p>
            <w:pPr>
              <w:spacing w:line="400" w:lineRule="exact"/>
              <w:outlineLvl w:val="0"/>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300" w:type="dxa"/>
            <w:gridSpan w:val="4"/>
          </w:tcPr>
          <w:p>
            <w:pPr>
              <w:spacing w:line="360" w:lineRule="auto"/>
              <w:outlineLvl w:val="0"/>
              <w:rPr>
                <w:rFonts w:hint="eastAsia"/>
                <w:color w:val="000000"/>
                <w:sz w:val="22"/>
                <w:szCs w:val="22"/>
              </w:rPr>
            </w:pPr>
            <w:r>
              <w:rPr>
                <w:rFonts w:hint="eastAsia"/>
                <w:color w:val="000000"/>
                <w:sz w:val="22"/>
                <w:szCs w:val="22"/>
              </w:rPr>
              <w:t>考核实施办法：</w:t>
            </w:r>
          </w:p>
          <w:p>
            <w:pPr>
              <w:spacing w:line="360" w:lineRule="auto"/>
              <w:ind w:firstLine="440" w:firstLineChars="200"/>
              <w:outlineLvl w:val="0"/>
              <w:rPr>
                <w:rFonts w:hint="eastAsia"/>
                <w:color w:val="000000"/>
                <w:sz w:val="22"/>
                <w:szCs w:val="22"/>
              </w:rPr>
            </w:pPr>
            <w:r>
              <w:rPr>
                <w:rFonts w:hint="eastAsia"/>
                <w:color w:val="000000"/>
                <w:sz w:val="22"/>
                <w:szCs w:val="22"/>
              </w:rPr>
              <w:t>1.每季度考核一次，考核满分100分。考核总得分≥80分，视为当次考核合格。考核总得分＜80分，每分扣200元，在款项支付中扣除；考核总得分＜75分，视为当次考核不合格。</w:t>
            </w:r>
          </w:p>
          <w:p>
            <w:pPr>
              <w:spacing w:line="360" w:lineRule="auto"/>
              <w:ind w:firstLine="440" w:firstLineChars="200"/>
              <w:outlineLvl w:val="0"/>
              <w:rPr>
                <w:rFonts w:hint="eastAsia"/>
                <w:color w:val="000000"/>
                <w:sz w:val="22"/>
                <w:szCs w:val="22"/>
              </w:rPr>
            </w:pPr>
            <w:r>
              <w:rPr>
                <w:rFonts w:hint="eastAsia"/>
                <w:color w:val="000000"/>
                <w:sz w:val="22"/>
                <w:szCs w:val="22"/>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spacing w:line="400" w:lineRule="exact"/>
              <w:outlineLvl w:val="0"/>
              <w:rPr>
                <w:color w:val="000000"/>
                <w:sz w:val="22"/>
                <w:szCs w:val="22"/>
              </w:rPr>
            </w:pPr>
            <w:r>
              <w:rPr>
                <w:rFonts w:hint="eastAsia"/>
                <w:color w:val="000000"/>
                <w:sz w:val="22"/>
                <w:szCs w:val="22"/>
              </w:rPr>
              <w:t>3.因成交供应商原因（包括但不限于质量、安全、工期延误等原因），造成采购人损失的，由成交供应商承担相关责任，成交供应商违规罚款可达合同总金额的20%。</w:t>
            </w:r>
          </w:p>
        </w:tc>
      </w:tr>
    </w:tbl>
    <w:p>
      <w:pPr>
        <w:snapToGrid w:val="0"/>
        <w:spacing w:line="400" w:lineRule="exact"/>
        <w:rPr>
          <w:rFonts w:hint="eastAsia"/>
          <w:color w:val="000000"/>
          <w:sz w:val="22"/>
          <w:szCs w:val="22"/>
        </w:rPr>
      </w:pPr>
      <w:r>
        <w:rPr>
          <w:rFonts w:hint="eastAsia"/>
          <w:color w:val="000000"/>
          <w:sz w:val="22"/>
          <w:szCs w:val="22"/>
        </w:rPr>
        <w:t>第十九条：合同生效</w:t>
      </w:r>
    </w:p>
    <w:p>
      <w:pPr>
        <w:pStyle w:val="33"/>
        <w:snapToGrid w:val="0"/>
        <w:spacing w:line="400" w:lineRule="exact"/>
        <w:ind w:firstLine="440"/>
        <w:rPr>
          <w:rFonts w:hint="eastAsia" w:hAnsi="宋体" w:cs="宋体"/>
          <w:color w:val="000000"/>
          <w:sz w:val="22"/>
          <w:szCs w:val="22"/>
        </w:rPr>
      </w:pPr>
      <w:r>
        <w:rPr>
          <w:rFonts w:hint="eastAsia" w:hAnsi="宋体" w:cs="宋体"/>
          <w:color w:val="000000"/>
          <w:sz w:val="22"/>
          <w:szCs w:val="22"/>
        </w:rPr>
        <w:t>1、如上述文件与本合同有不符之处，以有利于采购人的为准。</w:t>
      </w:r>
    </w:p>
    <w:p>
      <w:pPr>
        <w:pStyle w:val="33"/>
        <w:snapToGrid w:val="0"/>
        <w:spacing w:line="400" w:lineRule="exact"/>
        <w:ind w:firstLine="440"/>
        <w:rPr>
          <w:rFonts w:hint="eastAsia" w:hAnsi="宋体" w:cs="宋体"/>
          <w:color w:val="000000"/>
          <w:sz w:val="22"/>
          <w:szCs w:val="22"/>
          <w:u w:val="single"/>
        </w:rPr>
      </w:pPr>
      <w:r>
        <w:rPr>
          <w:rFonts w:hint="eastAsia" w:hAnsi="宋体" w:cs="宋体"/>
          <w:color w:val="000000"/>
          <w:sz w:val="22"/>
          <w:szCs w:val="22"/>
        </w:rPr>
        <w:t>2、</w:t>
      </w:r>
      <w:r>
        <w:rPr>
          <w:rFonts w:hint="eastAsia" w:hAnsi="宋体" w:cs="宋体"/>
          <w:color w:val="000000"/>
          <w:sz w:val="22"/>
          <w:szCs w:val="22"/>
          <w:u w:val="single"/>
        </w:rPr>
        <w:t>本合同在双方法定代表人或授权代表签署，甲、乙双方加盖印章后合同生效。</w:t>
      </w:r>
    </w:p>
    <w:p>
      <w:pPr>
        <w:pStyle w:val="33"/>
        <w:snapToGrid w:val="0"/>
        <w:spacing w:line="400" w:lineRule="exact"/>
        <w:ind w:firstLine="440"/>
        <w:rPr>
          <w:rFonts w:hint="eastAsia" w:hAnsi="宋体" w:cs="宋体"/>
          <w:color w:val="000000"/>
          <w:sz w:val="22"/>
          <w:szCs w:val="22"/>
        </w:rPr>
      </w:pPr>
      <w:r>
        <w:rPr>
          <w:rFonts w:hint="eastAsia" w:hAnsi="宋体" w:cs="宋体"/>
          <w:color w:val="000000"/>
          <w:sz w:val="22"/>
          <w:szCs w:val="22"/>
        </w:rPr>
        <w:t>3、本合同一式伍份，甲乙双方各执贰份，代理公司壹份。</w:t>
      </w:r>
    </w:p>
    <w:p>
      <w:pPr>
        <w:pStyle w:val="33"/>
        <w:snapToGrid w:val="0"/>
        <w:spacing w:line="400" w:lineRule="exact"/>
        <w:ind w:firstLine="440"/>
        <w:rPr>
          <w:rFonts w:hint="eastAsia"/>
          <w:b/>
          <w:color w:val="000000"/>
          <w:sz w:val="22"/>
          <w:szCs w:val="22"/>
        </w:rPr>
      </w:pPr>
      <w:r>
        <w:rPr>
          <w:rFonts w:hint="eastAsia" w:hAnsi="宋体" w:cs="宋体"/>
          <w:color w:val="000000"/>
          <w:sz w:val="22"/>
          <w:szCs w:val="22"/>
        </w:rPr>
        <w:t>4、</w:t>
      </w:r>
      <w:r>
        <w:rPr>
          <w:rFonts w:hint="eastAsia"/>
          <w:color w:val="000000"/>
          <w:sz w:val="22"/>
          <w:szCs w:val="22"/>
        </w:rPr>
        <w:t>合同的解释：本合同的解释权在平阳县南麂镇人民政府。</w:t>
      </w:r>
    </w:p>
    <w:p>
      <w:pPr>
        <w:snapToGrid w:val="0"/>
        <w:spacing w:line="400" w:lineRule="exact"/>
        <w:rPr>
          <w:rFonts w:hint="eastAsia"/>
          <w:color w:val="000000"/>
          <w:sz w:val="22"/>
          <w:szCs w:val="22"/>
        </w:rPr>
      </w:pPr>
      <w:r>
        <w:rPr>
          <w:rFonts w:hint="eastAsia"/>
          <w:color w:val="000000"/>
          <w:sz w:val="22"/>
          <w:szCs w:val="22"/>
        </w:rPr>
        <w:t>第二十条：合同修改</w:t>
      </w:r>
    </w:p>
    <w:p>
      <w:pPr>
        <w:snapToGrid w:val="0"/>
        <w:spacing w:line="400" w:lineRule="exact"/>
        <w:ind w:firstLine="480"/>
        <w:rPr>
          <w:rFonts w:hint="eastAsia"/>
          <w:color w:val="000000"/>
          <w:sz w:val="22"/>
          <w:szCs w:val="22"/>
        </w:rPr>
      </w:pPr>
      <w:r>
        <w:rPr>
          <w:rFonts w:hint="eastAsia"/>
          <w:color w:val="000000"/>
          <w:sz w:val="22"/>
          <w:szCs w:val="22"/>
        </w:rPr>
        <w:t>除了双方签署书面修改合同，并成为本合同不可分割的一部分之外，本合同条件不得有任何变化或修改。</w:t>
      </w:r>
    </w:p>
    <w:p>
      <w:pPr>
        <w:pStyle w:val="33"/>
        <w:snapToGrid w:val="0"/>
        <w:spacing w:line="400" w:lineRule="exact"/>
        <w:ind w:firstLine="440"/>
        <w:rPr>
          <w:rFonts w:hint="eastAsia" w:hAnsi="宋体" w:cs="宋体"/>
          <w:color w:val="000000"/>
          <w:sz w:val="22"/>
          <w:szCs w:val="22"/>
        </w:rPr>
      </w:pPr>
      <w:r>
        <w:rPr>
          <w:rFonts w:hint="eastAsia" w:hAnsi="宋体" w:cs="宋体"/>
          <w:color w:val="000000"/>
          <w:sz w:val="22"/>
          <w:szCs w:val="22"/>
        </w:rPr>
        <w:t>第二十一条 合同附件</w:t>
      </w:r>
    </w:p>
    <w:p>
      <w:pPr>
        <w:snapToGrid w:val="0"/>
        <w:spacing w:line="400" w:lineRule="exact"/>
        <w:textAlignment w:val="baseline"/>
        <w:rPr>
          <w:rFonts w:hint="eastAsia"/>
          <w:color w:val="000000"/>
          <w:sz w:val="22"/>
          <w:szCs w:val="22"/>
        </w:rPr>
      </w:pPr>
      <w:r>
        <w:rPr>
          <w:rFonts w:hint="eastAsia"/>
          <w:color w:val="000000"/>
          <w:sz w:val="22"/>
          <w:szCs w:val="22"/>
        </w:rPr>
        <w:t xml:space="preserve">    下列文件与本合同具有同等法律效力：</w:t>
      </w:r>
    </w:p>
    <w:p>
      <w:pPr>
        <w:snapToGrid w:val="0"/>
        <w:spacing w:line="400" w:lineRule="exact"/>
        <w:ind w:firstLine="431" w:firstLineChars="196"/>
        <w:textAlignment w:val="baseline"/>
        <w:rPr>
          <w:rFonts w:hint="eastAsia"/>
          <w:color w:val="000000"/>
          <w:sz w:val="22"/>
          <w:szCs w:val="22"/>
        </w:rPr>
      </w:pPr>
      <w:r>
        <w:rPr>
          <w:rFonts w:hint="eastAsia"/>
          <w:color w:val="000000"/>
          <w:sz w:val="22"/>
          <w:szCs w:val="22"/>
        </w:rPr>
        <w:t>1、采购人的采购文件与采购补充文件；</w:t>
      </w:r>
    </w:p>
    <w:p>
      <w:pPr>
        <w:snapToGrid w:val="0"/>
        <w:spacing w:line="400" w:lineRule="exact"/>
        <w:ind w:firstLine="431" w:firstLineChars="196"/>
        <w:textAlignment w:val="baseline"/>
        <w:rPr>
          <w:rFonts w:hint="eastAsia"/>
          <w:color w:val="000000"/>
          <w:sz w:val="22"/>
          <w:szCs w:val="22"/>
        </w:rPr>
      </w:pPr>
      <w:r>
        <w:rPr>
          <w:rFonts w:hint="eastAsia"/>
          <w:color w:val="000000"/>
          <w:sz w:val="22"/>
          <w:szCs w:val="22"/>
        </w:rPr>
        <w:t>2、中标供应商投标文件；</w:t>
      </w:r>
    </w:p>
    <w:p>
      <w:pPr>
        <w:pStyle w:val="33"/>
        <w:snapToGrid w:val="0"/>
        <w:spacing w:line="400" w:lineRule="exact"/>
        <w:ind w:firstLine="323" w:firstLineChars="147"/>
        <w:textAlignment w:val="baseline"/>
        <w:rPr>
          <w:rFonts w:hint="eastAsia" w:hAnsi="宋体" w:cs="宋体"/>
          <w:color w:val="000000"/>
          <w:sz w:val="22"/>
          <w:szCs w:val="22"/>
        </w:rPr>
      </w:pPr>
      <w:r>
        <w:rPr>
          <w:rFonts w:hint="eastAsia" w:hAnsi="宋体" w:cs="宋体"/>
          <w:color w:val="000000"/>
          <w:sz w:val="22"/>
          <w:szCs w:val="22"/>
        </w:rPr>
        <w:t xml:space="preserve"> 3、询标纪要和承诺书</w:t>
      </w:r>
      <w:r>
        <w:rPr>
          <w:rFonts w:hint="eastAsia"/>
          <w:color w:val="000000"/>
          <w:sz w:val="22"/>
          <w:szCs w:val="22"/>
        </w:rPr>
        <w:t>；</w:t>
      </w:r>
      <w:r>
        <w:rPr>
          <w:rFonts w:hint="eastAsia" w:hAnsi="宋体" w:cs="宋体"/>
          <w:color w:val="000000"/>
          <w:sz w:val="22"/>
          <w:szCs w:val="22"/>
        </w:rPr>
        <w:t>（如有）</w:t>
      </w:r>
    </w:p>
    <w:p>
      <w:pPr>
        <w:snapToGrid w:val="0"/>
        <w:spacing w:line="400" w:lineRule="exact"/>
        <w:ind w:firstLine="440" w:firstLineChars="200"/>
        <w:rPr>
          <w:rFonts w:hint="eastAsia"/>
          <w:color w:val="000000"/>
          <w:sz w:val="22"/>
          <w:szCs w:val="22"/>
        </w:rPr>
      </w:pPr>
      <w:r>
        <w:rPr>
          <w:rFonts w:hint="eastAsia"/>
          <w:color w:val="000000"/>
          <w:sz w:val="22"/>
          <w:szCs w:val="22"/>
        </w:rPr>
        <w:t>4、中标通知书。</w:t>
      </w:r>
    </w:p>
    <w:p>
      <w:pPr>
        <w:snapToGrid w:val="0"/>
        <w:spacing w:line="400" w:lineRule="exact"/>
        <w:ind w:firstLine="431" w:firstLineChars="196"/>
        <w:rPr>
          <w:rFonts w:hint="eastAsia"/>
          <w:bCs/>
          <w:color w:val="000000"/>
          <w:sz w:val="22"/>
          <w:szCs w:val="22"/>
        </w:rPr>
      </w:pPr>
      <w:r>
        <w:rPr>
          <w:rFonts w:hint="eastAsia"/>
          <w:bCs/>
          <w:color w:val="000000"/>
          <w:sz w:val="22"/>
          <w:szCs w:val="22"/>
        </w:rPr>
        <w:t>采购人(盖章)：                                          中标供应商（盖章）</w:t>
      </w:r>
    </w:p>
    <w:p>
      <w:pPr>
        <w:snapToGrid w:val="0"/>
        <w:spacing w:line="400" w:lineRule="exact"/>
        <w:ind w:firstLine="431" w:firstLineChars="196"/>
        <w:rPr>
          <w:rFonts w:hint="eastAsia"/>
          <w:bCs/>
          <w:color w:val="000000"/>
          <w:sz w:val="22"/>
          <w:szCs w:val="22"/>
        </w:rPr>
      </w:pPr>
      <w:r>
        <w:rPr>
          <w:rFonts w:hint="eastAsia"/>
          <w:bCs/>
          <w:color w:val="000000"/>
          <w:sz w:val="22"/>
          <w:szCs w:val="22"/>
        </w:rPr>
        <w:t>法定代表人：                                            法定代表人：</w:t>
      </w:r>
    </w:p>
    <w:p>
      <w:pPr>
        <w:snapToGrid w:val="0"/>
        <w:spacing w:line="400" w:lineRule="exact"/>
        <w:ind w:firstLine="431" w:firstLineChars="196"/>
        <w:rPr>
          <w:rFonts w:hint="eastAsia"/>
          <w:bCs/>
          <w:color w:val="000000"/>
          <w:sz w:val="22"/>
          <w:szCs w:val="22"/>
        </w:rPr>
      </w:pPr>
      <w:r>
        <w:rPr>
          <w:rFonts w:hint="eastAsia"/>
          <w:bCs/>
          <w:color w:val="000000"/>
          <w:sz w:val="22"/>
          <w:szCs w:val="22"/>
        </w:rPr>
        <w:t>开户银行：                                              开户银行：</w:t>
      </w:r>
    </w:p>
    <w:p>
      <w:pPr>
        <w:snapToGrid w:val="0"/>
        <w:spacing w:line="400" w:lineRule="exact"/>
        <w:ind w:firstLine="431" w:firstLineChars="196"/>
        <w:rPr>
          <w:rFonts w:hint="eastAsia"/>
          <w:bCs/>
          <w:color w:val="000000"/>
          <w:sz w:val="22"/>
          <w:szCs w:val="22"/>
        </w:rPr>
      </w:pPr>
      <w:r>
        <w:rPr>
          <w:rFonts w:hint="eastAsia"/>
          <w:bCs/>
          <w:color w:val="000000"/>
          <w:sz w:val="22"/>
          <w:szCs w:val="22"/>
        </w:rPr>
        <w:t>开户名称：                                              开户名称：</w:t>
      </w:r>
    </w:p>
    <w:p>
      <w:pPr>
        <w:snapToGrid w:val="0"/>
        <w:spacing w:line="400" w:lineRule="exact"/>
        <w:ind w:firstLine="431" w:firstLineChars="196"/>
        <w:rPr>
          <w:rFonts w:hint="eastAsia"/>
          <w:bCs/>
          <w:color w:val="000000"/>
          <w:sz w:val="22"/>
          <w:szCs w:val="22"/>
        </w:rPr>
      </w:pPr>
      <w:r>
        <w:rPr>
          <w:rFonts w:hint="eastAsia"/>
          <w:bCs/>
          <w:color w:val="000000"/>
          <w:sz w:val="22"/>
          <w:szCs w:val="22"/>
        </w:rPr>
        <w:t>账号：                                                  账号：</w:t>
      </w:r>
    </w:p>
    <w:p>
      <w:pPr>
        <w:autoSpaceDE w:val="0"/>
        <w:autoSpaceDN w:val="0"/>
        <w:adjustRightInd w:val="0"/>
        <w:snapToGrid w:val="0"/>
        <w:spacing w:line="460" w:lineRule="atLeast"/>
        <w:ind w:firstLine="440" w:firstLineChars="200"/>
        <w:textAlignment w:val="bottom"/>
        <w:rPr>
          <w:rFonts w:hint="eastAsia"/>
          <w:color w:val="000000"/>
          <w:sz w:val="22"/>
          <w:szCs w:val="22"/>
        </w:rPr>
      </w:pPr>
      <w:r>
        <w:rPr>
          <w:rFonts w:hint="eastAsia"/>
          <w:bCs/>
          <w:color w:val="000000"/>
          <w:sz w:val="22"/>
          <w:szCs w:val="22"/>
        </w:rPr>
        <w:t>签约日期：                                        签约地点：</w:t>
      </w:r>
    </w:p>
    <w:p>
      <w:pPr>
        <w:snapToGrid w:val="0"/>
        <w:spacing w:line="400" w:lineRule="exact"/>
        <w:ind w:firstLine="437" w:firstLineChars="198"/>
        <w:rPr>
          <w:rFonts w:hint="eastAsia"/>
          <w:color w:val="000000"/>
          <w:sz w:val="22"/>
          <w:szCs w:val="22"/>
          <w:lang w:val="en-US" w:eastAsia="zh-CN"/>
        </w:rPr>
      </w:pPr>
      <w:r>
        <w:rPr>
          <w:b/>
          <w:color w:val="000000"/>
          <w:sz w:val="22"/>
        </w:rPr>
        <w:t>注：本合同作为示范文本，具体以成交人与采购人所签定正式合同为准。</w:t>
      </w: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p>
    <w:p>
      <w:pPr>
        <w:pStyle w:val="33"/>
        <w:adjustRightInd w:val="0"/>
        <w:snapToGrid w:val="0"/>
        <w:spacing w:line="400" w:lineRule="exact"/>
        <w:jc w:val="center"/>
        <w:rPr>
          <w:rFonts w:hint="eastAsia" w:hAnsi="宋体"/>
          <w:color w:val="000000"/>
          <w:sz w:val="36"/>
          <w:szCs w:val="36"/>
        </w:rPr>
      </w:pPr>
      <w:r>
        <w:rPr>
          <w:rFonts w:hint="eastAsia" w:hAnsi="宋体"/>
          <w:color w:val="000000"/>
          <w:sz w:val="36"/>
          <w:szCs w:val="36"/>
        </w:rPr>
        <w:t>第六部分    附件—投标文件格式</w:t>
      </w:r>
    </w:p>
    <w:p>
      <w:pPr>
        <w:snapToGrid w:val="0"/>
        <w:spacing w:line="460" w:lineRule="atLeast"/>
        <w:jc w:val="center"/>
        <w:rPr>
          <w:color w:val="000000"/>
          <w:sz w:val="36"/>
        </w:rPr>
      </w:pPr>
      <w:r>
        <w:rPr>
          <w:rFonts w:hint="eastAsia"/>
          <w:color w:val="000000"/>
          <w:sz w:val="36"/>
        </w:rPr>
        <w:t>（未提供格式的由供应商自拟）</w:t>
      </w:r>
    </w:p>
    <w:p>
      <w:pPr>
        <w:spacing w:line="360" w:lineRule="auto"/>
        <w:ind w:firstLine="424" w:firstLineChars="151"/>
        <w:rPr>
          <w:rFonts w:hint="eastAsia" w:ascii="仿宋" w:hAnsi="仿宋" w:eastAsia="仿宋" w:cs="Arial"/>
          <w:b/>
          <w:color w:val="000000"/>
          <w:sz w:val="28"/>
          <w:szCs w:val="22"/>
          <w:u w:val="single"/>
        </w:rPr>
      </w:pPr>
      <w:r>
        <w:rPr>
          <w:rFonts w:ascii="仿宋" w:hAnsi="仿宋" w:eastAsia="仿宋" w:cs="Arial"/>
          <w:b/>
          <w:color w:val="000000"/>
          <w:sz w:val="28"/>
          <w:szCs w:val="22"/>
        </w:rPr>
        <w:t>重要提示：</w:t>
      </w:r>
    </w:p>
    <w:p>
      <w:pPr>
        <w:spacing w:line="360" w:lineRule="auto"/>
        <w:ind w:firstLine="424" w:firstLineChars="151"/>
        <w:rPr>
          <w:rFonts w:ascii="仿宋" w:hAnsi="仿宋" w:eastAsia="仿宋" w:cs="Arial"/>
          <w:b/>
          <w:color w:val="000000"/>
          <w:sz w:val="28"/>
          <w:szCs w:val="28"/>
          <w:u w:val="single"/>
        </w:rPr>
      </w:pPr>
      <w:r>
        <w:rPr>
          <w:rFonts w:hint="eastAsia" w:ascii="仿宋" w:hAnsi="仿宋" w:eastAsia="仿宋"/>
          <w:b/>
          <w:color w:val="000000"/>
          <w:sz w:val="28"/>
          <w:szCs w:val="28"/>
        </w:rPr>
        <w:t>（1）</w:t>
      </w:r>
      <w:r>
        <w:rPr>
          <w:rFonts w:hint="eastAsia" w:ascii="仿宋" w:hAnsi="仿宋" w:eastAsia="仿宋" w:cs="Arial"/>
          <w:b/>
          <w:color w:val="000000"/>
          <w:sz w:val="28"/>
          <w:szCs w:val="28"/>
          <w:u w:val="single"/>
        </w:rPr>
        <w:t>本章节</w:t>
      </w:r>
      <w:r>
        <w:rPr>
          <w:rFonts w:hint="eastAsia" w:ascii="仿宋" w:hAnsi="仿宋" w:eastAsia="仿宋"/>
          <w:b/>
          <w:color w:val="000000"/>
          <w:sz w:val="28"/>
          <w:szCs w:val="28"/>
          <w:u w:val="single"/>
        </w:rPr>
        <w:t>中有</w:t>
      </w:r>
      <w:r>
        <w:rPr>
          <w:rFonts w:ascii="仿宋" w:hAnsi="仿宋" w:eastAsia="仿宋"/>
          <w:b/>
          <w:color w:val="000000"/>
          <w:sz w:val="28"/>
          <w:szCs w:val="28"/>
          <w:u w:val="single"/>
        </w:rPr>
        <w:t>提供格式的，供应商</w:t>
      </w:r>
      <w:r>
        <w:rPr>
          <w:rFonts w:hint="eastAsia" w:ascii="仿宋" w:hAnsi="仿宋" w:eastAsia="仿宋"/>
          <w:b/>
          <w:color w:val="000000"/>
          <w:sz w:val="28"/>
          <w:szCs w:val="28"/>
          <w:u w:val="single"/>
        </w:rPr>
        <w:t>可参</w:t>
      </w:r>
      <w:r>
        <w:rPr>
          <w:rFonts w:ascii="仿宋" w:hAnsi="仿宋" w:eastAsia="仿宋"/>
          <w:b/>
          <w:color w:val="000000"/>
          <w:sz w:val="28"/>
          <w:szCs w:val="28"/>
          <w:u w:val="single"/>
        </w:rPr>
        <w:t>照</w:t>
      </w:r>
      <w:r>
        <w:rPr>
          <w:rFonts w:hint="eastAsia" w:ascii="仿宋" w:hAnsi="仿宋" w:eastAsia="仿宋"/>
          <w:b/>
          <w:color w:val="000000"/>
          <w:sz w:val="28"/>
          <w:szCs w:val="28"/>
          <w:u w:val="single"/>
        </w:rPr>
        <w:t>本章节提供的</w:t>
      </w:r>
      <w:r>
        <w:rPr>
          <w:rFonts w:ascii="仿宋" w:hAnsi="仿宋" w:eastAsia="仿宋"/>
          <w:b/>
          <w:color w:val="000000"/>
          <w:sz w:val="28"/>
          <w:szCs w:val="28"/>
          <w:u w:val="single"/>
        </w:rPr>
        <w:t>格式</w:t>
      </w:r>
      <w:r>
        <w:rPr>
          <w:rFonts w:hint="eastAsia" w:ascii="仿宋" w:hAnsi="仿宋" w:eastAsia="仿宋"/>
          <w:b/>
          <w:color w:val="000000"/>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color w:val="000000"/>
          <w:sz w:val="28"/>
          <w:szCs w:val="28"/>
          <w:u w:val="single"/>
        </w:rPr>
      </w:pPr>
      <w:r>
        <w:rPr>
          <w:rFonts w:hint="eastAsia" w:ascii="仿宋" w:hAnsi="仿宋" w:eastAsia="仿宋"/>
          <w:b/>
          <w:color w:val="000000"/>
          <w:sz w:val="28"/>
          <w:szCs w:val="28"/>
        </w:rPr>
        <w:t>（2）</w:t>
      </w:r>
      <w:r>
        <w:rPr>
          <w:rFonts w:hint="eastAsia" w:ascii="仿宋" w:hAnsi="仿宋" w:eastAsia="仿宋" w:cs="Arial"/>
          <w:b/>
          <w:color w:val="000000"/>
          <w:sz w:val="28"/>
          <w:szCs w:val="28"/>
          <w:u w:val="single"/>
        </w:rPr>
        <w:t>本章节</w:t>
      </w:r>
      <w:r>
        <w:rPr>
          <w:rFonts w:ascii="仿宋" w:hAnsi="仿宋" w:eastAsia="仿宋"/>
          <w:b/>
          <w:color w:val="000000"/>
          <w:sz w:val="28"/>
          <w:szCs w:val="28"/>
          <w:u w:val="single"/>
        </w:rPr>
        <w:t>未提供格式的，请各投标单位自行拟定格式</w:t>
      </w:r>
      <w:r>
        <w:rPr>
          <w:rFonts w:hint="eastAsia" w:ascii="仿宋" w:hAnsi="仿宋" w:eastAsia="仿宋"/>
          <w:b/>
          <w:color w:val="000000"/>
          <w:sz w:val="28"/>
          <w:szCs w:val="28"/>
          <w:u w:val="single"/>
        </w:rPr>
        <w:t>，并加盖单位公章，否则视为未提供；</w:t>
      </w:r>
    </w:p>
    <w:p>
      <w:pPr>
        <w:pStyle w:val="3"/>
        <w:rPr>
          <w:rFonts w:hint="eastAsia" w:ascii="仿宋" w:hAnsi="仿宋" w:eastAsia="仿宋"/>
          <w:b/>
          <w:color w:val="000000"/>
          <w:sz w:val="28"/>
          <w:szCs w:val="28"/>
          <w:u w:val="single"/>
        </w:rPr>
      </w:pPr>
    </w:p>
    <w:p>
      <w:pPr>
        <w:pStyle w:val="2"/>
        <w:ind w:firstLine="281"/>
        <w:rPr>
          <w:rFonts w:hint="eastAsia" w:ascii="仿宋" w:hAnsi="仿宋" w:eastAsia="仿宋"/>
          <w:b/>
          <w:color w:val="000000"/>
          <w:sz w:val="28"/>
          <w:szCs w:val="28"/>
          <w:u w:val="single"/>
        </w:rPr>
      </w:pPr>
    </w:p>
    <w:p>
      <w:pPr>
        <w:pStyle w:val="4"/>
        <w:rPr>
          <w:rFonts w:hint="eastAsia" w:ascii="仿宋" w:hAnsi="仿宋" w:eastAsia="仿宋"/>
          <w:b/>
          <w:color w:val="000000"/>
          <w:sz w:val="28"/>
          <w:szCs w:val="28"/>
          <w:u w:val="single"/>
        </w:rPr>
      </w:pPr>
    </w:p>
    <w:p>
      <w:pPr>
        <w:rPr>
          <w:rFonts w:hint="eastAsia" w:ascii="仿宋" w:hAnsi="仿宋" w:eastAsia="仿宋"/>
          <w:b/>
          <w:color w:val="000000"/>
          <w:sz w:val="28"/>
          <w:szCs w:val="28"/>
          <w:u w:val="single"/>
        </w:rPr>
      </w:pPr>
    </w:p>
    <w:p>
      <w:pPr>
        <w:pStyle w:val="3"/>
        <w:rPr>
          <w:rFonts w:hint="eastAsia" w:ascii="仿宋" w:hAnsi="仿宋" w:eastAsia="仿宋"/>
          <w:b/>
          <w:color w:val="000000"/>
          <w:sz w:val="28"/>
          <w:szCs w:val="28"/>
          <w:u w:val="single"/>
        </w:rPr>
      </w:pPr>
    </w:p>
    <w:p>
      <w:pPr>
        <w:pStyle w:val="2"/>
        <w:ind w:firstLine="281"/>
        <w:rPr>
          <w:rFonts w:hint="eastAsia" w:ascii="仿宋" w:hAnsi="仿宋" w:eastAsia="仿宋"/>
          <w:b/>
          <w:color w:val="000000"/>
          <w:sz w:val="28"/>
          <w:szCs w:val="28"/>
          <w:u w:val="single"/>
        </w:rPr>
      </w:pPr>
    </w:p>
    <w:p>
      <w:pPr>
        <w:pStyle w:val="4"/>
        <w:rPr>
          <w:rFonts w:hint="eastAsia" w:ascii="仿宋" w:hAnsi="仿宋" w:eastAsia="仿宋"/>
          <w:b/>
          <w:color w:val="000000"/>
          <w:sz w:val="28"/>
          <w:szCs w:val="28"/>
          <w:u w:val="single"/>
        </w:rPr>
      </w:pPr>
    </w:p>
    <w:p>
      <w:pPr>
        <w:rPr>
          <w:rFonts w:hint="eastAsia" w:ascii="仿宋" w:hAnsi="仿宋" w:eastAsia="仿宋"/>
          <w:b/>
          <w:color w:val="000000"/>
          <w:sz w:val="28"/>
          <w:szCs w:val="28"/>
          <w:u w:val="single"/>
        </w:rPr>
      </w:pPr>
    </w:p>
    <w:p>
      <w:pPr>
        <w:pStyle w:val="3"/>
        <w:rPr>
          <w:rFonts w:hint="eastAsia" w:ascii="仿宋" w:hAnsi="仿宋" w:eastAsia="仿宋"/>
          <w:b/>
          <w:color w:val="000000"/>
          <w:sz w:val="28"/>
          <w:szCs w:val="28"/>
          <w:u w:val="single"/>
        </w:rPr>
      </w:pPr>
    </w:p>
    <w:p>
      <w:pPr>
        <w:pStyle w:val="2"/>
        <w:ind w:firstLine="281"/>
        <w:rPr>
          <w:rFonts w:hint="eastAsia" w:ascii="仿宋" w:hAnsi="仿宋" w:eastAsia="仿宋"/>
          <w:b/>
          <w:color w:val="000000"/>
          <w:sz w:val="28"/>
          <w:szCs w:val="28"/>
          <w:u w:val="single"/>
        </w:rPr>
      </w:pPr>
    </w:p>
    <w:p>
      <w:pPr>
        <w:pStyle w:val="4"/>
        <w:rPr>
          <w:rFonts w:hint="eastAsia" w:ascii="仿宋" w:hAnsi="仿宋" w:eastAsia="仿宋"/>
          <w:b/>
          <w:color w:val="000000"/>
          <w:sz w:val="28"/>
          <w:szCs w:val="28"/>
          <w:u w:val="single"/>
        </w:rPr>
      </w:pPr>
    </w:p>
    <w:p>
      <w:pPr>
        <w:rPr>
          <w:rFonts w:hint="eastAsia" w:ascii="仿宋" w:hAnsi="仿宋" w:eastAsia="仿宋"/>
          <w:b/>
          <w:color w:val="000000"/>
          <w:sz w:val="28"/>
          <w:szCs w:val="28"/>
          <w:u w:val="single"/>
        </w:rPr>
      </w:pPr>
    </w:p>
    <w:p>
      <w:pPr>
        <w:pStyle w:val="3"/>
        <w:rPr>
          <w:rFonts w:hint="eastAsia" w:ascii="仿宋" w:hAnsi="仿宋" w:eastAsia="仿宋"/>
          <w:b/>
          <w:color w:val="000000"/>
          <w:sz w:val="28"/>
          <w:szCs w:val="28"/>
          <w:u w:val="single"/>
        </w:rPr>
      </w:pPr>
    </w:p>
    <w:p>
      <w:pPr>
        <w:pStyle w:val="2"/>
        <w:ind w:firstLine="281"/>
        <w:rPr>
          <w:rFonts w:hint="eastAsia" w:ascii="仿宋" w:hAnsi="仿宋" w:eastAsia="仿宋"/>
          <w:b/>
          <w:color w:val="000000"/>
          <w:sz w:val="28"/>
          <w:szCs w:val="28"/>
          <w:u w:val="single"/>
        </w:rPr>
      </w:pPr>
    </w:p>
    <w:p>
      <w:pPr>
        <w:pStyle w:val="4"/>
        <w:rPr>
          <w:rFonts w:hint="eastAsia" w:ascii="仿宋" w:hAnsi="仿宋" w:eastAsia="仿宋"/>
          <w:b/>
          <w:color w:val="000000"/>
          <w:sz w:val="28"/>
          <w:szCs w:val="28"/>
          <w:u w:val="single"/>
        </w:rPr>
      </w:pPr>
    </w:p>
    <w:p/>
    <w:p>
      <w:pPr>
        <w:pStyle w:val="6"/>
        <w:rPr>
          <w:color w:val="000000"/>
        </w:rPr>
      </w:pPr>
      <w:bookmarkStart w:id="13" w:name="_Toc24550049"/>
      <w:bookmarkStart w:id="14" w:name="_Toc30408914"/>
      <w:r>
        <w:rPr>
          <w:rFonts w:hint="eastAsia"/>
          <w:color w:val="000000"/>
        </w:rPr>
        <w:t>一、“资格文件</w:t>
      </w:r>
      <w:r>
        <w:rPr>
          <w:color w:val="000000"/>
        </w:rPr>
        <w:t>”</w:t>
      </w:r>
      <w:r>
        <w:rPr>
          <w:rFonts w:hint="eastAsia"/>
          <w:color w:val="000000"/>
        </w:rPr>
        <w:t>格式</w:t>
      </w:r>
      <w:bookmarkEnd w:id="13"/>
      <w:bookmarkEnd w:id="14"/>
    </w:p>
    <w:p>
      <w:pPr>
        <w:pStyle w:val="7"/>
        <w:rPr>
          <w:color w:val="000000"/>
        </w:rPr>
      </w:pPr>
      <w:r>
        <w:rPr>
          <w:rFonts w:hint="eastAsia"/>
          <w:color w:val="000000"/>
        </w:rPr>
        <w:t>1.1 “资格文件”封面</w:t>
      </w:r>
    </w:p>
    <w:p>
      <w:pPr>
        <w:spacing w:line="360" w:lineRule="auto"/>
        <w:jc w:val="right"/>
        <w:rPr>
          <w:rFonts w:ascii="Arial" w:hAnsi="Arial" w:eastAsia="新宋体" w:cs="Arial"/>
          <w:b/>
          <w:color w:val="000000"/>
          <w:sz w:val="32"/>
          <w:szCs w:val="22"/>
        </w:rPr>
      </w:pPr>
    </w:p>
    <w:p>
      <w:pPr>
        <w:spacing w:line="276" w:lineRule="auto"/>
        <w:jc w:val="center"/>
        <w:rPr>
          <w:rFonts w:hint="eastAsia" w:ascii="华文中宋" w:hAnsi="华文中宋" w:eastAsia="华文中宋" w:cs="Arial"/>
          <w:b/>
          <w:color w:val="000000"/>
          <w:w w:val="90"/>
          <w:sz w:val="220"/>
          <w:szCs w:val="22"/>
          <w:lang w:eastAsia="zh-CN"/>
        </w:rPr>
      </w:pPr>
      <w:r>
        <w:rPr>
          <w:rFonts w:hint="eastAsia" w:ascii="华文中宋" w:hAnsi="华文中宋" w:eastAsia="华文中宋" w:cs="Arial"/>
          <w:b/>
          <w:color w:val="000000"/>
          <w:w w:val="90"/>
          <w:sz w:val="44"/>
          <w:szCs w:val="22"/>
          <w:lang w:eastAsia="zh-CN"/>
        </w:rPr>
        <w:t>海洋牧歌田园综合体―数字南麂设备采购项目</w:t>
      </w:r>
    </w:p>
    <w:p>
      <w:pPr>
        <w:spacing w:line="360" w:lineRule="auto"/>
        <w:jc w:val="center"/>
        <w:rPr>
          <w:rFonts w:hint="eastAsia" w:ascii="Arial" w:hAnsi="Arial" w:eastAsia="新宋体" w:cs="Arial"/>
          <w:b/>
          <w:color w:val="000000"/>
          <w:sz w:val="52"/>
          <w:szCs w:val="22"/>
        </w:rPr>
      </w:pP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投 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件</w:t>
      </w:r>
    </w:p>
    <w:p>
      <w:pPr>
        <w:spacing w:line="360" w:lineRule="auto"/>
        <w:jc w:val="center"/>
        <w:rPr>
          <w:rFonts w:hint="eastAsia" w:ascii="华文中宋" w:hAnsi="华文中宋" w:eastAsia="华文中宋" w:cs="Arial"/>
          <w:b/>
          <w:color w:val="000000"/>
          <w:sz w:val="52"/>
          <w:szCs w:val="22"/>
        </w:rPr>
      </w:pPr>
      <w:r>
        <w:rPr>
          <w:rFonts w:hint="eastAsia" w:ascii="华文中宋" w:hAnsi="华文中宋" w:eastAsia="华文中宋" w:cs="Arial"/>
          <w:b/>
          <w:color w:val="000000"/>
          <w:sz w:val="52"/>
          <w:szCs w:val="22"/>
        </w:rPr>
        <w:t>（资格文件）</w:t>
      </w:r>
    </w:p>
    <w:p>
      <w:pPr>
        <w:spacing w:line="360" w:lineRule="auto"/>
        <w:jc w:val="center"/>
        <w:rPr>
          <w:rFonts w:hint="eastAsia" w:ascii="华文中宋" w:hAnsi="华文中宋" w:eastAsia="华文中宋" w:cs="Arial"/>
          <w:b/>
          <w:color w:val="000000"/>
          <w:sz w:val="52"/>
          <w:szCs w:val="22"/>
        </w:rPr>
      </w:pPr>
    </w:p>
    <w:tbl>
      <w:tblPr>
        <w:tblStyle w:val="5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供应商名称（盖章）：</w:t>
            </w:r>
            <w:r>
              <w:rPr>
                <w:rFonts w:ascii="仿宋" w:hAnsi="仿宋" w:eastAsia="仿宋" w:cs="Arial"/>
                <w:b/>
                <w:color w:val="000000"/>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供应商地址：</w:t>
            </w:r>
            <w:r>
              <w:rPr>
                <w:rFonts w:ascii="仿宋" w:hAnsi="仿宋" w:eastAsia="仿宋" w:cs="Arial"/>
                <w:b/>
                <w:color w:val="000000"/>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bl>
    <w:p>
      <w:pPr>
        <w:pStyle w:val="7"/>
        <w:rPr>
          <w:color w:val="000000"/>
        </w:rPr>
      </w:pPr>
      <w:r>
        <w:rPr>
          <w:rFonts w:ascii="Times New Roman" w:hAnsi="Times New Roman"/>
          <w:color w:val="000000"/>
        </w:rPr>
        <w:br w:type="page"/>
      </w:r>
      <w:r>
        <w:rPr>
          <w:rFonts w:hint="eastAsia"/>
          <w:color w:val="000000"/>
        </w:rPr>
        <w:t>1.2具有独立承担民事责任能力的证明材料</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企业法人营业执照</w:t>
      </w:r>
    </w:p>
    <w:tbl>
      <w:tblPr>
        <w:tblStyle w:val="5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color w:val="000000"/>
              </w:rPr>
            </w:pPr>
            <w:r>
              <w:rPr>
                <w:rFonts w:hint="eastAsia" w:ascii="仿宋" w:hAnsi="仿宋" w:eastAsia="仿宋" w:cs="Arial"/>
                <w:b/>
                <w:color w:val="000000"/>
              </w:rPr>
              <w:t>资格要求：</w:t>
            </w:r>
            <w:r>
              <w:rPr>
                <w:rFonts w:hint="eastAsia" w:ascii="仿宋" w:hAnsi="仿宋" w:eastAsia="仿宋"/>
                <w:b/>
                <w:color w:val="000000"/>
              </w:rPr>
              <w:t>具有独立承担民事责任能力</w:t>
            </w:r>
          </w:p>
          <w:p>
            <w:pPr>
              <w:spacing w:line="276" w:lineRule="auto"/>
              <w:rPr>
                <w:rFonts w:ascii="仿宋" w:hAnsi="仿宋" w:eastAsia="仿宋"/>
                <w:b/>
                <w:color w:val="000000"/>
              </w:rPr>
            </w:pPr>
          </w:p>
          <w:p>
            <w:pPr>
              <w:spacing w:line="276" w:lineRule="auto"/>
              <w:rPr>
                <w:rFonts w:ascii="仿宋" w:hAnsi="仿宋" w:eastAsia="仿宋"/>
                <w:color w:val="000000"/>
              </w:rPr>
            </w:pPr>
            <w:r>
              <w:rPr>
                <w:rFonts w:hint="eastAsia" w:ascii="仿宋" w:hAnsi="仿宋" w:eastAsia="仿宋"/>
                <w:b/>
                <w:color w:val="000000"/>
              </w:rPr>
              <w:t>证明材料：</w:t>
            </w:r>
            <w:r>
              <w:rPr>
                <w:rFonts w:hint="eastAsia" w:ascii="仿宋" w:hAnsi="仿宋" w:eastAsia="仿宋"/>
                <w:b/>
                <w:color w:val="000000"/>
                <w:u w:val="single"/>
              </w:rPr>
              <w:t>企业营业执照</w:t>
            </w:r>
            <w:r>
              <w:rPr>
                <w:rFonts w:hint="eastAsia" w:ascii="仿宋" w:hAnsi="仿宋" w:eastAsia="仿宋"/>
                <w:color w:val="000000"/>
              </w:rPr>
              <w:t>（提供</w:t>
            </w:r>
            <w:r>
              <w:rPr>
                <w:rFonts w:hint="eastAsia" w:ascii="仿宋" w:hAnsi="仿宋" w:eastAsia="仿宋" w:cs="Arial"/>
                <w:color w:val="000000"/>
              </w:rPr>
              <w:t>复制件</w:t>
            </w:r>
            <w:r>
              <w:rPr>
                <w:rFonts w:hint="eastAsia" w:ascii="仿宋" w:hAnsi="仿宋" w:eastAsia="仿宋"/>
                <w:color w:val="000000"/>
              </w:rPr>
              <w:t>加盖供应商公章）或</w:t>
            </w:r>
            <w:r>
              <w:rPr>
                <w:rFonts w:hint="eastAsia" w:ascii="仿宋" w:hAnsi="仿宋" w:eastAsia="仿宋"/>
                <w:b/>
                <w:color w:val="000000"/>
                <w:u w:val="single"/>
              </w:rPr>
              <w:t>供应商为依法允许经营的事业单位的，应提交事业单位法人证书</w:t>
            </w:r>
            <w:r>
              <w:rPr>
                <w:rFonts w:hint="eastAsia" w:ascii="仿宋" w:hAnsi="仿宋" w:eastAsia="仿宋"/>
                <w:color w:val="000000"/>
              </w:rPr>
              <w:t>（提供复制件加盖供应商公章）</w:t>
            </w:r>
          </w:p>
          <w:p>
            <w:pPr>
              <w:spacing w:line="276" w:lineRule="auto"/>
              <w:rPr>
                <w:rFonts w:ascii="仿宋" w:hAnsi="仿宋" w:eastAsia="仿宋"/>
                <w:color w:val="000000"/>
              </w:rPr>
            </w:pPr>
          </w:p>
          <w:p>
            <w:pPr>
              <w:spacing w:line="360" w:lineRule="auto"/>
              <w:rPr>
                <w:rFonts w:ascii="仿宋" w:hAnsi="仿宋" w:eastAsia="仿宋" w:cs="Arial"/>
                <w:color w:val="000000"/>
              </w:rPr>
            </w:pPr>
            <w:r>
              <w:rPr>
                <w:rFonts w:hint="eastAsia" w:ascii="仿宋" w:hAnsi="仿宋" w:eastAsia="仿宋"/>
                <w:color w:val="000000"/>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000000"/>
              </w:rPr>
              <w:t>总公司（总机构）授权书或房产权证或其他有效财产证明材料（</w:t>
            </w:r>
            <w:r>
              <w:rPr>
                <w:rFonts w:hint="eastAsia" w:ascii="仿宋" w:hAnsi="仿宋" w:eastAsia="仿宋"/>
                <w:color w:val="000000"/>
              </w:rPr>
              <w:t>提供</w:t>
            </w:r>
            <w:r>
              <w:rPr>
                <w:rFonts w:hint="eastAsia" w:ascii="仿宋" w:hAnsi="仿宋" w:eastAsia="仿宋" w:cs="Arial"/>
                <w:color w:val="000000"/>
              </w:rPr>
              <w:t>复制件</w:t>
            </w:r>
            <w:r>
              <w:rPr>
                <w:rFonts w:hint="eastAsia" w:ascii="仿宋" w:hAnsi="仿宋" w:eastAsia="仿宋"/>
                <w:color w:val="000000"/>
              </w:rPr>
              <w:t>加盖供应商公章</w:t>
            </w:r>
            <w:r>
              <w:rPr>
                <w:rFonts w:hint="eastAsia" w:ascii="仿宋" w:hAnsi="仿宋" w:eastAsia="仿宋" w:cs="Arial"/>
                <w:color w:val="000000"/>
              </w:rPr>
              <w:t>）。</w:t>
            </w:r>
          </w:p>
        </w:tc>
      </w:tr>
    </w:tbl>
    <w:p>
      <w:pPr>
        <w:snapToGrid w:val="0"/>
        <w:spacing w:line="460" w:lineRule="atLeast"/>
        <w:rPr>
          <w:color w:val="000000"/>
          <w:sz w:val="30"/>
        </w:rPr>
      </w:pPr>
    </w:p>
    <w:p>
      <w:pPr>
        <w:pStyle w:val="7"/>
        <w:rPr>
          <w:color w:val="000000"/>
        </w:rPr>
      </w:pPr>
      <w:r>
        <w:rPr>
          <w:rFonts w:hint="eastAsia"/>
          <w:color w:val="000000"/>
        </w:rPr>
        <w:t>1.3供应商符合参与政府采购活动资格条件的承诺函：</w:t>
      </w:r>
    </w:p>
    <w:p>
      <w:pPr>
        <w:pStyle w:val="54"/>
        <w:adjustRightInd w:val="0"/>
        <w:snapToGrid w:val="0"/>
        <w:spacing w:before="0" w:beforeAutospacing="0" w:after="0" w:afterAutospacing="0" w:line="360" w:lineRule="auto"/>
        <w:jc w:val="center"/>
        <w:rPr>
          <w:sz w:val="32"/>
          <w:szCs w:val="32"/>
        </w:rPr>
      </w:pPr>
      <w:r>
        <w:rPr>
          <w:rFonts w:hint="eastAsia"/>
          <w:sz w:val="32"/>
          <w:szCs w:val="32"/>
        </w:rPr>
        <w:t>承诺函</w:t>
      </w:r>
    </w:p>
    <w:p>
      <w:pPr>
        <w:spacing w:line="480" w:lineRule="auto"/>
        <w:rPr>
          <w:color w:val="000000"/>
          <w:szCs w:val="21"/>
          <w:u w:val="single"/>
        </w:rPr>
      </w:pPr>
    </w:p>
    <w:p>
      <w:pPr>
        <w:spacing w:line="480" w:lineRule="auto"/>
        <w:rPr>
          <w:color w:val="000000"/>
          <w:szCs w:val="21"/>
          <w:u w:val="single"/>
        </w:rPr>
      </w:pPr>
      <w:r>
        <w:rPr>
          <w:rFonts w:hint="eastAsia"/>
          <w:color w:val="000000"/>
          <w:szCs w:val="21"/>
          <w:u w:val="single"/>
        </w:rPr>
        <w:t>（采购人）：</w:t>
      </w:r>
    </w:p>
    <w:p>
      <w:pPr>
        <w:pStyle w:val="54"/>
        <w:spacing w:before="0" w:beforeAutospacing="0" w:after="0" w:afterAutospacing="0" w:line="480" w:lineRule="auto"/>
        <w:ind w:firstLine="840" w:firstLineChars="400"/>
        <w:rPr>
          <w:sz w:val="21"/>
          <w:szCs w:val="21"/>
        </w:rPr>
      </w:pPr>
    </w:p>
    <w:p>
      <w:pPr>
        <w:pStyle w:val="54"/>
        <w:shd w:val="clear" w:color="auto" w:fill="FFFFFF"/>
        <w:spacing w:before="0" w:beforeAutospacing="0" w:after="0" w:afterAutospacing="0" w:line="480" w:lineRule="auto"/>
        <w:ind w:firstLine="420" w:firstLineChars="200"/>
        <w:rPr>
          <w:sz w:val="21"/>
          <w:szCs w:val="21"/>
        </w:rPr>
      </w:pPr>
      <w:r>
        <w:rPr>
          <w:rFonts w:hint="eastAsia"/>
          <w:sz w:val="21"/>
          <w:szCs w:val="21"/>
        </w:rPr>
        <w:t>我方</w:t>
      </w:r>
      <w:r>
        <w:rPr>
          <w:rFonts w:hint="eastAsia"/>
          <w:sz w:val="21"/>
          <w:szCs w:val="21"/>
          <w:u w:val="single"/>
        </w:rPr>
        <w:t xml:space="preserve">    </w:t>
      </w:r>
      <w:r>
        <w:rPr>
          <w:rFonts w:hint="eastAsia"/>
          <w:i/>
          <w:iCs/>
          <w:sz w:val="21"/>
          <w:szCs w:val="21"/>
          <w:u w:val="single"/>
        </w:rPr>
        <w:t>（投标人全称）</w:t>
      </w:r>
      <w:r>
        <w:rPr>
          <w:rFonts w:hint="eastAsia"/>
          <w:sz w:val="21"/>
          <w:szCs w:val="21"/>
          <w:u w:val="single"/>
        </w:rPr>
        <w:t xml:space="preserve">  </w:t>
      </w:r>
      <w:r>
        <w:rPr>
          <w:rFonts w:hint="eastAsia"/>
          <w:sz w:val="21"/>
          <w:szCs w:val="21"/>
        </w:rPr>
        <w:t>参与</w:t>
      </w:r>
      <w:r>
        <w:rPr>
          <w:rFonts w:hint="eastAsia"/>
          <w:sz w:val="21"/>
          <w:szCs w:val="21"/>
          <w:u w:val="single"/>
        </w:rPr>
        <w:t xml:space="preserve">    </w:t>
      </w:r>
      <w:r>
        <w:rPr>
          <w:rFonts w:hint="eastAsia"/>
          <w:i/>
          <w:iCs/>
          <w:sz w:val="21"/>
          <w:szCs w:val="21"/>
          <w:u w:val="single"/>
        </w:rPr>
        <w:t xml:space="preserve">  （项目名称）   </w:t>
      </w:r>
      <w:r>
        <w:rPr>
          <w:rFonts w:hint="eastAsia"/>
          <w:sz w:val="21"/>
          <w:szCs w:val="21"/>
        </w:rPr>
        <w:t>政府采购活动，针对《中华人民共和国政府采购法》第二十二条所述条件做如下承诺：</w:t>
      </w:r>
    </w:p>
    <w:p>
      <w:pPr>
        <w:pStyle w:val="54"/>
        <w:numPr>
          <w:ilvl w:val="0"/>
          <w:numId w:val="17"/>
        </w:numPr>
        <w:shd w:val="clear" w:color="auto" w:fill="FFFFFF"/>
        <w:spacing w:before="0" w:beforeAutospacing="0" w:after="0" w:afterAutospacing="0" w:line="480" w:lineRule="auto"/>
        <w:ind w:firstLine="420" w:firstLineChars="200"/>
        <w:rPr>
          <w:sz w:val="21"/>
          <w:szCs w:val="21"/>
        </w:rPr>
      </w:pPr>
      <w:r>
        <w:rPr>
          <w:rFonts w:hint="eastAsia"/>
          <w:sz w:val="21"/>
          <w:szCs w:val="21"/>
        </w:rPr>
        <w:t>我方具有良好的商业信誉和健全的财务会计制度；</w:t>
      </w:r>
    </w:p>
    <w:p>
      <w:pPr>
        <w:pStyle w:val="54"/>
        <w:numPr>
          <w:ilvl w:val="0"/>
          <w:numId w:val="17"/>
        </w:numPr>
        <w:shd w:val="clear" w:color="auto" w:fill="FFFFFF"/>
        <w:spacing w:before="0" w:beforeAutospacing="0" w:after="0" w:afterAutospacing="0" w:line="480" w:lineRule="auto"/>
        <w:ind w:firstLine="420" w:firstLineChars="200"/>
        <w:rPr>
          <w:sz w:val="21"/>
          <w:szCs w:val="21"/>
        </w:rPr>
      </w:pPr>
      <w:r>
        <w:rPr>
          <w:rFonts w:hint="eastAsia"/>
          <w:sz w:val="21"/>
          <w:szCs w:val="21"/>
        </w:rPr>
        <w:t>我方具有履行本项目合同所必需的设备和专业技术能力；</w:t>
      </w:r>
    </w:p>
    <w:p>
      <w:pPr>
        <w:pStyle w:val="54"/>
        <w:numPr>
          <w:ilvl w:val="0"/>
          <w:numId w:val="17"/>
        </w:numPr>
        <w:shd w:val="clear" w:color="auto" w:fill="FFFFFF"/>
        <w:spacing w:before="0" w:beforeAutospacing="0" w:after="0" w:afterAutospacing="0" w:line="480" w:lineRule="auto"/>
        <w:ind w:firstLine="420" w:firstLineChars="200"/>
        <w:rPr>
          <w:sz w:val="21"/>
          <w:szCs w:val="21"/>
        </w:rPr>
      </w:pPr>
      <w:r>
        <w:rPr>
          <w:rFonts w:hint="eastAsia"/>
          <w:sz w:val="21"/>
          <w:szCs w:val="21"/>
        </w:rPr>
        <w:t>我方没有缴纳税收和社会保障等方面的失信记录；</w:t>
      </w:r>
    </w:p>
    <w:p>
      <w:pPr>
        <w:pStyle w:val="54"/>
        <w:numPr>
          <w:ilvl w:val="0"/>
          <w:numId w:val="17"/>
        </w:numPr>
        <w:shd w:val="clear" w:color="auto" w:fill="FFFFFF"/>
        <w:spacing w:before="0" w:beforeAutospacing="0" w:after="0" w:afterAutospacing="0" w:line="480" w:lineRule="auto"/>
        <w:ind w:firstLine="420" w:firstLineChars="200"/>
        <w:rPr>
          <w:sz w:val="21"/>
          <w:szCs w:val="21"/>
        </w:rPr>
      </w:pPr>
      <w:r>
        <w:rPr>
          <w:rFonts w:hint="eastAsia"/>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54"/>
        <w:spacing w:before="0" w:beforeAutospacing="0" w:after="0" w:afterAutospacing="0" w:line="480" w:lineRule="auto"/>
        <w:ind w:firstLine="420" w:firstLineChars="200"/>
        <w:rPr>
          <w:sz w:val="21"/>
          <w:szCs w:val="21"/>
        </w:rPr>
      </w:pPr>
      <w:r>
        <w:rPr>
          <w:rFonts w:hint="eastAsia"/>
          <w:sz w:val="21"/>
          <w:szCs w:val="21"/>
        </w:rPr>
        <w:t>我方对上述承诺内容的真实性负责。如有虚假，将依法承担相应责任。</w:t>
      </w:r>
    </w:p>
    <w:p>
      <w:pPr>
        <w:pStyle w:val="54"/>
        <w:spacing w:before="0" w:beforeAutospacing="0" w:after="0" w:afterAutospacing="0" w:line="480" w:lineRule="auto"/>
        <w:ind w:firstLine="420" w:firstLineChars="200"/>
        <w:rPr>
          <w:sz w:val="21"/>
          <w:szCs w:val="21"/>
        </w:rPr>
      </w:pPr>
    </w:p>
    <w:p>
      <w:pPr>
        <w:pStyle w:val="54"/>
        <w:spacing w:before="0" w:beforeAutospacing="0" w:after="0" w:afterAutospacing="0" w:line="480" w:lineRule="auto"/>
        <w:ind w:firstLine="422" w:firstLineChars="200"/>
        <w:rPr>
          <w:b/>
          <w:bCs/>
          <w:sz w:val="21"/>
          <w:szCs w:val="21"/>
        </w:rPr>
      </w:pPr>
    </w:p>
    <w:p>
      <w:pPr>
        <w:pStyle w:val="54"/>
        <w:spacing w:before="0" w:beforeAutospacing="0" w:after="0" w:afterAutospacing="0" w:line="480" w:lineRule="auto"/>
        <w:ind w:firstLine="420" w:firstLineChars="200"/>
        <w:rPr>
          <w:sz w:val="21"/>
          <w:szCs w:val="21"/>
        </w:rPr>
      </w:pPr>
      <w:r>
        <w:rPr>
          <w:rFonts w:hint="eastAsia"/>
          <w:sz w:val="21"/>
          <w:szCs w:val="21"/>
        </w:rPr>
        <w:t xml:space="preserve">供应商名称（盖章） ： </w:t>
      </w:r>
    </w:p>
    <w:p>
      <w:pPr>
        <w:pStyle w:val="54"/>
        <w:spacing w:before="0" w:beforeAutospacing="0" w:after="0" w:afterAutospacing="0" w:line="480" w:lineRule="auto"/>
        <w:ind w:firstLine="420" w:firstLineChars="200"/>
        <w:rPr>
          <w:sz w:val="21"/>
          <w:szCs w:val="21"/>
        </w:rPr>
      </w:pPr>
      <w:r>
        <w:rPr>
          <w:rFonts w:hint="eastAsia"/>
          <w:sz w:val="21"/>
          <w:szCs w:val="21"/>
        </w:rPr>
        <w:t>法定代表人或授权代表（签字或盖章）</w:t>
      </w:r>
    </w:p>
    <w:p>
      <w:pPr>
        <w:pStyle w:val="54"/>
        <w:spacing w:before="0" w:beforeAutospacing="0" w:after="0" w:afterAutospacing="0" w:line="480" w:lineRule="auto"/>
        <w:ind w:firstLine="420" w:firstLineChars="200"/>
        <w:rPr>
          <w:sz w:val="21"/>
          <w:szCs w:val="21"/>
        </w:rPr>
      </w:pPr>
      <w:r>
        <w:rPr>
          <w:rFonts w:hint="eastAsia"/>
          <w:sz w:val="21"/>
          <w:szCs w:val="21"/>
        </w:rPr>
        <w:t xml:space="preserve">日期：  年  月  日    </w:t>
      </w:r>
    </w:p>
    <w:p>
      <w:pPr>
        <w:pStyle w:val="7"/>
        <w:rPr>
          <w:color w:val="000000"/>
        </w:rPr>
      </w:pPr>
      <w:r>
        <w:rPr>
          <w:rFonts w:ascii="Times New Roman" w:hAnsi="Times New Roman"/>
          <w:color w:val="000000"/>
        </w:rPr>
        <w:br w:type="page"/>
      </w:r>
      <w:r>
        <w:rPr>
          <w:rFonts w:hint="eastAsia"/>
          <w:color w:val="000000"/>
        </w:rPr>
        <w:t>二、“报价文件</w:t>
      </w:r>
      <w:r>
        <w:rPr>
          <w:color w:val="000000"/>
        </w:rPr>
        <w:t>”</w:t>
      </w:r>
      <w:r>
        <w:rPr>
          <w:rFonts w:hint="eastAsia"/>
          <w:color w:val="000000"/>
        </w:rPr>
        <w:t>格式</w:t>
      </w:r>
    </w:p>
    <w:p>
      <w:pPr>
        <w:pStyle w:val="8"/>
        <w:rPr>
          <w:color w:val="000000"/>
        </w:rPr>
      </w:pPr>
      <w:r>
        <w:rPr>
          <w:rFonts w:hint="eastAsia"/>
          <w:color w:val="000000"/>
        </w:rPr>
        <w:t>2.1 “报价文件”封面</w:t>
      </w:r>
    </w:p>
    <w:p>
      <w:pPr>
        <w:spacing w:line="360" w:lineRule="auto"/>
        <w:jc w:val="right"/>
        <w:rPr>
          <w:rFonts w:ascii="Arial" w:hAnsi="Arial" w:eastAsia="新宋体" w:cs="Arial"/>
          <w:b/>
          <w:color w:val="000000"/>
          <w:sz w:val="32"/>
          <w:szCs w:val="22"/>
        </w:rPr>
      </w:pPr>
    </w:p>
    <w:p>
      <w:pPr>
        <w:spacing w:line="276" w:lineRule="auto"/>
        <w:jc w:val="center"/>
        <w:rPr>
          <w:rFonts w:hint="eastAsia" w:ascii="华文中宋" w:hAnsi="华文中宋" w:eastAsia="华文中宋" w:cs="Arial"/>
          <w:b/>
          <w:color w:val="000000"/>
          <w:w w:val="80"/>
          <w:sz w:val="52"/>
          <w:szCs w:val="22"/>
          <w:lang w:eastAsia="zh-CN"/>
        </w:rPr>
      </w:pPr>
      <w:r>
        <w:rPr>
          <w:rFonts w:hint="eastAsia" w:ascii="华文中宋" w:hAnsi="华文中宋" w:eastAsia="华文中宋" w:cs="Arial"/>
          <w:b/>
          <w:color w:val="000000"/>
          <w:w w:val="90"/>
          <w:sz w:val="44"/>
          <w:szCs w:val="22"/>
          <w:lang w:eastAsia="zh-CN"/>
        </w:rPr>
        <w:t>海洋牧歌田园综合体―数字南麂设备采购项目</w:t>
      </w: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投 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件</w:t>
      </w:r>
    </w:p>
    <w:p>
      <w:pPr>
        <w:spacing w:line="360" w:lineRule="auto"/>
        <w:jc w:val="center"/>
        <w:rPr>
          <w:rFonts w:hint="eastAsia" w:ascii="华文中宋" w:hAnsi="华文中宋" w:eastAsia="华文中宋" w:cs="Arial"/>
          <w:b/>
          <w:color w:val="000000"/>
          <w:sz w:val="52"/>
          <w:szCs w:val="22"/>
        </w:rPr>
      </w:pPr>
      <w:r>
        <w:rPr>
          <w:rFonts w:hint="eastAsia" w:ascii="华文中宋" w:hAnsi="华文中宋" w:eastAsia="华文中宋" w:cs="Arial"/>
          <w:b/>
          <w:color w:val="000000"/>
          <w:sz w:val="52"/>
          <w:szCs w:val="22"/>
        </w:rPr>
        <w:t>（报价文件）</w:t>
      </w:r>
    </w:p>
    <w:p>
      <w:pPr>
        <w:spacing w:line="360" w:lineRule="auto"/>
        <w:jc w:val="center"/>
        <w:rPr>
          <w:rFonts w:hint="eastAsia" w:ascii="华文中宋" w:hAnsi="华文中宋" w:eastAsia="华文中宋" w:cs="Arial"/>
          <w:b/>
          <w:color w:val="000000"/>
          <w:sz w:val="52"/>
          <w:szCs w:val="22"/>
        </w:rPr>
      </w:pPr>
    </w:p>
    <w:tbl>
      <w:tblPr>
        <w:tblStyle w:val="5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供应商名称（盖章）：</w:t>
            </w:r>
            <w:r>
              <w:rPr>
                <w:rFonts w:ascii="仿宋" w:hAnsi="仿宋" w:eastAsia="仿宋" w:cs="Arial"/>
                <w:b/>
                <w:color w:val="000000"/>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供应商地址：</w:t>
            </w:r>
            <w:r>
              <w:rPr>
                <w:rFonts w:ascii="仿宋" w:hAnsi="仿宋" w:eastAsia="仿宋" w:cs="Arial"/>
                <w:b/>
                <w:color w:val="000000"/>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hint="eastAsia" w:ascii="仿宋" w:hAnsi="仿宋" w:eastAsia="仿宋"/>
                <w:color w:val="000000"/>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hint="eastAsia" w:ascii="仿宋" w:hAnsi="仿宋" w:eastAsia="仿宋"/>
                <w:b/>
                <w:color w:val="000000"/>
                <w:sz w:val="28"/>
                <w:szCs w:val="28"/>
              </w:rPr>
            </w:pPr>
            <w:r>
              <w:rPr>
                <w:rFonts w:hint="eastAsia" w:ascii="仿宋" w:hAnsi="仿宋" w:eastAsia="仿宋"/>
                <w:b/>
                <w:color w:val="000000"/>
                <w:sz w:val="28"/>
                <w:szCs w:val="28"/>
              </w:rPr>
              <w:t>开标前不得启封</w:t>
            </w:r>
          </w:p>
        </w:tc>
      </w:tr>
    </w:tbl>
    <w:p>
      <w:pPr>
        <w:pStyle w:val="33"/>
        <w:adjustRightInd w:val="0"/>
        <w:snapToGrid w:val="0"/>
        <w:spacing w:line="500" w:lineRule="exact"/>
        <w:rPr>
          <w:rFonts w:hint="eastAsia" w:hAnsi="宋体"/>
          <w:color w:val="000000"/>
          <w:sz w:val="30"/>
        </w:rPr>
      </w:pPr>
    </w:p>
    <w:p>
      <w:pPr>
        <w:autoSpaceDE w:val="0"/>
        <w:autoSpaceDN w:val="0"/>
        <w:adjustRightInd w:val="0"/>
        <w:snapToGrid w:val="0"/>
        <w:spacing w:line="360" w:lineRule="atLeast"/>
        <w:rPr>
          <w:rFonts w:hint="eastAsia"/>
          <w:color w:val="000000"/>
        </w:rPr>
        <w:sectPr>
          <w:headerReference r:id="rId4" w:type="first"/>
          <w:footerReference r:id="rId6" w:type="first"/>
          <w:headerReference r:id="rId3" w:type="default"/>
          <w:footerReference r:id="rId5" w:type="default"/>
          <w:pgSz w:w="11906" w:h="16838"/>
          <w:pgMar w:top="1440" w:right="1361" w:bottom="1440" w:left="1361" w:header="720" w:footer="720" w:gutter="0"/>
          <w:pgNumType w:start="0"/>
          <w:cols w:space="720" w:num="1"/>
          <w:titlePg/>
          <w:docGrid w:linePitch="286" w:charSpace="-3831"/>
        </w:sectPr>
      </w:pPr>
    </w:p>
    <w:p>
      <w:pPr>
        <w:pStyle w:val="33"/>
        <w:adjustRightInd w:val="0"/>
        <w:snapToGrid w:val="0"/>
        <w:spacing w:line="400" w:lineRule="exact"/>
        <w:rPr>
          <w:rFonts w:hint="eastAsia" w:hAnsi="宋体"/>
          <w:color w:val="000000"/>
          <w:sz w:val="36"/>
          <w:szCs w:val="36"/>
        </w:rPr>
      </w:pPr>
      <w:r>
        <w:rPr>
          <w:rFonts w:hint="eastAsia" w:hAnsi="宋体"/>
          <w:color w:val="000000"/>
          <w:sz w:val="36"/>
          <w:szCs w:val="36"/>
        </w:rPr>
        <w:t>2.2开标一览表</w:t>
      </w:r>
      <w:r>
        <w:rPr>
          <w:rFonts w:hAnsi="宋体"/>
          <w:color w:val="000000"/>
          <w:sz w:val="36"/>
          <w:szCs w:val="36"/>
        </w:rPr>
        <w:t xml:space="preserve"> </w:t>
      </w:r>
      <w:r>
        <w:rPr>
          <w:rFonts w:hint="eastAsia" w:hAnsi="宋体"/>
          <w:color w:val="000000"/>
          <w:sz w:val="36"/>
          <w:szCs w:val="36"/>
        </w:rPr>
        <w:t xml:space="preserve">   </w:t>
      </w:r>
    </w:p>
    <w:p>
      <w:pPr>
        <w:pStyle w:val="33"/>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33"/>
        <w:adjustRightInd w:val="0"/>
        <w:snapToGrid w:val="0"/>
        <w:spacing w:line="400" w:lineRule="exact"/>
        <w:rPr>
          <w:rFonts w:hint="eastAsia" w:hAnsi="宋体"/>
          <w:color w:val="000000"/>
          <w:sz w:val="36"/>
          <w:szCs w:val="36"/>
        </w:rPr>
      </w:pPr>
    </w:p>
    <w:p>
      <w:pPr>
        <w:pStyle w:val="33"/>
        <w:adjustRightInd w:val="0"/>
        <w:snapToGrid w:val="0"/>
        <w:spacing w:line="400" w:lineRule="exact"/>
        <w:rPr>
          <w:rFonts w:hint="eastAsia" w:hAnsi="宋体"/>
          <w:color w:val="000000"/>
          <w:sz w:val="36"/>
          <w:szCs w:val="36"/>
        </w:rPr>
      </w:pPr>
    </w:p>
    <w:p>
      <w:pPr>
        <w:snapToGrid w:val="0"/>
        <w:spacing w:line="400" w:lineRule="exact"/>
        <w:rPr>
          <w:color w:val="000000"/>
          <w:sz w:val="22"/>
          <w:szCs w:val="22"/>
        </w:rPr>
      </w:pPr>
      <w:r>
        <w:rPr>
          <w:color w:val="000000"/>
          <w:sz w:val="22"/>
          <w:szCs w:val="22"/>
        </w:rPr>
        <w:t>供应商名称：                      采购编号：</w:t>
      </w:r>
      <w:r>
        <w:rPr>
          <w:rFonts w:hint="eastAsia"/>
          <w:color w:val="000000"/>
          <w:sz w:val="22"/>
          <w:szCs w:val="22"/>
        </w:rPr>
        <w:t xml:space="preserve">   </w:t>
      </w:r>
      <w:r>
        <w:rPr>
          <w:color w:val="000000"/>
          <w:sz w:val="22"/>
          <w:szCs w:val="22"/>
        </w:rPr>
        <w:t xml:space="preserve">       报价单位：人民币元</w:t>
      </w:r>
    </w:p>
    <w:tbl>
      <w:tblPr>
        <w:tblStyle w:val="58"/>
        <w:tblpPr w:vertAnchor="page" w:horzAnchor="margin" w:tblpX="94" w:tblpY="3781"/>
        <w:tblW w:w="9444" w:type="dxa"/>
        <w:tblInd w:w="0" w:type="dxa"/>
        <w:tblLayout w:type="fixed"/>
        <w:tblCellMar>
          <w:top w:w="0" w:type="dxa"/>
          <w:left w:w="0" w:type="dxa"/>
          <w:bottom w:w="0" w:type="dxa"/>
          <w:right w:w="0" w:type="dxa"/>
        </w:tblCellMar>
      </w:tblPr>
      <w:tblGrid>
        <w:gridCol w:w="4567"/>
        <w:gridCol w:w="4877"/>
      </w:tblGrid>
      <w:tr>
        <w:tblPrEx>
          <w:tblCellMar>
            <w:top w:w="0" w:type="dxa"/>
            <w:left w:w="0" w:type="dxa"/>
            <w:bottom w:w="0" w:type="dxa"/>
            <w:right w:w="0" w:type="dxa"/>
          </w:tblCellMar>
        </w:tblPrEx>
        <w:trPr>
          <w:trHeight w:val="917" w:hRule="atLeast"/>
        </w:trPr>
        <w:tc>
          <w:tcPr>
            <w:tcW w:w="4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项目名称</w:t>
            </w:r>
          </w:p>
        </w:tc>
        <w:tc>
          <w:tcPr>
            <w:tcW w:w="4877" w:type="dxa"/>
            <w:tcBorders>
              <w:top w:val="single" w:color="000000" w:sz="4" w:space="0"/>
              <w:left w:val="single" w:color="auto" w:sz="4" w:space="0"/>
              <w:bottom w:val="single" w:color="000000" w:sz="4" w:space="0"/>
              <w:right w:val="single" w:color="000000" w:sz="8" w:space="0"/>
            </w:tcBorders>
            <w:vAlign w:val="center"/>
          </w:tcPr>
          <w:p>
            <w:pPr>
              <w:snapToGrid w:val="0"/>
              <w:jc w:val="center"/>
              <w:rPr>
                <w:color w:val="000000"/>
                <w:sz w:val="22"/>
              </w:rPr>
            </w:pPr>
            <w:r>
              <w:rPr>
                <w:color w:val="000000"/>
                <w:sz w:val="22"/>
              </w:rPr>
              <w:t>报价</w:t>
            </w:r>
          </w:p>
        </w:tc>
      </w:tr>
      <w:tr>
        <w:tblPrEx>
          <w:tblCellMar>
            <w:top w:w="0" w:type="dxa"/>
            <w:left w:w="0" w:type="dxa"/>
            <w:bottom w:w="0" w:type="dxa"/>
            <w:right w:w="0" w:type="dxa"/>
          </w:tblCellMar>
        </w:tblPrEx>
        <w:trPr>
          <w:trHeight w:val="1535" w:hRule="atLeast"/>
        </w:trPr>
        <w:tc>
          <w:tcPr>
            <w:tcW w:w="4567"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pPr>
              <w:snapToGrid w:val="0"/>
              <w:jc w:val="center"/>
              <w:rPr>
                <w:rFonts w:hint="eastAsia" w:eastAsia="宋体"/>
                <w:color w:val="000000"/>
                <w:sz w:val="22"/>
                <w:lang w:eastAsia="zh-CN"/>
              </w:rPr>
            </w:pPr>
            <w:r>
              <w:rPr>
                <w:rFonts w:hint="eastAsia"/>
                <w:color w:val="000000"/>
                <w:sz w:val="22"/>
                <w:lang w:eastAsia="zh-CN"/>
              </w:rPr>
              <w:t>海洋牧歌田园综合体―数字南麂设备采购项目</w:t>
            </w:r>
          </w:p>
        </w:tc>
        <w:tc>
          <w:tcPr>
            <w:tcW w:w="4877" w:type="dxa"/>
            <w:tcBorders>
              <w:top w:val="single" w:color="000000" w:sz="4" w:space="0"/>
              <w:left w:val="single" w:color="auto" w:sz="4" w:space="0"/>
              <w:bottom w:val="single" w:color="auto" w:sz="4" w:space="0"/>
              <w:right w:val="single" w:color="000000" w:sz="8" w:space="0"/>
            </w:tcBorders>
            <w:vAlign w:val="center"/>
          </w:tcPr>
          <w:p>
            <w:pPr>
              <w:snapToGrid w:val="0"/>
              <w:rPr>
                <w:rFonts w:hint="eastAsia"/>
              </w:rPr>
            </w:pPr>
            <w:r>
              <w:rPr>
                <w:rFonts w:hint="eastAsia"/>
              </w:rPr>
              <w:t>大写：</w:t>
            </w:r>
          </w:p>
          <w:p>
            <w:pPr>
              <w:pStyle w:val="3"/>
            </w:pPr>
            <w:r>
              <w:rPr>
                <w:rFonts w:hint="eastAsia"/>
              </w:rPr>
              <w:t>小写：</w:t>
            </w:r>
          </w:p>
        </w:tc>
      </w:tr>
    </w:tbl>
    <w:p>
      <w:pPr>
        <w:snapToGrid w:val="0"/>
        <w:spacing w:line="460" w:lineRule="atLeast"/>
        <w:rPr>
          <w:rFonts w:hint="eastAsia"/>
          <w:color w:val="000000"/>
          <w:sz w:val="22"/>
        </w:rPr>
      </w:pPr>
      <w:r>
        <w:rPr>
          <w:color w:val="000000"/>
          <w:sz w:val="22"/>
        </w:rPr>
        <w:t>▲报价一览表中报价为符合采购文件要求的项目</w:t>
      </w:r>
      <w:r>
        <w:rPr>
          <w:rFonts w:hint="eastAsia"/>
          <w:color w:val="000000"/>
          <w:sz w:val="22"/>
        </w:rPr>
        <w:t>报价</w:t>
      </w:r>
      <w:r>
        <w:rPr>
          <w:color w:val="000000"/>
          <w:sz w:val="22"/>
        </w:rPr>
        <w:t>（含税等费用）</w:t>
      </w:r>
      <w:r>
        <w:rPr>
          <w:rFonts w:hint="eastAsia"/>
          <w:color w:val="000000"/>
          <w:sz w:val="22"/>
        </w:rPr>
        <w:t>，含</w:t>
      </w:r>
      <w:r>
        <w:rPr>
          <w:color w:val="000000"/>
          <w:sz w:val="22"/>
        </w:rPr>
        <w:t>其它需要的费用。</w:t>
      </w:r>
    </w:p>
    <w:p>
      <w:pPr>
        <w:snapToGrid w:val="0"/>
        <w:spacing w:line="460" w:lineRule="atLeast"/>
        <w:rPr>
          <w:color w:val="000000"/>
          <w:sz w:val="22"/>
        </w:rPr>
      </w:pPr>
      <w:r>
        <w:rPr>
          <w:color w:val="000000"/>
          <w:sz w:val="22"/>
        </w:rPr>
        <w:t>▲不提供此表格的将视为没有实质性响应采购文件。</w:t>
      </w:r>
    </w:p>
    <w:p>
      <w:pPr>
        <w:autoSpaceDE w:val="0"/>
        <w:autoSpaceDN w:val="0"/>
        <w:snapToGrid w:val="0"/>
        <w:spacing w:line="440" w:lineRule="atLeast"/>
        <w:rPr>
          <w:color w:val="000000"/>
        </w:rPr>
      </w:pPr>
    </w:p>
    <w:p>
      <w:pPr>
        <w:autoSpaceDE w:val="0"/>
        <w:autoSpaceDN w:val="0"/>
        <w:snapToGrid w:val="0"/>
        <w:spacing w:line="440" w:lineRule="atLeast"/>
        <w:rPr>
          <w:color w:val="000000"/>
        </w:rPr>
      </w:pPr>
    </w:p>
    <w:p>
      <w:pPr>
        <w:autoSpaceDE w:val="0"/>
        <w:autoSpaceDN w:val="0"/>
        <w:snapToGrid w:val="0"/>
        <w:spacing w:line="440" w:lineRule="atLeast"/>
        <w:rPr>
          <w:color w:val="000000"/>
        </w:rPr>
      </w:pPr>
    </w:p>
    <w:p>
      <w:pPr>
        <w:autoSpaceDE w:val="0"/>
        <w:autoSpaceDN w:val="0"/>
        <w:snapToGrid w:val="0"/>
        <w:spacing w:line="440" w:lineRule="atLeast"/>
        <w:rPr>
          <w:color w:val="000000"/>
        </w:rPr>
      </w:pPr>
    </w:p>
    <w:p>
      <w:pPr>
        <w:autoSpaceDE w:val="0"/>
        <w:autoSpaceDN w:val="0"/>
        <w:snapToGrid w:val="0"/>
        <w:spacing w:line="440" w:lineRule="atLeast"/>
        <w:rPr>
          <w:color w:val="000000"/>
        </w:rPr>
      </w:pPr>
    </w:p>
    <w:p>
      <w:pPr>
        <w:autoSpaceDE w:val="0"/>
        <w:autoSpaceDN w:val="0"/>
        <w:snapToGrid w:val="0"/>
        <w:spacing w:line="440" w:lineRule="atLeast"/>
        <w:rPr>
          <w:color w:val="000000"/>
          <w:sz w:val="22"/>
          <w:szCs w:val="22"/>
        </w:rPr>
      </w:pPr>
      <w:r>
        <w:rPr>
          <w:color w:val="000000"/>
          <w:sz w:val="22"/>
          <w:szCs w:val="22"/>
        </w:rPr>
        <w:t>供应商全称（盖章）：</w:t>
      </w:r>
    </w:p>
    <w:p>
      <w:pPr>
        <w:autoSpaceDE w:val="0"/>
        <w:autoSpaceDN w:val="0"/>
        <w:snapToGrid w:val="0"/>
        <w:spacing w:line="440" w:lineRule="atLeast"/>
        <w:rPr>
          <w:color w:val="000000"/>
          <w:sz w:val="22"/>
          <w:szCs w:val="22"/>
        </w:rPr>
      </w:pPr>
      <w:r>
        <w:rPr>
          <w:color w:val="000000"/>
          <w:sz w:val="22"/>
          <w:szCs w:val="22"/>
        </w:rPr>
        <w:t>法定代表人或授权代表（签字或盖章）：</w:t>
      </w:r>
    </w:p>
    <w:p>
      <w:pPr>
        <w:autoSpaceDE w:val="0"/>
        <w:autoSpaceDN w:val="0"/>
        <w:snapToGrid w:val="0"/>
        <w:spacing w:line="440" w:lineRule="atLeast"/>
        <w:rPr>
          <w:color w:val="000000"/>
          <w:sz w:val="22"/>
          <w:szCs w:val="22"/>
        </w:rPr>
      </w:pPr>
      <w:r>
        <w:rPr>
          <w:color w:val="000000"/>
          <w:sz w:val="22"/>
          <w:szCs w:val="22"/>
        </w:rPr>
        <w:t>日期：</w:t>
      </w:r>
    </w:p>
    <w:p>
      <w:pPr>
        <w:autoSpaceDE w:val="0"/>
        <w:autoSpaceDN w:val="0"/>
        <w:snapToGrid w:val="0"/>
        <w:spacing w:line="440" w:lineRule="atLeast"/>
        <w:rPr>
          <w:color w:val="000000"/>
          <w:sz w:val="22"/>
          <w:szCs w:val="22"/>
        </w:rPr>
      </w:pPr>
    </w:p>
    <w:p>
      <w:pPr>
        <w:autoSpaceDE w:val="0"/>
        <w:autoSpaceDN w:val="0"/>
        <w:adjustRightInd w:val="0"/>
        <w:spacing w:line="460" w:lineRule="atLeast"/>
        <w:rPr>
          <w:b/>
          <w:color w:val="000000"/>
          <w:sz w:val="30"/>
          <w:lang w:val="zh-CN"/>
        </w:rPr>
      </w:pPr>
    </w:p>
    <w:p>
      <w:pPr>
        <w:autoSpaceDE w:val="0"/>
        <w:autoSpaceDN w:val="0"/>
        <w:adjustRightInd w:val="0"/>
        <w:spacing w:line="460" w:lineRule="atLeast"/>
        <w:rPr>
          <w:b/>
          <w:color w:val="000000"/>
          <w:sz w:val="30"/>
          <w:lang w:val="zh-CN"/>
        </w:rPr>
      </w:pPr>
    </w:p>
    <w:p>
      <w:pPr>
        <w:autoSpaceDE w:val="0"/>
        <w:autoSpaceDN w:val="0"/>
        <w:adjustRightInd w:val="0"/>
        <w:spacing w:line="460" w:lineRule="atLeast"/>
        <w:rPr>
          <w:b/>
          <w:color w:val="000000"/>
          <w:sz w:val="30"/>
          <w:lang w:val="zh-CN"/>
        </w:rPr>
      </w:pPr>
    </w:p>
    <w:p>
      <w:pPr>
        <w:autoSpaceDE w:val="0"/>
        <w:autoSpaceDN w:val="0"/>
        <w:adjustRightInd w:val="0"/>
        <w:spacing w:line="460" w:lineRule="atLeast"/>
        <w:rPr>
          <w:b/>
          <w:color w:val="000000"/>
          <w:sz w:val="30"/>
          <w:lang w:val="zh-CN"/>
        </w:rPr>
      </w:pPr>
    </w:p>
    <w:p>
      <w:pPr>
        <w:pStyle w:val="56"/>
        <w:rPr>
          <w:color w:val="000000"/>
          <w:lang w:val="zh-CN"/>
        </w:rPr>
      </w:pPr>
    </w:p>
    <w:p>
      <w:pPr>
        <w:rPr>
          <w:color w:val="000000"/>
          <w:lang w:val="zh-CN"/>
        </w:rPr>
      </w:pPr>
    </w:p>
    <w:p>
      <w:pPr>
        <w:pStyle w:val="33"/>
        <w:adjustRightInd w:val="0"/>
        <w:snapToGrid w:val="0"/>
        <w:spacing w:line="440" w:lineRule="atLeast"/>
        <w:rPr>
          <w:rFonts w:hAnsi="宋体"/>
          <w:b/>
          <w:color w:val="000000"/>
          <w:sz w:val="30"/>
        </w:rPr>
        <w:sectPr>
          <w:pgSz w:w="11906" w:h="16838"/>
          <w:pgMar w:top="1440" w:right="1361" w:bottom="1440" w:left="1361" w:header="851" w:footer="992" w:gutter="0"/>
          <w:cols w:space="720" w:num="1"/>
          <w:docGrid w:linePitch="312" w:charSpace="0"/>
        </w:sectPr>
      </w:pPr>
    </w:p>
    <w:p>
      <w:pPr>
        <w:pStyle w:val="33"/>
        <w:adjustRightInd w:val="0"/>
        <w:snapToGrid w:val="0"/>
        <w:spacing w:line="440" w:lineRule="atLeast"/>
        <w:rPr>
          <w:rFonts w:hint="eastAsia" w:hAnsi="宋体"/>
          <w:color w:val="000000"/>
          <w:sz w:val="36"/>
          <w:szCs w:val="36"/>
        </w:rPr>
      </w:pPr>
      <w:r>
        <w:rPr>
          <w:rFonts w:hint="eastAsia" w:hAnsi="宋体"/>
          <w:color w:val="000000"/>
          <w:sz w:val="36"/>
          <w:szCs w:val="36"/>
        </w:rPr>
        <w:t>2.3随机备品备件、专用工具清单</w:t>
      </w:r>
    </w:p>
    <w:p>
      <w:pPr>
        <w:pStyle w:val="33"/>
        <w:adjustRightInd w:val="0"/>
        <w:snapToGrid w:val="0"/>
        <w:spacing w:before="120" w:after="120" w:line="440" w:lineRule="atLeast"/>
        <w:ind w:firstLine="1446" w:firstLineChars="400"/>
        <w:rPr>
          <w:rFonts w:hint="eastAsia" w:hAnsi="宋体"/>
          <w:b/>
          <w:color w:val="000000"/>
          <w:sz w:val="36"/>
          <w:szCs w:val="36"/>
        </w:rPr>
      </w:pPr>
      <w:r>
        <w:rPr>
          <w:rFonts w:hint="eastAsia" w:hAnsi="宋体"/>
          <w:b/>
          <w:color w:val="000000"/>
          <w:sz w:val="36"/>
          <w:szCs w:val="36"/>
        </w:rPr>
        <w:t>随机备品备件、专用工具清单(如有)</w:t>
      </w:r>
    </w:p>
    <w:p>
      <w:pPr>
        <w:pStyle w:val="33"/>
        <w:adjustRightInd w:val="0"/>
        <w:snapToGrid w:val="0"/>
        <w:spacing w:before="120" w:after="120" w:line="440" w:lineRule="atLeast"/>
        <w:ind w:left="734" w:hanging="734"/>
        <w:rPr>
          <w:rFonts w:hint="eastAsia" w:hAnsi="宋体"/>
          <w:b/>
          <w:color w:val="000000"/>
          <w:sz w:val="36"/>
          <w:szCs w:val="36"/>
        </w:rPr>
      </w:pPr>
    </w:p>
    <w:tbl>
      <w:tblPr>
        <w:tblStyle w:val="58"/>
        <w:tblW w:w="0" w:type="auto"/>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800"/>
        <w:gridCol w:w="2220"/>
        <w:gridCol w:w="1155"/>
        <w:gridCol w:w="1785"/>
        <w:gridCol w:w="1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00" w:type="dxa"/>
            <w:vAlign w:val="center"/>
          </w:tcPr>
          <w:p>
            <w:pPr>
              <w:pStyle w:val="33"/>
              <w:adjustRightInd w:val="0"/>
              <w:snapToGrid w:val="0"/>
              <w:spacing w:before="120" w:after="120" w:line="440" w:lineRule="atLeast"/>
              <w:ind w:left="489" w:hanging="489"/>
              <w:jc w:val="center"/>
              <w:rPr>
                <w:rFonts w:hint="eastAsia" w:hAnsi="宋体"/>
                <w:b/>
                <w:color w:val="000000"/>
                <w:sz w:val="24"/>
                <w:szCs w:val="24"/>
              </w:rPr>
            </w:pPr>
            <w:r>
              <w:rPr>
                <w:rFonts w:hint="eastAsia" w:hAnsi="宋体"/>
                <w:b/>
                <w:color w:val="000000"/>
                <w:sz w:val="24"/>
                <w:szCs w:val="24"/>
              </w:rPr>
              <w:t>序 号</w:t>
            </w:r>
          </w:p>
        </w:tc>
        <w:tc>
          <w:tcPr>
            <w:tcW w:w="1800" w:type="dxa"/>
            <w:vAlign w:val="center"/>
          </w:tcPr>
          <w:p>
            <w:pPr>
              <w:pStyle w:val="33"/>
              <w:adjustRightInd w:val="0"/>
              <w:snapToGrid w:val="0"/>
              <w:spacing w:before="120" w:after="120" w:line="440" w:lineRule="atLeast"/>
              <w:ind w:left="489" w:hanging="489"/>
              <w:jc w:val="center"/>
              <w:rPr>
                <w:rFonts w:hint="eastAsia" w:hAnsi="宋体"/>
                <w:b/>
                <w:color w:val="000000"/>
                <w:sz w:val="24"/>
                <w:szCs w:val="24"/>
              </w:rPr>
            </w:pPr>
            <w:r>
              <w:rPr>
                <w:rFonts w:hint="eastAsia" w:hAnsi="宋体"/>
                <w:b/>
                <w:color w:val="000000"/>
                <w:sz w:val="24"/>
                <w:szCs w:val="24"/>
              </w:rPr>
              <w:t>名称</w:t>
            </w:r>
          </w:p>
        </w:tc>
        <w:tc>
          <w:tcPr>
            <w:tcW w:w="2220" w:type="dxa"/>
            <w:vAlign w:val="center"/>
          </w:tcPr>
          <w:p>
            <w:pPr>
              <w:pStyle w:val="33"/>
              <w:adjustRightInd w:val="0"/>
              <w:snapToGrid w:val="0"/>
              <w:spacing w:before="120" w:after="120" w:line="440" w:lineRule="atLeast"/>
              <w:ind w:left="489" w:hanging="489"/>
              <w:jc w:val="center"/>
              <w:rPr>
                <w:rFonts w:hint="eastAsia" w:hAnsi="宋体"/>
                <w:b/>
                <w:color w:val="000000"/>
                <w:sz w:val="24"/>
                <w:szCs w:val="24"/>
              </w:rPr>
            </w:pPr>
            <w:r>
              <w:rPr>
                <w:rFonts w:hint="eastAsia" w:hAnsi="宋体"/>
                <w:b/>
                <w:color w:val="000000"/>
                <w:sz w:val="24"/>
                <w:szCs w:val="24"/>
              </w:rPr>
              <w:t>产地/规格/型号</w:t>
            </w:r>
          </w:p>
        </w:tc>
        <w:tc>
          <w:tcPr>
            <w:tcW w:w="1155" w:type="dxa"/>
            <w:vAlign w:val="center"/>
          </w:tcPr>
          <w:p>
            <w:pPr>
              <w:pStyle w:val="33"/>
              <w:adjustRightInd w:val="0"/>
              <w:snapToGrid w:val="0"/>
              <w:spacing w:before="120" w:after="120" w:line="440" w:lineRule="atLeast"/>
              <w:ind w:left="489" w:hanging="489"/>
              <w:jc w:val="center"/>
              <w:rPr>
                <w:rFonts w:hint="eastAsia" w:hAnsi="宋体"/>
                <w:b/>
                <w:color w:val="000000"/>
                <w:sz w:val="24"/>
                <w:szCs w:val="24"/>
              </w:rPr>
            </w:pPr>
            <w:r>
              <w:rPr>
                <w:rFonts w:hint="eastAsia" w:hAnsi="宋体"/>
                <w:b/>
                <w:color w:val="000000"/>
                <w:sz w:val="24"/>
                <w:szCs w:val="24"/>
              </w:rPr>
              <w:t>数量</w:t>
            </w:r>
          </w:p>
        </w:tc>
        <w:tc>
          <w:tcPr>
            <w:tcW w:w="1785" w:type="dxa"/>
            <w:vAlign w:val="center"/>
          </w:tcPr>
          <w:p>
            <w:pPr>
              <w:pStyle w:val="33"/>
              <w:adjustRightInd w:val="0"/>
              <w:snapToGrid w:val="0"/>
              <w:spacing w:before="120" w:after="120" w:line="440" w:lineRule="atLeast"/>
              <w:ind w:left="489" w:hanging="489"/>
              <w:jc w:val="center"/>
              <w:rPr>
                <w:rFonts w:hint="eastAsia" w:hAnsi="宋体"/>
                <w:b/>
                <w:color w:val="000000"/>
                <w:sz w:val="24"/>
                <w:szCs w:val="24"/>
              </w:rPr>
            </w:pPr>
            <w:r>
              <w:rPr>
                <w:rFonts w:hint="eastAsia" w:hAnsi="宋体"/>
                <w:b/>
                <w:color w:val="000000"/>
                <w:sz w:val="24"/>
                <w:szCs w:val="24"/>
              </w:rPr>
              <w:t>单价</w:t>
            </w:r>
          </w:p>
        </w:tc>
        <w:tc>
          <w:tcPr>
            <w:tcW w:w="1940" w:type="dxa"/>
            <w:vAlign w:val="center"/>
          </w:tcPr>
          <w:p>
            <w:pPr>
              <w:pStyle w:val="33"/>
              <w:adjustRightInd w:val="0"/>
              <w:snapToGrid w:val="0"/>
              <w:spacing w:before="120" w:after="120" w:line="440" w:lineRule="atLeast"/>
              <w:ind w:left="489" w:hanging="489"/>
              <w:jc w:val="center"/>
              <w:rPr>
                <w:rFonts w:hint="eastAsia" w:hAnsi="宋体"/>
                <w:b/>
                <w:color w:val="000000"/>
                <w:sz w:val="24"/>
                <w:szCs w:val="24"/>
              </w:rPr>
            </w:pPr>
            <w:r>
              <w:rPr>
                <w:rFonts w:hint="eastAsia" w:hAnsi="宋体"/>
                <w:b/>
                <w:color w:val="000000"/>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80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2220"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15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785" w:type="dxa"/>
          </w:tcPr>
          <w:p>
            <w:pPr>
              <w:pStyle w:val="33"/>
              <w:adjustRightInd w:val="0"/>
              <w:snapToGrid w:val="0"/>
              <w:spacing w:before="120" w:after="120" w:line="440" w:lineRule="atLeast"/>
              <w:ind w:left="489" w:hanging="489"/>
              <w:rPr>
                <w:rFonts w:hint="eastAsia" w:hAnsi="宋体"/>
                <w:b/>
                <w:color w:val="000000"/>
                <w:sz w:val="24"/>
                <w:szCs w:val="24"/>
              </w:rPr>
            </w:pPr>
          </w:p>
        </w:tc>
        <w:tc>
          <w:tcPr>
            <w:tcW w:w="1940" w:type="dxa"/>
          </w:tcPr>
          <w:p>
            <w:pPr>
              <w:pStyle w:val="33"/>
              <w:adjustRightInd w:val="0"/>
              <w:snapToGrid w:val="0"/>
              <w:spacing w:before="120" w:after="120" w:line="440" w:lineRule="atLeast"/>
              <w:ind w:left="489" w:hanging="489"/>
              <w:rPr>
                <w:rFonts w:hint="eastAsia" w:hAnsi="宋体"/>
                <w:b/>
                <w:color w:val="000000"/>
                <w:sz w:val="24"/>
                <w:szCs w:val="24"/>
              </w:rPr>
            </w:pPr>
          </w:p>
        </w:tc>
      </w:tr>
    </w:tbl>
    <w:p>
      <w:pPr>
        <w:pStyle w:val="33"/>
        <w:adjustRightInd w:val="0"/>
        <w:snapToGrid w:val="0"/>
        <w:spacing w:before="120" w:after="120" w:line="440" w:lineRule="atLeast"/>
        <w:ind w:left="489" w:hanging="489"/>
        <w:rPr>
          <w:rFonts w:hint="eastAsia" w:hAnsi="宋体"/>
          <w:b/>
          <w:color w:val="000000"/>
          <w:sz w:val="24"/>
        </w:rPr>
      </w:pPr>
    </w:p>
    <w:p>
      <w:pPr>
        <w:pStyle w:val="33"/>
        <w:adjustRightInd w:val="0"/>
        <w:snapToGrid w:val="0"/>
        <w:spacing w:before="120" w:after="120" w:line="440" w:lineRule="atLeast"/>
        <w:ind w:left="489" w:hanging="489"/>
        <w:rPr>
          <w:rFonts w:hint="eastAsia" w:hAnsi="宋体"/>
          <w:b/>
          <w:color w:val="000000"/>
          <w:sz w:val="24"/>
        </w:rPr>
      </w:pPr>
      <w:r>
        <w:rPr>
          <w:rFonts w:hint="eastAsia" w:hAnsi="宋体"/>
          <w:b/>
          <w:color w:val="000000"/>
          <w:sz w:val="24"/>
        </w:rPr>
        <w:t xml:space="preserve">供应商全称（盖章）：           </w:t>
      </w:r>
    </w:p>
    <w:p>
      <w:pPr>
        <w:pStyle w:val="33"/>
        <w:spacing w:before="120" w:after="120" w:line="440" w:lineRule="atLeast"/>
        <w:ind w:left="652" w:hanging="652"/>
        <w:rPr>
          <w:rFonts w:hint="eastAsia" w:hAnsi="宋体"/>
          <w:b/>
          <w:color w:val="000000"/>
          <w:sz w:val="32"/>
        </w:rPr>
      </w:pPr>
    </w:p>
    <w:p>
      <w:pPr>
        <w:pStyle w:val="33"/>
        <w:adjustRightInd w:val="0"/>
        <w:snapToGrid w:val="0"/>
        <w:spacing w:line="440" w:lineRule="atLeast"/>
        <w:rPr>
          <w:rFonts w:hAnsi="宋体"/>
          <w:b/>
          <w:color w:val="000000"/>
          <w:sz w:val="36"/>
          <w:szCs w:val="36"/>
        </w:rPr>
      </w:pPr>
      <w:r>
        <w:rPr>
          <w:rFonts w:hint="eastAsia" w:hAnsi="宋体"/>
          <w:color w:val="000000"/>
          <w:sz w:val="36"/>
          <w:szCs w:val="36"/>
        </w:rPr>
        <w:t>2.4</w:t>
      </w:r>
      <w:r>
        <w:rPr>
          <w:rFonts w:hAnsi="宋体"/>
          <w:b/>
          <w:color w:val="000000"/>
          <w:sz w:val="36"/>
          <w:szCs w:val="36"/>
        </w:rPr>
        <w:t>产品零件、易损件、备品备件报价表</w:t>
      </w:r>
    </w:p>
    <w:p>
      <w:pPr>
        <w:pStyle w:val="33"/>
        <w:adjustRightInd w:val="0"/>
        <w:snapToGrid w:val="0"/>
        <w:spacing w:line="400" w:lineRule="exact"/>
        <w:jc w:val="center"/>
        <w:rPr>
          <w:rFonts w:hAnsi="宋体"/>
          <w:b/>
          <w:color w:val="000000"/>
          <w:sz w:val="36"/>
          <w:szCs w:val="36"/>
        </w:rPr>
      </w:pPr>
      <w:r>
        <w:rPr>
          <w:rFonts w:hAnsi="宋体"/>
          <w:b/>
          <w:color w:val="000000"/>
          <w:sz w:val="36"/>
          <w:szCs w:val="36"/>
        </w:rPr>
        <w:t>（参考格式）</w:t>
      </w:r>
    </w:p>
    <w:tbl>
      <w:tblPr>
        <w:tblStyle w:val="58"/>
        <w:tblW w:w="949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737"/>
        <w:gridCol w:w="2171"/>
        <w:gridCol w:w="840"/>
        <w:gridCol w:w="679"/>
        <w:gridCol w:w="1265"/>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85"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序 号</w:t>
            </w:r>
          </w:p>
        </w:tc>
        <w:tc>
          <w:tcPr>
            <w:tcW w:w="1737"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名称</w:t>
            </w:r>
          </w:p>
        </w:tc>
        <w:tc>
          <w:tcPr>
            <w:tcW w:w="2171"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产地/规格/型号</w:t>
            </w:r>
          </w:p>
        </w:tc>
        <w:tc>
          <w:tcPr>
            <w:tcW w:w="840"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数量</w:t>
            </w:r>
          </w:p>
        </w:tc>
        <w:tc>
          <w:tcPr>
            <w:tcW w:w="679"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单位</w:t>
            </w:r>
          </w:p>
        </w:tc>
        <w:tc>
          <w:tcPr>
            <w:tcW w:w="1265"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单价</w:t>
            </w:r>
          </w:p>
        </w:tc>
        <w:tc>
          <w:tcPr>
            <w:tcW w:w="1718" w:type="dxa"/>
            <w:vAlign w:val="center"/>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1</w:t>
            </w: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2</w:t>
            </w: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3</w:t>
            </w: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4</w:t>
            </w: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r>
              <w:rPr>
                <w:rFonts w:hAnsi="宋体" w:cs="长城仿宋"/>
                <w:b/>
                <w:color w:val="000000"/>
                <w:sz w:val="22"/>
                <w:szCs w:val="22"/>
              </w:rPr>
              <w:t>5</w:t>
            </w: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33"/>
              <w:adjustRightInd w:val="0"/>
              <w:snapToGrid w:val="0"/>
              <w:spacing w:line="400" w:lineRule="exact"/>
              <w:jc w:val="center"/>
              <w:rPr>
                <w:rFonts w:hAnsi="宋体" w:cs="长城仿宋"/>
                <w:b/>
                <w:color w:val="000000"/>
                <w:sz w:val="22"/>
                <w:szCs w:val="22"/>
              </w:rPr>
            </w:pPr>
          </w:p>
        </w:tc>
        <w:tc>
          <w:tcPr>
            <w:tcW w:w="1737" w:type="dxa"/>
          </w:tcPr>
          <w:p>
            <w:pPr>
              <w:pStyle w:val="33"/>
              <w:adjustRightInd w:val="0"/>
              <w:snapToGrid w:val="0"/>
              <w:spacing w:line="400" w:lineRule="exact"/>
              <w:jc w:val="center"/>
              <w:rPr>
                <w:rFonts w:hAnsi="宋体" w:cs="长城仿宋"/>
                <w:b/>
                <w:color w:val="000000"/>
                <w:sz w:val="22"/>
                <w:szCs w:val="22"/>
              </w:rPr>
            </w:pPr>
          </w:p>
        </w:tc>
        <w:tc>
          <w:tcPr>
            <w:tcW w:w="2171" w:type="dxa"/>
          </w:tcPr>
          <w:p>
            <w:pPr>
              <w:pStyle w:val="33"/>
              <w:adjustRightInd w:val="0"/>
              <w:snapToGrid w:val="0"/>
              <w:spacing w:line="400" w:lineRule="exact"/>
              <w:jc w:val="center"/>
              <w:rPr>
                <w:rFonts w:hAnsi="宋体" w:cs="长城仿宋"/>
                <w:b/>
                <w:color w:val="000000"/>
                <w:sz w:val="22"/>
                <w:szCs w:val="22"/>
              </w:rPr>
            </w:pPr>
          </w:p>
        </w:tc>
        <w:tc>
          <w:tcPr>
            <w:tcW w:w="840" w:type="dxa"/>
          </w:tcPr>
          <w:p>
            <w:pPr>
              <w:pStyle w:val="33"/>
              <w:adjustRightInd w:val="0"/>
              <w:snapToGrid w:val="0"/>
              <w:spacing w:line="400" w:lineRule="exact"/>
              <w:jc w:val="center"/>
              <w:rPr>
                <w:rFonts w:hAnsi="宋体" w:cs="长城仿宋"/>
                <w:b/>
                <w:color w:val="000000"/>
                <w:sz w:val="22"/>
                <w:szCs w:val="22"/>
              </w:rPr>
            </w:pPr>
          </w:p>
        </w:tc>
        <w:tc>
          <w:tcPr>
            <w:tcW w:w="679" w:type="dxa"/>
          </w:tcPr>
          <w:p>
            <w:pPr>
              <w:pStyle w:val="33"/>
              <w:adjustRightInd w:val="0"/>
              <w:snapToGrid w:val="0"/>
              <w:spacing w:line="400" w:lineRule="exact"/>
              <w:jc w:val="center"/>
              <w:rPr>
                <w:rFonts w:hAnsi="宋体" w:cs="长城仿宋"/>
                <w:b/>
                <w:color w:val="000000"/>
                <w:sz w:val="22"/>
                <w:szCs w:val="22"/>
              </w:rPr>
            </w:pPr>
          </w:p>
        </w:tc>
        <w:tc>
          <w:tcPr>
            <w:tcW w:w="1265" w:type="dxa"/>
          </w:tcPr>
          <w:p>
            <w:pPr>
              <w:pStyle w:val="33"/>
              <w:adjustRightInd w:val="0"/>
              <w:snapToGrid w:val="0"/>
              <w:spacing w:line="400" w:lineRule="exact"/>
              <w:jc w:val="center"/>
              <w:rPr>
                <w:rFonts w:hAnsi="宋体" w:cs="长城仿宋"/>
                <w:b/>
                <w:color w:val="000000"/>
                <w:sz w:val="22"/>
                <w:szCs w:val="22"/>
              </w:rPr>
            </w:pPr>
          </w:p>
        </w:tc>
        <w:tc>
          <w:tcPr>
            <w:tcW w:w="1718" w:type="dxa"/>
          </w:tcPr>
          <w:p>
            <w:pPr>
              <w:pStyle w:val="33"/>
              <w:adjustRightInd w:val="0"/>
              <w:snapToGrid w:val="0"/>
              <w:spacing w:line="400" w:lineRule="exact"/>
              <w:jc w:val="center"/>
              <w:rPr>
                <w:rFonts w:hAnsi="宋体" w:cs="长城仿宋"/>
                <w:b/>
                <w:color w:val="000000"/>
                <w:sz w:val="22"/>
                <w:szCs w:val="22"/>
              </w:rPr>
            </w:pPr>
          </w:p>
        </w:tc>
      </w:tr>
    </w:tbl>
    <w:p>
      <w:pPr>
        <w:pStyle w:val="33"/>
        <w:adjustRightInd w:val="0"/>
        <w:snapToGrid w:val="0"/>
        <w:spacing w:line="400" w:lineRule="exact"/>
        <w:rPr>
          <w:rFonts w:hAnsi="宋体"/>
          <w:b/>
          <w:color w:val="000000"/>
          <w:sz w:val="22"/>
        </w:rPr>
      </w:pPr>
      <w:r>
        <w:rPr>
          <w:rFonts w:hAnsi="宋体"/>
          <w:b/>
          <w:color w:val="000000"/>
          <w:sz w:val="22"/>
        </w:rPr>
        <w:t>投标供应商（盖章）：</w:t>
      </w:r>
      <w:r>
        <w:rPr>
          <w:rFonts w:hAnsi="宋体"/>
          <w:b/>
          <w:color w:val="000000"/>
          <w:sz w:val="22"/>
          <w:u w:val="single"/>
        </w:rPr>
        <w:t xml:space="preserve">            </w:t>
      </w:r>
    </w:p>
    <w:p>
      <w:pPr>
        <w:pStyle w:val="33"/>
        <w:adjustRightInd w:val="0"/>
        <w:snapToGrid w:val="0"/>
        <w:spacing w:line="440" w:lineRule="atLeast"/>
        <w:rPr>
          <w:rFonts w:hint="eastAsia" w:hAnsi="宋体"/>
          <w:color w:val="000000"/>
          <w:sz w:val="30"/>
        </w:rPr>
      </w:pPr>
    </w:p>
    <w:p>
      <w:pPr>
        <w:pageBreakBefore/>
        <w:shd w:val="clear" w:color="auto" w:fill="FFFFFF"/>
        <w:snapToGrid w:val="0"/>
        <w:spacing w:line="360" w:lineRule="auto"/>
        <w:jc w:val="center"/>
        <w:outlineLvl w:val="2"/>
        <w:rPr>
          <w:rFonts w:hint="eastAsia"/>
          <w:color w:val="000000"/>
          <w:sz w:val="36"/>
          <w:szCs w:val="36"/>
        </w:rPr>
      </w:pPr>
      <w:r>
        <w:rPr>
          <w:rFonts w:hint="eastAsia"/>
          <w:color w:val="000000"/>
          <w:sz w:val="36"/>
          <w:szCs w:val="36"/>
        </w:rPr>
        <w:t>2.5中小企业声明函、监狱企业、残疾人福利性单位及其他相关的充分的证明材料</w:t>
      </w:r>
    </w:p>
    <w:p>
      <w:pPr>
        <w:snapToGrid w:val="0"/>
        <w:spacing w:line="360" w:lineRule="auto"/>
        <w:jc w:val="center"/>
        <w:rPr>
          <w:rFonts w:hint="eastAsia"/>
          <w:color w:val="000000"/>
          <w:sz w:val="28"/>
          <w:szCs w:val="28"/>
        </w:rPr>
      </w:pPr>
      <w:r>
        <w:rPr>
          <w:rFonts w:hint="eastAsia"/>
          <w:b/>
          <w:color w:val="000000"/>
          <w:sz w:val="28"/>
          <w:szCs w:val="28"/>
        </w:rPr>
        <w:t>中小企业声明函及其相关的充分的证明材料</w:t>
      </w:r>
    </w:p>
    <w:p>
      <w:pPr>
        <w:snapToGrid w:val="0"/>
        <w:spacing w:line="440" w:lineRule="atLeast"/>
        <w:jc w:val="center"/>
        <w:rPr>
          <w:rFonts w:hint="eastAsia"/>
          <w:color w:val="000000"/>
          <w:sz w:val="22"/>
        </w:rPr>
      </w:pPr>
      <w:r>
        <w:rPr>
          <w:color w:val="000000"/>
          <w:sz w:val="22"/>
        </w:rPr>
        <w:t>中小企业声明函（货物）</w:t>
      </w:r>
    </w:p>
    <w:p>
      <w:pPr>
        <w:snapToGrid w:val="0"/>
        <w:spacing w:line="440" w:lineRule="atLeast"/>
        <w:ind w:firstLine="440" w:firstLineChars="200"/>
        <w:rPr>
          <w:rFonts w:hint="eastAsia"/>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rFonts w:hint="eastAsia"/>
          <w:b/>
          <w:bCs/>
          <w:color w:val="000000"/>
          <w:sz w:val="22"/>
          <w:u w:val="single"/>
        </w:rPr>
        <w:t>工业（包括采矿业，制造业，电力、热力、燃气及水生产和供应业）</w:t>
      </w:r>
      <w:r>
        <w:rPr>
          <w:color w:val="000000"/>
          <w:sz w:val="22"/>
        </w:rPr>
        <w:t>；制造商为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rFonts w:hint="eastAsia"/>
          <w:color w:val="000000"/>
          <w:sz w:val="22"/>
        </w:rPr>
      </w:pPr>
      <w:r>
        <w:rPr>
          <w:color w:val="000000"/>
          <w:sz w:val="22"/>
        </w:rPr>
        <w:t xml:space="preserve">企业名称（盖章）： </w:t>
      </w:r>
    </w:p>
    <w:p>
      <w:pPr>
        <w:snapToGrid w:val="0"/>
        <w:spacing w:line="440" w:lineRule="atLeast"/>
        <w:ind w:firstLine="3740" w:firstLineChars="1700"/>
        <w:rPr>
          <w:rFonts w:hint="eastAsia"/>
          <w:color w:val="000000"/>
          <w:sz w:val="22"/>
        </w:rPr>
      </w:pPr>
      <w:r>
        <w:rPr>
          <w:color w:val="000000"/>
          <w:sz w:val="22"/>
        </w:rPr>
        <w:t>日 期：</w:t>
      </w:r>
    </w:p>
    <w:p>
      <w:pPr>
        <w:pBdr>
          <w:bottom w:val="single" w:color="auto" w:sz="6" w:space="1"/>
        </w:pBdr>
        <w:snapToGrid w:val="0"/>
        <w:spacing w:line="360" w:lineRule="auto"/>
        <w:ind w:firstLine="464" w:firstLineChars="200"/>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 </w:t>
      </w:r>
      <w:r>
        <w:rPr>
          <w:color w:val="000000"/>
          <w:sz w:val="22"/>
        </w:rPr>
        <w:t>   </w:t>
      </w:r>
    </w:p>
    <w:p>
      <w:pPr>
        <w:snapToGrid w:val="0"/>
        <w:spacing w:line="360" w:lineRule="auto"/>
        <w:ind w:firstLine="440" w:firstLineChars="200"/>
        <w:rPr>
          <w:rFonts w:hint="eastAsia"/>
          <w:color w:val="000000"/>
          <w:sz w:val="22"/>
          <w:szCs w:val="22"/>
        </w:rPr>
      </w:pPr>
      <w:r>
        <w:rPr>
          <w:rFonts w:hint="eastAsia"/>
          <w:color w:val="000000"/>
          <w:sz w:val="22"/>
          <w:szCs w:val="22"/>
        </w:rPr>
        <w:t>填写说明：</w:t>
      </w:r>
    </w:p>
    <w:p>
      <w:pPr>
        <w:snapToGrid w:val="0"/>
        <w:spacing w:line="360" w:lineRule="auto"/>
        <w:ind w:firstLine="440" w:firstLineChars="200"/>
        <w:rPr>
          <w:rFonts w:hint="eastAsia"/>
          <w:color w:val="000000"/>
          <w:sz w:val="22"/>
          <w:szCs w:val="22"/>
        </w:rPr>
      </w:pPr>
      <w:r>
        <w:rPr>
          <w:rFonts w:hint="eastAsia"/>
          <w:color w:val="000000"/>
          <w:sz w:val="22"/>
          <w:szCs w:val="22"/>
        </w:rPr>
        <w:t>1）投标人所提供的产品为中型、小型、微型企业的提供此函；</w:t>
      </w:r>
    </w:p>
    <w:p>
      <w:pPr>
        <w:snapToGrid w:val="0"/>
        <w:spacing w:line="360" w:lineRule="auto"/>
        <w:ind w:firstLine="440" w:firstLineChars="200"/>
        <w:rPr>
          <w:rFonts w:hint="eastAsia"/>
          <w:color w:val="000000"/>
          <w:sz w:val="22"/>
          <w:szCs w:val="22"/>
        </w:rPr>
      </w:pPr>
      <w:r>
        <w:rPr>
          <w:rFonts w:hint="eastAsia"/>
          <w:color w:val="000000"/>
          <w:sz w:val="22"/>
          <w:szCs w:val="22"/>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40" w:firstLineChars="200"/>
        <w:rPr>
          <w:rFonts w:hint="eastAsia"/>
          <w:b/>
          <w:color w:val="000000"/>
          <w:sz w:val="22"/>
          <w:szCs w:val="22"/>
        </w:rPr>
      </w:pPr>
      <w:r>
        <w:rPr>
          <w:rFonts w:hint="eastAsia"/>
          <w:color w:val="000000"/>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rFonts w:hint="eastAsia"/>
          <w:b/>
          <w:bCs/>
          <w:color w:val="000000"/>
          <w:sz w:val="22"/>
          <w:szCs w:val="22"/>
        </w:rPr>
      </w:pPr>
      <w:r>
        <w:rPr>
          <w:rFonts w:hint="eastAsia"/>
          <w:b/>
          <w:bCs/>
          <w:color w:val="000000"/>
          <w:sz w:val="22"/>
          <w:szCs w:val="22"/>
        </w:rPr>
        <w:t>▲投标人提供的中小企业声明函与实际情况不符的，视为投标人提供虚假材料投标的，投标无效。</w:t>
      </w:r>
    </w:p>
    <w:p>
      <w:pPr>
        <w:snapToGrid w:val="0"/>
        <w:spacing w:line="360" w:lineRule="auto"/>
        <w:jc w:val="center"/>
        <w:rPr>
          <w:rFonts w:hint="eastAsia"/>
          <w:b/>
          <w:color w:val="000000"/>
        </w:rPr>
      </w:pPr>
      <w:r>
        <w:rPr>
          <w:rFonts w:hint="eastAsia"/>
          <w:b/>
          <w:color w:val="000000"/>
        </w:rPr>
        <w:t>监狱企业声明函</w:t>
      </w:r>
    </w:p>
    <w:p>
      <w:pPr>
        <w:snapToGrid w:val="0"/>
        <w:spacing w:line="360" w:lineRule="auto"/>
        <w:ind w:firstLine="480" w:firstLineChars="200"/>
        <w:jc w:val="center"/>
        <w:rPr>
          <w:rFonts w:hint="eastAsia"/>
          <w:color w:val="000000"/>
        </w:rPr>
      </w:pPr>
      <w:r>
        <w:rPr>
          <w:rFonts w:hint="eastAsia"/>
          <w:color w:val="000000"/>
        </w:rPr>
        <w:t>【不属于监狱企业的无需填写、递交】</w:t>
      </w:r>
    </w:p>
    <w:p>
      <w:pPr>
        <w:snapToGrid w:val="0"/>
        <w:spacing w:line="360" w:lineRule="auto"/>
        <w:ind w:firstLine="480" w:firstLineChars="200"/>
        <w:rPr>
          <w:rFonts w:hint="eastAsia"/>
          <w:color w:val="000000"/>
        </w:rPr>
      </w:pPr>
      <w:r>
        <w:rPr>
          <w:rFonts w:hint="eastAsia"/>
          <w:color w:val="000000"/>
        </w:rPr>
        <w:t>本公司郑重声明，根据《关于政府采购支持监狱企业发展有关问题的通知》 （财库[2014]68 号）的规定，本公司为</w:t>
      </w:r>
      <w:r>
        <w:rPr>
          <w:rFonts w:hint="eastAsia"/>
          <w:color w:val="000000"/>
          <w:u w:val="single"/>
        </w:rPr>
        <w:t>监狱企业</w:t>
      </w:r>
      <w:r>
        <w:rPr>
          <w:rFonts w:hint="eastAsia"/>
          <w:color w:val="000000"/>
        </w:rPr>
        <w:t>。</w:t>
      </w:r>
    </w:p>
    <w:p>
      <w:pPr>
        <w:snapToGrid w:val="0"/>
        <w:spacing w:line="360" w:lineRule="auto"/>
        <w:ind w:firstLine="480" w:firstLineChars="200"/>
        <w:rPr>
          <w:rFonts w:hint="eastAsia"/>
          <w:color w:val="000000"/>
        </w:rPr>
      </w:pPr>
      <w:r>
        <w:rPr>
          <w:rFonts w:hint="eastAsia"/>
          <w:color w:val="000000"/>
        </w:rPr>
        <w:t>根据上述标准，我公司属于监狱企业的理由为：</w:t>
      </w:r>
      <w:r>
        <w:rPr>
          <w:rFonts w:hint="eastAsia"/>
          <w:color w:val="000000"/>
          <w:u w:val="single"/>
        </w:rPr>
        <w:t xml:space="preserve">         </w:t>
      </w:r>
      <w:r>
        <w:rPr>
          <w:rFonts w:hint="eastAsia"/>
          <w:color w:val="000000"/>
        </w:rPr>
        <w:t>。</w:t>
      </w:r>
    </w:p>
    <w:p>
      <w:pPr>
        <w:snapToGrid w:val="0"/>
        <w:spacing w:line="360" w:lineRule="auto"/>
        <w:ind w:firstLine="480" w:firstLineChars="200"/>
        <w:rPr>
          <w:rFonts w:hint="eastAsia"/>
          <w:color w:val="000000"/>
        </w:rPr>
      </w:pPr>
      <w:r>
        <w:rPr>
          <w:rFonts w:hint="eastAsia"/>
          <w:color w:val="000000"/>
        </w:rPr>
        <w:t>本公司为参加（</w:t>
      </w:r>
      <w:r>
        <w:rPr>
          <w:rFonts w:hint="eastAsia"/>
          <w:color w:val="000000"/>
          <w:u w:val="single"/>
        </w:rPr>
        <w:t xml:space="preserve">    项目名称    </w:t>
      </w:r>
      <w:r>
        <w:rPr>
          <w:rFonts w:hint="eastAsia"/>
          <w:color w:val="000000"/>
        </w:rPr>
        <w:t>） （项目编号：</w:t>
      </w:r>
      <w:r>
        <w:rPr>
          <w:rFonts w:hint="eastAsia"/>
          <w:color w:val="000000"/>
          <w:u w:val="single"/>
        </w:rPr>
        <w:t xml:space="preserve">      </w:t>
      </w:r>
      <w:r>
        <w:rPr>
          <w:rFonts w:hint="eastAsia"/>
          <w:color w:val="000000"/>
        </w:rPr>
        <w:t>）采购活动提供本企业提供服务。</w:t>
      </w:r>
    </w:p>
    <w:p>
      <w:pPr>
        <w:snapToGrid w:val="0"/>
        <w:spacing w:line="360" w:lineRule="auto"/>
        <w:ind w:firstLine="480" w:firstLineChars="200"/>
        <w:rPr>
          <w:rFonts w:hint="eastAsia"/>
          <w:color w:val="000000"/>
        </w:rPr>
      </w:pPr>
      <w:r>
        <w:rPr>
          <w:rFonts w:hint="eastAsia"/>
          <w:color w:val="000000"/>
        </w:rPr>
        <w:t>本公司对上述声明的真实性负责。如有虚假，将依法承担相应责任。</w:t>
      </w: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r>
        <w:rPr>
          <w:rFonts w:hint="eastAsia"/>
          <w:color w:val="000000"/>
        </w:rPr>
        <w:t>投标人名称（盖章）：</w:t>
      </w:r>
    </w:p>
    <w:p>
      <w:pPr>
        <w:snapToGrid w:val="0"/>
        <w:spacing w:line="360" w:lineRule="auto"/>
        <w:ind w:firstLine="480" w:firstLineChars="200"/>
        <w:rPr>
          <w:rFonts w:hint="eastAsia"/>
          <w:color w:val="000000"/>
        </w:rPr>
      </w:pPr>
      <w:r>
        <w:rPr>
          <w:rFonts w:hint="eastAsia"/>
          <w:color w:val="000000"/>
        </w:rPr>
        <w:t>日期：    年  月  日</w:t>
      </w: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p>
    <w:p>
      <w:pPr>
        <w:snapToGrid w:val="0"/>
        <w:spacing w:line="360" w:lineRule="auto"/>
        <w:rPr>
          <w:rFonts w:hint="eastAsia"/>
          <w:b/>
          <w:color w:val="000000"/>
          <w:spacing w:val="6"/>
        </w:rPr>
      </w:pPr>
    </w:p>
    <w:p>
      <w:pPr>
        <w:snapToGrid w:val="0"/>
        <w:spacing w:line="360" w:lineRule="auto"/>
        <w:rPr>
          <w:rFonts w:hint="eastAsia"/>
          <w:b/>
          <w:color w:val="000000"/>
          <w:spacing w:val="6"/>
        </w:rPr>
      </w:pPr>
    </w:p>
    <w:p>
      <w:pPr>
        <w:snapToGrid w:val="0"/>
        <w:spacing w:line="360" w:lineRule="auto"/>
        <w:jc w:val="center"/>
        <w:rPr>
          <w:rFonts w:hint="eastAsia"/>
          <w:b/>
          <w:color w:val="000000"/>
          <w:spacing w:val="6"/>
        </w:rPr>
      </w:pPr>
    </w:p>
    <w:p>
      <w:pPr>
        <w:snapToGrid w:val="0"/>
        <w:spacing w:line="360" w:lineRule="auto"/>
        <w:jc w:val="center"/>
        <w:rPr>
          <w:rFonts w:hint="eastAsia"/>
          <w:b/>
          <w:color w:val="000000"/>
          <w:spacing w:val="6"/>
        </w:rPr>
      </w:pPr>
    </w:p>
    <w:p>
      <w:pPr>
        <w:pageBreakBefore/>
        <w:snapToGrid w:val="0"/>
        <w:spacing w:line="360" w:lineRule="auto"/>
        <w:jc w:val="center"/>
        <w:rPr>
          <w:rFonts w:hint="eastAsia"/>
          <w:b/>
          <w:color w:val="000000"/>
          <w:spacing w:val="6"/>
        </w:rPr>
      </w:pPr>
      <w:r>
        <w:rPr>
          <w:rFonts w:hint="eastAsia"/>
          <w:b/>
          <w:color w:val="000000"/>
          <w:spacing w:val="6"/>
        </w:rPr>
        <w:t>残疾人福利性单位声明函</w:t>
      </w:r>
    </w:p>
    <w:p>
      <w:pPr>
        <w:snapToGrid w:val="0"/>
        <w:spacing w:line="360" w:lineRule="auto"/>
        <w:ind w:firstLine="480" w:firstLineChars="200"/>
        <w:rPr>
          <w:rFonts w:hint="eastAsia"/>
          <w:color w:val="000000"/>
        </w:rPr>
      </w:pPr>
      <w:r>
        <w:rPr>
          <w:rFonts w:hint="eastAsia"/>
          <w:color w:val="00000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80" w:firstLineChars="200"/>
        <w:rPr>
          <w:rFonts w:hint="eastAsia"/>
          <w:color w:val="000000"/>
        </w:rPr>
      </w:pPr>
      <w:r>
        <w:rPr>
          <w:rFonts w:hint="eastAsia"/>
          <w:color w:val="000000"/>
        </w:rPr>
        <w:t>本单位对上述声明的真实性负责。如有虚假，将依法承担相应责任。</w:t>
      </w:r>
    </w:p>
    <w:p>
      <w:pPr>
        <w:snapToGrid w:val="0"/>
        <w:spacing w:line="360" w:lineRule="auto"/>
        <w:ind w:firstLine="480" w:firstLineChars="200"/>
        <w:rPr>
          <w:rFonts w:hint="eastAsia"/>
          <w:color w:val="000000"/>
        </w:rPr>
      </w:pPr>
    </w:p>
    <w:p>
      <w:pPr>
        <w:snapToGrid w:val="0"/>
        <w:spacing w:line="360" w:lineRule="auto"/>
        <w:ind w:firstLine="480" w:firstLineChars="200"/>
        <w:rPr>
          <w:rFonts w:hint="eastAsia"/>
          <w:color w:val="000000"/>
        </w:rPr>
      </w:pPr>
    </w:p>
    <w:p>
      <w:pPr>
        <w:tabs>
          <w:tab w:val="left" w:pos="4860"/>
        </w:tabs>
        <w:snapToGrid w:val="0"/>
        <w:spacing w:line="360" w:lineRule="auto"/>
        <w:ind w:right="1560" w:firstLine="480" w:firstLineChars="200"/>
        <w:rPr>
          <w:rFonts w:hint="eastAsia"/>
          <w:color w:val="000000"/>
        </w:rPr>
      </w:pPr>
      <w:r>
        <w:rPr>
          <w:rFonts w:hint="eastAsia"/>
          <w:color w:val="000000"/>
        </w:rPr>
        <w:t xml:space="preserve">       单位名称（盖章）：</w:t>
      </w:r>
    </w:p>
    <w:p>
      <w:pPr>
        <w:tabs>
          <w:tab w:val="left" w:pos="4860"/>
        </w:tabs>
        <w:snapToGrid w:val="0"/>
        <w:spacing w:line="360" w:lineRule="auto"/>
        <w:ind w:right="1560" w:firstLine="480" w:firstLineChars="200"/>
        <w:rPr>
          <w:rFonts w:hint="eastAsia"/>
          <w:color w:val="000000"/>
        </w:rPr>
      </w:pPr>
      <w:r>
        <w:rPr>
          <w:rFonts w:hint="eastAsia"/>
          <w:color w:val="000000"/>
        </w:rPr>
        <w:t xml:space="preserve">       日  期：</w:t>
      </w:r>
    </w:p>
    <w:p>
      <w:pPr>
        <w:pStyle w:val="552"/>
        <w:snapToGrid w:val="0"/>
        <w:spacing w:line="360" w:lineRule="auto"/>
        <w:ind w:left="360" w:firstLine="0" w:firstLineChars="0"/>
        <w:rPr>
          <w:rFonts w:hint="eastAsia" w:cs="宋体"/>
          <w:color w:val="000000"/>
        </w:rPr>
      </w:pPr>
      <w:r>
        <w:rPr>
          <w:rFonts w:hint="eastAsia" w:cs="宋体"/>
          <w:color w:val="000000"/>
        </w:rPr>
        <w:t>扶持政策说明：</w:t>
      </w:r>
    </w:p>
    <w:p>
      <w:pPr>
        <w:pStyle w:val="552"/>
        <w:snapToGrid w:val="0"/>
        <w:spacing w:line="360" w:lineRule="auto"/>
        <w:ind w:firstLine="480"/>
        <w:rPr>
          <w:rFonts w:hint="eastAsia" w:cs="宋体"/>
          <w:color w:val="000000"/>
        </w:rPr>
      </w:pPr>
      <w:r>
        <w:rPr>
          <w:rFonts w:hint="eastAsia" w:cs="宋体"/>
          <w:color w:val="000000"/>
        </w:rPr>
        <w:t>1、</w:t>
      </w:r>
      <w:r>
        <w:rPr>
          <w:rFonts w:hint="eastAsia"/>
          <w:color w:val="000000"/>
          <w:sz w:val="22"/>
        </w:rPr>
        <w:t>根据浙江省财政厅关于进一步加大政府采购支持中小企业力度助力扎实稳住经济的通知(浙财采监〔2022〕3号)</w:t>
      </w:r>
      <w:r>
        <w:rPr>
          <w:rFonts w:hint="eastAsia" w:cs="宋体"/>
          <w:color w:val="000000"/>
        </w:rPr>
        <w:t>，对小型或微型企业的投标报价给予</w:t>
      </w:r>
      <w:r>
        <w:rPr>
          <w:rFonts w:hint="eastAsia" w:cs="宋体"/>
          <w:color w:val="000000"/>
          <w:u w:val="single"/>
        </w:rPr>
        <w:t>10%</w:t>
      </w:r>
      <w:r>
        <w:rPr>
          <w:rFonts w:hint="eastAsia" w:cs="宋体"/>
          <w:color w:val="000000"/>
        </w:rPr>
        <w:t>的扣除，并用扣除后的价格计算价格评分。</w:t>
      </w:r>
    </w:p>
    <w:p>
      <w:pPr>
        <w:snapToGrid w:val="0"/>
        <w:spacing w:line="360" w:lineRule="auto"/>
        <w:ind w:firstLine="240" w:firstLineChars="100"/>
        <w:rPr>
          <w:rFonts w:hint="eastAsia"/>
          <w:color w:val="000000"/>
        </w:rPr>
      </w:pPr>
      <w:r>
        <w:rPr>
          <w:rFonts w:hint="eastAsia"/>
          <w:color w:val="000000"/>
        </w:rPr>
        <w:t>2、监狱企业视同小微企业，参加本项目投标的，享受小微企业同等的价格扣除。【注：提供《监狱企业声明函》及其相关的充分的证明材料】。</w:t>
      </w:r>
    </w:p>
    <w:p>
      <w:pPr>
        <w:pStyle w:val="552"/>
        <w:snapToGrid w:val="0"/>
        <w:spacing w:line="360" w:lineRule="auto"/>
        <w:ind w:firstLine="240" w:firstLineChars="100"/>
        <w:rPr>
          <w:rFonts w:hint="eastAsia" w:cs="宋体"/>
          <w:color w:val="000000"/>
        </w:rPr>
      </w:pPr>
      <w:r>
        <w:rPr>
          <w:rFonts w:hint="eastAsia" w:cs="宋体"/>
          <w:color w:val="000000"/>
        </w:rPr>
        <w:t>3、残疾人福利性单位参加投标【提供《残疾人福利性单位声明函》】，视为小型、微型企业，享受小微企业政策扶持。</w:t>
      </w:r>
    </w:p>
    <w:p>
      <w:pPr>
        <w:pStyle w:val="33"/>
        <w:adjustRightInd w:val="0"/>
        <w:snapToGrid w:val="0"/>
        <w:spacing w:line="500" w:lineRule="exact"/>
        <w:rPr>
          <w:rFonts w:hint="eastAsia" w:hAnsi="宋体"/>
          <w:color w:val="000000"/>
          <w:sz w:val="30"/>
        </w:rPr>
      </w:pPr>
    </w:p>
    <w:p>
      <w:pPr>
        <w:pStyle w:val="33"/>
        <w:adjustRightInd w:val="0"/>
        <w:snapToGrid w:val="0"/>
        <w:spacing w:line="500" w:lineRule="exact"/>
        <w:rPr>
          <w:rFonts w:hint="eastAsia" w:hAnsi="宋体"/>
          <w:color w:val="000000"/>
          <w:sz w:val="30"/>
        </w:rPr>
      </w:pPr>
    </w:p>
    <w:p>
      <w:pPr>
        <w:pStyle w:val="33"/>
        <w:adjustRightInd w:val="0"/>
        <w:snapToGrid w:val="0"/>
        <w:spacing w:line="500" w:lineRule="exact"/>
        <w:rPr>
          <w:rFonts w:hint="eastAsia" w:hAnsi="宋体"/>
          <w:color w:val="000000"/>
          <w:sz w:val="30"/>
        </w:rPr>
      </w:pPr>
    </w:p>
    <w:p>
      <w:pPr>
        <w:pStyle w:val="33"/>
        <w:adjustRightInd w:val="0"/>
        <w:snapToGrid w:val="0"/>
        <w:spacing w:line="500" w:lineRule="exact"/>
        <w:rPr>
          <w:rFonts w:hint="eastAsia" w:hAnsi="宋体"/>
          <w:color w:val="000000"/>
          <w:sz w:val="30"/>
        </w:rPr>
      </w:pPr>
    </w:p>
    <w:p>
      <w:pPr>
        <w:pStyle w:val="33"/>
        <w:adjustRightInd w:val="0"/>
        <w:snapToGrid w:val="0"/>
        <w:spacing w:line="500" w:lineRule="exact"/>
        <w:rPr>
          <w:rFonts w:hint="eastAsia" w:hAnsi="宋体"/>
          <w:color w:val="000000"/>
          <w:sz w:val="30"/>
        </w:rPr>
      </w:pPr>
    </w:p>
    <w:p>
      <w:pPr>
        <w:pStyle w:val="33"/>
        <w:adjustRightInd w:val="0"/>
        <w:snapToGrid w:val="0"/>
        <w:spacing w:line="500" w:lineRule="exact"/>
        <w:rPr>
          <w:rFonts w:hint="eastAsia" w:hAnsi="宋体"/>
          <w:color w:val="000000"/>
          <w:sz w:val="30"/>
        </w:rPr>
      </w:pPr>
    </w:p>
    <w:p>
      <w:pPr>
        <w:pStyle w:val="6"/>
        <w:rPr>
          <w:color w:val="000000"/>
        </w:rPr>
      </w:pPr>
      <w:bookmarkStart w:id="15" w:name="_Toc24550050"/>
      <w:bookmarkStart w:id="16" w:name="_Toc30408915"/>
      <w:bookmarkStart w:id="17" w:name="_Toc8008423"/>
      <w:bookmarkStart w:id="18" w:name="_Toc440162800"/>
      <w:bookmarkStart w:id="19" w:name="_Toc7988468"/>
      <w:bookmarkStart w:id="20" w:name="_Toc7988414"/>
      <w:bookmarkStart w:id="21" w:name="_Toc424164168"/>
      <w:r>
        <w:rPr>
          <w:rFonts w:hint="eastAsia"/>
          <w:color w:val="000000"/>
        </w:rPr>
        <w:t>三、“商务技术文件</w:t>
      </w:r>
      <w:r>
        <w:rPr>
          <w:color w:val="000000"/>
        </w:rPr>
        <w:t>”</w:t>
      </w:r>
      <w:r>
        <w:rPr>
          <w:rFonts w:hint="eastAsia"/>
          <w:color w:val="000000"/>
        </w:rPr>
        <w:t>格式</w:t>
      </w:r>
      <w:bookmarkEnd w:id="15"/>
      <w:bookmarkEnd w:id="16"/>
      <w:bookmarkEnd w:id="17"/>
      <w:bookmarkEnd w:id="18"/>
      <w:bookmarkEnd w:id="19"/>
      <w:bookmarkEnd w:id="20"/>
      <w:bookmarkEnd w:id="21"/>
    </w:p>
    <w:p>
      <w:pPr>
        <w:pStyle w:val="7"/>
        <w:rPr>
          <w:color w:val="000000"/>
        </w:rPr>
      </w:pPr>
      <w:r>
        <w:rPr>
          <w:rFonts w:hint="eastAsia"/>
          <w:color w:val="000000"/>
        </w:rPr>
        <w:t>3.1 “商务技术文件”封面</w:t>
      </w:r>
    </w:p>
    <w:p>
      <w:pPr>
        <w:spacing w:line="360" w:lineRule="auto"/>
        <w:jc w:val="right"/>
        <w:rPr>
          <w:rFonts w:ascii="Arial" w:hAnsi="Arial" w:eastAsia="新宋体" w:cs="Arial"/>
          <w:b/>
          <w:color w:val="000000"/>
          <w:sz w:val="32"/>
          <w:szCs w:val="22"/>
        </w:rPr>
      </w:pPr>
    </w:p>
    <w:p>
      <w:pPr>
        <w:spacing w:line="276" w:lineRule="auto"/>
        <w:jc w:val="center"/>
        <w:rPr>
          <w:rFonts w:hint="eastAsia" w:ascii="华文中宋" w:hAnsi="华文中宋" w:eastAsia="华文中宋" w:cs="Arial"/>
          <w:b/>
          <w:color w:val="000000"/>
          <w:w w:val="90"/>
          <w:sz w:val="220"/>
          <w:szCs w:val="22"/>
          <w:lang w:eastAsia="zh-CN"/>
        </w:rPr>
      </w:pPr>
      <w:r>
        <w:rPr>
          <w:rFonts w:hint="eastAsia" w:ascii="华文中宋" w:hAnsi="华文中宋" w:eastAsia="华文中宋" w:cs="Arial"/>
          <w:b/>
          <w:color w:val="000000"/>
          <w:w w:val="90"/>
          <w:sz w:val="44"/>
          <w:szCs w:val="22"/>
          <w:lang w:eastAsia="zh-CN"/>
        </w:rPr>
        <w:t>海洋牧歌田园综合体―数字南麂设备采购项目</w:t>
      </w: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投 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件</w:t>
      </w:r>
    </w:p>
    <w:p>
      <w:pPr>
        <w:spacing w:line="360" w:lineRule="auto"/>
        <w:jc w:val="center"/>
        <w:rPr>
          <w:rFonts w:hint="eastAsia" w:ascii="华文中宋" w:hAnsi="华文中宋" w:eastAsia="华文中宋" w:cs="Arial"/>
          <w:b/>
          <w:color w:val="000000"/>
          <w:sz w:val="52"/>
          <w:szCs w:val="22"/>
        </w:rPr>
      </w:pPr>
      <w:r>
        <w:rPr>
          <w:rFonts w:hint="eastAsia" w:ascii="华文中宋" w:hAnsi="华文中宋" w:eastAsia="华文中宋" w:cs="Arial"/>
          <w:b/>
          <w:color w:val="000000"/>
          <w:sz w:val="52"/>
          <w:szCs w:val="22"/>
        </w:rPr>
        <w:t>（商务技术文件）</w:t>
      </w:r>
    </w:p>
    <w:p>
      <w:pPr>
        <w:spacing w:line="360" w:lineRule="auto"/>
        <w:jc w:val="center"/>
        <w:rPr>
          <w:rFonts w:hint="eastAsia" w:ascii="华文中宋" w:hAnsi="华文中宋" w:eastAsia="华文中宋" w:cs="Arial"/>
          <w:b/>
          <w:color w:val="000000"/>
          <w:sz w:val="52"/>
          <w:szCs w:val="22"/>
        </w:rPr>
      </w:pPr>
    </w:p>
    <w:tbl>
      <w:tblPr>
        <w:tblStyle w:val="5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sz w:val="28"/>
                <w:szCs w:val="28"/>
              </w:rPr>
            </w:pPr>
            <w:r>
              <w:rPr>
                <w:rFonts w:hint="eastAsia" w:ascii="仿宋" w:hAnsi="仿宋" w:eastAsia="仿宋"/>
                <w:b/>
                <w:color w:val="000000"/>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供应商名称（盖章）：</w:t>
            </w:r>
            <w:r>
              <w:rPr>
                <w:rFonts w:ascii="仿宋" w:hAnsi="仿宋" w:eastAsia="仿宋" w:cs="Arial"/>
                <w:b/>
                <w:color w:val="000000"/>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供应商地址：</w:t>
            </w:r>
            <w:r>
              <w:rPr>
                <w:rFonts w:ascii="仿宋" w:hAnsi="仿宋" w:eastAsia="仿宋" w:cs="Arial"/>
                <w:b/>
                <w:color w:val="000000"/>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hint="eastAsia" w:ascii="仿宋" w:hAnsi="仿宋" w:eastAsia="仿宋"/>
                <w:color w:val="000000"/>
                <w:sz w:val="28"/>
                <w:szCs w:val="28"/>
              </w:rPr>
            </w:pPr>
          </w:p>
        </w:tc>
      </w:tr>
    </w:tbl>
    <w:p>
      <w:pPr>
        <w:rPr>
          <w:rFonts w:hint="eastAsia"/>
          <w:color w:val="000000"/>
        </w:rPr>
      </w:pPr>
    </w:p>
    <w:p>
      <w:pPr>
        <w:pStyle w:val="7"/>
        <w:rPr>
          <w:color w:val="000000"/>
        </w:rPr>
      </w:pPr>
      <w:r>
        <w:rPr>
          <w:color w:val="000000"/>
        </w:rPr>
        <w:br w:type="page"/>
      </w:r>
      <w:r>
        <w:rPr>
          <w:rFonts w:hint="eastAsia"/>
          <w:color w:val="000000"/>
        </w:rPr>
        <w:t>3.2供应商自评分指引表</w:t>
      </w:r>
    </w:p>
    <w:tbl>
      <w:tblPr>
        <w:tblStyle w:val="58"/>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r>
              <w:rPr>
                <w:color w:val="000000"/>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000000"/>
                <w:sz w:val="22"/>
              </w:rPr>
            </w:pPr>
          </w:p>
        </w:tc>
      </w:tr>
    </w:tbl>
    <w:p>
      <w:pPr>
        <w:rPr>
          <w:rFonts w:hint="eastAsia"/>
          <w:color w:val="000000"/>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p>
    <w:p>
      <w:pPr>
        <w:rPr>
          <w:rFonts w:hint="eastAsia"/>
          <w:color w:val="000000"/>
          <w:sz w:val="32"/>
        </w:rPr>
      </w:pPr>
      <w:r>
        <w:rPr>
          <w:rFonts w:hint="eastAsia"/>
          <w:color w:val="000000"/>
          <w:sz w:val="32"/>
        </w:rPr>
        <w:t>3.3</w:t>
      </w:r>
      <w:r>
        <w:rPr>
          <w:color w:val="000000"/>
          <w:sz w:val="32"/>
        </w:rPr>
        <w:t>供应商参与政府采购活动投标资格声明函</w:t>
      </w:r>
    </w:p>
    <w:p>
      <w:pPr>
        <w:snapToGrid w:val="0"/>
        <w:spacing w:line="360" w:lineRule="exact"/>
        <w:jc w:val="center"/>
        <w:rPr>
          <w:b/>
          <w:color w:val="000000"/>
          <w:sz w:val="32"/>
        </w:rPr>
      </w:pPr>
      <w:r>
        <w:rPr>
          <w:b/>
          <w:color w:val="000000"/>
          <w:sz w:val="32"/>
        </w:rPr>
        <w:t>供应商参与政府采购活动投标资格声明函</w:t>
      </w:r>
    </w:p>
    <w:tbl>
      <w:tblPr>
        <w:tblStyle w:val="58"/>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000000"/>
                <w:sz w:val="22"/>
              </w:rPr>
            </w:pPr>
            <w:r>
              <w:rPr>
                <w:color w:val="000000"/>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color w:val="000000"/>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000000"/>
                <w:sz w:val="22"/>
              </w:rPr>
            </w:pPr>
            <w:r>
              <w:rPr>
                <w:color w:val="000000"/>
                <w:sz w:val="22"/>
              </w:rPr>
              <w:t>项目编号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color w:val="000000"/>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000000"/>
                <w:sz w:val="22"/>
              </w:rPr>
            </w:pPr>
            <w:r>
              <w:rPr>
                <w:color w:val="000000"/>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000000"/>
                <w:sz w:val="22"/>
              </w:rPr>
            </w:pPr>
            <w:r>
              <w:rPr>
                <w:color w:val="000000"/>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color w:val="000000"/>
                <w:sz w:val="22"/>
              </w:rPr>
            </w:pPr>
            <w:r>
              <w:rPr>
                <w:color w:val="000000"/>
                <w:sz w:val="22"/>
              </w:rPr>
              <w:t>1、根据政府采购法第二十二条规定，我单位满足以下条件：</w:t>
            </w:r>
          </w:p>
          <w:p>
            <w:pPr>
              <w:snapToGrid w:val="0"/>
              <w:spacing w:line="400" w:lineRule="exact"/>
              <w:ind w:firstLine="450"/>
              <w:rPr>
                <w:rFonts w:hint="eastAsia"/>
                <w:color w:val="000000"/>
                <w:sz w:val="22"/>
              </w:rPr>
            </w:pPr>
            <w:r>
              <w:rPr>
                <w:color w:val="000000"/>
                <w:sz w:val="22"/>
              </w:rPr>
              <w:t xml:space="preserve">（一）具有独立承担民事责任的能力； </w:t>
            </w:r>
          </w:p>
          <w:p>
            <w:pPr>
              <w:snapToGrid w:val="0"/>
              <w:spacing w:line="400" w:lineRule="exact"/>
              <w:ind w:firstLine="450"/>
              <w:rPr>
                <w:rFonts w:hint="eastAsia"/>
                <w:color w:val="000000"/>
                <w:sz w:val="22"/>
              </w:rPr>
            </w:pPr>
            <w:r>
              <w:rPr>
                <w:color w:val="000000"/>
                <w:sz w:val="22"/>
              </w:rPr>
              <w:t xml:space="preserve">　　（二）具有良好的商业信誉和健全的财务会计制度； </w:t>
            </w:r>
          </w:p>
          <w:p>
            <w:pPr>
              <w:snapToGrid w:val="0"/>
              <w:spacing w:line="400" w:lineRule="exact"/>
              <w:ind w:firstLine="450"/>
              <w:rPr>
                <w:rFonts w:hint="eastAsia"/>
                <w:color w:val="000000"/>
                <w:sz w:val="22"/>
              </w:rPr>
            </w:pPr>
            <w:r>
              <w:rPr>
                <w:color w:val="000000"/>
                <w:sz w:val="22"/>
              </w:rPr>
              <w:t xml:space="preserve">　　（三）具有履行合同所必需的设备和专业技术能力； </w:t>
            </w:r>
          </w:p>
          <w:p>
            <w:pPr>
              <w:snapToGrid w:val="0"/>
              <w:spacing w:line="400" w:lineRule="exact"/>
              <w:ind w:firstLine="450"/>
              <w:rPr>
                <w:rFonts w:hint="eastAsia"/>
                <w:color w:val="000000"/>
                <w:sz w:val="22"/>
              </w:rPr>
            </w:pPr>
            <w:r>
              <w:rPr>
                <w:color w:val="000000"/>
                <w:sz w:val="22"/>
              </w:rPr>
              <w:t xml:space="preserve">　　（四）有依法缴纳税收和社会保障资金的良好记录； </w:t>
            </w:r>
          </w:p>
          <w:p>
            <w:pPr>
              <w:snapToGrid w:val="0"/>
              <w:spacing w:line="400" w:lineRule="exact"/>
              <w:ind w:firstLine="450"/>
              <w:rPr>
                <w:rFonts w:hint="eastAsia"/>
                <w:color w:val="000000"/>
                <w:sz w:val="22"/>
              </w:rPr>
            </w:pPr>
            <w:r>
              <w:rPr>
                <w:color w:val="000000"/>
                <w:sz w:val="22"/>
              </w:rPr>
              <w:t xml:space="preserve">　　（五）参加政府采购活动前三年内，在经营活动中没有重大违法记录； </w:t>
            </w:r>
          </w:p>
          <w:p>
            <w:pPr>
              <w:snapToGrid w:val="0"/>
              <w:spacing w:line="400" w:lineRule="exact"/>
              <w:ind w:firstLine="450"/>
              <w:rPr>
                <w:color w:val="000000"/>
                <w:sz w:val="22"/>
              </w:rPr>
            </w:pPr>
            <w:r>
              <w:rPr>
                <w:color w:val="000000"/>
                <w:sz w:val="22"/>
              </w:rPr>
              <w:t xml:space="preserve">　　（六）法律、行政法规规定的其他条件。 </w:t>
            </w:r>
          </w:p>
          <w:p>
            <w:pPr>
              <w:snapToGrid w:val="0"/>
              <w:spacing w:line="400" w:lineRule="exact"/>
              <w:ind w:firstLine="450"/>
              <w:rPr>
                <w:b/>
                <w:color w:val="000000"/>
                <w:sz w:val="22"/>
              </w:rPr>
            </w:pPr>
            <w:r>
              <w:rPr>
                <w:color w:val="000000"/>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000000"/>
                <w:sz w:val="22"/>
              </w:rPr>
              <w:t>我单位承诺不存在上述文件规定依法限制参与政府采购的情况。</w:t>
            </w:r>
          </w:p>
          <w:p>
            <w:pPr>
              <w:snapToGrid w:val="0"/>
              <w:spacing w:line="400" w:lineRule="exact"/>
              <w:ind w:firstLine="450"/>
              <w:rPr>
                <w:color w:val="000000"/>
                <w:sz w:val="22"/>
              </w:rPr>
            </w:pPr>
            <w:r>
              <w:rPr>
                <w:color w:val="000000"/>
                <w:sz w:val="22"/>
              </w:rPr>
              <w:t>3、我单位承诺没有被各地、各级财政部门限制参加政府采购活动。</w:t>
            </w:r>
          </w:p>
          <w:p>
            <w:pPr>
              <w:tabs>
                <w:tab w:val="center" w:pos="4483"/>
              </w:tabs>
              <w:snapToGrid w:val="0"/>
              <w:spacing w:line="360" w:lineRule="auto"/>
              <w:ind w:firstLine="400"/>
              <w:rPr>
                <w:color w:val="000000"/>
                <w:sz w:val="22"/>
                <w:u w:val="single"/>
              </w:rPr>
            </w:pPr>
            <w:r>
              <w:rPr>
                <w:color w:val="000000"/>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000000"/>
                <w:sz w:val="22"/>
              </w:rPr>
            </w:pPr>
            <w:r>
              <w:rPr>
                <w:color w:val="000000"/>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000000"/>
                <w:sz w:val="22"/>
              </w:rPr>
            </w:pPr>
            <w:r>
              <w:rPr>
                <w:color w:val="000000"/>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color w:val="000000"/>
                <w:sz w:val="22"/>
              </w:rPr>
            </w:pPr>
            <w:r>
              <w:rPr>
                <w:color w:val="000000"/>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000000"/>
                <w:sz w:val="22"/>
              </w:rPr>
            </w:pPr>
            <w:r>
              <w:rPr>
                <w:color w:val="000000"/>
                <w:sz w:val="22"/>
              </w:rPr>
              <w:t>签署日期：</w:t>
            </w:r>
          </w:p>
        </w:tc>
      </w:tr>
    </w:tbl>
    <w:p>
      <w:pPr>
        <w:snapToGrid w:val="0"/>
        <w:spacing w:line="460" w:lineRule="atLeast"/>
        <w:rPr>
          <w:rFonts w:hint="eastAsia"/>
          <w:color w:val="000000"/>
          <w:sz w:val="30"/>
        </w:rPr>
      </w:pPr>
    </w:p>
    <w:p>
      <w:pPr>
        <w:rPr>
          <w:rFonts w:hint="eastAsia"/>
          <w:color w:val="000000"/>
          <w:sz w:val="36"/>
        </w:rPr>
      </w:pPr>
    </w:p>
    <w:p>
      <w:pPr>
        <w:rPr>
          <w:rFonts w:hint="eastAsia"/>
          <w:color w:val="000000"/>
          <w:sz w:val="36"/>
        </w:rPr>
      </w:pPr>
    </w:p>
    <w:p>
      <w:pPr>
        <w:rPr>
          <w:rFonts w:hint="eastAsia"/>
          <w:color w:val="000000"/>
          <w:sz w:val="36"/>
        </w:rPr>
      </w:pPr>
    </w:p>
    <w:p>
      <w:pPr>
        <w:pStyle w:val="33"/>
        <w:adjustRightInd w:val="0"/>
        <w:snapToGrid w:val="0"/>
        <w:spacing w:line="500" w:lineRule="exact"/>
        <w:rPr>
          <w:rFonts w:hint="eastAsia" w:hAnsi="宋体"/>
          <w:color w:val="000000"/>
          <w:sz w:val="36"/>
        </w:rPr>
      </w:pPr>
      <w:r>
        <w:rPr>
          <w:rFonts w:hint="eastAsia" w:hAnsi="宋体" w:cs="宋体"/>
          <w:color w:val="000000"/>
          <w:kern w:val="0"/>
          <w:sz w:val="32"/>
          <w:szCs w:val="24"/>
        </w:rPr>
        <w:t>3.4投标函</w:t>
      </w:r>
      <w:r>
        <w:rPr>
          <w:rFonts w:hint="eastAsia" w:hAnsi="宋体" w:cs="宋体"/>
          <w:color w:val="000000"/>
          <w:kern w:val="0"/>
          <w:sz w:val="32"/>
          <w:szCs w:val="24"/>
        </w:rPr>
        <w:cr/>
      </w:r>
      <w:r>
        <w:rPr>
          <w:rFonts w:hint="eastAsia" w:hAnsi="宋体"/>
          <w:color w:val="000000"/>
          <w:sz w:val="32"/>
        </w:rPr>
        <w:t xml:space="preserve">                         </w:t>
      </w:r>
      <w:r>
        <w:rPr>
          <w:rFonts w:hint="eastAsia" w:hAnsi="宋体"/>
          <w:color w:val="000000"/>
          <w:sz w:val="36"/>
        </w:rPr>
        <w:t>投  标  函</w:t>
      </w:r>
    </w:p>
    <w:p>
      <w:pPr>
        <w:pStyle w:val="33"/>
        <w:adjustRightInd w:val="0"/>
        <w:snapToGrid w:val="0"/>
        <w:spacing w:line="360" w:lineRule="atLeast"/>
        <w:ind w:firstLine="450"/>
        <w:rPr>
          <w:rFonts w:hint="eastAsia" w:hAnsi="宋体"/>
          <w:color w:val="000000"/>
          <w:sz w:val="22"/>
          <w:szCs w:val="22"/>
          <w:u w:val="single"/>
        </w:rPr>
      </w:pPr>
      <w:r>
        <w:rPr>
          <w:rFonts w:hint="eastAsia" w:hAnsi="宋体"/>
          <w:color w:val="000000"/>
          <w:sz w:val="22"/>
          <w:szCs w:val="22"/>
          <w:u w:val="single"/>
        </w:rPr>
        <w:t>平阳县南麂镇人民政府：</w:t>
      </w:r>
    </w:p>
    <w:p>
      <w:pPr>
        <w:pStyle w:val="33"/>
        <w:adjustRightInd w:val="0"/>
        <w:snapToGrid w:val="0"/>
        <w:spacing w:line="360" w:lineRule="atLeast"/>
        <w:ind w:firstLine="450"/>
        <w:rPr>
          <w:rFonts w:hint="eastAsia" w:hAnsi="宋体"/>
          <w:color w:val="000000"/>
          <w:sz w:val="22"/>
          <w:szCs w:val="22"/>
        </w:rPr>
      </w:pPr>
    </w:p>
    <w:p>
      <w:pPr>
        <w:autoSpaceDE w:val="0"/>
        <w:autoSpaceDN w:val="0"/>
        <w:adjustRightInd w:val="0"/>
        <w:snapToGrid w:val="0"/>
        <w:spacing w:line="360" w:lineRule="atLeast"/>
        <w:rPr>
          <w:rFonts w:cs="仿宋_GB2312"/>
          <w:color w:val="000000"/>
          <w:sz w:val="22"/>
          <w:szCs w:val="22"/>
          <w:lang w:val="zh-CN"/>
        </w:rPr>
      </w:pPr>
      <w:r>
        <w:rPr>
          <w:rFonts w:hint="eastAsia"/>
          <w:color w:val="000000"/>
          <w:sz w:val="22"/>
          <w:szCs w:val="22"/>
        </w:rPr>
        <w:t xml:space="preserve">     </w:t>
      </w:r>
      <w:r>
        <w:rPr>
          <w:rFonts w:cs="仿宋_GB2312"/>
          <w:color w:val="000000"/>
          <w:sz w:val="22"/>
          <w:szCs w:val="22"/>
          <w:lang w:val="zh-CN"/>
        </w:rPr>
        <w:t xml:space="preserve"> </w:t>
      </w:r>
      <w:r>
        <w:rPr>
          <w:rFonts w:cs="仿宋_GB2312"/>
          <w:color w:val="000000"/>
          <w:sz w:val="22"/>
          <w:szCs w:val="22"/>
          <w:u w:val="single"/>
          <w:lang w:val="zh-CN"/>
        </w:rPr>
        <w:t xml:space="preserve">                    </w:t>
      </w:r>
      <w:r>
        <w:rPr>
          <w:rFonts w:hint="eastAsia" w:cs="仿宋_GB2312"/>
          <w:color w:val="000000"/>
          <w:sz w:val="22"/>
          <w:szCs w:val="22"/>
          <w:lang w:val="zh-CN"/>
        </w:rPr>
        <w:t>（供应商全称）授权</w:t>
      </w:r>
      <w:r>
        <w:rPr>
          <w:rFonts w:cs="仿宋_GB2312"/>
          <w:color w:val="000000"/>
          <w:sz w:val="22"/>
          <w:szCs w:val="22"/>
          <w:u w:val="single"/>
          <w:lang w:val="zh-CN"/>
        </w:rPr>
        <w:t xml:space="preserve">              </w:t>
      </w:r>
      <w:r>
        <w:rPr>
          <w:rFonts w:cs="仿宋_GB2312"/>
          <w:color w:val="000000"/>
          <w:sz w:val="22"/>
          <w:szCs w:val="22"/>
          <w:lang w:val="zh-CN"/>
        </w:rPr>
        <w:t xml:space="preserve"> </w:t>
      </w:r>
      <w:r>
        <w:rPr>
          <w:rFonts w:hint="eastAsia" w:cs="仿宋_GB2312"/>
          <w:color w:val="000000"/>
          <w:sz w:val="22"/>
          <w:szCs w:val="22"/>
          <w:lang w:val="zh-CN"/>
        </w:rPr>
        <w:t>（授权代表名称）</w:t>
      </w:r>
      <w:r>
        <w:rPr>
          <w:rFonts w:cs="仿宋_GB2312"/>
          <w:color w:val="000000"/>
          <w:sz w:val="22"/>
          <w:szCs w:val="22"/>
          <w:u w:val="single"/>
          <w:lang w:val="zh-CN"/>
        </w:rPr>
        <w:t xml:space="preserve">         </w:t>
      </w:r>
      <w:r>
        <w:rPr>
          <w:rFonts w:hint="eastAsia" w:cs="仿宋_GB2312"/>
          <w:color w:val="000000"/>
          <w:sz w:val="22"/>
          <w:szCs w:val="22"/>
          <w:lang w:val="zh-CN"/>
        </w:rPr>
        <w:t>（职务、职称）为授权代表，参加贵方组织的</w:t>
      </w:r>
      <w:r>
        <w:rPr>
          <w:rFonts w:cs="仿宋_GB2312"/>
          <w:color w:val="000000"/>
          <w:sz w:val="22"/>
          <w:szCs w:val="22"/>
          <w:u w:val="single"/>
          <w:lang w:val="zh-CN"/>
        </w:rPr>
        <w:t xml:space="preserve">           </w:t>
      </w:r>
      <w:r>
        <w:rPr>
          <w:rFonts w:hint="eastAsia" w:cs="仿宋_GB2312"/>
          <w:color w:val="000000"/>
          <w:sz w:val="22"/>
          <w:szCs w:val="22"/>
          <w:lang w:val="zh-CN"/>
        </w:rPr>
        <w:t>（招标项目名称）（括号内填项目编号）招标的有关活动，为此：并对</w:t>
      </w:r>
      <w:r>
        <w:rPr>
          <w:rFonts w:hint="eastAsia" w:cs="仿宋_GB2312"/>
          <w:color w:val="000000"/>
          <w:sz w:val="22"/>
          <w:szCs w:val="22"/>
          <w:u w:val="single"/>
          <w:lang w:val="zh-CN"/>
        </w:rPr>
        <w:t xml:space="preserve">            </w:t>
      </w:r>
      <w:r>
        <w:rPr>
          <w:rFonts w:hint="eastAsia" w:cs="仿宋_GB2312"/>
          <w:color w:val="000000"/>
          <w:sz w:val="22"/>
          <w:szCs w:val="22"/>
          <w:lang w:val="zh-CN"/>
        </w:rPr>
        <w:t>项目（采购项目名称）进行投标。</w:t>
      </w:r>
      <w:r>
        <w:rPr>
          <w:rFonts w:cs="仿宋_GB2312"/>
          <w:color w:val="000000"/>
          <w:sz w:val="22"/>
          <w:szCs w:val="22"/>
          <w:lang w:val="zh-CN"/>
        </w:rPr>
        <w:t xml:space="preserve">   </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cs="仿宋_GB2312"/>
          <w:color w:val="000000"/>
          <w:sz w:val="22"/>
          <w:szCs w:val="22"/>
          <w:lang w:val="zh-CN"/>
        </w:rPr>
        <w:t>2</w:t>
      </w:r>
      <w:r>
        <w:rPr>
          <w:rFonts w:hint="eastAsia" w:cs="仿宋_GB2312"/>
          <w:color w:val="000000"/>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3、保证忠实地执行采购人、中标供应商双方所签的合同，</w:t>
      </w:r>
      <w:r>
        <w:rPr>
          <w:rFonts w:cs="仿宋_GB2312"/>
          <w:color w:val="000000"/>
          <w:sz w:val="22"/>
          <w:szCs w:val="22"/>
          <w:lang w:val="zh-CN"/>
        </w:rPr>
        <w:t xml:space="preserve"> </w:t>
      </w:r>
      <w:r>
        <w:rPr>
          <w:rFonts w:hint="eastAsia" w:cs="仿宋_GB2312"/>
          <w:color w:val="000000"/>
          <w:sz w:val="22"/>
          <w:szCs w:val="22"/>
          <w:lang w:val="zh-CN"/>
        </w:rPr>
        <w:t>并承担合同规定的责任义务。</w:t>
      </w:r>
    </w:p>
    <w:p>
      <w:pPr>
        <w:autoSpaceDE w:val="0"/>
        <w:autoSpaceDN w:val="0"/>
        <w:adjustRightInd w:val="0"/>
        <w:snapToGrid w:val="0"/>
        <w:spacing w:line="360" w:lineRule="atLeast"/>
        <w:ind w:left="1" w:firstLine="585" w:firstLineChars="266"/>
        <w:rPr>
          <w:rFonts w:hint="eastAsia" w:cs="仿宋_GB2312"/>
          <w:color w:val="000000"/>
          <w:sz w:val="22"/>
          <w:szCs w:val="22"/>
          <w:lang w:val="zh-CN"/>
        </w:rPr>
      </w:pPr>
      <w:r>
        <w:rPr>
          <w:rFonts w:hint="eastAsia" w:cs="仿宋_GB2312"/>
          <w:color w:val="000000"/>
          <w:sz w:val="22"/>
          <w:szCs w:val="22"/>
          <w:lang w:val="zh-CN"/>
        </w:rPr>
        <w:t>4、我方承诺在合同生效后</w:t>
      </w:r>
      <w:r>
        <w:rPr>
          <w:rFonts w:hint="eastAsia" w:cs="仿宋_GB2312"/>
          <w:b/>
          <w:color w:val="000000"/>
          <w:sz w:val="22"/>
          <w:szCs w:val="22"/>
          <w:u w:val="single"/>
          <w:lang w:val="zh-CN"/>
        </w:rPr>
        <w:t>按招标文件要求完成本项目</w:t>
      </w:r>
      <w:r>
        <w:rPr>
          <w:rFonts w:hint="eastAsia" w:cs="仿宋_GB2312"/>
          <w:color w:val="000000"/>
          <w:sz w:val="22"/>
          <w:szCs w:val="22"/>
          <w:lang w:val="zh-CN"/>
        </w:rPr>
        <w:t>。</w:t>
      </w:r>
    </w:p>
    <w:p>
      <w:pPr>
        <w:autoSpaceDE w:val="0"/>
        <w:autoSpaceDN w:val="0"/>
        <w:adjustRightInd w:val="0"/>
        <w:snapToGrid w:val="0"/>
        <w:spacing w:line="360" w:lineRule="atLeast"/>
        <w:ind w:left="1" w:firstLine="585" w:firstLineChars="266"/>
        <w:rPr>
          <w:rFonts w:hint="eastAsia" w:cs="仿宋_GB2312"/>
          <w:color w:val="000000"/>
          <w:sz w:val="22"/>
          <w:szCs w:val="22"/>
          <w:lang w:val="zh-CN"/>
        </w:rPr>
      </w:pPr>
      <w:r>
        <w:rPr>
          <w:rFonts w:hint="eastAsia" w:cs="仿宋_GB2312"/>
          <w:color w:val="000000"/>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hint="eastAsia" w:cs="仿宋_GB2312"/>
          <w:color w:val="000000"/>
          <w:sz w:val="22"/>
          <w:szCs w:val="22"/>
          <w:lang w:val="zh-CN"/>
        </w:rPr>
      </w:pPr>
      <w:r>
        <w:rPr>
          <w:rFonts w:hint="eastAsia" w:cs="仿宋_GB2312"/>
          <w:color w:val="000000"/>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7、我公司近三年内没有行贿受贿记录；我公司符合</w:t>
      </w:r>
      <w:r>
        <w:rPr>
          <w:color w:val="000000"/>
          <w:sz w:val="22"/>
          <w:szCs w:val="22"/>
        </w:rPr>
        <w:t>《中华人民共和国政府采购法》</w:t>
      </w:r>
      <w:r>
        <w:rPr>
          <w:rFonts w:hint="eastAsia"/>
          <w:color w:val="000000"/>
          <w:sz w:val="22"/>
          <w:szCs w:val="22"/>
        </w:rPr>
        <w:t>第二十二条</w:t>
      </w:r>
      <w:r>
        <w:rPr>
          <w:color w:val="000000"/>
          <w:sz w:val="22"/>
          <w:szCs w:val="22"/>
        </w:rPr>
        <w:t>对</w:t>
      </w:r>
      <w:r>
        <w:rPr>
          <w:rFonts w:hint="eastAsia"/>
          <w:color w:val="000000"/>
          <w:sz w:val="22"/>
          <w:szCs w:val="22"/>
        </w:rPr>
        <w:t>供应商</w:t>
      </w:r>
      <w:r>
        <w:rPr>
          <w:color w:val="000000"/>
          <w:sz w:val="22"/>
          <w:szCs w:val="22"/>
        </w:rPr>
        <w:t>的</w:t>
      </w:r>
      <w:r>
        <w:rPr>
          <w:rFonts w:hint="eastAsia"/>
          <w:color w:val="000000"/>
          <w:sz w:val="22"/>
          <w:szCs w:val="22"/>
        </w:rPr>
        <w:t>资格</w:t>
      </w:r>
      <w:r>
        <w:rPr>
          <w:color w:val="000000"/>
          <w:sz w:val="22"/>
          <w:szCs w:val="22"/>
        </w:rPr>
        <w:t>要求</w:t>
      </w:r>
      <w:r>
        <w:rPr>
          <w:rFonts w:hint="eastAsia"/>
          <w:color w:val="000000"/>
          <w:sz w:val="22"/>
          <w:szCs w:val="22"/>
        </w:rPr>
        <w:t>；</w:t>
      </w:r>
      <w:r>
        <w:rPr>
          <w:rFonts w:hint="eastAsia" w:cs="仿宋_GB2312"/>
          <w:color w:val="000000"/>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9、本投标自开标之日起9</w:t>
      </w:r>
      <w:r>
        <w:rPr>
          <w:rFonts w:cs="仿宋_GB2312"/>
          <w:color w:val="000000"/>
          <w:sz w:val="22"/>
          <w:szCs w:val="22"/>
          <w:lang w:val="zh-CN"/>
        </w:rPr>
        <w:t>0</w:t>
      </w:r>
      <w:r>
        <w:rPr>
          <w:rFonts w:hint="eastAsia" w:cs="仿宋_GB2312"/>
          <w:color w:val="000000"/>
          <w:sz w:val="22"/>
          <w:szCs w:val="22"/>
          <w:lang w:val="zh-CN"/>
        </w:rPr>
        <w:t>天内有效。</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color w:val="000000"/>
          <w:sz w:val="22"/>
          <w:szCs w:val="22"/>
          <w:lang w:val="zh-CN"/>
        </w:rPr>
      </w:pPr>
      <w:r>
        <w:rPr>
          <w:rFonts w:hint="eastAsia" w:cs="仿宋_GB2312"/>
          <w:color w:val="000000"/>
          <w:sz w:val="22"/>
          <w:szCs w:val="22"/>
          <w:lang w:val="zh-CN"/>
        </w:rPr>
        <w:t>地址：</w:t>
      </w:r>
      <w:r>
        <w:rPr>
          <w:rFonts w:cs="仿宋_GB2312"/>
          <w:color w:val="000000"/>
          <w:sz w:val="22"/>
          <w:szCs w:val="22"/>
          <w:u w:val="single"/>
          <w:lang w:val="zh-CN"/>
        </w:rPr>
        <w:t xml:space="preserve">                                 </w:t>
      </w:r>
    </w:p>
    <w:p>
      <w:pPr>
        <w:autoSpaceDE w:val="0"/>
        <w:autoSpaceDN w:val="0"/>
        <w:adjustRightInd w:val="0"/>
        <w:snapToGrid w:val="0"/>
        <w:spacing w:line="360" w:lineRule="atLeast"/>
        <w:ind w:firstLine="585" w:firstLineChars="266"/>
        <w:rPr>
          <w:rFonts w:cs="仿宋_GB2312"/>
          <w:color w:val="000000"/>
          <w:sz w:val="22"/>
          <w:szCs w:val="22"/>
          <w:lang w:val="zh-CN"/>
        </w:rPr>
      </w:pPr>
      <w:r>
        <w:rPr>
          <w:rFonts w:hint="eastAsia" w:cs="仿宋_GB2312"/>
          <w:color w:val="000000"/>
          <w:sz w:val="22"/>
          <w:szCs w:val="22"/>
          <w:lang w:val="zh-CN"/>
        </w:rPr>
        <w:t>邮编：</w:t>
      </w:r>
      <w:r>
        <w:rPr>
          <w:rFonts w:cs="仿宋_GB2312"/>
          <w:color w:val="000000"/>
          <w:sz w:val="22"/>
          <w:szCs w:val="22"/>
          <w:u w:val="single"/>
          <w:lang w:val="zh-CN"/>
        </w:rPr>
        <w:t xml:space="preserve">               </w:t>
      </w:r>
      <w:r>
        <w:rPr>
          <w:rFonts w:hint="eastAsia" w:cs="仿宋_GB2312"/>
          <w:color w:val="000000"/>
          <w:sz w:val="22"/>
          <w:szCs w:val="22"/>
          <w:lang w:val="zh-CN"/>
        </w:rPr>
        <w:t>电话：</w:t>
      </w:r>
      <w:r>
        <w:rPr>
          <w:rFonts w:cs="仿宋_GB2312"/>
          <w:color w:val="000000"/>
          <w:sz w:val="22"/>
          <w:szCs w:val="22"/>
          <w:u w:val="single"/>
          <w:lang w:val="zh-CN"/>
        </w:rPr>
        <w:t xml:space="preserve">                 </w:t>
      </w:r>
      <w:r>
        <w:rPr>
          <w:rFonts w:hint="eastAsia" w:cs="仿宋_GB2312"/>
          <w:color w:val="000000"/>
          <w:sz w:val="22"/>
          <w:szCs w:val="22"/>
          <w:lang w:val="zh-CN"/>
        </w:rPr>
        <w:t>传真：</w:t>
      </w:r>
      <w:r>
        <w:rPr>
          <w:rFonts w:cs="仿宋_GB2312"/>
          <w:color w:val="000000"/>
          <w:sz w:val="22"/>
          <w:szCs w:val="22"/>
          <w:u w:val="single"/>
          <w:lang w:val="zh-CN"/>
        </w:rPr>
        <w:t xml:space="preserve">                 </w:t>
      </w:r>
    </w:p>
    <w:p>
      <w:pPr>
        <w:autoSpaceDE w:val="0"/>
        <w:autoSpaceDN w:val="0"/>
        <w:adjustRightInd w:val="0"/>
        <w:snapToGrid w:val="0"/>
        <w:spacing w:line="360" w:lineRule="atLeast"/>
        <w:ind w:firstLine="26" w:firstLineChars="12"/>
        <w:rPr>
          <w:rFonts w:hint="eastAsia" w:cs="仿宋_GB2312"/>
          <w:color w:val="000000"/>
          <w:sz w:val="22"/>
          <w:szCs w:val="22"/>
          <w:lang w:val="zh-CN"/>
        </w:rPr>
      </w:pPr>
    </w:p>
    <w:p>
      <w:pPr>
        <w:autoSpaceDE w:val="0"/>
        <w:autoSpaceDN w:val="0"/>
        <w:adjustRightInd w:val="0"/>
        <w:snapToGrid w:val="0"/>
        <w:spacing w:line="360" w:lineRule="atLeast"/>
        <w:ind w:left="1" w:firstLine="585" w:firstLineChars="266"/>
        <w:rPr>
          <w:rFonts w:hint="eastAsia"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hint="eastAsia" w:cs="仿宋_GB2312"/>
          <w:color w:val="000000"/>
          <w:sz w:val="22"/>
          <w:szCs w:val="22"/>
          <w:lang w:val="zh-CN"/>
        </w:rPr>
      </w:pPr>
      <w:r>
        <w:rPr>
          <w:rFonts w:hint="eastAsia" w:cs="仿宋_GB2312"/>
          <w:color w:val="000000"/>
          <w:sz w:val="22"/>
          <w:szCs w:val="22"/>
          <w:lang w:val="zh-CN"/>
        </w:rPr>
        <w:t>日期：</w:t>
      </w:r>
    </w:p>
    <w:p>
      <w:pPr>
        <w:autoSpaceDE w:val="0"/>
        <w:autoSpaceDN w:val="0"/>
        <w:adjustRightInd w:val="0"/>
        <w:snapToGrid w:val="0"/>
        <w:spacing w:line="360" w:lineRule="atLeast"/>
        <w:ind w:left="1" w:firstLine="585" w:firstLineChars="266"/>
        <w:rPr>
          <w:rFonts w:hint="eastAsia" w:cs="仿宋_GB2312"/>
          <w:color w:val="000000"/>
          <w:sz w:val="22"/>
          <w:szCs w:val="22"/>
          <w:lang w:val="zh-CN"/>
        </w:rPr>
      </w:pPr>
    </w:p>
    <w:p>
      <w:pPr>
        <w:autoSpaceDE w:val="0"/>
        <w:autoSpaceDN w:val="0"/>
        <w:adjustRightInd w:val="0"/>
        <w:snapToGrid w:val="0"/>
        <w:spacing w:line="360" w:lineRule="atLeast"/>
        <w:ind w:firstLine="687" w:firstLineChars="285"/>
        <w:rPr>
          <w:rFonts w:cs="仿宋_GB2312"/>
          <w:b/>
          <w:color w:val="000000"/>
          <w:sz w:val="22"/>
          <w:szCs w:val="22"/>
          <w:u w:val="single"/>
          <w:lang w:val="zh-CN"/>
        </w:rPr>
      </w:pPr>
      <w:r>
        <w:rPr>
          <w:rFonts w:hint="eastAsia"/>
          <w:b/>
          <w:color w:val="000000"/>
          <w:u w:val="single"/>
        </w:rPr>
        <w:t>不提供本函做无效投标处理。</w:t>
      </w: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tabs>
          <w:tab w:val="left" w:pos="1080"/>
        </w:tabs>
        <w:autoSpaceDE w:val="0"/>
        <w:autoSpaceDN w:val="0"/>
        <w:adjustRightInd w:val="0"/>
        <w:spacing w:line="440" w:lineRule="atLeast"/>
        <w:outlineLvl w:val="0"/>
        <w:rPr>
          <w:rFonts w:hint="eastAsia"/>
          <w:color w:val="000000"/>
          <w:sz w:val="32"/>
        </w:rPr>
      </w:pPr>
    </w:p>
    <w:p>
      <w:pPr>
        <w:tabs>
          <w:tab w:val="left" w:pos="1080"/>
        </w:tabs>
        <w:autoSpaceDE w:val="0"/>
        <w:autoSpaceDN w:val="0"/>
        <w:adjustRightInd w:val="0"/>
        <w:spacing w:line="440" w:lineRule="atLeast"/>
        <w:outlineLvl w:val="0"/>
        <w:rPr>
          <w:rFonts w:hint="eastAsia"/>
          <w:color w:val="000000"/>
          <w:sz w:val="32"/>
        </w:rPr>
      </w:pPr>
      <w:r>
        <w:rPr>
          <w:rFonts w:hint="eastAsia"/>
          <w:color w:val="000000"/>
          <w:sz w:val="32"/>
        </w:rPr>
        <w:t>3.5法定代表人授权书</w:t>
      </w:r>
    </w:p>
    <w:p>
      <w:pPr>
        <w:tabs>
          <w:tab w:val="left" w:pos="1080"/>
        </w:tabs>
        <w:autoSpaceDE w:val="0"/>
        <w:autoSpaceDN w:val="0"/>
        <w:adjustRightInd w:val="0"/>
        <w:spacing w:line="440" w:lineRule="atLeast"/>
        <w:jc w:val="center"/>
        <w:outlineLvl w:val="0"/>
        <w:rPr>
          <w:b/>
          <w:color w:val="000000"/>
          <w:sz w:val="36"/>
          <w:lang w:val="zh-CN"/>
        </w:rPr>
      </w:pPr>
      <w:r>
        <w:rPr>
          <w:rFonts w:hint="eastAsia"/>
          <w:b/>
          <w:color w:val="000000"/>
          <w:sz w:val="36"/>
          <w:lang w:val="zh-CN"/>
        </w:rPr>
        <w:t>法定代表人授权书</w:t>
      </w:r>
    </w:p>
    <w:p>
      <w:pPr>
        <w:spacing w:line="360" w:lineRule="auto"/>
        <w:rPr>
          <w:rFonts w:hint="eastAsia"/>
          <w:color w:val="000000"/>
          <w:u w:val="single"/>
        </w:rPr>
      </w:pPr>
    </w:p>
    <w:p>
      <w:pPr>
        <w:pStyle w:val="33"/>
        <w:adjustRightInd w:val="0"/>
        <w:snapToGrid w:val="0"/>
        <w:spacing w:line="340" w:lineRule="atLeast"/>
        <w:rPr>
          <w:rFonts w:hint="eastAsia" w:hAnsi="宋体"/>
          <w:color w:val="000000"/>
          <w:sz w:val="22"/>
          <w:szCs w:val="22"/>
        </w:rPr>
      </w:pPr>
      <w:r>
        <w:rPr>
          <w:rFonts w:hint="eastAsia" w:hAnsi="宋体"/>
          <w:color w:val="000000"/>
          <w:sz w:val="22"/>
          <w:szCs w:val="22"/>
          <w:u w:val="single"/>
        </w:rPr>
        <w:t>平阳县南麂镇人民政府</w:t>
      </w:r>
      <w:r>
        <w:rPr>
          <w:rFonts w:hint="eastAsia" w:hAnsi="宋体"/>
          <w:color w:val="000000"/>
          <w:sz w:val="22"/>
          <w:szCs w:val="22"/>
        </w:rPr>
        <w:t>：</w:t>
      </w:r>
    </w:p>
    <w:p>
      <w:pPr>
        <w:pStyle w:val="33"/>
        <w:adjustRightInd w:val="0"/>
        <w:snapToGrid w:val="0"/>
        <w:spacing w:line="340" w:lineRule="atLeast"/>
        <w:rPr>
          <w:rFonts w:hint="eastAsia" w:hAnsi="宋体"/>
          <w:color w:val="000000"/>
          <w:sz w:val="22"/>
          <w:szCs w:val="22"/>
          <w:u w:val="single"/>
        </w:rPr>
      </w:pPr>
    </w:p>
    <w:p>
      <w:pPr>
        <w:snapToGrid w:val="0"/>
        <w:spacing w:line="440" w:lineRule="atLeast"/>
        <w:ind w:firstLine="480" w:firstLineChars="200"/>
        <w:rPr>
          <w:rFonts w:hint="eastAsia"/>
          <w:color w:val="000000"/>
        </w:rPr>
      </w:pPr>
      <w:r>
        <w:rPr>
          <w:rFonts w:hint="eastAsia"/>
          <w:color w:val="000000"/>
        </w:rPr>
        <w:t>本授权委托书声明：我</w:t>
      </w:r>
      <w:r>
        <w:rPr>
          <w:rFonts w:hint="eastAsia"/>
          <w:color w:val="000000"/>
          <w:u w:val="single"/>
        </w:rPr>
        <w:t xml:space="preserve">   （法定代表人姓名）   </w:t>
      </w:r>
      <w:r>
        <w:rPr>
          <w:rFonts w:hint="eastAsia"/>
          <w:color w:val="000000"/>
        </w:rPr>
        <w:t>系</w:t>
      </w:r>
      <w:r>
        <w:rPr>
          <w:rFonts w:hint="eastAsia"/>
          <w:color w:val="000000"/>
          <w:u w:val="single"/>
        </w:rPr>
        <w:t xml:space="preserve">   （供 应 商 名 称）  </w:t>
      </w:r>
      <w:r>
        <w:rPr>
          <w:rFonts w:hint="eastAsia"/>
          <w:color w:val="000000"/>
        </w:rPr>
        <w:t>的法定代表人，现授权委托</w:t>
      </w:r>
      <w:r>
        <w:rPr>
          <w:rFonts w:hint="eastAsia"/>
          <w:color w:val="000000"/>
          <w:u w:val="single"/>
        </w:rPr>
        <w:t xml:space="preserve">  （单 位 名 称）   </w:t>
      </w:r>
      <w:r>
        <w:rPr>
          <w:rFonts w:hint="eastAsia"/>
          <w:color w:val="000000"/>
        </w:rPr>
        <w:t>的</w:t>
      </w:r>
      <w:r>
        <w:rPr>
          <w:rFonts w:hint="eastAsia"/>
          <w:color w:val="000000"/>
          <w:u w:val="single"/>
        </w:rPr>
        <w:t xml:space="preserve">  （授权代表姓名）  </w:t>
      </w:r>
      <w:r>
        <w:rPr>
          <w:rFonts w:hint="eastAsia"/>
          <w:color w:val="000000"/>
        </w:rPr>
        <w:t>为我公司法定代表人授权代表，参加贵处组织的</w:t>
      </w:r>
      <w:r>
        <w:rPr>
          <w:rFonts w:hint="eastAsia"/>
          <w:color w:val="000000"/>
          <w:u w:val="single"/>
        </w:rPr>
        <w:t xml:space="preserve">  （招标项目名称，括号中填写项目编号）  </w:t>
      </w:r>
      <w:r>
        <w:rPr>
          <w:rFonts w:hint="eastAsia"/>
          <w:color w:val="000000"/>
        </w:rPr>
        <w:t>项目投标，全权处理本次招投标活动中的一切事宜，我承认授权代表全权代表我所签署的本项目的投标文件的内容。</w:t>
      </w:r>
    </w:p>
    <w:p>
      <w:pPr>
        <w:snapToGrid w:val="0"/>
        <w:spacing w:line="440" w:lineRule="atLeast"/>
        <w:ind w:firstLine="480" w:firstLineChars="200"/>
        <w:rPr>
          <w:rFonts w:hint="eastAsia"/>
          <w:color w:val="000000"/>
        </w:rPr>
      </w:pPr>
      <w:r>
        <w:rPr>
          <w:rFonts w:hint="eastAsia"/>
          <w:color w:val="000000"/>
        </w:rPr>
        <w:t>授权代表无转授权，特此授权</w:t>
      </w:r>
    </w:p>
    <w:p>
      <w:pPr>
        <w:snapToGrid w:val="0"/>
        <w:spacing w:line="440" w:lineRule="atLeast"/>
        <w:ind w:left="1260"/>
        <w:rPr>
          <w:rFonts w:hint="eastAsia"/>
          <w:color w:val="000000"/>
        </w:rPr>
      </w:pPr>
    </w:p>
    <w:p>
      <w:pPr>
        <w:snapToGrid w:val="0"/>
        <w:spacing w:line="440" w:lineRule="atLeast"/>
        <w:ind w:left="2174" w:leftChars="247" w:hanging="1581" w:hangingChars="659"/>
        <w:rPr>
          <w:rFonts w:hint="eastAsia"/>
          <w:color w:val="000000"/>
        </w:rPr>
      </w:pPr>
      <w:r>
        <w:rPr>
          <w:rFonts w:hint="eastAsia"/>
          <w:color w:val="000000"/>
        </w:rPr>
        <w:t>授权代表：</w:t>
      </w:r>
      <w:r>
        <w:rPr>
          <w:rFonts w:hint="eastAsia"/>
          <w:color w:val="000000"/>
          <w:u w:val="single"/>
        </w:rPr>
        <w:t xml:space="preserve">         </w:t>
      </w:r>
      <w:r>
        <w:rPr>
          <w:rFonts w:hint="eastAsia"/>
          <w:color w:val="000000"/>
        </w:rPr>
        <w:t xml:space="preserve"> 性别 ：</w:t>
      </w:r>
      <w:r>
        <w:rPr>
          <w:rFonts w:hint="eastAsia"/>
          <w:color w:val="000000"/>
          <w:u w:val="single"/>
        </w:rPr>
        <w:t xml:space="preserve">       </w:t>
      </w:r>
      <w:r>
        <w:rPr>
          <w:rFonts w:hint="eastAsia"/>
          <w:color w:val="000000"/>
        </w:rPr>
        <w:t xml:space="preserve"> </w:t>
      </w:r>
    </w:p>
    <w:p>
      <w:pPr>
        <w:snapToGrid w:val="0"/>
        <w:spacing w:line="440" w:lineRule="atLeast"/>
        <w:ind w:left="2174" w:leftChars="247" w:hanging="1581" w:hangingChars="659"/>
        <w:rPr>
          <w:rFonts w:hint="eastAsia"/>
          <w:color w:val="000000"/>
          <w:u w:val="single"/>
        </w:rPr>
      </w:pPr>
      <w:r>
        <w:rPr>
          <w:rFonts w:hint="eastAsia"/>
          <w:color w:val="000000"/>
        </w:rPr>
        <w:t>年龄：</w:t>
      </w:r>
      <w:r>
        <w:rPr>
          <w:rFonts w:hint="eastAsia"/>
          <w:color w:val="000000"/>
          <w:u w:val="single"/>
        </w:rPr>
        <w:t xml:space="preserve">          </w:t>
      </w:r>
      <w:r>
        <w:rPr>
          <w:rFonts w:hint="eastAsia"/>
          <w:color w:val="000000"/>
        </w:rPr>
        <w:t xml:space="preserve"> 职务：</w:t>
      </w:r>
      <w:r>
        <w:rPr>
          <w:rFonts w:hint="eastAsia"/>
          <w:color w:val="000000"/>
          <w:u w:val="single"/>
        </w:rPr>
        <w:t xml:space="preserve">         </w:t>
      </w:r>
    </w:p>
    <w:p>
      <w:pPr>
        <w:snapToGrid w:val="0"/>
        <w:spacing w:line="440" w:lineRule="atLeast"/>
        <w:ind w:left="2174" w:leftChars="247" w:hanging="1581" w:hangingChars="659"/>
        <w:rPr>
          <w:rFonts w:hint="eastAsia"/>
          <w:color w:val="000000"/>
          <w:u w:val="single"/>
        </w:rPr>
      </w:pPr>
      <w:r>
        <w:rPr>
          <w:rFonts w:hint="eastAsia"/>
          <w:color w:val="000000"/>
        </w:rPr>
        <w:t>详细通讯地址：</w:t>
      </w:r>
      <w:r>
        <w:rPr>
          <w:rFonts w:hint="eastAsia"/>
          <w:color w:val="000000"/>
          <w:u w:val="single"/>
        </w:rPr>
        <w:t xml:space="preserve">                  </w:t>
      </w:r>
      <w:r>
        <w:rPr>
          <w:rFonts w:hint="eastAsia"/>
          <w:color w:val="000000"/>
        </w:rPr>
        <w:t xml:space="preserve"> 邮政编码：</w:t>
      </w:r>
      <w:r>
        <w:rPr>
          <w:rFonts w:hint="eastAsia"/>
          <w:color w:val="000000"/>
          <w:u w:val="single"/>
        </w:rPr>
        <w:t xml:space="preserve">           </w:t>
      </w:r>
    </w:p>
    <w:p>
      <w:pPr>
        <w:snapToGrid w:val="0"/>
        <w:spacing w:line="440" w:lineRule="atLeast"/>
        <w:ind w:left="2174" w:leftChars="247" w:hanging="1581" w:hangingChars="659"/>
        <w:rPr>
          <w:rFonts w:hint="eastAsia"/>
          <w:color w:val="000000"/>
          <w:u w:val="single"/>
        </w:rPr>
      </w:pPr>
      <w:r>
        <w:rPr>
          <w:rFonts w:hint="eastAsia"/>
          <w:color w:val="000000"/>
        </w:rPr>
        <w:t>电话：</w:t>
      </w:r>
      <w:r>
        <w:rPr>
          <w:rFonts w:hint="eastAsia"/>
          <w:color w:val="000000"/>
          <w:u w:val="single"/>
        </w:rPr>
        <w:t xml:space="preserve">                   </w:t>
      </w:r>
      <w:r>
        <w:rPr>
          <w:rFonts w:hint="eastAsia"/>
          <w:color w:val="000000"/>
        </w:rPr>
        <w:t xml:space="preserve"> 传真：</w:t>
      </w:r>
      <w:r>
        <w:rPr>
          <w:rFonts w:hint="eastAsia"/>
          <w:color w:val="000000"/>
          <w:u w:val="single"/>
        </w:rPr>
        <w:t xml:space="preserve">                      </w:t>
      </w:r>
    </w:p>
    <w:p>
      <w:pPr>
        <w:snapToGrid w:val="0"/>
        <w:spacing w:line="440" w:lineRule="atLeast"/>
        <w:ind w:left="2174" w:leftChars="247" w:hanging="1581" w:hangingChars="659"/>
        <w:rPr>
          <w:rFonts w:hint="eastAsia"/>
          <w:color w:val="000000"/>
          <w:u w:val="single"/>
        </w:rPr>
      </w:pPr>
      <w:r>
        <w:rPr>
          <w:rFonts w:hint="eastAsia"/>
          <w:color w:val="000000"/>
        </w:rPr>
        <w:t>供应商：</w:t>
      </w:r>
      <w:r>
        <w:rPr>
          <w:rFonts w:hint="eastAsia"/>
          <w:color w:val="000000"/>
          <w:u w:val="single"/>
        </w:rPr>
        <w:t xml:space="preserve">                                      （盖章）</w:t>
      </w:r>
    </w:p>
    <w:p>
      <w:pPr>
        <w:snapToGrid w:val="0"/>
        <w:spacing w:line="440" w:lineRule="atLeast"/>
        <w:ind w:left="2174" w:leftChars="247" w:hanging="1581" w:hangingChars="659"/>
        <w:rPr>
          <w:rFonts w:hint="eastAsia"/>
          <w:color w:val="000000"/>
        </w:rPr>
      </w:pPr>
      <w:r>
        <w:rPr>
          <w:rFonts w:hint="eastAsia"/>
          <w:color w:val="000000"/>
        </w:rPr>
        <w:t>法定代表人（负责人）：</w:t>
      </w:r>
      <w:r>
        <w:rPr>
          <w:rFonts w:hint="eastAsia"/>
          <w:color w:val="000000"/>
          <w:u w:val="single"/>
        </w:rPr>
        <w:t xml:space="preserve">                            （签字或签章）</w:t>
      </w:r>
    </w:p>
    <w:p>
      <w:pPr>
        <w:snapToGrid w:val="0"/>
        <w:spacing w:line="440" w:lineRule="atLeast"/>
        <w:ind w:left="2699"/>
        <w:rPr>
          <w:rFonts w:hint="eastAsia"/>
          <w:color w:val="000000"/>
        </w:rPr>
      </w:pPr>
    </w:p>
    <w:p>
      <w:pPr>
        <w:snapToGrid w:val="0"/>
        <w:spacing w:line="440" w:lineRule="atLeast"/>
        <w:ind w:left="3238" w:leftChars="1349" w:firstLine="2400" w:firstLineChars="1000"/>
        <w:rPr>
          <w:rFonts w:hint="eastAsia"/>
          <w:color w:val="000000"/>
        </w:rPr>
      </w:pPr>
    </w:p>
    <w:p>
      <w:pPr>
        <w:snapToGrid w:val="0"/>
        <w:spacing w:line="440" w:lineRule="atLeast"/>
        <w:ind w:firstLine="3600" w:firstLineChars="1500"/>
        <w:jc w:val="right"/>
        <w:rPr>
          <w:rFonts w:hint="eastAsia"/>
          <w:color w:val="000000"/>
        </w:rPr>
      </w:pPr>
      <w:r>
        <w:rPr>
          <w:rFonts w:hint="eastAsia"/>
          <w:color w:val="000000"/>
        </w:rPr>
        <w:t>授权委托日期：</w:t>
      </w:r>
      <w:r>
        <w:rPr>
          <w:rFonts w:hint="eastAsia"/>
          <w:color w:val="000000"/>
          <w:u w:val="single"/>
        </w:rPr>
        <w:t xml:space="preserve">     </w:t>
      </w:r>
      <w:r>
        <w:rPr>
          <w:rFonts w:hint="eastAsia"/>
          <w:color w:val="000000"/>
        </w:rPr>
        <w:t xml:space="preserve">年 </w:t>
      </w:r>
      <w:r>
        <w:rPr>
          <w:rFonts w:hint="eastAsia"/>
          <w:color w:val="000000"/>
          <w:u w:val="single"/>
        </w:rPr>
        <w:t xml:space="preserve">    </w:t>
      </w:r>
      <w:r>
        <w:rPr>
          <w:rFonts w:hint="eastAsia"/>
          <w:color w:val="000000"/>
        </w:rPr>
        <w:t>月</w:t>
      </w:r>
      <w:r>
        <w:rPr>
          <w:rFonts w:hint="eastAsia"/>
          <w:color w:val="000000"/>
          <w:u w:val="single"/>
        </w:rPr>
        <w:t xml:space="preserve">     </w:t>
      </w:r>
      <w:r>
        <w:rPr>
          <w:rFonts w:hint="eastAsia"/>
          <w:color w:val="000000"/>
        </w:rPr>
        <w:t>日</w:t>
      </w:r>
    </w:p>
    <w:p>
      <w:pPr>
        <w:spacing w:line="360" w:lineRule="auto"/>
        <w:ind w:firstLine="3614" w:firstLineChars="1500"/>
        <w:jc w:val="right"/>
        <w:rPr>
          <w:rFonts w:hint="eastAsia"/>
          <w:b/>
          <w:color w:val="000000"/>
        </w:rPr>
      </w:pP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33"/>
              <w:widowControl w:val="0"/>
              <w:adjustRightInd w:val="0"/>
              <w:snapToGrid w:val="0"/>
              <w:spacing w:line="320" w:lineRule="atLeast"/>
              <w:jc w:val="both"/>
              <w:rPr>
                <w:rFonts w:hint="eastAsia" w:hAnsi="宋体"/>
                <w:color w:val="000000"/>
                <w:sz w:val="36"/>
                <w:szCs w:val="24"/>
                <w:u w:val="single"/>
              </w:rPr>
            </w:pPr>
          </w:p>
          <w:p>
            <w:pPr>
              <w:pStyle w:val="33"/>
              <w:widowControl w:val="0"/>
              <w:adjustRightInd w:val="0"/>
              <w:snapToGrid w:val="0"/>
              <w:spacing w:line="320" w:lineRule="atLeast"/>
              <w:jc w:val="both"/>
              <w:rPr>
                <w:rFonts w:hint="eastAsia" w:hAnsi="宋体"/>
                <w:color w:val="000000"/>
                <w:sz w:val="36"/>
                <w:szCs w:val="24"/>
                <w:u w:val="single"/>
              </w:rPr>
            </w:pPr>
          </w:p>
          <w:p>
            <w:pPr>
              <w:pStyle w:val="33"/>
              <w:widowControl w:val="0"/>
              <w:adjustRightInd w:val="0"/>
              <w:snapToGrid w:val="0"/>
              <w:spacing w:line="320" w:lineRule="atLeast"/>
              <w:jc w:val="center"/>
              <w:rPr>
                <w:rFonts w:hint="eastAsia"/>
                <w:b/>
                <w:color w:val="000000"/>
                <w:sz w:val="24"/>
                <w:szCs w:val="24"/>
              </w:rPr>
            </w:pPr>
            <w:r>
              <w:rPr>
                <w:rFonts w:hint="eastAsia"/>
                <w:b/>
                <w:color w:val="000000"/>
                <w:sz w:val="24"/>
                <w:szCs w:val="24"/>
              </w:rPr>
              <w:t>（授权代表身份证复印件或影印件）</w:t>
            </w:r>
          </w:p>
        </w:tc>
      </w:tr>
    </w:tbl>
    <w:p>
      <w:pPr>
        <w:spacing w:line="360" w:lineRule="auto"/>
        <w:ind w:firstLine="3614" w:firstLineChars="1500"/>
        <w:jc w:val="right"/>
        <w:rPr>
          <w:rFonts w:hint="eastAsia"/>
          <w:b/>
          <w:color w:val="000000"/>
        </w:rPr>
      </w:pPr>
    </w:p>
    <w:p>
      <w:pPr>
        <w:pStyle w:val="33"/>
        <w:adjustRightInd w:val="0"/>
        <w:snapToGrid w:val="0"/>
        <w:spacing w:line="320" w:lineRule="atLeast"/>
        <w:jc w:val="center"/>
        <w:outlineLvl w:val="0"/>
        <w:rPr>
          <w:rFonts w:hint="eastAsia" w:hAnsi="宋体"/>
          <w:b/>
          <w:color w:val="000000"/>
          <w:sz w:val="36"/>
        </w:rPr>
      </w:pPr>
    </w:p>
    <w:p>
      <w:pPr>
        <w:pStyle w:val="33"/>
        <w:adjustRightInd w:val="0"/>
        <w:snapToGrid w:val="0"/>
        <w:spacing w:line="320" w:lineRule="atLeast"/>
        <w:outlineLvl w:val="0"/>
        <w:rPr>
          <w:rFonts w:hint="eastAsia"/>
          <w:color w:val="000000"/>
          <w:sz w:val="32"/>
        </w:rPr>
      </w:pPr>
      <w:r>
        <w:rPr>
          <w:rFonts w:hint="eastAsia" w:hAnsi="宋体" w:cs="宋体"/>
          <w:color w:val="000000"/>
          <w:kern w:val="0"/>
          <w:sz w:val="32"/>
          <w:szCs w:val="24"/>
        </w:rPr>
        <w:t>3.</w:t>
      </w:r>
      <w:r>
        <w:rPr>
          <w:rFonts w:hint="eastAsia"/>
          <w:color w:val="000000"/>
          <w:sz w:val="32"/>
        </w:rPr>
        <w:t>6投标供应商情况声明</w:t>
      </w:r>
    </w:p>
    <w:p>
      <w:pPr>
        <w:pStyle w:val="33"/>
        <w:adjustRightInd w:val="0"/>
        <w:snapToGrid w:val="0"/>
        <w:spacing w:line="320" w:lineRule="atLeast"/>
        <w:jc w:val="center"/>
        <w:outlineLvl w:val="0"/>
        <w:rPr>
          <w:rFonts w:hAnsi="宋体"/>
          <w:b/>
          <w:color w:val="000000"/>
          <w:sz w:val="36"/>
        </w:rPr>
      </w:pPr>
      <w:r>
        <w:rPr>
          <w:rFonts w:hint="eastAsia" w:hAnsi="宋体"/>
          <w:b/>
          <w:color w:val="000000"/>
          <w:sz w:val="36"/>
        </w:rPr>
        <w:t>投标供应商情况声明</w:t>
      </w:r>
    </w:p>
    <w:p>
      <w:pPr>
        <w:spacing w:line="400" w:lineRule="exact"/>
        <w:outlineLvl w:val="0"/>
        <w:rPr>
          <w:rFonts w:hint="eastAsia"/>
          <w:color w:val="000000"/>
          <w:sz w:val="22"/>
        </w:rPr>
      </w:pPr>
      <w:r>
        <w:rPr>
          <w:rFonts w:hint="eastAsia"/>
          <w:color w:val="000000"/>
          <w:sz w:val="22"/>
        </w:rPr>
        <w:t>1. 名称及概况：</w:t>
      </w:r>
    </w:p>
    <w:p>
      <w:pPr>
        <w:spacing w:line="400" w:lineRule="exact"/>
        <w:rPr>
          <w:rFonts w:hint="eastAsia"/>
          <w:color w:val="000000"/>
          <w:sz w:val="22"/>
        </w:rPr>
      </w:pPr>
      <w:r>
        <w:rPr>
          <w:rFonts w:hint="eastAsia"/>
          <w:color w:val="000000"/>
          <w:sz w:val="22"/>
        </w:rPr>
        <w:t>（1）供应商名称：</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（2）总部地址：</w:t>
      </w:r>
      <w:r>
        <w:rPr>
          <w:rFonts w:hint="eastAsia"/>
          <w:color w:val="000000"/>
          <w:sz w:val="22"/>
          <w:u w:val="single"/>
        </w:rPr>
        <w:t xml:space="preserve">                             </w:t>
      </w:r>
    </w:p>
    <w:p>
      <w:pPr>
        <w:spacing w:line="400" w:lineRule="exact"/>
        <w:ind w:firstLine="600"/>
        <w:rPr>
          <w:rFonts w:hint="eastAsia"/>
          <w:color w:val="000000"/>
          <w:sz w:val="22"/>
          <w:u w:val="single"/>
        </w:rPr>
      </w:pPr>
      <w:r>
        <w:rPr>
          <w:rFonts w:hint="eastAsia"/>
          <w:color w:val="000000"/>
          <w:sz w:val="22"/>
        </w:rPr>
        <w:t>传真/电话号码：</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（3）温州设立长期驻点办公地址（如有）：</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 xml:space="preserve">     电话号码：</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（4）成立或注册日期：</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（5）实收资本：</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（6）近期资产负债表（到</w:t>
      </w:r>
      <w:r>
        <w:rPr>
          <w:rFonts w:hint="eastAsia"/>
          <w:color w:val="000000"/>
          <w:sz w:val="22"/>
          <w:u w:val="single"/>
        </w:rPr>
        <w:t xml:space="preserve">        </w:t>
      </w:r>
      <w:r>
        <w:rPr>
          <w:rFonts w:hint="eastAsia"/>
          <w:color w:val="000000"/>
          <w:sz w:val="22"/>
        </w:rPr>
        <w:t>年</w:t>
      </w:r>
      <w:r>
        <w:rPr>
          <w:rFonts w:hint="eastAsia"/>
          <w:color w:val="000000"/>
          <w:sz w:val="22"/>
          <w:u w:val="single"/>
        </w:rPr>
        <w:t xml:space="preserve">    </w:t>
      </w:r>
      <w:r>
        <w:rPr>
          <w:rFonts w:hint="eastAsia"/>
          <w:color w:val="000000"/>
          <w:sz w:val="22"/>
        </w:rPr>
        <w:t>月</w:t>
      </w:r>
      <w:r>
        <w:rPr>
          <w:rFonts w:hint="eastAsia"/>
          <w:color w:val="000000"/>
          <w:sz w:val="22"/>
          <w:u w:val="single"/>
        </w:rPr>
        <w:t xml:space="preserve">    </w:t>
      </w:r>
      <w:r>
        <w:rPr>
          <w:rFonts w:hint="eastAsia"/>
          <w:color w:val="000000"/>
          <w:sz w:val="22"/>
        </w:rPr>
        <w:t>日止）</w:t>
      </w:r>
    </w:p>
    <w:p>
      <w:pPr>
        <w:spacing w:line="400" w:lineRule="exact"/>
        <w:rPr>
          <w:rFonts w:hint="eastAsia"/>
          <w:color w:val="000000"/>
          <w:sz w:val="22"/>
        </w:rPr>
      </w:pPr>
      <w:r>
        <w:rPr>
          <w:rFonts w:hint="eastAsia"/>
          <w:color w:val="000000"/>
          <w:sz w:val="22"/>
        </w:rPr>
        <w:t xml:space="preserve">  1）固定资产：</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 xml:space="preserve">  2）流动资产：</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 xml:space="preserve">  3）长期负债：</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 xml:space="preserve">  4）流动负债：</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 xml:space="preserve">  5）净值：</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（6）主要负责人姓名：</w:t>
      </w:r>
      <w:r>
        <w:rPr>
          <w:rFonts w:hint="eastAsia"/>
          <w:color w:val="000000"/>
          <w:sz w:val="22"/>
          <w:u w:val="single"/>
        </w:rPr>
        <w:t xml:space="preserve">                      </w:t>
      </w:r>
    </w:p>
    <w:p>
      <w:pPr>
        <w:spacing w:line="360" w:lineRule="exact"/>
        <w:ind w:left="660" w:hanging="660" w:hangingChars="300"/>
        <w:rPr>
          <w:rFonts w:hint="eastAsia"/>
          <w:color w:val="000000"/>
          <w:sz w:val="22"/>
        </w:rPr>
      </w:pPr>
      <w:r>
        <w:rPr>
          <w:rFonts w:hint="eastAsia"/>
          <w:color w:val="000000"/>
          <w:sz w:val="22"/>
        </w:rPr>
        <w:t>2．企业生产设备及规模：</w:t>
      </w:r>
    </w:p>
    <w:p>
      <w:pPr>
        <w:spacing w:line="360" w:lineRule="exact"/>
        <w:ind w:left="660" w:hanging="660" w:hangingChars="300"/>
        <w:outlineLvl w:val="0"/>
        <w:rPr>
          <w:rFonts w:hint="eastAsia"/>
          <w:color w:val="000000"/>
          <w:sz w:val="22"/>
        </w:rPr>
      </w:pPr>
      <w:r>
        <w:rPr>
          <w:rFonts w:hint="eastAsia"/>
          <w:color w:val="000000"/>
          <w:sz w:val="22"/>
        </w:rPr>
        <w:t>3. 企业人员情况：</w:t>
      </w:r>
    </w:p>
    <w:p>
      <w:pPr>
        <w:spacing w:line="400" w:lineRule="exact"/>
        <w:rPr>
          <w:rFonts w:hint="eastAsia"/>
          <w:color w:val="000000"/>
          <w:sz w:val="22"/>
        </w:rPr>
      </w:pPr>
      <w:r>
        <w:rPr>
          <w:rFonts w:hint="eastAsia"/>
          <w:color w:val="000000"/>
          <w:sz w:val="22"/>
        </w:rPr>
        <w:t>职工（在职）人数</w:t>
      </w:r>
      <w:r>
        <w:rPr>
          <w:rFonts w:hint="eastAsia"/>
          <w:color w:val="000000"/>
          <w:sz w:val="22"/>
          <w:u w:val="single"/>
        </w:rPr>
        <w:t xml:space="preserve">       </w:t>
      </w:r>
      <w:r>
        <w:rPr>
          <w:rFonts w:hint="eastAsia"/>
          <w:color w:val="000000"/>
          <w:sz w:val="22"/>
        </w:rPr>
        <w:t>人，其中技术人员</w:t>
      </w:r>
      <w:r>
        <w:rPr>
          <w:rFonts w:hint="eastAsia"/>
          <w:color w:val="000000"/>
          <w:sz w:val="22"/>
          <w:u w:val="single"/>
        </w:rPr>
        <w:t xml:space="preserve">       </w:t>
      </w:r>
      <w:r>
        <w:rPr>
          <w:rFonts w:hint="eastAsia"/>
          <w:color w:val="000000"/>
          <w:sz w:val="22"/>
        </w:rPr>
        <w:t>人，</w:t>
      </w:r>
    </w:p>
    <w:p>
      <w:pPr>
        <w:spacing w:line="360" w:lineRule="exact"/>
        <w:ind w:left="660" w:hanging="660" w:hangingChars="300"/>
        <w:outlineLvl w:val="0"/>
        <w:rPr>
          <w:rFonts w:hint="eastAsia"/>
          <w:color w:val="000000"/>
          <w:sz w:val="22"/>
        </w:rPr>
      </w:pPr>
      <w:r>
        <w:rPr>
          <w:rFonts w:hint="eastAsia"/>
          <w:color w:val="000000"/>
          <w:sz w:val="22"/>
        </w:rPr>
        <w:t>4. 近三年的年营业总额</w:t>
      </w:r>
      <w:r>
        <w:rPr>
          <w:rFonts w:hint="eastAsia"/>
          <w:color w:val="000000"/>
          <w:sz w:val="22"/>
          <w:u w:val="single"/>
        </w:rPr>
        <w:t xml:space="preserve">                       </w:t>
      </w:r>
    </w:p>
    <w:p>
      <w:pPr>
        <w:spacing w:line="400" w:lineRule="exact"/>
        <w:ind w:firstLine="220" w:firstLineChars="100"/>
        <w:rPr>
          <w:rFonts w:hint="eastAsia"/>
          <w:color w:val="000000"/>
          <w:sz w:val="22"/>
        </w:rPr>
      </w:pPr>
      <w:r>
        <w:rPr>
          <w:rFonts w:hint="eastAsia"/>
          <w:color w:val="000000"/>
          <w:sz w:val="22"/>
        </w:rPr>
        <w:t>兹证明上述声明是真实、正确的、并提供了全部能提供的资料和数据，我们同意遵照贵方要求出示有关证明文件。</w:t>
      </w:r>
    </w:p>
    <w:p>
      <w:pPr>
        <w:spacing w:line="400" w:lineRule="exact"/>
        <w:rPr>
          <w:rFonts w:hint="eastAsia"/>
          <w:color w:val="000000"/>
          <w:sz w:val="22"/>
        </w:rPr>
      </w:pPr>
    </w:p>
    <w:p>
      <w:pPr>
        <w:spacing w:line="400" w:lineRule="exact"/>
        <w:rPr>
          <w:rFonts w:hint="eastAsia"/>
          <w:color w:val="000000"/>
          <w:sz w:val="22"/>
        </w:rPr>
      </w:pPr>
      <w:r>
        <w:rPr>
          <w:rFonts w:hint="eastAsia"/>
          <w:color w:val="000000"/>
          <w:sz w:val="22"/>
        </w:rPr>
        <w:t>供应商名称</w:t>
      </w:r>
      <w:r>
        <w:rPr>
          <w:rFonts w:hint="eastAsia"/>
          <w:color w:val="000000"/>
          <w:sz w:val="22"/>
          <w:u w:val="single"/>
        </w:rPr>
        <w:t xml:space="preserve">                               （盖章）</w:t>
      </w:r>
    </w:p>
    <w:p>
      <w:pPr>
        <w:spacing w:line="400" w:lineRule="exact"/>
        <w:rPr>
          <w:rFonts w:hint="eastAsia"/>
          <w:color w:val="000000"/>
          <w:sz w:val="22"/>
        </w:rPr>
      </w:pPr>
      <w:r>
        <w:rPr>
          <w:rFonts w:hint="eastAsia"/>
          <w:color w:val="000000"/>
          <w:sz w:val="22"/>
        </w:rPr>
        <w:t>法定代表人姓名和职务</w:t>
      </w:r>
      <w:r>
        <w:rPr>
          <w:rFonts w:hint="eastAsia"/>
          <w:color w:val="000000"/>
          <w:sz w:val="22"/>
          <w:u w:val="single"/>
        </w:rPr>
        <w:t xml:space="preserve">                     </w:t>
      </w:r>
    </w:p>
    <w:p>
      <w:pPr>
        <w:spacing w:line="400" w:lineRule="exact"/>
        <w:rPr>
          <w:rFonts w:hint="eastAsia"/>
          <w:color w:val="000000"/>
          <w:sz w:val="22"/>
        </w:rPr>
      </w:pPr>
      <w:r>
        <w:rPr>
          <w:rFonts w:hint="eastAsia"/>
          <w:color w:val="000000"/>
        </w:rPr>
        <w:t>法定代表人（负责人）或</w:t>
      </w:r>
      <w:r>
        <w:rPr>
          <w:rFonts w:hint="eastAsia" w:cs="仿宋_GB2312"/>
          <w:color w:val="000000"/>
          <w:sz w:val="22"/>
          <w:szCs w:val="22"/>
          <w:lang w:val="zh-CN"/>
        </w:rPr>
        <w:t>授权代表（签字或签章）</w:t>
      </w:r>
      <w:r>
        <w:rPr>
          <w:rFonts w:hint="eastAsia"/>
          <w:color w:val="000000"/>
          <w:sz w:val="22"/>
          <w:u w:val="single"/>
        </w:rPr>
        <w:t xml:space="preserve">                           </w:t>
      </w:r>
    </w:p>
    <w:p>
      <w:pPr>
        <w:spacing w:line="400" w:lineRule="exact"/>
        <w:rPr>
          <w:rFonts w:hint="eastAsia"/>
          <w:color w:val="000000"/>
          <w:sz w:val="22"/>
        </w:rPr>
      </w:pPr>
      <w:r>
        <w:rPr>
          <w:rFonts w:hint="eastAsia"/>
          <w:color w:val="000000"/>
          <w:sz w:val="22"/>
        </w:rPr>
        <w:t>签字日期</w:t>
      </w:r>
      <w:r>
        <w:rPr>
          <w:rFonts w:hint="eastAsia"/>
          <w:color w:val="000000"/>
          <w:sz w:val="22"/>
          <w:u w:val="single"/>
        </w:rPr>
        <w:t xml:space="preserve">                                 </w:t>
      </w:r>
    </w:p>
    <w:p>
      <w:pPr>
        <w:spacing w:line="360" w:lineRule="exact"/>
        <w:rPr>
          <w:rFonts w:hint="eastAsia"/>
          <w:color w:val="000000"/>
          <w:sz w:val="22"/>
          <w:u w:val="single"/>
        </w:rPr>
      </w:pPr>
      <w:r>
        <w:rPr>
          <w:rFonts w:hint="eastAsia"/>
          <w:color w:val="000000"/>
          <w:sz w:val="22"/>
        </w:rPr>
        <w:t>电子邮件</w:t>
      </w:r>
      <w:r>
        <w:rPr>
          <w:rFonts w:hint="eastAsia"/>
          <w:color w:val="000000"/>
          <w:sz w:val="22"/>
          <w:u w:val="single"/>
        </w:rPr>
        <w:t xml:space="preserve">                                 </w:t>
      </w: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pStyle w:val="33"/>
        <w:spacing w:line="400" w:lineRule="atLeast"/>
        <w:rPr>
          <w:rFonts w:hint="eastAsia" w:hAnsi="宋体"/>
          <w:b/>
          <w:color w:val="000000"/>
          <w:sz w:val="32"/>
          <w:szCs w:val="32"/>
        </w:rPr>
      </w:pPr>
    </w:p>
    <w:p>
      <w:pPr>
        <w:spacing w:line="360" w:lineRule="auto"/>
        <w:jc w:val="center"/>
        <w:rPr>
          <w:rFonts w:hint="eastAsia"/>
          <w:b/>
          <w:bCs/>
          <w:color w:val="000000"/>
          <w:spacing w:val="20"/>
        </w:rPr>
      </w:pPr>
    </w:p>
    <w:p>
      <w:pPr>
        <w:rPr>
          <w:color w:val="000000"/>
          <w:spacing w:val="20"/>
        </w:rPr>
      </w:pPr>
      <w:r>
        <w:rPr>
          <w:rFonts w:hint="eastAsia"/>
          <w:color w:val="000000"/>
          <w:sz w:val="32"/>
        </w:rPr>
        <w:t>3.7</w:t>
      </w:r>
      <w:r>
        <w:rPr>
          <w:rFonts w:hint="eastAsia"/>
          <w:b/>
          <w:color w:val="000000"/>
          <w:spacing w:val="20"/>
          <w:sz w:val="32"/>
          <w:szCs w:val="32"/>
        </w:rPr>
        <w:t>投标产品的数量、配置及主要技术参数表</w:t>
      </w:r>
    </w:p>
    <w:p>
      <w:pPr>
        <w:pStyle w:val="33"/>
        <w:spacing w:line="400" w:lineRule="atLeast"/>
        <w:rPr>
          <w:rFonts w:hAnsi="宋体"/>
          <w:b/>
          <w:color w:val="000000"/>
          <w:sz w:val="32"/>
          <w:szCs w:val="32"/>
        </w:rPr>
      </w:pPr>
    </w:p>
    <w:p>
      <w:pPr>
        <w:jc w:val="center"/>
        <w:rPr>
          <w:color w:val="000000"/>
          <w:spacing w:val="20"/>
        </w:rPr>
      </w:pPr>
      <w:r>
        <w:rPr>
          <w:rFonts w:hint="eastAsia"/>
          <w:b/>
          <w:color w:val="000000"/>
          <w:spacing w:val="20"/>
          <w:sz w:val="32"/>
          <w:szCs w:val="32"/>
        </w:rPr>
        <w:t>投标产品的数量、配置及主要技术参数表</w:t>
      </w:r>
    </w:p>
    <w:p>
      <w:pPr>
        <w:rPr>
          <w:rFonts w:hint="eastAsia"/>
          <w:b/>
          <w:color w:val="000000"/>
          <w:spacing w:val="20"/>
        </w:rPr>
      </w:pPr>
      <w:r>
        <w:rPr>
          <w:rFonts w:hint="eastAsia"/>
          <w:b/>
          <w:color w:val="000000"/>
          <w:spacing w:val="20"/>
        </w:rPr>
        <w:t>供应商名称：</w:t>
      </w:r>
      <w:r>
        <w:rPr>
          <w:rFonts w:hint="eastAsia"/>
          <w:b/>
          <w:color w:val="000000"/>
          <w:spacing w:val="20"/>
          <w:u w:val="single"/>
        </w:rPr>
        <w:t xml:space="preserve">          </w:t>
      </w:r>
      <w:r>
        <w:rPr>
          <w:rFonts w:hint="eastAsia"/>
          <w:b/>
          <w:color w:val="000000"/>
          <w:spacing w:val="20"/>
        </w:rPr>
        <w:t xml:space="preserve">  招标编号：    </w:t>
      </w:r>
    </w:p>
    <w:p>
      <w:pPr>
        <w:rPr>
          <w:b/>
          <w:color w:val="000000"/>
          <w:spacing w:val="20"/>
        </w:rPr>
      </w:pPr>
      <w:r>
        <w:rPr>
          <w:rFonts w:hint="eastAsia"/>
          <w:b/>
          <w:color w:val="000000"/>
          <w:spacing w:val="20"/>
        </w:rPr>
        <w:t>项目名称：</w:t>
      </w:r>
      <w:r>
        <w:rPr>
          <w:rFonts w:hint="eastAsia"/>
          <w:b/>
          <w:color w:val="000000"/>
          <w:spacing w:val="20"/>
          <w:u w:val="single"/>
        </w:rPr>
        <w:t xml:space="preserve">         </w:t>
      </w:r>
    </w:p>
    <w:tbl>
      <w:tblPr>
        <w:tblStyle w:val="5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000000"/>
                <w:spacing w:val="20"/>
              </w:rPr>
            </w:pPr>
            <w:r>
              <w:rPr>
                <w:rFonts w:hint="eastAsia"/>
                <w:b/>
                <w:color w:val="000000"/>
                <w:spacing w:val="20"/>
              </w:rPr>
              <w:t>货号</w:t>
            </w:r>
          </w:p>
        </w:tc>
        <w:tc>
          <w:tcPr>
            <w:tcW w:w="1671" w:type="dxa"/>
            <w:vAlign w:val="center"/>
          </w:tcPr>
          <w:p>
            <w:pPr>
              <w:jc w:val="center"/>
              <w:rPr>
                <w:b/>
                <w:color w:val="000000"/>
                <w:spacing w:val="20"/>
              </w:rPr>
            </w:pPr>
            <w:r>
              <w:rPr>
                <w:rFonts w:hint="eastAsia"/>
                <w:b/>
                <w:color w:val="000000"/>
                <w:spacing w:val="20"/>
              </w:rPr>
              <w:t>货物名称</w:t>
            </w:r>
          </w:p>
        </w:tc>
        <w:tc>
          <w:tcPr>
            <w:tcW w:w="1322" w:type="dxa"/>
            <w:vAlign w:val="center"/>
          </w:tcPr>
          <w:p>
            <w:pPr>
              <w:jc w:val="center"/>
              <w:rPr>
                <w:b/>
                <w:color w:val="000000"/>
                <w:spacing w:val="20"/>
              </w:rPr>
            </w:pPr>
            <w:r>
              <w:rPr>
                <w:rFonts w:hint="eastAsia"/>
                <w:b/>
                <w:color w:val="000000"/>
                <w:spacing w:val="20"/>
              </w:rPr>
              <w:t>品牌产地</w:t>
            </w:r>
          </w:p>
        </w:tc>
        <w:tc>
          <w:tcPr>
            <w:tcW w:w="2019" w:type="dxa"/>
            <w:vAlign w:val="center"/>
          </w:tcPr>
          <w:p>
            <w:pPr>
              <w:jc w:val="center"/>
              <w:rPr>
                <w:b/>
                <w:color w:val="000000"/>
                <w:spacing w:val="20"/>
              </w:rPr>
            </w:pPr>
            <w:r>
              <w:rPr>
                <w:rFonts w:hint="eastAsia"/>
                <w:b/>
                <w:color w:val="000000"/>
                <w:spacing w:val="20"/>
              </w:rPr>
              <w:t>主要规格、型号</w:t>
            </w:r>
          </w:p>
        </w:tc>
        <w:tc>
          <w:tcPr>
            <w:tcW w:w="836" w:type="dxa"/>
            <w:vAlign w:val="center"/>
          </w:tcPr>
          <w:p>
            <w:pPr>
              <w:jc w:val="center"/>
              <w:rPr>
                <w:b/>
                <w:color w:val="000000"/>
                <w:spacing w:val="20"/>
              </w:rPr>
            </w:pPr>
            <w:r>
              <w:rPr>
                <w:rFonts w:hint="eastAsia"/>
                <w:b/>
                <w:color w:val="000000"/>
                <w:spacing w:val="20"/>
              </w:rPr>
              <w:t>数量</w:t>
            </w:r>
          </w:p>
        </w:tc>
        <w:tc>
          <w:tcPr>
            <w:tcW w:w="2480" w:type="dxa"/>
            <w:vAlign w:val="center"/>
          </w:tcPr>
          <w:p>
            <w:pPr>
              <w:jc w:val="center"/>
              <w:rPr>
                <w:b/>
                <w:color w:val="000000"/>
                <w:spacing w:val="20"/>
              </w:rPr>
            </w:pPr>
            <w:r>
              <w:rPr>
                <w:rFonts w:hint="eastAsia"/>
                <w:b/>
                <w:color w:val="000000"/>
                <w:spacing w:val="20"/>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vAlign w:val="center"/>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vAlign w:val="center"/>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vAlign w:val="center"/>
          </w:tcPr>
          <w:p>
            <w:pPr>
              <w:jc w:val="center"/>
              <w:rPr>
                <w:color w:val="000000"/>
                <w:spacing w:val="2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vAlign w:val="center"/>
          </w:tcPr>
          <w:p>
            <w:pPr>
              <w:jc w:val="center"/>
              <w:rPr>
                <w:color w:val="000000"/>
                <w:spacing w:val="2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vAlign w:val="center"/>
          </w:tcPr>
          <w:p>
            <w:pPr>
              <w:jc w:val="center"/>
              <w:rPr>
                <w:color w:val="000000"/>
                <w:spacing w:val="2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vAlign w:val="center"/>
          </w:tcPr>
          <w:p>
            <w:pPr>
              <w:jc w:val="center"/>
              <w:rPr>
                <w:color w:val="000000"/>
                <w:spacing w:val="2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spacing w:val="20"/>
              </w:rPr>
            </w:pPr>
          </w:p>
        </w:tc>
        <w:tc>
          <w:tcPr>
            <w:tcW w:w="1671" w:type="dxa"/>
          </w:tcPr>
          <w:p>
            <w:pPr>
              <w:spacing w:line="400" w:lineRule="exact"/>
              <w:jc w:val="center"/>
              <w:rPr>
                <w:color w:val="000000"/>
              </w:rPr>
            </w:pPr>
          </w:p>
        </w:tc>
        <w:tc>
          <w:tcPr>
            <w:tcW w:w="1322" w:type="dxa"/>
            <w:vAlign w:val="center"/>
          </w:tcPr>
          <w:p>
            <w:pPr>
              <w:jc w:val="center"/>
              <w:rPr>
                <w:color w:val="000000"/>
                <w:spacing w:val="20"/>
              </w:rPr>
            </w:pPr>
          </w:p>
        </w:tc>
        <w:tc>
          <w:tcPr>
            <w:tcW w:w="2019" w:type="dxa"/>
            <w:vAlign w:val="center"/>
          </w:tcPr>
          <w:p>
            <w:pPr>
              <w:jc w:val="center"/>
              <w:rPr>
                <w:color w:val="000000"/>
                <w:spacing w:val="20"/>
              </w:rPr>
            </w:pPr>
          </w:p>
        </w:tc>
        <w:tc>
          <w:tcPr>
            <w:tcW w:w="836" w:type="dxa"/>
            <w:vAlign w:val="center"/>
          </w:tcPr>
          <w:p>
            <w:pPr>
              <w:jc w:val="center"/>
              <w:rPr>
                <w:color w:val="000000"/>
                <w:spacing w:val="20"/>
              </w:rPr>
            </w:pPr>
          </w:p>
        </w:tc>
        <w:tc>
          <w:tcPr>
            <w:tcW w:w="2480" w:type="dxa"/>
            <w:vAlign w:val="center"/>
          </w:tcPr>
          <w:p>
            <w:pPr>
              <w:jc w:val="center"/>
              <w:rPr>
                <w:color w:val="000000"/>
                <w:spacing w:val="20"/>
              </w:rPr>
            </w:pPr>
          </w:p>
        </w:tc>
      </w:tr>
    </w:tbl>
    <w:p>
      <w:pPr>
        <w:spacing w:line="360" w:lineRule="auto"/>
        <w:rPr>
          <w:color w:val="000000"/>
          <w:spacing w:val="20"/>
        </w:rPr>
      </w:pPr>
      <w:r>
        <w:rPr>
          <w:rFonts w:hint="eastAsia"/>
          <w:b/>
          <w:color w:val="000000"/>
          <w:spacing w:val="20"/>
        </w:rPr>
        <w:t>供应商盖章</w:t>
      </w:r>
      <w:r>
        <w:rPr>
          <w:rFonts w:hint="eastAsia"/>
          <w:color w:val="000000"/>
          <w:spacing w:val="20"/>
        </w:rPr>
        <w:t>：</w:t>
      </w:r>
      <w:r>
        <w:rPr>
          <w:rFonts w:hint="eastAsia"/>
          <w:color w:val="000000"/>
          <w:spacing w:val="20"/>
          <w:u w:val="single"/>
        </w:rPr>
        <w:t xml:space="preserve">               </w:t>
      </w:r>
      <w:r>
        <w:rPr>
          <w:rFonts w:hint="eastAsia"/>
          <w:color w:val="000000"/>
          <w:spacing w:val="20"/>
        </w:rPr>
        <w:t xml:space="preserve">   </w:t>
      </w:r>
    </w:p>
    <w:p>
      <w:pPr>
        <w:spacing w:line="360" w:lineRule="auto"/>
        <w:rPr>
          <w:b/>
          <w:color w:val="000000"/>
          <w:sz w:val="32"/>
          <w:lang w:val="zh-CN"/>
        </w:rPr>
      </w:pPr>
      <w:r>
        <w:rPr>
          <w:rFonts w:hint="eastAsia"/>
          <w:b/>
          <w:i/>
          <w:color w:val="000000"/>
          <w:spacing w:val="20"/>
        </w:rPr>
        <w:t>注：1、货物详细配置、技术应另页描述。</w:t>
      </w:r>
    </w:p>
    <w:p>
      <w:pPr>
        <w:autoSpaceDE w:val="0"/>
        <w:autoSpaceDN w:val="0"/>
        <w:adjustRightInd w:val="0"/>
        <w:rPr>
          <w:b/>
          <w:color w:val="000000"/>
          <w:sz w:val="32"/>
          <w:lang w:val="zh-CN"/>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color w:val="000000"/>
          <w:sz w:val="32"/>
          <w:lang w:val="zh-CN"/>
        </w:rPr>
      </w:pPr>
      <w:r>
        <w:rPr>
          <w:rFonts w:hint="eastAsia"/>
          <w:b/>
          <w:color w:val="000000"/>
          <w:sz w:val="32"/>
          <w:lang w:val="zh-CN"/>
        </w:rPr>
        <w:t>3.8商务偏离表、技术偏离表</w:t>
      </w:r>
    </w:p>
    <w:p>
      <w:pPr>
        <w:autoSpaceDE w:val="0"/>
        <w:autoSpaceDN w:val="0"/>
        <w:adjustRightInd w:val="0"/>
        <w:spacing w:line="440" w:lineRule="atLeast"/>
        <w:ind w:firstLine="3413"/>
        <w:outlineLvl w:val="0"/>
        <w:rPr>
          <w:b/>
          <w:color w:val="000000"/>
          <w:sz w:val="36"/>
          <w:lang w:val="zh-CN"/>
        </w:rPr>
      </w:pPr>
      <w:r>
        <w:rPr>
          <w:rFonts w:hint="eastAsia"/>
          <w:b/>
          <w:color w:val="000000"/>
          <w:sz w:val="36"/>
          <w:lang w:val="zh-CN"/>
        </w:rPr>
        <w:t>商</w:t>
      </w:r>
      <w:r>
        <w:rPr>
          <w:b/>
          <w:color w:val="000000"/>
          <w:sz w:val="36"/>
          <w:lang w:val="zh-CN"/>
        </w:rPr>
        <w:t xml:space="preserve"> </w:t>
      </w:r>
      <w:r>
        <w:rPr>
          <w:rFonts w:hint="eastAsia"/>
          <w:b/>
          <w:color w:val="000000"/>
          <w:sz w:val="36"/>
          <w:lang w:val="zh-CN"/>
        </w:rPr>
        <w:t>务</w:t>
      </w:r>
      <w:r>
        <w:rPr>
          <w:b/>
          <w:color w:val="000000"/>
          <w:sz w:val="36"/>
          <w:lang w:val="zh-CN"/>
        </w:rPr>
        <w:t xml:space="preserve"> </w:t>
      </w:r>
      <w:r>
        <w:rPr>
          <w:rFonts w:hint="eastAsia"/>
          <w:b/>
          <w:color w:val="000000"/>
          <w:sz w:val="36"/>
          <w:lang w:val="zh-CN"/>
        </w:rPr>
        <w:t>偏</w:t>
      </w:r>
      <w:r>
        <w:rPr>
          <w:b/>
          <w:color w:val="000000"/>
          <w:sz w:val="36"/>
          <w:lang w:val="zh-CN"/>
        </w:rPr>
        <w:t xml:space="preserve"> </w:t>
      </w:r>
      <w:r>
        <w:rPr>
          <w:rFonts w:hint="eastAsia"/>
          <w:b/>
          <w:color w:val="000000"/>
          <w:sz w:val="36"/>
          <w:lang w:val="zh-CN"/>
        </w:rPr>
        <w:t>离</w:t>
      </w:r>
      <w:r>
        <w:rPr>
          <w:b/>
          <w:color w:val="000000"/>
          <w:sz w:val="36"/>
          <w:lang w:val="zh-CN"/>
        </w:rPr>
        <w:t xml:space="preserve"> </w:t>
      </w:r>
      <w:r>
        <w:rPr>
          <w:rFonts w:hint="eastAsia"/>
          <w:b/>
          <w:color w:val="000000"/>
          <w:sz w:val="36"/>
          <w:lang w:val="zh-CN"/>
        </w:rPr>
        <w:t>表</w:t>
      </w:r>
    </w:p>
    <w:p>
      <w:pPr>
        <w:autoSpaceDE w:val="0"/>
        <w:autoSpaceDN w:val="0"/>
        <w:adjustRightInd w:val="0"/>
        <w:spacing w:line="440" w:lineRule="atLeast"/>
        <w:ind w:firstLine="3413"/>
        <w:rPr>
          <w:b/>
          <w:color w:val="000000"/>
          <w:sz w:val="36"/>
          <w:lang w:val="zh-CN"/>
        </w:rPr>
      </w:pPr>
    </w:p>
    <w:tbl>
      <w:tblPr>
        <w:tblStyle w:val="58"/>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序</w:t>
            </w:r>
            <w:r>
              <w:rPr>
                <w:b/>
                <w:color w:val="000000"/>
                <w:lang w:val="zh-CN"/>
              </w:rPr>
              <w:t xml:space="preserve"> </w:t>
            </w:r>
            <w:r>
              <w:rPr>
                <w:rFonts w:hint="eastAsia"/>
                <w:b/>
                <w:color w:val="000000"/>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投标文件</w:t>
            </w:r>
          </w:p>
          <w:p>
            <w:pPr>
              <w:autoSpaceDE w:val="0"/>
              <w:autoSpaceDN w:val="0"/>
              <w:adjustRightInd w:val="0"/>
              <w:spacing w:line="440" w:lineRule="atLeast"/>
              <w:jc w:val="center"/>
              <w:rPr>
                <w:b/>
                <w:color w:val="000000"/>
                <w:lang w:val="zh-CN"/>
              </w:rPr>
            </w:pPr>
            <w:r>
              <w:rPr>
                <w:rFonts w:hint="eastAsia"/>
                <w:b/>
                <w:color w:val="000000"/>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备</w:t>
            </w:r>
            <w:r>
              <w:rPr>
                <w:b/>
                <w:color w:val="000000"/>
                <w:lang w:val="zh-CN"/>
              </w:rPr>
              <w:t xml:space="preserve"> </w:t>
            </w:r>
            <w:r>
              <w:rPr>
                <w:rFonts w:hint="eastAsia"/>
                <w:b/>
                <w:color w:val="000000"/>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bl>
    <w:p>
      <w:pPr>
        <w:autoSpaceDE w:val="0"/>
        <w:autoSpaceDN w:val="0"/>
        <w:adjustRightInd w:val="0"/>
        <w:spacing w:line="440" w:lineRule="atLeast"/>
        <w:rPr>
          <w:b/>
          <w:color w:val="000000"/>
          <w:lang w:val="zh-CN"/>
        </w:rPr>
      </w:pPr>
      <w:r>
        <w:rPr>
          <w:rFonts w:hint="eastAsia"/>
          <w:b/>
          <w:color w:val="000000"/>
          <w:lang w:val="zh-CN"/>
        </w:rPr>
        <w:t>供应商盖章：</w:t>
      </w:r>
    </w:p>
    <w:p>
      <w:pPr>
        <w:autoSpaceDE w:val="0"/>
        <w:autoSpaceDN w:val="0"/>
        <w:adjustRightInd w:val="0"/>
        <w:spacing w:line="440" w:lineRule="atLeast"/>
        <w:rPr>
          <w:b/>
          <w:color w:val="000000"/>
          <w:sz w:val="32"/>
          <w:lang w:val="zh-CN"/>
        </w:rPr>
      </w:pPr>
    </w:p>
    <w:p>
      <w:pPr>
        <w:autoSpaceDE w:val="0"/>
        <w:autoSpaceDN w:val="0"/>
        <w:adjustRightInd w:val="0"/>
        <w:spacing w:line="440" w:lineRule="atLeast"/>
        <w:rPr>
          <w:b/>
          <w:color w:val="000000"/>
          <w:sz w:val="32"/>
          <w:lang w:val="zh-CN"/>
        </w:rPr>
      </w:pPr>
    </w:p>
    <w:p>
      <w:pPr>
        <w:autoSpaceDE w:val="0"/>
        <w:autoSpaceDN w:val="0"/>
        <w:adjustRightInd w:val="0"/>
        <w:spacing w:line="440" w:lineRule="atLeast"/>
        <w:outlineLvl w:val="0"/>
        <w:rPr>
          <w:b/>
          <w:color w:val="000000"/>
          <w:sz w:val="32"/>
          <w:lang w:val="zh-CN"/>
        </w:rPr>
      </w:pPr>
    </w:p>
    <w:p>
      <w:pPr>
        <w:autoSpaceDE w:val="0"/>
        <w:autoSpaceDN w:val="0"/>
        <w:adjustRightInd w:val="0"/>
        <w:spacing w:line="440" w:lineRule="atLeast"/>
        <w:ind w:firstLine="3614" w:firstLineChars="1000"/>
        <w:outlineLvl w:val="0"/>
        <w:rPr>
          <w:b/>
          <w:color w:val="000000"/>
          <w:sz w:val="36"/>
          <w:lang w:val="zh-CN"/>
        </w:rPr>
      </w:pPr>
      <w:r>
        <w:rPr>
          <w:rFonts w:hint="eastAsia"/>
          <w:b/>
          <w:color w:val="000000"/>
          <w:sz w:val="36"/>
          <w:lang w:val="zh-CN"/>
        </w:rPr>
        <w:t>技术偏离表</w:t>
      </w:r>
    </w:p>
    <w:tbl>
      <w:tblPr>
        <w:tblStyle w:val="58"/>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序</w:t>
            </w:r>
            <w:r>
              <w:rPr>
                <w:b/>
                <w:color w:val="000000"/>
                <w:lang w:val="zh-CN"/>
              </w:rPr>
              <w:t xml:space="preserve"> </w:t>
            </w:r>
            <w:r>
              <w:rPr>
                <w:rFonts w:hint="eastAsia"/>
                <w:b/>
                <w:color w:val="000000"/>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投标文件</w:t>
            </w:r>
          </w:p>
          <w:p>
            <w:pPr>
              <w:autoSpaceDE w:val="0"/>
              <w:autoSpaceDN w:val="0"/>
              <w:adjustRightInd w:val="0"/>
              <w:spacing w:line="440" w:lineRule="atLeast"/>
              <w:jc w:val="center"/>
              <w:rPr>
                <w:b/>
                <w:color w:val="000000"/>
                <w:lang w:val="zh-CN"/>
              </w:rPr>
            </w:pPr>
            <w:r>
              <w:rPr>
                <w:rFonts w:hint="eastAsia"/>
                <w:b/>
                <w:color w:val="000000"/>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color w:val="000000"/>
                <w:lang w:val="zh-CN"/>
              </w:rPr>
            </w:pPr>
            <w:r>
              <w:rPr>
                <w:rFonts w:hint="eastAsia"/>
                <w:b/>
                <w:color w:val="000000"/>
                <w:lang w:val="zh-CN"/>
              </w:rPr>
              <w:t>备</w:t>
            </w:r>
            <w:r>
              <w:rPr>
                <w:b/>
                <w:color w:val="000000"/>
                <w:lang w:val="zh-CN"/>
              </w:rPr>
              <w:t xml:space="preserve"> </w:t>
            </w:r>
            <w:r>
              <w:rPr>
                <w:rFonts w:hint="eastAsia"/>
                <w:b/>
                <w:color w:val="000000"/>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000000"/>
                <w:lang w:val="zh-CN"/>
              </w:rPr>
            </w:pPr>
          </w:p>
        </w:tc>
      </w:tr>
    </w:tbl>
    <w:p>
      <w:pPr>
        <w:autoSpaceDE w:val="0"/>
        <w:autoSpaceDN w:val="0"/>
        <w:adjustRightInd w:val="0"/>
        <w:spacing w:line="440" w:lineRule="atLeast"/>
        <w:rPr>
          <w:b/>
          <w:color w:val="000000"/>
          <w:lang w:val="zh-CN"/>
        </w:rPr>
      </w:pPr>
      <w:r>
        <w:rPr>
          <w:rFonts w:hint="eastAsia"/>
          <w:b/>
          <w:color w:val="000000"/>
          <w:lang w:val="zh-CN"/>
        </w:rPr>
        <w:t>供应商盖章：</w:t>
      </w:r>
      <w:r>
        <w:rPr>
          <w:b/>
          <w:color w:val="000000"/>
          <w:u w:val="single"/>
          <w:lang w:val="zh-CN"/>
        </w:rPr>
        <w:t xml:space="preserve">               </w:t>
      </w:r>
    </w:p>
    <w:p>
      <w:pPr>
        <w:autoSpaceDE w:val="0"/>
        <w:autoSpaceDN w:val="0"/>
        <w:adjustRightInd w:val="0"/>
        <w:rPr>
          <w:b/>
          <w:color w:val="000000"/>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color w:val="000000"/>
          <w:sz w:val="32"/>
          <w:lang w:val="zh-CN"/>
        </w:rPr>
      </w:pPr>
      <w:r>
        <w:rPr>
          <w:rFonts w:hint="eastAsia"/>
          <w:b/>
          <w:color w:val="000000"/>
          <w:sz w:val="32"/>
          <w:lang w:val="zh-CN"/>
        </w:rPr>
        <w:t>3.9 2020年1月1日以来供应商同类业绩证明</w:t>
      </w:r>
    </w:p>
    <w:p>
      <w:pPr>
        <w:pStyle w:val="33"/>
        <w:adjustRightInd w:val="0"/>
        <w:snapToGrid w:val="0"/>
        <w:spacing w:line="400" w:lineRule="exact"/>
        <w:ind w:firstLine="1440" w:firstLineChars="400"/>
        <w:jc w:val="center"/>
        <w:rPr>
          <w:rFonts w:hAnsi="宋体"/>
          <w:color w:val="000000"/>
          <w:sz w:val="36"/>
          <w:szCs w:val="36"/>
        </w:rPr>
      </w:pPr>
      <w:r>
        <w:rPr>
          <w:rFonts w:hint="eastAsia" w:hAnsi="宋体"/>
          <w:color w:val="000000"/>
          <w:sz w:val="36"/>
          <w:szCs w:val="36"/>
        </w:rPr>
        <w:t>2020年1月1日以来供应商同类业绩证明（按评标细则要求提供）（复印件加盖公章）</w:t>
      </w:r>
    </w:p>
    <w:tbl>
      <w:tblPr>
        <w:tblStyle w:val="58"/>
        <w:tblW w:w="966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602"/>
        <w:gridCol w:w="1168"/>
        <w:gridCol w:w="1345"/>
        <w:gridCol w:w="1088"/>
        <w:gridCol w:w="1084"/>
        <w:gridCol w:w="1160"/>
        <w:gridCol w:w="1902"/>
        <w:gridCol w:w="131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b/>
                <w:color w:val="000000"/>
                <w:sz w:val="22"/>
                <w:szCs w:val="22"/>
              </w:rPr>
            </w:pPr>
            <w:r>
              <w:rPr>
                <w:rFonts w:hint="eastAsia"/>
                <w:b/>
                <w:color w:val="000000"/>
                <w:sz w:val="22"/>
                <w:szCs w:val="22"/>
              </w:rPr>
              <w:t>序号</w:t>
            </w:r>
          </w:p>
        </w:tc>
        <w:tc>
          <w:tcPr>
            <w:tcW w:w="1168" w:type="dxa"/>
            <w:vAlign w:val="center"/>
          </w:tcPr>
          <w:p>
            <w:pPr>
              <w:autoSpaceDE w:val="0"/>
              <w:autoSpaceDN w:val="0"/>
              <w:adjustRightInd w:val="0"/>
              <w:jc w:val="center"/>
              <w:rPr>
                <w:b/>
                <w:color w:val="000000"/>
                <w:sz w:val="22"/>
                <w:szCs w:val="22"/>
              </w:rPr>
            </w:pPr>
            <w:r>
              <w:rPr>
                <w:rFonts w:hint="eastAsia"/>
                <w:b/>
                <w:color w:val="000000"/>
                <w:sz w:val="22"/>
                <w:szCs w:val="22"/>
              </w:rPr>
              <w:t>项目名称</w:t>
            </w:r>
          </w:p>
        </w:tc>
        <w:tc>
          <w:tcPr>
            <w:tcW w:w="1345" w:type="dxa"/>
            <w:vAlign w:val="center"/>
          </w:tcPr>
          <w:p>
            <w:pPr>
              <w:autoSpaceDE w:val="0"/>
              <w:autoSpaceDN w:val="0"/>
              <w:adjustRightInd w:val="0"/>
              <w:jc w:val="center"/>
              <w:rPr>
                <w:b/>
                <w:color w:val="000000"/>
                <w:sz w:val="22"/>
                <w:szCs w:val="22"/>
              </w:rPr>
            </w:pPr>
            <w:r>
              <w:rPr>
                <w:rFonts w:hint="eastAsia"/>
                <w:b/>
                <w:color w:val="000000"/>
                <w:sz w:val="22"/>
                <w:szCs w:val="22"/>
              </w:rPr>
              <w:t>项目地址</w:t>
            </w:r>
          </w:p>
        </w:tc>
        <w:tc>
          <w:tcPr>
            <w:tcW w:w="1088" w:type="dxa"/>
            <w:vAlign w:val="center"/>
          </w:tcPr>
          <w:p>
            <w:pPr>
              <w:autoSpaceDE w:val="0"/>
              <w:autoSpaceDN w:val="0"/>
              <w:adjustRightInd w:val="0"/>
              <w:jc w:val="center"/>
              <w:rPr>
                <w:b/>
                <w:color w:val="000000"/>
                <w:sz w:val="22"/>
                <w:szCs w:val="22"/>
              </w:rPr>
            </w:pPr>
            <w:r>
              <w:rPr>
                <w:rFonts w:hint="eastAsia"/>
                <w:b/>
                <w:color w:val="000000"/>
                <w:sz w:val="22"/>
                <w:szCs w:val="22"/>
              </w:rPr>
              <w:t>合同内容</w:t>
            </w:r>
          </w:p>
        </w:tc>
        <w:tc>
          <w:tcPr>
            <w:tcW w:w="1084" w:type="dxa"/>
            <w:vAlign w:val="center"/>
          </w:tcPr>
          <w:p>
            <w:pPr>
              <w:autoSpaceDE w:val="0"/>
              <w:autoSpaceDN w:val="0"/>
              <w:adjustRightInd w:val="0"/>
              <w:jc w:val="center"/>
              <w:rPr>
                <w:b/>
                <w:color w:val="000000"/>
                <w:sz w:val="22"/>
                <w:szCs w:val="22"/>
              </w:rPr>
            </w:pPr>
            <w:r>
              <w:rPr>
                <w:rFonts w:hint="eastAsia"/>
                <w:b/>
                <w:color w:val="000000"/>
                <w:sz w:val="22"/>
                <w:szCs w:val="22"/>
              </w:rPr>
              <w:t>合同总价</w:t>
            </w:r>
          </w:p>
        </w:tc>
        <w:tc>
          <w:tcPr>
            <w:tcW w:w="1160" w:type="dxa"/>
            <w:vAlign w:val="center"/>
          </w:tcPr>
          <w:p>
            <w:pPr>
              <w:autoSpaceDE w:val="0"/>
              <w:autoSpaceDN w:val="0"/>
              <w:adjustRightInd w:val="0"/>
              <w:jc w:val="center"/>
              <w:rPr>
                <w:b/>
                <w:color w:val="000000"/>
                <w:sz w:val="22"/>
                <w:szCs w:val="22"/>
              </w:rPr>
            </w:pPr>
            <w:r>
              <w:rPr>
                <w:rFonts w:hint="eastAsia"/>
                <w:b/>
                <w:color w:val="000000"/>
                <w:sz w:val="22"/>
                <w:szCs w:val="22"/>
              </w:rPr>
              <w:t>签约日期</w:t>
            </w:r>
          </w:p>
        </w:tc>
        <w:tc>
          <w:tcPr>
            <w:tcW w:w="1902" w:type="dxa"/>
            <w:tcBorders>
              <w:right w:val="single" w:color="auto" w:sz="4" w:space="0"/>
            </w:tcBorders>
            <w:vAlign w:val="center"/>
          </w:tcPr>
          <w:p>
            <w:pPr>
              <w:autoSpaceDE w:val="0"/>
              <w:autoSpaceDN w:val="0"/>
              <w:adjustRightInd w:val="0"/>
              <w:jc w:val="center"/>
              <w:rPr>
                <w:b/>
                <w:color w:val="000000"/>
                <w:sz w:val="22"/>
                <w:szCs w:val="22"/>
              </w:rPr>
            </w:pPr>
            <w:r>
              <w:rPr>
                <w:rFonts w:hint="eastAsia"/>
                <w:b/>
                <w:color w:val="000000"/>
                <w:sz w:val="22"/>
                <w:szCs w:val="22"/>
              </w:rPr>
              <w:t>发包方联系人</w:t>
            </w:r>
          </w:p>
        </w:tc>
        <w:tc>
          <w:tcPr>
            <w:tcW w:w="1317" w:type="dxa"/>
            <w:tcBorders>
              <w:left w:val="single" w:color="auto" w:sz="4" w:space="0"/>
              <w:right w:val="single" w:color="auto" w:sz="4" w:space="0"/>
            </w:tcBorders>
            <w:vAlign w:val="center"/>
          </w:tcPr>
          <w:p>
            <w:pPr>
              <w:autoSpaceDE w:val="0"/>
              <w:autoSpaceDN w:val="0"/>
              <w:adjustRightInd w:val="0"/>
              <w:jc w:val="center"/>
              <w:rPr>
                <w:b/>
                <w:color w:val="000000"/>
                <w:sz w:val="22"/>
                <w:szCs w:val="22"/>
              </w:rPr>
            </w:pPr>
            <w:r>
              <w:rPr>
                <w:rFonts w:hint="eastAsia"/>
                <w:b/>
                <w:color w:val="000000"/>
                <w:sz w:val="22"/>
                <w:szCs w:val="22"/>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2" w:hRule="exact"/>
          <w:jc w:val="center"/>
        </w:trPr>
        <w:tc>
          <w:tcPr>
            <w:tcW w:w="602" w:type="dxa"/>
            <w:vAlign w:val="center"/>
          </w:tcPr>
          <w:p>
            <w:pPr>
              <w:autoSpaceDE w:val="0"/>
              <w:autoSpaceDN w:val="0"/>
              <w:adjustRightInd w:val="0"/>
              <w:jc w:val="center"/>
              <w:rPr>
                <w:color w:val="000000"/>
              </w:rPr>
            </w:pPr>
          </w:p>
        </w:tc>
        <w:tc>
          <w:tcPr>
            <w:tcW w:w="1168" w:type="dxa"/>
            <w:vAlign w:val="center"/>
          </w:tcPr>
          <w:p>
            <w:pPr>
              <w:autoSpaceDE w:val="0"/>
              <w:autoSpaceDN w:val="0"/>
              <w:adjustRightInd w:val="0"/>
              <w:jc w:val="center"/>
              <w:rPr>
                <w:color w:val="000000"/>
              </w:rPr>
            </w:pPr>
          </w:p>
        </w:tc>
        <w:tc>
          <w:tcPr>
            <w:tcW w:w="1345" w:type="dxa"/>
            <w:vAlign w:val="center"/>
          </w:tcPr>
          <w:p>
            <w:pPr>
              <w:autoSpaceDE w:val="0"/>
              <w:autoSpaceDN w:val="0"/>
              <w:adjustRightInd w:val="0"/>
              <w:jc w:val="center"/>
              <w:rPr>
                <w:color w:val="000000"/>
              </w:rPr>
            </w:pPr>
          </w:p>
        </w:tc>
        <w:tc>
          <w:tcPr>
            <w:tcW w:w="1088" w:type="dxa"/>
            <w:vAlign w:val="center"/>
          </w:tcPr>
          <w:p>
            <w:pPr>
              <w:autoSpaceDE w:val="0"/>
              <w:autoSpaceDN w:val="0"/>
              <w:adjustRightInd w:val="0"/>
              <w:jc w:val="center"/>
              <w:rPr>
                <w:color w:val="000000"/>
              </w:rPr>
            </w:pPr>
          </w:p>
        </w:tc>
        <w:tc>
          <w:tcPr>
            <w:tcW w:w="1084" w:type="dxa"/>
            <w:vAlign w:val="center"/>
          </w:tcPr>
          <w:p>
            <w:pPr>
              <w:autoSpaceDE w:val="0"/>
              <w:autoSpaceDN w:val="0"/>
              <w:adjustRightInd w:val="0"/>
              <w:jc w:val="center"/>
              <w:rPr>
                <w:color w:val="000000"/>
              </w:rPr>
            </w:pPr>
          </w:p>
        </w:tc>
        <w:tc>
          <w:tcPr>
            <w:tcW w:w="1160" w:type="dxa"/>
            <w:vAlign w:val="center"/>
          </w:tcPr>
          <w:p>
            <w:pPr>
              <w:autoSpaceDE w:val="0"/>
              <w:autoSpaceDN w:val="0"/>
              <w:adjustRightInd w:val="0"/>
              <w:jc w:val="center"/>
              <w:rPr>
                <w:color w:val="000000"/>
              </w:rPr>
            </w:pPr>
          </w:p>
        </w:tc>
        <w:tc>
          <w:tcPr>
            <w:tcW w:w="1902" w:type="dxa"/>
            <w:tcBorders>
              <w:right w:val="single" w:color="auto" w:sz="4" w:space="0"/>
            </w:tcBorders>
            <w:vAlign w:val="center"/>
          </w:tcPr>
          <w:p>
            <w:pPr>
              <w:autoSpaceDE w:val="0"/>
              <w:autoSpaceDN w:val="0"/>
              <w:adjustRightInd w:val="0"/>
              <w:jc w:val="center"/>
              <w:rPr>
                <w:color w:val="000000"/>
              </w:rPr>
            </w:pPr>
          </w:p>
        </w:tc>
        <w:tc>
          <w:tcPr>
            <w:tcW w:w="1317" w:type="dxa"/>
            <w:tcBorders>
              <w:left w:val="single" w:color="auto" w:sz="4" w:space="0"/>
              <w:right w:val="single" w:color="auto" w:sz="4" w:space="0"/>
            </w:tcBorders>
            <w:vAlign w:val="center"/>
          </w:tcPr>
          <w:p>
            <w:pPr>
              <w:autoSpaceDE w:val="0"/>
              <w:autoSpaceDN w:val="0"/>
              <w:adjustRightInd w:val="0"/>
              <w:jc w:val="center"/>
              <w:rPr>
                <w:color w:val="000000"/>
              </w:rPr>
            </w:pPr>
          </w:p>
        </w:tc>
      </w:tr>
    </w:tbl>
    <w:p>
      <w:pPr>
        <w:rPr>
          <w:b/>
          <w:color w:val="000000"/>
          <w:sz w:val="22"/>
          <w:szCs w:val="22"/>
        </w:rPr>
      </w:pPr>
      <w:r>
        <w:rPr>
          <w:rFonts w:hint="eastAsia"/>
          <w:b/>
          <w:color w:val="000000"/>
          <w:sz w:val="22"/>
          <w:szCs w:val="22"/>
        </w:rPr>
        <w:t>注：1、按评标细则要求提供（加盖单位公章）须附在商务技术投标文件中</w:t>
      </w:r>
      <w:r>
        <w:rPr>
          <w:rFonts w:hint="eastAsia"/>
          <w:color w:val="000000"/>
          <w:sz w:val="22"/>
          <w:szCs w:val="22"/>
        </w:rPr>
        <w:t>。</w:t>
      </w:r>
    </w:p>
    <w:p>
      <w:pPr>
        <w:pStyle w:val="33"/>
        <w:spacing w:line="400" w:lineRule="atLeast"/>
        <w:rPr>
          <w:rFonts w:hAnsi="宋体"/>
          <w:b/>
          <w:color w:val="000000"/>
          <w:sz w:val="22"/>
          <w:szCs w:val="22"/>
        </w:rPr>
      </w:pPr>
    </w:p>
    <w:p>
      <w:pPr>
        <w:pStyle w:val="33"/>
        <w:spacing w:line="400" w:lineRule="atLeast"/>
        <w:rPr>
          <w:rFonts w:hAnsi="宋体"/>
          <w:b/>
          <w:color w:val="000000"/>
          <w:sz w:val="22"/>
          <w:szCs w:val="22"/>
        </w:rPr>
      </w:pPr>
    </w:p>
    <w:p>
      <w:pPr>
        <w:pStyle w:val="33"/>
        <w:spacing w:line="400" w:lineRule="atLeast"/>
        <w:rPr>
          <w:rFonts w:hAnsi="宋体"/>
          <w:b/>
          <w:color w:val="000000"/>
          <w:sz w:val="22"/>
          <w:szCs w:val="22"/>
        </w:rPr>
      </w:pPr>
    </w:p>
    <w:p>
      <w:pPr>
        <w:pStyle w:val="33"/>
        <w:spacing w:line="400" w:lineRule="exact"/>
        <w:rPr>
          <w:rFonts w:hAnsi="宋体"/>
          <w:b/>
          <w:color w:val="000000"/>
          <w:sz w:val="22"/>
        </w:rPr>
      </w:pPr>
      <w:r>
        <w:rPr>
          <w:rFonts w:hint="eastAsia" w:hAnsi="宋体"/>
          <w:b/>
          <w:color w:val="000000"/>
          <w:sz w:val="22"/>
        </w:rPr>
        <w:t>供应商名称（盖章）：</w:t>
      </w:r>
    </w:p>
    <w:p>
      <w:pPr>
        <w:pStyle w:val="33"/>
        <w:spacing w:line="400" w:lineRule="exact"/>
        <w:rPr>
          <w:rFonts w:hAnsi="宋体"/>
          <w:b/>
          <w:color w:val="000000"/>
          <w:sz w:val="22"/>
        </w:rPr>
      </w:pPr>
      <w:r>
        <w:rPr>
          <w:rFonts w:hAnsi="宋体"/>
          <w:b/>
          <w:color w:val="000000"/>
          <w:sz w:val="22"/>
        </w:rPr>
        <w:t>法定代表人或授权代表（签字或盖章）</w:t>
      </w:r>
      <w:r>
        <w:rPr>
          <w:rFonts w:hint="eastAsia" w:hAnsi="宋体"/>
          <w:b/>
          <w:color w:val="000000"/>
          <w:sz w:val="22"/>
        </w:rPr>
        <w:t>：</w:t>
      </w:r>
    </w:p>
    <w:p>
      <w:pPr>
        <w:pStyle w:val="33"/>
        <w:spacing w:line="400" w:lineRule="exact"/>
        <w:rPr>
          <w:rFonts w:hAnsi="宋体"/>
          <w:b/>
          <w:color w:val="000000"/>
          <w:sz w:val="22"/>
        </w:rPr>
      </w:pPr>
      <w:r>
        <w:rPr>
          <w:rFonts w:hint="eastAsia" w:hAnsi="宋体"/>
          <w:b/>
          <w:color w:val="000000"/>
          <w:sz w:val="22"/>
        </w:rPr>
        <w:t>日    期：</w:t>
      </w: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pStyle w:val="33"/>
        <w:spacing w:line="400" w:lineRule="exact"/>
        <w:rPr>
          <w:rFonts w:hAnsi="宋体"/>
          <w:b/>
          <w:color w:val="000000"/>
          <w:sz w:val="22"/>
        </w:rPr>
      </w:pPr>
    </w:p>
    <w:p>
      <w:pPr>
        <w:autoSpaceDE w:val="0"/>
        <w:autoSpaceDN w:val="0"/>
        <w:adjustRightInd w:val="0"/>
        <w:snapToGrid w:val="0"/>
        <w:spacing w:line="360" w:lineRule="atLeast"/>
        <w:textAlignment w:val="bottom"/>
        <w:rPr>
          <w:b/>
          <w:color w:val="000000"/>
        </w:rPr>
      </w:pPr>
    </w:p>
    <w:p>
      <w:pPr>
        <w:autoSpaceDE w:val="0"/>
        <w:autoSpaceDN w:val="0"/>
        <w:adjustRightInd w:val="0"/>
        <w:outlineLvl w:val="0"/>
        <w:rPr>
          <w:b/>
          <w:color w:val="000000"/>
          <w:sz w:val="36"/>
          <w:lang w:val="zh-CN"/>
        </w:rPr>
      </w:pPr>
      <w:r>
        <w:rPr>
          <w:rFonts w:hint="eastAsia"/>
          <w:b/>
          <w:color w:val="000000"/>
          <w:sz w:val="32"/>
          <w:lang w:val="zh-CN"/>
        </w:rPr>
        <w:t>3.10节能（环保）产品清单</w:t>
      </w:r>
      <w:r>
        <w:rPr>
          <w:rFonts w:hint="eastAsia"/>
          <w:b/>
          <w:color w:val="000000"/>
          <w:sz w:val="30"/>
          <w:szCs w:val="30"/>
        </w:rPr>
        <w:t xml:space="preserve"> </w:t>
      </w:r>
      <w:r>
        <w:rPr>
          <w:rFonts w:hint="eastAsia"/>
          <w:b/>
          <w:color w:val="000000"/>
          <w:sz w:val="30"/>
          <w:szCs w:val="30"/>
          <w:lang w:val="zh-CN"/>
        </w:rPr>
        <w:t xml:space="preserve">       </w:t>
      </w:r>
    </w:p>
    <w:p>
      <w:pPr>
        <w:autoSpaceDE w:val="0"/>
        <w:autoSpaceDN w:val="0"/>
        <w:adjustRightInd w:val="0"/>
        <w:spacing w:line="460" w:lineRule="atLeast"/>
        <w:jc w:val="center"/>
        <w:rPr>
          <w:b/>
          <w:color w:val="000000"/>
          <w:sz w:val="36"/>
          <w:lang w:val="zh-CN"/>
        </w:rPr>
      </w:pPr>
      <w:r>
        <w:rPr>
          <w:rFonts w:hint="eastAsia"/>
          <w:b/>
          <w:color w:val="000000"/>
          <w:sz w:val="36"/>
          <w:lang w:val="zh-CN"/>
        </w:rPr>
        <w:t>节能环保产品声明函</w:t>
      </w:r>
    </w:p>
    <w:p>
      <w:pPr>
        <w:autoSpaceDE w:val="0"/>
        <w:autoSpaceDN w:val="0"/>
        <w:adjustRightInd w:val="0"/>
        <w:spacing w:line="460" w:lineRule="atLeast"/>
        <w:jc w:val="center"/>
        <w:rPr>
          <w:b/>
          <w:color w:val="000000"/>
          <w:sz w:val="36"/>
          <w:lang w:val="zh-CN"/>
        </w:rPr>
      </w:pPr>
      <w:r>
        <w:rPr>
          <w:rFonts w:hint="eastAsia"/>
          <w:b/>
          <w:color w:val="000000"/>
          <w:sz w:val="22"/>
          <w:szCs w:val="22"/>
        </w:rPr>
        <w:t>(如有则提供)</w:t>
      </w:r>
    </w:p>
    <w:p>
      <w:pPr>
        <w:rPr>
          <w:color w:val="000000"/>
          <w:sz w:val="28"/>
          <w:szCs w:val="28"/>
        </w:rPr>
      </w:pPr>
    </w:p>
    <w:p>
      <w:pPr>
        <w:spacing w:line="460" w:lineRule="atLeast"/>
        <w:ind w:firstLine="440" w:firstLineChars="200"/>
        <w:rPr>
          <w:color w:val="000000"/>
          <w:sz w:val="22"/>
          <w:szCs w:val="22"/>
        </w:rPr>
      </w:pPr>
      <w:r>
        <w:rPr>
          <w:rFonts w:hint="eastAsia"/>
          <w:color w:val="000000"/>
          <w:sz w:val="22"/>
          <w:szCs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color w:val="000000"/>
          <w:sz w:val="22"/>
          <w:szCs w:val="22"/>
        </w:rPr>
        <w:t>2019〕9号）</w:t>
      </w:r>
      <w:r>
        <w:rPr>
          <w:rFonts w:hint="eastAsia"/>
          <w:color w:val="000000"/>
          <w:sz w:val="22"/>
          <w:szCs w:val="22"/>
        </w:rPr>
        <w:t>、《关于印发节能产品政府采购品目清单的通知》（财库〔</w:t>
      </w:r>
      <w:r>
        <w:rPr>
          <w:color w:val="000000"/>
          <w:sz w:val="22"/>
          <w:szCs w:val="22"/>
        </w:rPr>
        <w:t>2019〕19号）</w:t>
      </w:r>
      <w:r>
        <w:rPr>
          <w:rFonts w:hint="eastAsia"/>
          <w:color w:val="000000"/>
          <w:sz w:val="22"/>
          <w:szCs w:val="22"/>
        </w:rPr>
        <w:t>、《关于印发环境标志产品政府采购品目清单的通知》（财库〔</w:t>
      </w:r>
      <w:r>
        <w:rPr>
          <w:color w:val="000000"/>
          <w:sz w:val="22"/>
          <w:szCs w:val="22"/>
        </w:rPr>
        <w:t>2019〕18号）</w:t>
      </w:r>
      <w:r>
        <w:rPr>
          <w:rFonts w:hint="eastAsia"/>
          <w:color w:val="000000"/>
          <w:sz w:val="22"/>
          <w:szCs w:val="22"/>
        </w:rPr>
        <w:t>、《市场监管总局关于发布参与实施政府采购节能产品、环境标志产品认证机构名录的公告》（</w:t>
      </w:r>
      <w:r>
        <w:rPr>
          <w:color w:val="000000"/>
          <w:sz w:val="22"/>
          <w:szCs w:val="22"/>
        </w:rPr>
        <w:t>2019年第16号</w:t>
      </w:r>
      <w:r>
        <w:rPr>
          <w:rFonts w:hint="eastAsia"/>
          <w:color w:val="000000"/>
          <w:sz w:val="22"/>
          <w:szCs w:val="22"/>
        </w:rPr>
        <w:t>）的规定，本公司声明如下：</w:t>
      </w:r>
    </w:p>
    <w:p>
      <w:pPr>
        <w:spacing w:line="460" w:lineRule="atLeast"/>
        <w:ind w:firstLine="440" w:firstLineChars="200"/>
        <w:rPr>
          <w:color w:val="000000"/>
          <w:sz w:val="22"/>
          <w:szCs w:val="22"/>
        </w:rPr>
      </w:pPr>
      <w:r>
        <w:rPr>
          <w:rFonts w:hint="eastAsia"/>
          <w:color w:val="000000"/>
          <w:sz w:val="22"/>
          <w:szCs w:val="22"/>
        </w:rPr>
        <w:t>1.本公司参加</w:t>
      </w:r>
      <w:r>
        <w:rPr>
          <w:rFonts w:hint="eastAsia"/>
          <w:color w:val="000000"/>
          <w:sz w:val="22"/>
          <w:szCs w:val="22"/>
          <w:u w:val="single"/>
        </w:rPr>
        <w:t>（招标项目名称，招标编号）</w:t>
      </w:r>
      <w:r>
        <w:rPr>
          <w:rFonts w:hint="eastAsia"/>
          <w:color w:val="000000"/>
          <w:sz w:val="22"/>
          <w:szCs w:val="22"/>
        </w:rPr>
        <w:t>的采购活动提供的</w:t>
      </w:r>
      <w:r>
        <w:rPr>
          <w:rFonts w:hint="eastAsia"/>
          <w:color w:val="000000"/>
          <w:sz w:val="22"/>
          <w:szCs w:val="22"/>
          <w:u w:val="single"/>
        </w:rPr>
        <w:t xml:space="preserve">      </w:t>
      </w:r>
      <w:r>
        <w:rPr>
          <w:rFonts w:hint="eastAsia"/>
          <w:color w:val="000000"/>
          <w:sz w:val="22"/>
          <w:szCs w:val="22"/>
        </w:rPr>
        <w:t>产品已列入《节能产品政府采购品目清单》。</w:t>
      </w:r>
    </w:p>
    <w:p>
      <w:pPr>
        <w:spacing w:line="460" w:lineRule="atLeast"/>
        <w:ind w:firstLine="440" w:firstLineChars="200"/>
        <w:rPr>
          <w:color w:val="000000"/>
          <w:sz w:val="22"/>
          <w:szCs w:val="22"/>
        </w:rPr>
      </w:pPr>
      <w:r>
        <w:rPr>
          <w:rFonts w:hint="eastAsia"/>
          <w:color w:val="000000"/>
          <w:sz w:val="22"/>
          <w:szCs w:val="22"/>
        </w:rPr>
        <w:t>2.本公司参加</w:t>
      </w:r>
      <w:r>
        <w:rPr>
          <w:rFonts w:hint="eastAsia"/>
          <w:color w:val="000000"/>
          <w:sz w:val="22"/>
          <w:szCs w:val="22"/>
          <w:u w:val="single"/>
        </w:rPr>
        <w:t>（招标项目名称，招标编号）</w:t>
      </w:r>
      <w:r>
        <w:rPr>
          <w:rFonts w:hint="eastAsia"/>
          <w:color w:val="000000"/>
          <w:sz w:val="22"/>
          <w:szCs w:val="22"/>
        </w:rPr>
        <w:t>的采购活动提供的</w:t>
      </w:r>
      <w:r>
        <w:rPr>
          <w:rFonts w:hint="eastAsia"/>
          <w:color w:val="000000"/>
          <w:sz w:val="22"/>
          <w:szCs w:val="22"/>
          <w:u w:val="single"/>
        </w:rPr>
        <w:t xml:space="preserve">      </w:t>
      </w:r>
      <w:r>
        <w:rPr>
          <w:rFonts w:hint="eastAsia"/>
          <w:color w:val="000000"/>
          <w:sz w:val="22"/>
          <w:szCs w:val="22"/>
        </w:rPr>
        <w:t>产品已列入《环境标志产品政府采购品目清单》。</w:t>
      </w:r>
    </w:p>
    <w:p>
      <w:pPr>
        <w:spacing w:line="460" w:lineRule="atLeast"/>
        <w:ind w:firstLine="440" w:firstLineChars="200"/>
        <w:rPr>
          <w:color w:val="000000"/>
          <w:sz w:val="22"/>
          <w:szCs w:val="22"/>
        </w:rPr>
      </w:pPr>
      <w:r>
        <w:rPr>
          <w:rFonts w:hint="eastAsia"/>
          <w:color w:val="000000"/>
          <w:sz w:val="22"/>
          <w:szCs w:val="22"/>
        </w:rPr>
        <w:t>本公司对上述声明的真实性负责。如有虚假，将依法承担相应法律责任。</w:t>
      </w:r>
    </w:p>
    <w:p>
      <w:pPr>
        <w:spacing w:line="460" w:lineRule="atLeast"/>
        <w:rPr>
          <w:color w:val="000000"/>
          <w:sz w:val="22"/>
          <w:szCs w:val="22"/>
        </w:rPr>
      </w:pPr>
    </w:p>
    <w:p>
      <w:pPr>
        <w:autoSpaceDE w:val="0"/>
        <w:autoSpaceDN w:val="0"/>
        <w:adjustRightInd w:val="0"/>
        <w:spacing w:line="460" w:lineRule="atLeast"/>
        <w:rPr>
          <w:rFonts w:cs="黑体"/>
          <w:color w:val="000000"/>
          <w:sz w:val="22"/>
          <w:lang w:val="zh-CN"/>
        </w:rPr>
      </w:pPr>
      <w:r>
        <w:rPr>
          <w:rFonts w:hint="eastAsia" w:cs="黑体"/>
          <w:color w:val="000000"/>
          <w:sz w:val="22"/>
          <w:lang w:val="zh-CN"/>
        </w:rPr>
        <w:t xml:space="preserve">投标供应商（盖章）：        </w:t>
      </w:r>
    </w:p>
    <w:p>
      <w:pPr>
        <w:spacing w:line="460" w:lineRule="atLeast"/>
        <w:rPr>
          <w:color w:val="000000"/>
          <w:sz w:val="28"/>
          <w:szCs w:val="28"/>
        </w:rPr>
      </w:pPr>
      <w:r>
        <w:rPr>
          <w:rFonts w:hint="eastAsia"/>
          <w:color w:val="000000"/>
          <w:sz w:val="22"/>
          <w:szCs w:val="22"/>
        </w:rPr>
        <w:t xml:space="preserve">日期：                  </w:t>
      </w:r>
    </w:p>
    <w:p>
      <w:pPr>
        <w:autoSpaceDE w:val="0"/>
        <w:autoSpaceDN w:val="0"/>
        <w:adjustRightInd w:val="0"/>
        <w:spacing w:line="460" w:lineRule="atLeast"/>
        <w:jc w:val="center"/>
        <w:rPr>
          <w:b/>
          <w:color w:val="000000"/>
          <w:sz w:val="36"/>
          <w:lang w:val="zh-CN"/>
        </w:rPr>
      </w:pPr>
    </w:p>
    <w:p>
      <w:pPr>
        <w:pStyle w:val="56"/>
        <w:rPr>
          <w:color w:val="000000"/>
          <w:lang w:val="zh-CN"/>
        </w:rPr>
      </w:pPr>
    </w:p>
    <w:p>
      <w:pPr>
        <w:rPr>
          <w:color w:val="000000"/>
          <w:lang w:val="zh-CN"/>
        </w:rPr>
      </w:pPr>
    </w:p>
    <w:p>
      <w:pPr>
        <w:pStyle w:val="56"/>
        <w:rPr>
          <w:color w:val="000000"/>
          <w:lang w:val="zh-CN"/>
        </w:rPr>
      </w:pPr>
    </w:p>
    <w:p>
      <w:pPr>
        <w:rPr>
          <w:color w:val="000000"/>
          <w:lang w:val="zh-CN"/>
        </w:rPr>
      </w:pPr>
    </w:p>
    <w:p>
      <w:pPr>
        <w:pStyle w:val="56"/>
        <w:rPr>
          <w:color w:val="000000"/>
          <w:lang w:val="zh-CN"/>
        </w:rPr>
      </w:pPr>
    </w:p>
    <w:p>
      <w:pPr>
        <w:rPr>
          <w:color w:val="000000"/>
          <w:lang w:val="zh-CN"/>
        </w:rPr>
      </w:pPr>
    </w:p>
    <w:p>
      <w:pPr>
        <w:pStyle w:val="56"/>
        <w:rPr>
          <w:color w:val="000000"/>
          <w:lang w:val="zh-CN"/>
        </w:rPr>
      </w:pPr>
    </w:p>
    <w:p>
      <w:pPr>
        <w:rPr>
          <w:color w:val="000000"/>
          <w:lang w:val="zh-CN"/>
        </w:rPr>
      </w:pPr>
    </w:p>
    <w:p>
      <w:pPr>
        <w:pStyle w:val="56"/>
        <w:rPr>
          <w:color w:val="000000"/>
          <w:lang w:val="zh-CN"/>
        </w:rPr>
      </w:pPr>
    </w:p>
    <w:p>
      <w:pPr>
        <w:autoSpaceDE w:val="0"/>
        <w:autoSpaceDN w:val="0"/>
        <w:adjustRightInd w:val="0"/>
        <w:spacing w:line="460" w:lineRule="atLeast"/>
        <w:jc w:val="center"/>
        <w:rPr>
          <w:b/>
          <w:color w:val="000000"/>
          <w:sz w:val="36"/>
          <w:lang w:val="zh-CN"/>
        </w:rPr>
      </w:pPr>
      <w:r>
        <w:rPr>
          <w:rFonts w:hint="eastAsia"/>
          <w:b/>
          <w:color w:val="000000"/>
          <w:sz w:val="36"/>
          <w:lang w:val="zh-CN"/>
        </w:rPr>
        <w:t>节能（环保）产品清单</w:t>
      </w:r>
    </w:p>
    <w:p>
      <w:pPr>
        <w:autoSpaceDE w:val="0"/>
        <w:autoSpaceDN w:val="0"/>
        <w:adjustRightInd w:val="0"/>
        <w:spacing w:line="460" w:lineRule="atLeast"/>
        <w:jc w:val="center"/>
        <w:rPr>
          <w:b/>
          <w:color w:val="000000"/>
          <w:sz w:val="36"/>
          <w:lang w:val="zh-CN"/>
        </w:rPr>
      </w:pPr>
      <w:r>
        <w:rPr>
          <w:rFonts w:hint="eastAsia"/>
          <w:b/>
          <w:color w:val="000000"/>
          <w:sz w:val="22"/>
          <w:szCs w:val="22"/>
        </w:rPr>
        <w:t>(如有则提供)</w:t>
      </w:r>
    </w:p>
    <w:p>
      <w:pPr>
        <w:rPr>
          <w:color w:val="000000"/>
          <w:sz w:val="22"/>
          <w:szCs w:val="22"/>
        </w:rPr>
      </w:pPr>
      <w:r>
        <w:rPr>
          <w:rFonts w:hint="eastAsia"/>
          <w:color w:val="000000"/>
          <w:sz w:val="22"/>
          <w:szCs w:val="22"/>
        </w:rPr>
        <w:t>（1）投标产品中节能产品明细清单</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953"/>
        <w:gridCol w:w="1668"/>
        <w:gridCol w:w="1906"/>
        <w:gridCol w:w="2382"/>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制造商</w:t>
            </w:r>
          </w:p>
        </w:tc>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品牌</w:t>
            </w:r>
          </w:p>
        </w:tc>
        <w:tc>
          <w:tcPr>
            <w:tcW w:w="166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产品名称、规格型号</w:t>
            </w:r>
          </w:p>
        </w:tc>
        <w:tc>
          <w:tcPr>
            <w:tcW w:w="1906"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节字标志认证证书号</w:t>
            </w:r>
          </w:p>
        </w:tc>
        <w:tc>
          <w:tcPr>
            <w:tcW w:w="23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节能产品认证证书有效截止日期</w:t>
            </w:r>
          </w:p>
        </w:tc>
        <w:tc>
          <w:tcPr>
            <w:tcW w:w="133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66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06"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3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3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66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06"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3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3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66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06"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3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3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66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06"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3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3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p>
            <w:pPr>
              <w:spacing w:line="460" w:lineRule="exact"/>
              <w:rPr>
                <w:color w:val="000000"/>
                <w:sz w:val="22"/>
              </w:rPr>
            </w:pPr>
          </w:p>
        </w:tc>
        <w:tc>
          <w:tcPr>
            <w:tcW w:w="953"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66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06"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3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38"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bl>
    <w:p>
      <w:pPr>
        <w:spacing w:line="460" w:lineRule="exact"/>
        <w:rPr>
          <w:color w:val="000000"/>
          <w:sz w:val="22"/>
          <w:szCs w:val="22"/>
        </w:rPr>
      </w:pPr>
      <w:r>
        <w:rPr>
          <w:rFonts w:hint="eastAsia"/>
          <w:color w:val="000000"/>
          <w:sz w:val="22"/>
          <w:szCs w:val="22"/>
        </w:rPr>
        <w:t>（2）投标产品中环保产品明细清单</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982"/>
        <w:gridCol w:w="1719"/>
        <w:gridCol w:w="2210"/>
        <w:gridCol w:w="1965"/>
        <w:gridCol w:w="1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企业名称</w:t>
            </w:r>
          </w:p>
        </w:tc>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注册商标</w:t>
            </w:r>
          </w:p>
        </w:tc>
        <w:tc>
          <w:tcPr>
            <w:tcW w:w="171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产品名称、规格型号</w:t>
            </w:r>
          </w:p>
        </w:tc>
        <w:tc>
          <w:tcPr>
            <w:tcW w:w="2210"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中国环境标志认证证书编号</w:t>
            </w:r>
          </w:p>
        </w:tc>
        <w:tc>
          <w:tcPr>
            <w:tcW w:w="1965"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认证证书有效截止日期</w:t>
            </w:r>
          </w:p>
        </w:tc>
        <w:tc>
          <w:tcPr>
            <w:tcW w:w="137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r>
              <w:rPr>
                <w:rFonts w:hint="eastAsia"/>
                <w:color w:val="000000"/>
                <w:sz w:val="22"/>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71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210"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65"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7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71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210"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65"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7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71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210"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65"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7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71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210"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65"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7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982"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71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2210"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965"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c>
          <w:tcPr>
            <w:tcW w:w="1379" w:type="dxa"/>
            <w:tcBorders>
              <w:top w:val="single" w:color="auto" w:sz="4" w:space="0"/>
              <w:left w:val="single" w:color="auto" w:sz="4" w:space="0"/>
              <w:bottom w:val="single" w:color="auto" w:sz="4" w:space="0"/>
              <w:right w:val="single" w:color="auto" w:sz="4" w:space="0"/>
            </w:tcBorders>
          </w:tcPr>
          <w:p>
            <w:pPr>
              <w:spacing w:line="460" w:lineRule="exact"/>
              <w:rPr>
                <w:color w:val="000000"/>
                <w:sz w:val="22"/>
              </w:rPr>
            </w:pPr>
          </w:p>
        </w:tc>
      </w:tr>
    </w:tbl>
    <w:p>
      <w:pPr>
        <w:spacing w:line="460" w:lineRule="exact"/>
        <w:rPr>
          <w:color w:val="000000"/>
          <w:sz w:val="22"/>
          <w:szCs w:val="22"/>
        </w:rPr>
      </w:pPr>
      <w:r>
        <w:rPr>
          <w:rFonts w:hint="eastAsia"/>
          <w:color w:val="000000"/>
          <w:sz w:val="22"/>
          <w:szCs w:val="22"/>
        </w:rPr>
        <w:t>说明：1、表格可以延续。</w:t>
      </w:r>
    </w:p>
    <w:p>
      <w:pPr>
        <w:rPr>
          <w:color w:val="000000"/>
        </w:rPr>
      </w:pPr>
    </w:p>
    <w:p>
      <w:pPr>
        <w:rPr>
          <w:color w:val="000000"/>
        </w:rPr>
      </w:pPr>
    </w:p>
    <w:p>
      <w:pPr>
        <w:autoSpaceDE w:val="0"/>
        <w:autoSpaceDN w:val="0"/>
        <w:adjustRightInd w:val="0"/>
        <w:spacing w:line="460" w:lineRule="atLeast"/>
        <w:rPr>
          <w:rFonts w:cs="Arial"/>
          <w:color w:val="000000"/>
          <w:sz w:val="22"/>
          <w:lang w:val="zh-CN"/>
        </w:rPr>
      </w:pPr>
      <w:r>
        <w:rPr>
          <w:rFonts w:hint="eastAsia" w:cs="Arial"/>
          <w:color w:val="000000"/>
          <w:sz w:val="22"/>
          <w:lang w:val="zh-CN"/>
        </w:rPr>
        <w:t xml:space="preserve">供应商盖章：   </w:t>
      </w:r>
    </w:p>
    <w:p>
      <w:pPr>
        <w:spacing w:line="460" w:lineRule="exact"/>
        <w:rPr>
          <w:color w:val="000000"/>
          <w:sz w:val="22"/>
          <w:szCs w:val="22"/>
        </w:rPr>
      </w:pPr>
      <w:r>
        <w:rPr>
          <w:rFonts w:hint="eastAsia"/>
          <w:color w:val="000000"/>
          <w:sz w:val="22"/>
          <w:szCs w:val="22"/>
        </w:rPr>
        <w:t xml:space="preserve">日 期：         </w:t>
      </w:r>
    </w:p>
    <w:p>
      <w:pPr>
        <w:spacing w:line="460" w:lineRule="exact"/>
        <w:rPr>
          <w:color w:val="000000"/>
          <w:sz w:val="22"/>
          <w:szCs w:val="22"/>
        </w:rPr>
      </w:pPr>
      <w:r>
        <w:rPr>
          <w:rFonts w:hint="eastAsia"/>
          <w:color w:val="000000"/>
          <w:sz w:val="22"/>
          <w:szCs w:val="22"/>
        </w:rPr>
        <w:t xml:space="preserve"> </w:t>
      </w:r>
    </w:p>
    <w:p>
      <w:pPr>
        <w:pStyle w:val="56"/>
        <w:rPr>
          <w:color w:val="000000"/>
        </w:rPr>
      </w:pPr>
    </w:p>
    <w:p>
      <w:pPr>
        <w:rPr>
          <w:color w:val="000000"/>
        </w:rPr>
      </w:pPr>
    </w:p>
    <w:p>
      <w:pPr>
        <w:rPr>
          <w:b/>
          <w:color w:val="000000"/>
          <w:sz w:val="32"/>
          <w:lang w:val="zh-CN"/>
        </w:rPr>
      </w:pPr>
      <w:r>
        <w:rPr>
          <w:rFonts w:hint="eastAsia"/>
          <w:b/>
          <w:color w:val="000000"/>
          <w:sz w:val="32"/>
          <w:lang w:val="zh-CN"/>
        </w:rPr>
        <w:t>3.11针对本项目拟派人员名单</w:t>
      </w:r>
    </w:p>
    <w:p>
      <w:pPr>
        <w:pStyle w:val="56"/>
        <w:ind w:firstLine="723"/>
        <w:rPr>
          <w:rFonts w:ascii="宋体" w:hAnsi="宋体"/>
          <w:b w:val="0"/>
          <w:color w:val="000000"/>
          <w:sz w:val="36"/>
        </w:rPr>
      </w:pPr>
      <w:r>
        <w:rPr>
          <w:rFonts w:hint="eastAsia" w:ascii="宋体" w:hAnsi="宋体"/>
          <w:b w:val="0"/>
          <w:color w:val="000000"/>
          <w:sz w:val="36"/>
          <w:szCs w:val="36"/>
        </w:rPr>
        <w:t>针对本项目拟派人员名单</w:t>
      </w:r>
    </w:p>
    <w:tbl>
      <w:tblPr>
        <w:tblStyle w:val="58"/>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000000"/>
                <w:sz w:val="22"/>
              </w:rPr>
            </w:pPr>
            <w:r>
              <w:rPr>
                <w:rFonts w:cs="Arial"/>
                <w:b/>
                <w:bCs/>
                <w:color w:val="000000"/>
                <w:sz w:val="22"/>
              </w:rPr>
              <w:t>姓名</w:t>
            </w:r>
          </w:p>
        </w:tc>
        <w:tc>
          <w:tcPr>
            <w:tcW w:w="2520" w:type="dxa"/>
            <w:vAlign w:val="center"/>
          </w:tcPr>
          <w:p>
            <w:pPr>
              <w:jc w:val="center"/>
              <w:rPr>
                <w:rFonts w:cs="Arial"/>
                <w:b/>
                <w:bCs/>
                <w:color w:val="000000"/>
                <w:sz w:val="22"/>
              </w:rPr>
            </w:pPr>
            <w:r>
              <w:rPr>
                <w:rFonts w:cs="Arial"/>
                <w:b/>
                <w:bCs/>
                <w:color w:val="000000"/>
                <w:sz w:val="22"/>
              </w:rPr>
              <w:t>本项目主要工作</w:t>
            </w:r>
          </w:p>
        </w:tc>
        <w:tc>
          <w:tcPr>
            <w:tcW w:w="720" w:type="dxa"/>
            <w:vAlign w:val="center"/>
          </w:tcPr>
          <w:p>
            <w:pPr>
              <w:jc w:val="center"/>
              <w:rPr>
                <w:rFonts w:cs="Arial"/>
                <w:b/>
                <w:bCs/>
                <w:color w:val="000000"/>
                <w:sz w:val="22"/>
              </w:rPr>
            </w:pPr>
            <w:r>
              <w:rPr>
                <w:rFonts w:cs="Arial"/>
                <w:b/>
                <w:bCs/>
                <w:color w:val="000000"/>
                <w:sz w:val="22"/>
              </w:rPr>
              <w:t>年龄</w:t>
            </w:r>
          </w:p>
        </w:tc>
        <w:tc>
          <w:tcPr>
            <w:tcW w:w="720" w:type="dxa"/>
            <w:vAlign w:val="center"/>
          </w:tcPr>
          <w:p>
            <w:pPr>
              <w:jc w:val="center"/>
              <w:rPr>
                <w:rFonts w:cs="Arial"/>
                <w:b/>
                <w:bCs/>
                <w:color w:val="000000"/>
                <w:sz w:val="22"/>
              </w:rPr>
            </w:pPr>
            <w:r>
              <w:rPr>
                <w:rFonts w:cs="Arial"/>
                <w:b/>
                <w:bCs/>
                <w:color w:val="000000"/>
                <w:sz w:val="22"/>
              </w:rPr>
              <w:t>性别</w:t>
            </w:r>
          </w:p>
        </w:tc>
        <w:tc>
          <w:tcPr>
            <w:tcW w:w="720" w:type="dxa"/>
            <w:vAlign w:val="center"/>
          </w:tcPr>
          <w:p>
            <w:pPr>
              <w:jc w:val="center"/>
              <w:rPr>
                <w:rFonts w:cs="Arial"/>
                <w:b/>
                <w:bCs/>
                <w:color w:val="000000"/>
                <w:sz w:val="22"/>
              </w:rPr>
            </w:pPr>
            <w:r>
              <w:rPr>
                <w:rFonts w:cs="Arial"/>
                <w:b/>
                <w:bCs/>
                <w:color w:val="000000"/>
                <w:sz w:val="22"/>
              </w:rPr>
              <w:t>专业</w:t>
            </w:r>
          </w:p>
        </w:tc>
        <w:tc>
          <w:tcPr>
            <w:tcW w:w="1080" w:type="dxa"/>
            <w:vAlign w:val="center"/>
          </w:tcPr>
          <w:p>
            <w:pPr>
              <w:jc w:val="center"/>
              <w:rPr>
                <w:rFonts w:cs="Arial"/>
                <w:b/>
                <w:bCs/>
                <w:color w:val="000000"/>
                <w:sz w:val="22"/>
              </w:rPr>
            </w:pPr>
            <w:r>
              <w:rPr>
                <w:rFonts w:cs="Arial"/>
                <w:b/>
                <w:bCs/>
                <w:color w:val="000000"/>
                <w:sz w:val="22"/>
              </w:rPr>
              <w:t>专业</w:t>
            </w:r>
          </w:p>
          <w:p>
            <w:pPr>
              <w:jc w:val="center"/>
              <w:rPr>
                <w:rFonts w:cs="Arial"/>
                <w:b/>
                <w:bCs/>
                <w:color w:val="000000"/>
                <w:sz w:val="22"/>
              </w:rPr>
            </w:pPr>
            <w:r>
              <w:rPr>
                <w:rFonts w:cs="Arial"/>
                <w:b/>
                <w:bCs/>
                <w:color w:val="000000"/>
                <w:sz w:val="22"/>
              </w:rPr>
              <w:t>年限</w:t>
            </w:r>
          </w:p>
        </w:tc>
        <w:tc>
          <w:tcPr>
            <w:tcW w:w="1080" w:type="dxa"/>
            <w:vAlign w:val="center"/>
          </w:tcPr>
          <w:p>
            <w:pPr>
              <w:jc w:val="center"/>
              <w:rPr>
                <w:rFonts w:cs="Arial"/>
                <w:b/>
                <w:bCs/>
                <w:color w:val="000000"/>
                <w:sz w:val="22"/>
              </w:rPr>
            </w:pPr>
            <w:r>
              <w:rPr>
                <w:rFonts w:cs="Arial"/>
                <w:b/>
                <w:bCs/>
                <w:color w:val="000000"/>
                <w:sz w:val="22"/>
              </w:rPr>
              <w:t>职务</w:t>
            </w:r>
          </w:p>
          <w:p>
            <w:pPr>
              <w:jc w:val="center"/>
              <w:rPr>
                <w:rFonts w:cs="Arial"/>
                <w:b/>
                <w:bCs/>
                <w:color w:val="000000"/>
                <w:sz w:val="22"/>
              </w:rPr>
            </w:pPr>
            <w:r>
              <w:rPr>
                <w:rFonts w:cs="Arial"/>
                <w:b/>
                <w:bCs/>
                <w:color w:val="000000"/>
                <w:sz w:val="22"/>
              </w:rPr>
              <w:t>和职称</w:t>
            </w:r>
          </w:p>
        </w:tc>
        <w:tc>
          <w:tcPr>
            <w:tcW w:w="1651" w:type="dxa"/>
            <w:vAlign w:val="center"/>
          </w:tcPr>
          <w:p>
            <w:pPr>
              <w:jc w:val="center"/>
              <w:rPr>
                <w:rFonts w:cs="Arial"/>
                <w:b/>
                <w:bCs/>
                <w:color w:val="000000"/>
                <w:sz w:val="22"/>
              </w:rPr>
            </w:pPr>
            <w:r>
              <w:rPr>
                <w:rFonts w:cs="Arial"/>
                <w:b/>
                <w:bCs/>
                <w:color w:val="000000"/>
                <w:sz w:val="22"/>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000000"/>
                <w:sz w:val="22"/>
              </w:rPr>
            </w:pPr>
          </w:p>
        </w:tc>
        <w:tc>
          <w:tcPr>
            <w:tcW w:w="2520" w:type="dxa"/>
            <w:vAlign w:val="center"/>
          </w:tcPr>
          <w:p>
            <w:pPr>
              <w:jc w:val="center"/>
              <w:rPr>
                <w:rFonts w:cs="Arial"/>
                <w:color w:val="000000"/>
                <w:sz w:val="22"/>
              </w:rPr>
            </w:pPr>
            <w:r>
              <w:rPr>
                <w:rFonts w:hint="eastAsia" w:cs="Arial"/>
                <w:b/>
                <w:bCs/>
                <w:color w:val="000000"/>
                <w:sz w:val="22"/>
              </w:rPr>
              <w:t>项目负责人</w:t>
            </w:r>
          </w:p>
        </w:tc>
        <w:tc>
          <w:tcPr>
            <w:tcW w:w="720" w:type="dxa"/>
            <w:vAlign w:val="center"/>
          </w:tcPr>
          <w:p>
            <w:pPr>
              <w:spacing w:line="360" w:lineRule="auto"/>
              <w:jc w:val="center"/>
              <w:rPr>
                <w:rFonts w:cs="Arial"/>
                <w:color w:val="000000"/>
                <w:sz w:val="22"/>
              </w:rPr>
            </w:pPr>
          </w:p>
        </w:tc>
        <w:tc>
          <w:tcPr>
            <w:tcW w:w="720" w:type="dxa"/>
            <w:vAlign w:val="center"/>
          </w:tcPr>
          <w:p>
            <w:pPr>
              <w:spacing w:line="360" w:lineRule="auto"/>
              <w:jc w:val="center"/>
              <w:rPr>
                <w:rFonts w:cs="Arial"/>
                <w:color w:val="000000"/>
                <w:sz w:val="22"/>
              </w:rPr>
            </w:pPr>
          </w:p>
        </w:tc>
        <w:tc>
          <w:tcPr>
            <w:tcW w:w="720" w:type="dxa"/>
            <w:vAlign w:val="center"/>
          </w:tcPr>
          <w:p>
            <w:pPr>
              <w:spacing w:line="360" w:lineRule="auto"/>
              <w:jc w:val="center"/>
              <w:rPr>
                <w:rFonts w:cs="Arial"/>
                <w:color w:val="000000"/>
                <w:sz w:val="22"/>
              </w:rPr>
            </w:pPr>
          </w:p>
        </w:tc>
        <w:tc>
          <w:tcPr>
            <w:tcW w:w="1080" w:type="dxa"/>
            <w:vAlign w:val="center"/>
          </w:tcPr>
          <w:p>
            <w:pPr>
              <w:spacing w:line="360" w:lineRule="auto"/>
              <w:jc w:val="center"/>
              <w:rPr>
                <w:rFonts w:cs="Arial"/>
                <w:color w:val="000000"/>
                <w:sz w:val="22"/>
              </w:rPr>
            </w:pPr>
          </w:p>
        </w:tc>
        <w:tc>
          <w:tcPr>
            <w:tcW w:w="1080" w:type="dxa"/>
            <w:vAlign w:val="center"/>
          </w:tcPr>
          <w:p>
            <w:pPr>
              <w:pStyle w:val="36"/>
              <w:spacing w:line="360" w:lineRule="auto"/>
              <w:ind w:left="6000"/>
              <w:jc w:val="center"/>
              <w:rPr>
                <w:rFonts w:cs="Arial"/>
                <w:sz w:val="22"/>
              </w:rPr>
            </w:pPr>
          </w:p>
        </w:tc>
        <w:tc>
          <w:tcPr>
            <w:tcW w:w="1651" w:type="dxa"/>
            <w:vAlign w:val="center"/>
          </w:tcPr>
          <w:p>
            <w:pPr>
              <w:spacing w:line="360" w:lineRule="auto"/>
              <w:jc w:val="center"/>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sz w:val="22"/>
              </w:rPr>
            </w:pPr>
          </w:p>
        </w:tc>
        <w:tc>
          <w:tcPr>
            <w:tcW w:w="25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72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080" w:type="dxa"/>
            <w:vAlign w:val="center"/>
          </w:tcPr>
          <w:p>
            <w:pPr>
              <w:spacing w:line="360" w:lineRule="auto"/>
              <w:rPr>
                <w:rFonts w:cs="Arial"/>
                <w:color w:val="000000"/>
                <w:sz w:val="22"/>
              </w:rPr>
            </w:pPr>
          </w:p>
        </w:tc>
        <w:tc>
          <w:tcPr>
            <w:tcW w:w="1651" w:type="dxa"/>
            <w:vAlign w:val="center"/>
          </w:tcPr>
          <w:p>
            <w:pPr>
              <w:spacing w:line="360" w:lineRule="auto"/>
              <w:rPr>
                <w:rFonts w:cs="Arial"/>
                <w:color w:val="000000"/>
                <w:sz w:val="22"/>
              </w:rPr>
            </w:pPr>
          </w:p>
        </w:tc>
      </w:tr>
    </w:tbl>
    <w:p>
      <w:pPr>
        <w:adjustRightInd w:val="0"/>
        <w:snapToGrid w:val="0"/>
        <w:spacing w:line="460" w:lineRule="atLeast"/>
        <w:rPr>
          <w:color w:val="000000"/>
          <w:sz w:val="22"/>
          <w:szCs w:val="22"/>
        </w:rPr>
      </w:pPr>
      <w:r>
        <w:rPr>
          <w:color w:val="000000"/>
          <w:sz w:val="22"/>
          <w:szCs w:val="22"/>
        </w:rPr>
        <w:t>注：</w:t>
      </w:r>
      <w:r>
        <w:rPr>
          <w:rFonts w:hint="eastAsia"/>
          <w:color w:val="000000"/>
          <w:sz w:val="22"/>
          <w:szCs w:val="22"/>
        </w:rPr>
        <w:t xml:space="preserve"> </w:t>
      </w:r>
      <w:r>
        <w:rPr>
          <w:color w:val="000000"/>
          <w:sz w:val="22"/>
          <w:szCs w:val="22"/>
        </w:rPr>
        <w:t>1、本表人员有</w:t>
      </w:r>
      <w:r>
        <w:rPr>
          <w:rFonts w:hint="eastAsia"/>
          <w:color w:val="000000"/>
          <w:sz w:val="22"/>
          <w:szCs w:val="22"/>
        </w:rPr>
        <w:t>相关</w:t>
      </w:r>
      <w:r>
        <w:rPr>
          <w:color w:val="000000"/>
          <w:sz w:val="22"/>
          <w:szCs w:val="22"/>
        </w:rPr>
        <w:t>资格</w:t>
      </w:r>
      <w:r>
        <w:rPr>
          <w:rFonts w:hint="eastAsia"/>
          <w:color w:val="000000"/>
          <w:sz w:val="22"/>
          <w:szCs w:val="22"/>
        </w:rPr>
        <w:t>（职称）</w:t>
      </w:r>
      <w:r>
        <w:rPr>
          <w:color w:val="000000"/>
          <w:sz w:val="22"/>
          <w:szCs w:val="22"/>
        </w:rPr>
        <w:t>证书的应随表提交</w:t>
      </w:r>
      <w:r>
        <w:rPr>
          <w:rFonts w:hint="eastAsia"/>
          <w:color w:val="000000"/>
          <w:sz w:val="22"/>
          <w:szCs w:val="22"/>
        </w:rPr>
        <w:t>相关</w:t>
      </w:r>
      <w:r>
        <w:rPr>
          <w:color w:val="000000"/>
          <w:sz w:val="22"/>
          <w:szCs w:val="22"/>
        </w:rPr>
        <w:t>资格</w:t>
      </w:r>
      <w:r>
        <w:rPr>
          <w:rFonts w:hint="eastAsia"/>
          <w:color w:val="000000"/>
          <w:sz w:val="22"/>
          <w:szCs w:val="22"/>
        </w:rPr>
        <w:t>（职称）</w:t>
      </w:r>
      <w:r>
        <w:rPr>
          <w:color w:val="000000"/>
          <w:sz w:val="22"/>
          <w:szCs w:val="22"/>
        </w:rPr>
        <w:t>证书复印件加盖公章。</w:t>
      </w:r>
    </w:p>
    <w:p>
      <w:pPr>
        <w:adjustRightInd w:val="0"/>
        <w:snapToGrid w:val="0"/>
        <w:spacing w:line="460" w:lineRule="atLeast"/>
        <w:ind w:firstLine="550" w:firstLineChars="250"/>
        <w:rPr>
          <w:color w:val="000000"/>
          <w:sz w:val="22"/>
          <w:szCs w:val="22"/>
        </w:rPr>
      </w:pPr>
      <w:r>
        <w:rPr>
          <w:rFonts w:hint="eastAsia"/>
          <w:color w:val="000000"/>
          <w:sz w:val="22"/>
          <w:szCs w:val="22"/>
        </w:rPr>
        <w:t>2</w:t>
      </w:r>
      <w:r>
        <w:rPr>
          <w:color w:val="000000"/>
          <w:sz w:val="22"/>
          <w:szCs w:val="22"/>
        </w:rPr>
        <w:t>、列入本表人员如要更换，需经</w:t>
      </w:r>
      <w:r>
        <w:rPr>
          <w:rFonts w:hint="eastAsia"/>
          <w:color w:val="000000"/>
          <w:sz w:val="22"/>
          <w:szCs w:val="22"/>
        </w:rPr>
        <w:t>采购</w:t>
      </w:r>
      <w:r>
        <w:rPr>
          <w:color w:val="000000"/>
          <w:sz w:val="22"/>
          <w:szCs w:val="22"/>
        </w:rPr>
        <w:t>人同意</w:t>
      </w:r>
      <w:r>
        <w:rPr>
          <w:rFonts w:hint="eastAsia"/>
          <w:color w:val="000000"/>
          <w:sz w:val="22"/>
          <w:szCs w:val="22"/>
        </w:rPr>
        <w:t>，</w:t>
      </w:r>
      <w:r>
        <w:rPr>
          <w:color w:val="000000"/>
          <w:sz w:val="22"/>
          <w:szCs w:val="22"/>
        </w:rPr>
        <w:t>擅自更换或不到位属违约行为。</w:t>
      </w:r>
    </w:p>
    <w:p>
      <w:pPr>
        <w:adjustRightInd w:val="0"/>
        <w:snapToGrid w:val="0"/>
        <w:spacing w:line="460" w:lineRule="atLeast"/>
        <w:ind w:firstLine="550" w:firstLineChars="250"/>
        <w:rPr>
          <w:color w:val="000000"/>
          <w:sz w:val="22"/>
          <w:szCs w:val="22"/>
        </w:rPr>
      </w:pPr>
      <w:r>
        <w:rPr>
          <w:rFonts w:hint="eastAsia"/>
          <w:color w:val="000000"/>
          <w:sz w:val="22"/>
          <w:szCs w:val="22"/>
        </w:rPr>
        <w:t>3、表格可以延续</w:t>
      </w:r>
      <w:r>
        <w:rPr>
          <w:color w:val="000000"/>
          <w:sz w:val="22"/>
          <w:szCs w:val="22"/>
        </w:rPr>
        <w:t>。</w:t>
      </w:r>
    </w:p>
    <w:p>
      <w:pPr>
        <w:spacing w:line="460" w:lineRule="atLeast"/>
        <w:ind w:firstLine="480"/>
        <w:rPr>
          <w:color w:val="000000"/>
          <w:spacing w:val="20"/>
          <w:sz w:val="22"/>
          <w:szCs w:val="22"/>
        </w:rPr>
      </w:pPr>
    </w:p>
    <w:p>
      <w:pPr>
        <w:autoSpaceDE w:val="0"/>
        <w:autoSpaceDN w:val="0"/>
        <w:adjustRightInd w:val="0"/>
        <w:spacing w:line="460" w:lineRule="atLeast"/>
        <w:rPr>
          <w:rFonts w:cs="Arial"/>
          <w:color w:val="000000"/>
          <w:sz w:val="22"/>
          <w:lang w:val="zh-CN"/>
        </w:rPr>
      </w:pPr>
      <w:r>
        <w:rPr>
          <w:rFonts w:hint="eastAsia" w:cs="Arial"/>
          <w:color w:val="000000"/>
          <w:sz w:val="22"/>
          <w:lang w:val="zh-CN"/>
        </w:rPr>
        <w:t>投标供应商盖章：</w:t>
      </w:r>
    </w:p>
    <w:p>
      <w:pPr>
        <w:autoSpaceDE w:val="0"/>
        <w:autoSpaceDN w:val="0"/>
        <w:adjustRightInd w:val="0"/>
        <w:spacing w:line="460" w:lineRule="atLeast"/>
        <w:rPr>
          <w:rFonts w:cs="Arial"/>
          <w:color w:val="000000"/>
          <w:sz w:val="22"/>
          <w:lang w:val="zh-CN"/>
        </w:rPr>
      </w:pPr>
      <w:r>
        <w:rPr>
          <w:rFonts w:hint="eastAsia"/>
          <w:color w:val="000000"/>
          <w:sz w:val="22"/>
          <w:lang w:val="zh-CN"/>
        </w:rPr>
        <w:t>法定代表人（负责人）或授权代表（签字或盖章）</w:t>
      </w:r>
      <w:r>
        <w:rPr>
          <w:rFonts w:hint="eastAsia" w:cs="Arial"/>
          <w:color w:val="000000"/>
          <w:sz w:val="22"/>
          <w:lang w:val="zh-CN"/>
        </w:rPr>
        <w:t>：</w:t>
      </w:r>
      <w:r>
        <w:rPr>
          <w:rFonts w:cs="Arial"/>
          <w:color w:val="000000"/>
          <w:sz w:val="22"/>
          <w:lang w:val="zh-CN"/>
        </w:rPr>
        <w:t xml:space="preserve">            </w:t>
      </w:r>
    </w:p>
    <w:p>
      <w:pPr>
        <w:autoSpaceDE w:val="0"/>
        <w:autoSpaceDN w:val="0"/>
        <w:adjustRightInd w:val="0"/>
        <w:spacing w:line="460" w:lineRule="atLeast"/>
        <w:rPr>
          <w:rFonts w:cs="Arial"/>
          <w:color w:val="000000"/>
          <w:sz w:val="22"/>
          <w:lang w:val="zh-CN"/>
        </w:rPr>
      </w:pPr>
      <w:r>
        <w:rPr>
          <w:rFonts w:hint="eastAsia" w:cs="Arial"/>
          <w:color w:val="000000"/>
          <w:sz w:val="22"/>
          <w:lang w:val="zh-CN"/>
        </w:rPr>
        <w:t>日期：</w:t>
      </w:r>
    </w:p>
    <w:p>
      <w:pPr>
        <w:rPr>
          <w:color w:val="000000"/>
          <w:sz w:val="36"/>
          <w:szCs w:val="36"/>
        </w:rPr>
      </w:pPr>
    </w:p>
    <w:p>
      <w:pPr>
        <w:rPr>
          <w:color w:val="000000"/>
          <w:sz w:val="36"/>
          <w:szCs w:val="36"/>
        </w:rPr>
      </w:pPr>
    </w:p>
    <w:p>
      <w:pPr>
        <w:tabs>
          <w:tab w:val="left" w:pos="1575"/>
        </w:tabs>
        <w:adjustRightInd w:val="0"/>
        <w:snapToGrid w:val="0"/>
        <w:spacing w:line="360" w:lineRule="auto"/>
        <w:jc w:val="center"/>
        <w:rPr>
          <w:rFonts w:eastAsia="新宋体"/>
          <w:b/>
          <w:color w:val="000000"/>
          <w:sz w:val="36"/>
          <w:szCs w:val="36"/>
        </w:rPr>
      </w:pPr>
    </w:p>
    <w:p>
      <w:pPr>
        <w:rPr>
          <w:b/>
          <w:color w:val="000000"/>
          <w:sz w:val="32"/>
          <w:lang w:val="zh-CN"/>
        </w:rPr>
      </w:pPr>
      <w:r>
        <w:rPr>
          <w:rFonts w:hint="eastAsia"/>
          <w:b/>
          <w:color w:val="000000"/>
          <w:sz w:val="32"/>
          <w:lang w:val="zh-CN"/>
        </w:rPr>
        <w:t>3.12供应商认为有必要提供的其他材料或说明（如有）</w:t>
      </w:r>
    </w:p>
    <w:p>
      <w:pPr>
        <w:pStyle w:val="8"/>
        <w:rPr>
          <w:color w:val="000000"/>
        </w:rPr>
      </w:pPr>
    </w:p>
    <w:p>
      <w:pPr>
        <w:spacing w:line="360" w:lineRule="auto"/>
        <w:jc w:val="center"/>
        <w:rPr>
          <w:rFonts w:ascii="华文中宋" w:hAnsi="华文中宋" w:eastAsia="华文中宋"/>
          <w:b/>
          <w:color w:val="000000"/>
          <w:sz w:val="40"/>
        </w:rPr>
      </w:pPr>
      <w:r>
        <w:rPr>
          <w:rFonts w:hint="eastAsia" w:ascii="华文中宋" w:hAnsi="华文中宋" w:eastAsia="华文中宋"/>
          <w:b/>
          <w:color w:val="000000"/>
          <w:sz w:val="40"/>
        </w:rPr>
        <w:t>供应商认为有必要提供的其他材料或说明</w:t>
      </w:r>
    </w:p>
    <w:p>
      <w:pPr>
        <w:spacing w:line="360" w:lineRule="auto"/>
        <w:rPr>
          <w:rFonts w:hint="eastAsia" w:ascii="仿宋" w:hAnsi="仿宋" w:eastAsia="仿宋" w:cs="Arial"/>
          <w:b/>
          <w:color w:val="000000"/>
          <w:szCs w:val="22"/>
          <w:u w:val="single"/>
          <w:lang w:eastAsia="zh-CN"/>
        </w:rPr>
      </w:pPr>
      <w:r>
        <w:rPr>
          <w:rFonts w:hint="eastAsia" w:ascii="仿宋" w:hAnsi="仿宋" w:eastAsia="仿宋" w:cs="Arial"/>
          <w:b/>
          <w:color w:val="000000"/>
          <w:szCs w:val="22"/>
        </w:rPr>
        <w:t>项目</w:t>
      </w:r>
      <w:r>
        <w:rPr>
          <w:rFonts w:ascii="仿宋" w:hAnsi="仿宋" w:eastAsia="仿宋" w:cs="Arial"/>
          <w:b/>
          <w:color w:val="000000"/>
          <w:szCs w:val="22"/>
        </w:rPr>
        <w:t>名称：</w:t>
      </w:r>
      <w:r>
        <w:rPr>
          <w:rFonts w:hint="eastAsia" w:ascii="仿宋" w:hAnsi="仿宋" w:eastAsia="仿宋" w:cs="Arial"/>
          <w:b/>
          <w:color w:val="000000"/>
          <w:szCs w:val="22"/>
          <w:u w:val="single"/>
          <w:lang w:eastAsia="zh-CN"/>
        </w:rPr>
        <w:t>海洋牧歌田园综合体―数字南麂设备采购项目</w:t>
      </w:r>
    </w:p>
    <w:p>
      <w:pPr>
        <w:spacing w:line="360" w:lineRule="auto"/>
        <w:rPr>
          <w:rFonts w:ascii="仿宋" w:hAnsi="仿宋" w:eastAsia="仿宋" w:cs="Arial"/>
          <w:b/>
          <w:color w:val="000000"/>
          <w:u w:val="single"/>
        </w:rPr>
      </w:pPr>
      <w:r>
        <w:rPr>
          <w:rFonts w:ascii="仿宋" w:hAnsi="仿宋" w:eastAsia="仿宋" w:cs="Arial"/>
          <w:b/>
          <w:color w:val="000000"/>
          <w:szCs w:val="22"/>
        </w:rPr>
        <w:t>项目编号：</w:t>
      </w:r>
      <w:r>
        <w:rPr>
          <w:rFonts w:hint="eastAsia" w:ascii="仿宋" w:hAnsi="仿宋" w:eastAsia="仿宋" w:cs="Arial"/>
          <w:b/>
          <w:color w:val="000000"/>
          <w:szCs w:val="22"/>
        </w:rPr>
        <w:t xml:space="preserve"> </w:t>
      </w:r>
      <w:r>
        <w:rPr>
          <w:rFonts w:hint="eastAsia" w:ascii="仿宋" w:hAnsi="仿宋" w:eastAsia="仿宋" w:cs="Arial"/>
          <w:b/>
          <w:color w:val="000000"/>
          <w:u w:val="single"/>
        </w:rPr>
        <w:t xml:space="preserve"> </w:t>
      </w:r>
    </w:p>
    <w:tbl>
      <w:tblPr>
        <w:tblStyle w:val="58"/>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000000"/>
                <w:szCs w:val="21"/>
              </w:rPr>
            </w:pPr>
          </w:p>
        </w:tc>
      </w:tr>
    </w:tbl>
    <w:p>
      <w:pPr>
        <w:snapToGrid w:val="0"/>
        <w:spacing w:line="360" w:lineRule="auto"/>
        <w:rPr>
          <w:rFonts w:ascii="仿宋" w:hAnsi="仿宋" w:eastAsia="仿宋" w:cs="Arial"/>
          <w:color w:val="000000"/>
        </w:rPr>
      </w:pPr>
      <w:r>
        <w:rPr>
          <w:rFonts w:hint="eastAsia" w:ascii="仿宋" w:hAnsi="仿宋" w:eastAsia="仿宋" w:cs="Arial"/>
          <w:color w:val="000000"/>
        </w:rPr>
        <w:t>供应商名称（盖章）：</w:t>
      </w:r>
      <w:r>
        <w:rPr>
          <w:rFonts w:ascii="仿宋" w:hAnsi="仿宋" w:eastAsia="仿宋" w:cs="Arial"/>
          <w:color w:val="000000"/>
        </w:rPr>
        <w:t>____________________________________________</w:t>
      </w:r>
    </w:p>
    <w:p>
      <w:pPr>
        <w:snapToGrid w:val="0"/>
        <w:spacing w:line="360" w:lineRule="auto"/>
        <w:rPr>
          <w:rFonts w:ascii="仿宋" w:hAnsi="仿宋" w:eastAsia="仿宋" w:cs="Arial"/>
          <w:color w:val="000000"/>
          <w:u w:val="single"/>
        </w:rPr>
      </w:pPr>
      <w:r>
        <w:rPr>
          <w:rFonts w:hint="eastAsia" w:ascii="仿宋" w:hAnsi="仿宋" w:eastAsia="仿宋" w:cs="Arial"/>
          <w:color w:val="000000"/>
        </w:rPr>
        <w:t>法定代表人或其授权代表（签字或盖章）：</w:t>
      </w:r>
      <w:r>
        <w:rPr>
          <w:rFonts w:ascii="仿宋" w:hAnsi="仿宋" w:eastAsia="仿宋" w:cs="Arial"/>
          <w:color w:val="000000"/>
        </w:rPr>
        <w:t>____________________________</w:t>
      </w:r>
    </w:p>
    <w:p>
      <w:pPr>
        <w:spacing w:line="360" w:lineRule="auto"/>
        <w:rPr>
          <w:rFonts w:ascii="Arial" w:hAnsi="Arial" w:eastAsia="新宋体" w:cs="Arial"/>
          <w:color w:val="000000"/>
          <w:szCs w:val="21"/>
          <w:u w:val="single"/>
        </w:rPr>
      </w:pPr>
      <w:r>
        <w:rPr>
          <w:rFonts w:hint="eastAsia" w:ascii="仿宋" w:hAnsi="仿宋" w:eastAsia="仿宋" w:cs="Arial"/>
          <w:color w:val="000000"/>
        </w:rPr>
        <w:t>日期：</w:t>
      </w:r>
      <w:r>
        <w:rPr>
          <w:rFonts w:ascii="仿宋" w:hAnsi="仿宋" w:eastAsia="仿宋" w:cs="Arial"/>
          <w:color w:val="000000"/>
        </w:rPr>
        <w:t>________</w:t>
      </w:r>
      <w:r>
        <w:rPr>
          <w:rFonts w:hint="eastAsia" w:ascii="仿宋" w:hAnsi="仿宋" w:eastAsia="仿宋" w:cs="Arial"/>
          <w:color w:val="000000"/>
        </w:rPr>
        <w:t>年</w:t>
      </w:r>
      <w:r>
        <w:rPr>
          <w:rFonts w:ascii="仿宋" w:hAnsi="仿宋" w:eastAsia="仿宋" w:cs="Arial"/>
          <w:color w:val="000000"/>
        </w:rPr>
        <w:t>____</w:t>
      </w:r>
      <w:r>
        <w:rPr>
          <w:rFonts w:hint="eastAsia" w:ascii="仿宋" w:hAnsi="仿宋" w:eastAsia="仿宋" w:cs="Arial"/>
          <w:color w:val="000000"/>
        </w:rPr>
        <w:t>月</w:t>
      </w:r>
      <w:r>
        <w:rPr>
          <w:rFonts w:ascii="仿宋" w:hAnsi="仿宋" w:eastAsia="仿宋" w:cs="Arial"/>
          <w:color w:val="000000"/>
        </w:rPr>
        <w:t>____</w:t>
      </w:r>
      <w:r>
        <w:rPr>
          <w:rFonts w:hint="eastAsia" w:ascii="仿宋" w:hAnsi="仿宋" w:eastAsia="仿宋" w:cs="Arial"/>
          <w:color w:val="000000"/>
        </w:rPr>
        <w:t>日</w:t>
      </w:r>
    </w:p>
    <w:p>
      <w:pPr>
        <w:tabs>
          <w:tab w:val="left" w:pos="1575"/>
        </w:tabs>
        <w:adjustRightInd w:val="0"/>
        <w:snapToGrid w:val="0"/>
        <w:spacing w:line="360" w:lineRule="auto"/>
        <w:jc w:val="center"/>
        <w:rPr>
          <w:rFonts w:eastAsia="新宋体"/>
          <w:b/>
          <w:color w:val="000000"/>
          <w:sz w:val="36"/>
          <w:szCs w:val="36"/>
        </w:rPr>
      </w:pPr>
    </w:p>
    <w:p>
      <w:pPr>
        <w:tabs>
          <w:tab w:val="left" w:pos="1575"/>
        </w:tabs>
        <w:adjustRightInd w:val="0"/>
        <w:snapToGrid w:val="0"/>
        <w:spacing w:line="360" w:lineRule="auto"/>
        <w:jc w:val="center"/>
        <w:rPr>
          <w:rFonts w:eastAsia="新宋体"/>
          <w:b/>
          <w:color w:val="000000"/>
          <w:sz w:val="36"/>
          <w:szCs w:val="36"/>
        </w:rPr>
      </w:pPr>
      <w:r>
        <w:rPr>
          <w:rFonts w:hint="eastAsia" w:eastAsia="新宋体"/>
          <w:b/>
          <w:color w:val="000000"/>
          <w:sz w:val="36"/>
          <w:szCs w:val="36"/>
        </w:rPr>
        <w:t>质量服务承诺书</w:t>
      </w:r>
    </w:p>
    <w:p>
      <w:pPr>
        <w:spacing w:line="360" w:lineRule="auto"/>
        <w:rPr>
          <w:rFonts w:eastAsia="新宋体"/>
          <w:color w:val="000000"/>
        </w:rPr>
      </w:pPr>
      <w:r>
        <w:rPr>
          <w:rFonts w:hint="eastAsia" w:hAnsi="新宋体" w:eastAsia="新宋体"/>
          <w:color w:val="000000"/>
        </w:rPr>
        <w:t>致</w:t>
      </w:r>
      <w:r>
        <w:rPr>
          <w:rFonts w:hint="eastAsia" w:eastAsia="新宋体"/>
          <w:color w:val="000000"/>
          <w:u w:val="single"/>
        </w:rPr>
        <w:t xml:space="preserve">               </w:t>
      </w:r>
      <w:r>
        <w:rPr>
          <w:rFonts w:hint="eastAsia" w:hAnsi="新宋体" w:eastAsia="新宋体"/>
          <w:color w:val="000000"/>
        </w:rPr>
        <w:t>（采购人）</w:t>
      </w:r>
      <w:r>
        <w:rPr>
          <w:rFonts w:hint="eastAsia" w:eastAsia="新宋体"/>
          <w:color w:val="000000"/>
        </w:rPr>
        <w:t>:</w:t>
      </w:r>
    </w:p>
    <w:p>
      <w:pPr>
        <w:spacing w:line="360" w:lineRule="auto"/>
        <w:ind w:firstLine="480" w:firstLineChars="200"/>
        <w:rPr>
          <w:rFonts w:eastAsia="新宋体"/>
          <w:color w:val="000000"/>
        </w:rPr>
      </w:pPr>
      <w:r>
        <w:rPr>
          <w:rFonts w:hint="eastAsia" w:hAnsi="新宋体" w:eastAsia="新宋体"/>
          <w:color w:val="000000"/>
        </w:rPr>
        <w:t>本公司</w:t>
      </w:r>
      <w:r>
        <w:rPr>
          <w:rFonts w:hint="eastAsia" w:hAnsi="新宋体" w:eastAsia="新宋体"/>
          <w:color w:val="000000"/>
          <w:u w:val="single"/>
        </w:rPr>
        <w:t xml:space="preserve">    </w:t>
      </w:r>
      <w:r>
        <w:rPr>
          <w:rFonts w:hint="eastAsia" w:hAnsi="新宋体" w:eastAsia="新宋体"/>
          <w:color w:val="000000"/>
        </w:rPr>
        <w:t>（供应商）对</w:t>
      </w:r>
      <w:r>
        <w:rPr>
          <w:rFonts w:hint="eastAsia" w:hAnsi="新宋体" w:eastAsia="新宋体"/>
          <w:color w:val="000000"/>
          <w:u w:val="single"/>
        </w:rPr>
        <w:t xml:space="preserve">  </w:t>
      </w:r>
      <w:r>
        <w:rPr>
          <w:rFonts w:hint="eastAsia" w:ascii="仿宋" w:hAnsi="仿宋" w:eastAsia="仿宋" w:cs="Arial"/>
          <w:b/>
          <w:color w:val="000000"/>
          <w:u w:val="single"/>
          <w:lang w:eastAsia="zh-CN"/>
        </w:rPr>
        <w:t>海洋牧歌田园综合体―数字南麂设备采购项目</w:t>
      </w:r>
      <w:r>
        <w:rPr>
          <w:rFonts w:hint="eastAsia" w:ascii="仿宋" w:hAnsi="仿宋" w:eastAsia="仿宋" w:cs="Arial"/>
          <w:b/>
          <w:color w:val="000000"/>
          <w:u w:val="single"/>
        </w:rPr>
        <w:t>（项目编号：   ）</w:t>
      </w:r>
      <w:r>
        <w:rPr>
          <w:rFonts w:hint="eastAsia" w:hAnsi="新宋体" w:eastAsia="新宋体"/>
          <w:color w:val="000000"/>
        </w:rPr>
        <w:t>做出如下承诺。</w:t>
      </w:r>
    </w:p>
    <w:p>
      <w:pPr>
        <w:spacing w:line="360" w:lineRule="auto"/>
        <w:rPr>
          <w:rFonts w:eastAsia="新宋体"/>
          <w:color w:val="000000"/>
        </w:rPr>
      </w:pPr>
      <w:r>
        <w:rPr>
          <w:rFonts w:hint="eastAsia" w:hAnsi="新宋体" w:eastAsia="新宋体"/>
          <w:color w:val="000000"/>
        </w:rPr>
        <w:t xml:space="preserve">    如果我公司有幸成为</w:t>
      </w:r>
      <w:r>
        <w:rPr>
          <w:rFonts w:hint="eastAsia" w:ascii="仿宋" w:hAnsi="仿宋" w:eastAsia="仿宋" w:cs="Arial"/>
          <w:b/>
          <w:color w:val="000000"/>
          <w:u w:val="single"/>
          <w:lang w:eastAsia="zh-CN"/>
        </w:rPr>
        <w:t>海洋牧歌田园综合体―数字南麂设备采购项目</w:t>
      </w:r>
      <w:r>
        <w:rPr>
          <w:rFonts w:hint="eastAsia" w:ascii="仿宋" w:hAnsi="仿宋" w:eastAsia="仿宋" w:cs="Arial"/>
          <w:b/>
          <w:color w:val="000000"/>
          <w:u w:val="single"/>
        </w:rPr>
        <w:t>（项目编号：    ）</w:t>
      </w:r>
      <w:r>
        <w:rPr>
          <w:rFonts w:hint="eastAsia" w:hAnsi="新宋体" w:eastAsia="新宋体"/>
          <w:color w:val="000000"/>
        </w:rPr>
        <w:t>的中标人，将作出以下承诺：</w:t>
      </w:r>
    </w:p>
    <w:p>
      <w:pPr>
        <w:spacing w:line="360" w:lineRule="auto"/>
        <w:ind w:firstLine="480" w:firstLineChars="200"/>
        <w:rPr>
          <w:rFonts w:hAnsi="新宋体" w:eastAsia="新宋体"/>
          <w:color w:val="000000"/>
        </w:rPr>
      </w:pPr>
    </w:p>
    <w:p>
      <w:pPr>
        <w:spacing w:line="360" w:lineRule="auto"/>
        <w:ind w:firstLine="480" w:firstLineChars="200"/>
        <w:rPr>
          <w:rFonts w:eastAsia="新宋体"/>
          <w:color w:val="000000"/>
        </w:rPr>
      </w:pPr>
      <w:r>
        <w:rPr>
          <w:rFonts w:hint="eastAsia" w:hAnsi="新宋体" w:eastAsia="新宋体"/>
          <w:color w:val="000000"/>
        </w:rPr>
        <w:t>一、本公司所提供的产品及其配件都是质量合格产品；</w:t>
      </w:r>
    </w:p>
    <w:p>
      <w:pPr>
        <w:spacing w:line="360" w:lineRule="auto"/>
        <w:rPr>
          <w:rFonts w:eastAsia="新宋体"/>
          <w:color w:val="000000"/>
        </w:rPr>
      </w:pPr>
    </w:p>
    <w:p>
      <w:pPr>
        <w:spacing w:line="360" w:lineRule="auto"/>
        <w:ind w:firstLine="480" w:firstLineChars="200"/>
        <w:rPr>
          <w:rFonts w:eastAsia="新宋体"/>
          <w:color w:val="000000"/>
        </w:rPr>
      </w:pPr>
      <w:r>
        <w:rPr>
          <w:rFonts w:hint="eastAsia" w:hAnsi="新宋体" w:eastAsia="新宋体"/>
          <w:color w:val="000000"/>
        </w:rPr>
        <w:t>二、在招标文件要求的产品质保期内，对由质量问题的产品进行无条件技术服务直至满足使用方的项目使用需求；</w:t>
      </w:r>
    </w:p>
    <w:p>
      <w:pPr>
        <w:spacing w:line="360" w:lineRule="auto"/>
        <w:rPr>
          <w:rFonts w:eastAsia="新宋体"/>
          <w:color w:val="000000"/>
        </w:rPr>
      </w:pPr>
    </w:p>
    <w:p>
      <w:pPr>
        <w:spacing w:line="360" w:lineRule="auto"/>
        <w:ind w:firstLine="480" w:firstLineChars="200"/>
        <w:rPr>
          <w:rFonts w:hAnsi="新宋体" w:eastAsia="新宋体"/>
          <w:color w:val="000000"/>
        </w:rPr>
      </w:pPr>
      <w:r>
        <w:rPr>
          <w:rFonts w:hint="eastAsia" w:hAnsi="新宋体" w:eastAsia="新宋体"/>
          <w:color w:val="000000"/>
        </w:rPr>
        <w:t>本承诺书自开标日起至招标方与中标方合同结束之日均有效。</w:t>
      </w:r>
    </w:p>
    <w:p>
      <w:pPr>
        <w:spacing w:line="360" w:lineRule="auto"/>
        <w:ind w:firstLine="480" w:firstLineChars="200"/>
        <w:rPr>
          <w:rFonts w:hAnsi="新宋体" w:eastAsia="新宋体"/>
          <w:color w:val="000000"/>
        </w:rPr>
      </w:pPr>
    </w:p>
    <w:p>
      <w:pPr>
        <w:spacing w:line="360" w:lineRule="auto"/>
        <w:ind w:firstLine="480" w:firstLineChars="200"/>
        <w:rPr>
          <w:rFonts w:eastAsia="新宋体"/>
          <w:color w:val="000000"/>
        </w:rPr>
      </w:pPr>
    </w:p>
    <w:p>
      <w:pPr>
        <w:spacing w:line="360" w:lineRule="auto"/>
        <w:ind w:firstLine="480" w:firstLineChars="200"/>
        <w:rPr>
          <w:rFonts w:eastAsia="新宋体"/>
          <w:color w:val="000000"/>
        </w:rPr>
      </w:pPr>
    </w:p>
    <w:p>
      <w:pPr>
        <w:spacing w:line="360" w:lineRule="auto"/>
        <w:ind w:firstLine="480" w:firstLineChars="200"/>
        <w:rPr>
          <w:rFonts w:eastAsia="新宋体"/>
          <w:color w:val="000000"/>
        </w:rPr>
      </w:pPr>
    </w:p>
    <w:p>
      <w:pPr>
        <w:snapToGrid w:val="0"/>
        <w:spacing w:line="360" w:lineRule="auto"/>
        <w:ind w:right="480"/>
        <w:rPr>
          <w:rFonts w:eastAsia="新宋体"/>
          <w:color w:val="000000"/>
        </w:rPr>
      </w:pPr>
      <w:r>
        <w:rPr>
          <w:rFonts w:hint="eastAsia" w:hAnsi="新宋体" w:eastAsia="新宋体"/>
          <w:color w:val="000000"/>
        </w:rPr>
        <w:t>地址：</w:t>
      </w:r>
      <w:r>
        <w:rPr>
          <w:rFonts w:hint="eastAsia" w:hAnsi="新宋体" w:eastAsia="新宋体"/>
          <w:color w:val="000000"/>
          <w:u w:val="single"/>
        </w:rPr>
        <w:t>　　　　　　　　　　</w:t>
      </w:r>
      <w:r>
        <w:rPr>
          <w:rFonts w:hint="eastAsia" w:hAnsi="新宋体" w:eastAsia="新宋体"/>
          <w:color w:val="000000"/>
        </w:rPr>
        <w:t>　　　　　邮编：</w:t>
      </w:r>
      <w:r>
        <w:rPr>
          <w:rFonts w:hint="eastAsia" w:hAnsi="新宋体" w:eastAsia="新宋体"/>
          <w:color w:val="000000"/>
          <w:u w:val="single"/>
        </w:rPr>
        <w:t>　　　　　　　</w:t>
      </w:r>
    </w:p>
    <w:p>
      <w:pPr>
        <w:snapToGrid w:val="0"/>
        <w:spacing w:line="360" w:lineRule="auto"/>
        <w:ind w:right="480"/>
        <w:rPr>
          <w:rFonts w:eastAsia="新宋体"/>
          <w:color w:val="000000"/>
        </w:rPr>
      </w:pPr>
      <w:r>
        <w:rPr>
          <w:rFonts w:hint="eastAsia" w:hAnsi="新宋体" w:eastAsia="新宋体"/>
          <w:color w:val="000000"/>
        </w:rPr>
        <w:t>电话：</w:t>
      </w:r>
      <w:r>
        <w:rPr>
          <w:rFonts w:hint="eastAsia" w:hAnsi="新宋体" w:eastAsia="新宋体"/>
          <w:color w:val="000000"/>
          <w:u w:val="single"/>
        </w:rPr>
        <w:t>　　　　　　　　</w:t>
      </w:r>
      <w:r>
        <w:rPr>
          <w:rFonts w:hint="eastAsia" w:hAnsi="新宋体" w:eastAsia="新宋体"/>
          <w:color w:val="000000"/>
        </w:rPr>
        <w:t>　　　传真：</w:t>
      </w:r>
      <w:r>
        <w:rPr>
          <w:rFonts w:hint="eastAsia" w:hAnsi="新宋体" w:eastAsia="新宋体"/>
          <w:color w:val="000000"/>
          <w:u w:val="single"/>
        </w:rPr>
        <w:t>　　　　　　</w:t>
      </w:r>
      <w:r>
        <w:rPr>
          <w:rFonts w:hint="eastAsia" w:hAnsi="新宋体" w:eastAsia="新宋体"/>
          <w:color w:val="000000"/>
        </w:rPr>
        <w:t>　　</w:t>
      </w:r>
    </w:p>
    <w:p>
      <w:pPr>
        <w:snapToGrid w:val="0"/>
        <w:spacing w:line="360" w:lineRule="auto"/>
        <w:ind w:right="480"/>
        <w:rPr>
          <w:rFonts w:eastAsia="新宋体"/>
          <w:color w:val="000000"/>
        </w:rPr>
      </w:pPr>
      <w:r>
        <w:rPr>
          <w:rFonts w:hint="eastAsia" w:hAnsi="新宋体" w:eastAsia="新宋体"/>
          <w:color w:val="000000"/>
        </w:rPr>
        <w:t>供应商授权代表姓名职务：</w:t>
      </w:r>
      <w:r>
        <w:rPr>
          <w:rFonts w:hint="eastAsia" w:hAnsi="新宋体" w:eastAsia="新宋体"/>
          <w:color w:val="000000"/>
          <w:u w:val="single"/>
        </w:rPr>
        <w:t>　　　　　　</w:t>
      </w:r>
      <w:r>
        <w:rPr>
          <w:rFonts w:hint="eastAsia" w:hAnsi="新宋体" w:eastAsia="新宋体"/>
          <w:color w:val="000000"/>
        </w:rPr>
        <w:t>　　</w:t>
      </w:r>
    </w:p>
    <w:p>
      <w:pPr>
        <w:tabs>
          <w:tab w:val="left" w:pos="1260"/>
        </w:tabs>
        <w:spacing w:line="360" w:lineRule="auto"/>
        <w:ind w:right="480"/>
        <w:rPr>
          <w:rFonts w:eastAsia="新宋体"/>
          <w:color w:val="000000"/>
          <w:u w:val="single"/>
        </w:rPr>
      </w:pPr>
      <w:r>
        <w:rPr>
          <w:rFonts w:hint="eastAsia" w:hAnsi="新宋体" w:eastAsia="新宋体"/>
          <w:color w:val="000000"/>
        </w:rPr>
        <w:t>供应商名称（公章）：</w:t>
      </w:r>
      <w:r>
        <w:rPr>
          <w:rFonts w:hint="eastAsia" w:hAnsi="新宋体" w:eastAsia="新宋体"/>
          <w:color w:val="000000"/>
          <w:u w:val="single"/>
        </w:rPr>
        <w:t>　　　　　　</w:t>
      </w:r>
    </w:p>
    <w:p>
      <w:pPr>
        <w:tabs>
          <w:tab w:val="left" w:pos="1260"/>
        </w:tabs>
        <w:spacing w:line="360" w:lineRule="auto"/>
        <w:ind w:right="480"/>
        <w:rPr>
          <w:rFonts w:hAnsi="新宋体" w:eastAsia="新宋体"/>
          <w:color w:val="000000"/>
        </w:rPr>
      </w:pPr>
      <w:r>
        <w:rPr>
          <w:rFonts w:hint="eastAsia" w:hAnsi="新宋体" w:eastAsia="新宋体"/>
          <w:color w:val="000000"/>
        </w:rPr>
        <w:t>法定代表人（负责人）或授权代表（签字或盖章）：</w:t>
      </w: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pStyle w:val="33"/>
        <w:adjustRightInd w:val="0"/>
        <w:snapToGrid w:val="0"/>
        <w:spacing w:line="400" w:lineRule="exact"/>
        <w:rPr>
          <w:rFonts w:hAnsi="宋体" w:eastAsia="新宋体"/>
          <w:color w:val="000000"/>
          <w:sz w:val="24"/>
        </w:rPr>
      </w:pPr>
    </w:p>
    <w:p>
      <w:pPr>
        <w:spacing w:line="360" w:lineRule="auto"/>
        <w:jc w:val="center"/>
        <w:rPr>
          <w:rFonts w:ascii="新宋体" w:hAnsi="新宋体" w:eastAsia="新宋体"/>
          <w:b/>
          <w:color w:val="000000"/>
          <w:sz w:val="28"/>
          <w:szCs w:val="28"/>
        </w:rPr>
      </w:pPr>
      <w:r>
        <w:rPr>
          <w:rFonts w:hint="eastAsia" w:ascii="新宋体" w:hAnsi="新宋体" w:eastAsia="新宋体"/>
          <w:b/>
          <w:color w:val="000000"/>
          <w:sz w:val="28"/>
          <w:szCs w:val="28"/>
        </w:rPr>
        <w:t>诚信投标承诺书</w:t>
      </w:r>
    </w:p>
    <w:p>
      <w:pPr>
        <w:spacing w:line="520" w:lineRule="exact"/>
        <w:ind w:right="-175" w:rightChars="-73"/>
        <w:rPr>
          <w:rFonts w:ascii="新宋体" w:hAnsi="新宋体" w:eastAsia="新宋体"/>
          <w:color w:val="000000"/>
          <w:sz w:val="22"/>
          <w:szCs w:val="22"/>
        </w:rPr>
      </w:pPr>
      <w:r>
        <w:rPr>
          <w:rFonts w:hint="eastAsia" w:ascii="新宋体" w:hAnsi="新宋体" w:eastAsia="新宋体"/>
          <w:color w:val="000000"/>
          <w:sz w:val="22"/>
          <w:szCs w:val="22"/>
        </w:rPr>
        <w:t>本企业郑重承诺：</w:t>
      </w:r>
    </w:p>
    <w:p>
      <w:pPr>
        <w:spacing w:line="500" w:lineRule="exact"/>
        <w:ind w:firstLine="440" w:firstLineChars="200"/>
        <w:rPr>
          <w:rFonts w:ascii="新宋体" w:hAnsi="新宋体" w:eastAsia="新宋体"/>
          <w:color w:val="000000"/>
          <w:sz w:val="22"/>
          <w:szCs w:val="22"/>
        </w:rPr>
      </w:pPr>
      <w:r>
        <w:rPr>
          <w:rFonts w:hint="eastAsia" w:ascii="新宋体" w:hAnsi="新宋体" w:eastAsia="新宋体"/>
          <w:color w:val="000000"/>
          <w:sz w:val="22"/>
          <w:szCs w:val="22"/>
        </w:rPr>
        <w:t>为了积极配合采购人组织的</w:t>
      </w:r>
      <w:r>
        <w:rPr>
          <w:rFonts w:hint="eastAsia" w:ascii="仿宋" w:hAnsi="仿宋" w:eastAsia="仿宋" w:cs="Arial"/>
          <w:b/>
          <w:color w:val="000000"/>
          <w:sz w:val="21"/>
          <w:szCs w:val="21"/>
          <w:u w:val="single"/>
          <w:lang w:eastAsia="zh-CN"/>
        </w:rPr>
        <w:t>海洋牧歌田园综合体―数字南麂设备采购项目</w:t>
      </w:r>
      <w:r>
        <w:rPr>
          <w:rFonts w:hint="eastAsia" w:ascii="仿宋" w:hAnsi="仿宋" w:eastAsia="仿宋" w:cs="Arial"/>
          <w:b/>
          <w:color w:val="000000"/>
          <w:sz w:val="21"/>
          <w:szCs w:val="21"/>
          <w:u w:val="single"/>
        </w:rPr>
        <w:t>（项目编号：  ）</w:t>
      </w:r>
      <w:r>
        <w:rPr>
          <w:rFonts w:hint="eastAsia" w:ascii="新宋体" w:hAnsi="新宋体" w:eastAsia="新宋体"/>
          <w:color w:val="000000"/>
          <w:sz w:val="22"/>
          <w:szCs w:val="22"/>
          <w:u w:val="single"/>
        </w:rPr>
        <w:t xml:space="preserve"> </w:t>
      </w:r>
      <w:r>
        <w:rPr>
          <w:rFonts w:hint="eastAsia" w:ascii="新宋体" w:hAnsi="新宋体" w:eastAsia="新宋体"/>
          <w:color w:val="000000"/>
          <w:sz w:val="22"/>
          <w:szCs w:val="22"/>
        </w:rPr>
        <w:t>招标工作，有效遏制不公平竞争和违规违纪问题的发生，确保招标工作的公平、公正、公开，我们保证认真贯彻</w:t>
      </w:r>
      <w:r>
        <w:rPr>
          <w:rFonts w:hint="eastAsia" w:ascii="新宋体" w:hAnsi="新宋体" w:eastAsia="新宋体" w:cs="Century Gothic"/>
          <w:color w:val="000000"/>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color w:val="000000"/>
          <w:sz w:val="22"/>
          <w:szCs w:val="22"/>
        </w:rPr>
        <w:t>相关规定以及有关廉洁要求，特承诺如下事项：</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1、自觉遵守国家法律法规及有关廉政建设制度。</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3、不使用不正当手段妨碍、排挤其它供应商或串通投标。</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7、不向采购人涉及招标的人员的配偶、子女分包此次招标项目。</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8、不向采购人及个人支付好处费、介绍费。</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000000"/>
          <w:sz w:val="22"/>
          <w:szCs w:val="22"/>
        </w:rPr>
      </w:pPr>
    </w:p>
    <w:p>
      <w:pPr>
        <w:spacing w:line="440" w:lineRule="exact"/>
        <w:rPr>
          <w:rFonts w:ascii="新宋体" w:hAnsi="新宋体" w:eastAsia="新宋体"/>
          <w:color w:val="000000"/>
          <w:sz w:val="22"/>
          <w:szCs w:val="22"/>
        </w:rPr>
      </w:pPr>
      <w:r>
        <w:rPr>
          <w:rFonts w:hint="eastAsia" w:ascii="新宋体" w:hAnsi="新宋体" w:eastAsia="新宋体"/>
          <w:color w:val="000000"/>
          <w:sz w:val="22"/>
          <w:szCs w:val="22"/>
        </w:rPr>
        <w:t>供应商全称(盖章)</w:t>
      </w:r>
      <w:r>
        <w:rPr>
          <w:rFonts w:hint="eastAsia" w:ascii="新宋体" w:hAnsi="新宋体" w:eastAsia="新宋体"/>
          <w:color w:val="000000"/>
          <w:sz w:val="22"/>
          <w:szCs w:val="22"/>
          <w:u w:val="single"/>
        </w:rPr>
        <w:t xml:space="preserve">                    </w:t>
      </w:r>
    </w:p>
    <w:p>
      <w:pPr>
        <w:spacing w:line="440" w:lineRule="exact"/>
        <w:rPr>
          <w:rFonts w:ascii="新宋体" w:hAnsi="新宋体" w:eastAsia="新宋体"/>
          <w:color w:val="000000"/>
          <w:sz w:val="22"/>
          <w:szCs w:val="22"/>
          <w:u w:val="single"/>
        </w:rPr>
      </w:pPr>
      <w:r>
        <w:rPr>
          <w:rFonts w:hint="eastAsia" w:ascii="新宋体" w:hAnsi="新宋体" w:eastAsia="新宋体"/>
          <w:color w:val="000000"/>
          <w:sz w:val="22"/>
          <w:szCs w:val="22"/>
        </w:rPr>
        <w:t>法定代表人（负责人）或授权代表（签字或签章）</w:t>
      </w:r>
      <w:r>
        <w:rPr>
          <w:rFonts w:hint="eastAsia" w:ascii="新宋体" w:hAnsi="新宋体" w:eastAsia="新宋体"/>
          <w:color w:val="000000"/>
          <w:sz w:val="22"/>
          <w:szCs w:val="22"/>
          <w:u w:val="single"/>
        </w:rPr>
        <w:t xml:space="preserve">          </w:t>
      </w:r>
    </w:p>
    <w:p>
      <w:pPr>
        <w:spacing w:line="440" w:lineRule="exact"/>
        <w:rPr>
          <w:rFonts w:ascii="新宋体" w:hAnsi="新宋体" w:eastAsia="新宋体"/>
          <w:bCs/>
          <w:color w:val="000000"/>
          <w:sz w:val="22"/>
        </w:rPr>
      </w:pPr>
      <w:r>
        <w:rPr>
          <w:rFonts w:hint="eastAsia" w:ascii="新宋体" w:hAnsi="新宋体" w:eastAsia="新宋体"/>
          <w:color w:val="000000"/>
          <w:sz w:val="22"/>
          <w:szCs w:val="22"/>
        </w:rPr>
        <w:t>日 期</w:t>
      </w:r>
      <w:r>
        <w:rPr>
          <w:rFonts w:hint="eastAsia" w:ascii="新宋体" w:hAnsi="新宋体" w:eastAsia="新宋体"/>
          <w:color w:val="000000"/>
          <w:sz w:val="22"/>
          <w:szCs w:val="22"/>
          <w:u w:val="single"/>
        </w:rPr>
        <w:t xml:space="preserve">                               </w:t>
      </w:r>
    </w:p>
    <w:p>
      <w:pPr>
        <w:autoSpaceDE w:val="0"/>
        <w:autoSpaceDN w:val="0"/>
        <w:adjustRightInd w:val="0"/>
        <w:snapToGrid w:val="0"/>
        <w:spacing w:line="400" w:lineRule="exact"/>
        <w:jc w:val="center"/>
        <w:textAlignment w:val="bottom"/>
        <w:rPr>
          <w:rFonts w:hint="eastAsia"/>
          <w:color w:val="000000"/>
          <w:sz w:val="36"/>
        </w:rPr>
      </w:pPr>
    </w:p>
    <w:p>
      <w:pPr>
        <w:autoSpaceDE w:val="0"/>
        <w:autoSpaceDN w:val="0"/>
        <w:adjustRightInd w:val="0"/>
        <w:snapToGrid w:val="0"/>
        <w:spacing w:line="400" w:lineRule="exact"/>
        <w:jc w:val="center"/>
        <w:textAlignment w:val="bottom"/>
        <w:rPr>
          <w:rFonts w:hint="eastAsia"/>
          <w:color w:val="000000"/>
          <w:sz w:val="36"/>
        </w:rPr>
      </w:pPr>
    </w:p>
    <w:p>
      <w:pPr>
        <w:pStyle w:val="56"/>
        <w:rPr>
          <w:rFonts w:hint="eastAsia"/>
          <w:color w:val="000000"/>
        </w:rPr>
      </w:pPr>
    </w:p>
    <w:p>
      <w:pPr>
        <w:autoSpaceDE w:val="0"/>
        <w:autoSpaceDN w:val="0"/>
        <w:adjustRightInd w:val="0"/>
        <w:snapToGrid w:val="0"/>
        <w:spacing w:line="400" w:lineRule="exact"/>
        <w:jc w:val="center"/>
        <w:textAlignment w:val="bottom"/>
        <w:rPr>
          <w:rFonts w:hint="eastAsia"/>
          <w:color w:val="000000"/>
          <w:sz w:val="36"/>
        </w:rPr>
      </w:pPr>
    </w:p>
    <w:p>
      <w:pPr>
        <w:autoSpaceDE w:val="0"/>
        <w:autoSpaceDN w:val="0"/>
        <w:adjustRightInd w:val="0"/>
        <w:snapToGrid w:val="0"/>
        <w:spacing w:line="400" w:lineRule="exact"/>
        <w:jc w:val="center"/>
        <w:textAlignment w:val="bottom"/>
        <w:rPr>
          <w:rFonts w:hint="eastAsia"/>
          <w:color w:val="000000"/>
          <w:sz w:val="36"/>
        </w:rPr>
      </w:pPr>
      <w:r>
        <w:rPr>
          <w:rFonts w:hint="eastAsia"/>
          <w:color w:val="000000"/>
          <w:sz w:val="36"/>
        </w:rPr>
        <w:t>第七部分   评标办法</w:t>
      </w:r>
    </w:p>
    <w:p>
      <w:pPr>
        <w:pStyle w:val="37"/>
        <w:adjustRightInd w:val="0"/>
        <w:snapToGrid w:val="0"/>
        <w:spacing w:line="400" w:lineRule="exact"/>
        <w:rPr>
          <w:rFonts w:hint="eastAsia" w:hAnsi="宋体"/>
          <w:color w:val="000000"/>
          <w:sz w:val="22"/>
          <w:szCs w:val="22"/>
        </w:rPr>
      </w:pPr>
      <w:r>
        <w:rPr>
          <w:rFonts w:hint="eastAsia" w:hAnsi="宋体"/>
          <w:color w:val="000000"/>
          <w:sz w:val="22"/>
          <w:szCs w:val="22"/>
        </w:rPr>
        <w:t>根据《中华人民共和国政府采购法》等有关政府采购法规，结合本次采购的实际，按照公平、公正、科学、择优的原则选择中标供应商，特制定本评标办法。</w:t>
      </w:r>
    </w:p>
    <w:p>
      <w:pPr>
        <w:pStyle w:val="37"/>
        <w:adjustRightInd w:val="0"/>
        <w:snapToGrid w:val="0"/>
        <w:spacing w:line="400" w:lineRule="exact"/>
        <w:rPr>
          <w:rFonts w:hint="eastAsia" w:hAnsi="宋体"/>
          <w:color w:val="000000"/>
          <w:sz w:val="22"/>
          <w:szCs w:val="22"/>
        </w:rPr>
      </w:pPr>
      <w:r>
        <w:rPr>
          <w:rFonts w:hint="eastAsia" w:hAnsi="宋体"/>
          <w:color w:val="000000"/>
          <w:sz w:val="22"/>
          <w:szCs w:val="22"/>
        </w:rPr>
        <w:t>一、总则</w:t>
      </w:r>
    </w:p>
    <w:p>
      <w:pPr>
        <w:pStyle w:val="37"/>
        <w:adjustRightInd w:val="0"/>
        <w:snapToGrid w:val="0"/>
        <w:spacing w:line="400" w:lineRule="exact"/>
        <w:rPr>
          <w:rFonts w:hint="eastAsia" w:hAnsi="宋体"/>
          <w:color w:val="000000"/>
          <w:sz w:val="22"/>
          <w:szCs w:val="22"/>
        </w:rPr>
      </w:pPr>
      <w:r>
        <w:rPr>
          <w:rFonts w:hint="eastAsia" w:hAnsi="宋体"/>
          <w:color w:val="000000"/>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hint="eastAsia"/>
          <w:bCs/>
          <w:color w:val="000000"/>
          <w:sz w:val="22"/>
          <w:szCs w:val="22"/>
        </w:rPr>
      </w:pPr>
      <w:r>
        <w:rPr>
          <w:rFonts w:hint="eastAsia"/>
          <w:bCs/>
          <w:color w:val="000000"/>
          <w:sz w:val="22"/>
          <w:szCs w:val="22"/>
        </w:rPr>
        <w:t>二．评标组织</w:t>
      </w:r>
    </w:p>
    <w:p>
      <w:pPr>
        <w:pStyle w:val="37"/>
        <w:adjustRightInd w:val="0"/>
        <w:snapToGrid w:val="0"/>
        <w:spacing w:line="420" w:lineRule="atLeast"/>
        <w:rPr>
          <w:rFonts w:hint="eastAsia" w:hAnsi="宋体"/>
          <w:color w:val="000000"/>
          <w:sz w:val="22"/>
          <w:szCs w:val="22"/>
        </w:rPr>
      </w:pPr>
      <w:r>
        <w:rPr>
          <w:rFonts w:hint="eastAsia" w:hAnsi="宋体"/>
          <w:color w:val="000000"/>
          <w:sz w:val="22"/>
          <w:szCs w:val="22"/>
        </w:rPr>
        <w:t>评标工作由采购机构依法组建的评标委员会负责，评标委员会由采购人</w:t>
      </w:r>
      <w:r>
        <w:rPr>
          <w:rFonts w:hAnsi="宋体"/>
          <w:color w:val="000000"/>
          <w:sz w:val="22"/>
          <w:szCs w:val="22"/>
        </w:rPr>
        <w:t>依法组建，成员人数应当为5人及以上单数，其中评审专家不得少于成员总数的三分之二</w:t>
      </w:r>
      <w:r>
        <w:rPr>
          <w:rFonts w:hint="eastAsia" w:hAnsi="宋体"/>
          <w:color w:val="000000"/>
          <w:sz w:val="22"/>
          <w:szCs w:val="22"/>
        </w:rPr>
        <w:t>；评审专家确定方式：按相关规定从专家库中抽取。评标全过程由招标管理部门监督整个开标、评标和定标过程。</w:t>
      </w:r>
    </w:p>
    <w:p>
      <w:pPr>
        <w:pStyle w:val="672"/>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hint="eastAsia" w:ascii="宋体" w:hAnsi="宋体"/>
          <w:b w:val="0"/>
          <w:color w:val="000000"/>
          <w:kern w:val="2"/>
          <w:sz w:val="22"/>
          <w:szCs w:val="22"/>
        </w:rPr>
      </w:pPr>
      <w:r>
        <w:rPr>
          <w:rFonts w:hint="eastAsia" w:ascii="宋体" w:hAnsi="宋体"/>
          <w:b w:val="0"/>
          <w:color w:val="000000"/>
          <w:kern w:val="2"/>
          <w:sz w:val="22"/>
          <w:szCs w:val="22"/>
        </w:rPr>
        <w:t>三、确定中标供应商办法</w:t>
      </w:r>
    </w:p>
    <w:p>
      <w:pPr>
        <w:pStyle w:val="48"/>
        <w:snapToGrid w:val="0"/>
        <w:spacing w:line="420" w:lineRule="atLeast"/>
        <w:ind w:firstLine="440"/>
        <w:rPr>
          <w:rFonts w:hint="eastAsia" w:ascii="宋体" w:hAnsi="宋体" w:eastAsia="宋体"/>
          <w:sz w:val="22"/>
          <w:szCs w:val="22"/>
        </w:rPr>
      </w:pPr>
      <w:r>
        <w:rPr>
          <w:rFonts w:hint="eastAsia" w:ascii="宋体" w:hAnsi="宋体" w:eastAsia="宋体"/>
          <w:bCs/>
          <w:sz w:val="22"/>
          <w:szCs w:val="22"/>
        </w:rPr>
        <w:t>评标委员会</w:t>
      </w:r>
      <w:r>
        <w:rPr>
          <w:rFonts w:hint="eastAsia" w:ascii="宋体" w:hAnsi="宋体" w:eastAsia="宋体"/>
          <w:sz w:val="22"/>
          <w:szCs w:val="22"/>
        </w:rPr>
        <w:t>以商务技术标和报价标合计分值由高到低的顺序</w:t>
      </w:r>
      <w:r>
        <w:rPr>
          <w:rFonts w:hint="eastAsia" w:ascii="宋体" w:hAnsi="宋体" w:eastAsia="宋体"/>
          <w:bCs/>
          <w:sz w:val="22"/>
          <w:szCs w:val="22"/>
        </w:rPr>
        <w:t>推荐</w:t>
      </w:r>
      <w:r>
        <w:rPr>
          <w:rFonts w:hint="eastAsia" w:ascii="宋体" w:hAnsi="宋体" w:eastAsia="宋体"/>
          <w:sz w:val="22"/>
          <w:szCs w:val="22"/>
        </w:rPr>
        <w:t>供应商名单，并提交书面评审报告。采购人授权由评标委员会根据评审报告直接确定综合得分第一名的供应商为中标供应商。如果第一名得分相同，以报价低的优先。</w:t>
      </w:r>
    </w:p>
    <w:p>
      <w:pPr>
        <w:adjustRightInd w:val="0"/>
        <w:snapToGrid w:val="0"/>
        <w:spacing w:line="420" w:lineRule="atLeast"/>
        <w:ind w:firstLine="420"/>
        <w:rPr>
          <w:rFonts w:hint="eastAsia"/>
          <w:color w:val="000000"/>
        </w:rPr>
      </w:pPr>
      <w:r>
        <w:rPr>
          <w:rFonts w:hint="eastAsia"/>
          <w:color w:val="000000"/>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hint="eastAsia"/>
          <w:color w:val="000000"/>
          <w:sz w:val="22"/>
          <w:szCs w:val="22"/>
        </w:rPr>
      </w:pPr>
      <w:r>
        <w:rPr>
          <w:rFonts w:hint="eastAsia"/>
          <w:b/>
          <w:color w:val="000000"/>
          <w:sz w:val="22"/>
          <w:szCs w:val="22"/>
        </w:rPr>
        <w:t>其它参见本采购文件第三部分：“供应商须知” 中的相关内容。</w:t>
      </w: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p>
    <w:p>
      <w:pPr>
        <w:pStyle w:val="33"/>
        <w:adjustRightInd w:val="0"/>
        <w:snapToGrid w:val="0"/>
        <w:jc w:val="center"/>
        <w:rPr>
          <w:rFonts w:hint="eastAsia" w:hAnsi="宋体"/>
          <w:b/>
          <w:color w:val="000000"/>
          <w:sz w:val="36"/>
          <w:szCs w:val="36"/>
        </w:rPr>
      </w:pPr>
      <w:r>
        <w:rPr>
          <w:rFonts w:hint="eastAsia" w:hAnsi="宋体"/>
          <w:b/>
          <w:color w:val="000000"/>
          <w:sz w:val="36"/>
          <w:szCs w:val="36"/>
        </w:rPr>
        <w:t>评标细则</w:t>
      </w:r>
    </w:p>
    <w:p>
      <w:pPr>
        <w:pStyle w:val="33"/>
        <w:tabs>
          <w:tab w:val="left" w:pos="5325"/>
        </w:tabs>
        <w:adjustRightInd w:val="0"/>
        <w:snapToGrid w:val="0"/>
        <w:spacing w:line="460" w:lineRule="exact"/>
        <w:rPr>
          <w:rFonts w:hint="eastAsia" w:hAnsi="宋体"/>
          <w:b/>
          <w:bCs/>
          <w:color w:val="000000"/>
          <w:sz w:val="22"/>
          <w:szCs w:val="22"/>
        </w:rPr>
      </w:pPr>
      <w:r>
        <w:rPr>
          <w:rFonts w:hint="eastAsia" w:hAnsi="宋体"/>
          <w:b/>
          <w:bCs/>
          <w:color w:val="000000"/>
          <w:sz w:val="22"/>
          <w:szCs w:val="22"/>
        </w:rPr>
        <w:t>一、</w:t>
      </w:r>
      <w:r>
        <w:rPr>
          <w:rFonts w:hint="eastAsia" w:hAnsi="宋体"/>
          <w:b/>
          <w:bCs/>
          <w:color w:val="000000"/>
          <w:sz w:val="22"/>
          <w:szCs w:val="22"/>
          <w:u w:val="single"/>
        </w:rPr>
        <w:t>报价评分</w:t>
      </w:r>
      <w:r>
        <w:rPr>
          <w:rFonts w:hint="eastAsia" w:hAnsi="宋体"/>
          <w:b/>
          <w:bCs/>
          <w:color w:val="000000"/>
          <w:sz w:val="22"/>
          <w:szCs w:val="22"/>
        </w:rPr>
        <w:t xml:space="preserve">  55分  </w:t>
      </w:r>
      <w:r>
        <w:rPr>
          <w:rFonts w:hAnsi="宋体"/>
          <w:b/>
          <w:bCs/>
          <w:color w:val="000000"/>
          <w:sz w:val="22"/>
          <w:szCs w:val="22"/>
        </w:rPr>
        <w:tab/>
      </w:r>
    </w:p>
    <w:p>
      <w:pPr>
        <w:pStyle w:val="26"/>
        <w:spacing w:after="0" w:line="460" w:lineRule="exact"/>
        <w:ind w:left="0" w:leftChars="0"/>
        <w:rPr>
          <w:rFonts w:hint="eastAsia" w:ascii="宋体" w:hAnsi="宋体"/>
          <w:color w:val="000000"/>
          <w:sz w:val="22"/>
          <w:szCs w:val="22"/>
        </w:rPr>
      </w:pPr>
      <w:r>
        <w:rPr>
          <w:rFonts w:hint="eastAsia" w:ascii="宋体" w:hAnsi="宋体"/>
          <w:color w:val="000000"/>
          <w:sz w:val="22"/>
          <w:szCs w:val="22"/>
        </w:rPr>
        <w:t>1、以有效投标供应商的有效投标价中的最低价为评标基准价，得满分55分。</w:t>
      </w:r>
      <w:r>
        <w:rPr>
          <w:rFonts w:hint="eastAsia" w:ascii="宋体" w:hAnsi="宋体"/>
          <w:bCs/>
          <w:color w:val="000000"/>
          <w:sz w:val="22"/>
          <w:szCs w:val="22"/>
        </w:rPr>
        <w:t>报价评分</w:t>
      </w:r>
      <w:r>
        <w:rPr>
          <w:rFonts w:hint="eastAsia" w:ascii="宋体" w:hAnsi="宋体"/>
          <w:color w:val="000000"/>
          <w:sz w:val="22"/>
          <w:szCs w:val="22"/>
        </w:rPr>
        <w:t>结算公式为:报价得分=(评标基准价／投标价)×55%×100；</w:t>
      </w:r>
    </w:p>
    <w:p>
      <w:pPr>
        <w:pStyle w:val="26"/>
        <w:spacing w:after="0" w:line="460" w:lineRule="exact"/>
        <w:ind w:left="0" w:leftChars="0"/>
        <w:rPr>
          <w:rFonts w:hint="eastAsia" w:ascii="宋体" w:hAnsi="宋体"/>
          <w:color w:val="000000"/>
          <w:sz w:val="22"/>
          <w:szCs w:val="22"/>
        </w:rPr>
      </w:pPr>
      <w:r>
        <w:rPr>
          <w:rFonts w:hint="eastAsia" w:ascii="宋体" w:hAnsi="宋体"/>
          <w:color w:val="000000"/>
          <w:sz w:val="22"/>
          <w:szCs w:val="22"/>
        </w:rPr>
        <w:t>2、如果某些（个）供应商投标报价超出该采购最高限价，该供应商投标按无效投标处理。</w:t>
      </w:r>
    </w:p>
    <w:p>
      <w:pPr>
        <w:pStyle w:val="54"/>
        <w:widowControl w:val="0"/>
        <w:adjustRightInd w:val="0"/>
        <w:snapToGrid w:val="0"/>
        <w:spacing w:before="0" w:beforeAutospacing="0" w:after="0" w:afterAutospacing="0" w:line="460" w:lineRule="exact"/>
        <w:rPr>
          <w:rFonts w:hint="eastAsia" w:hAnsi="宋体"/>
          <w:b/>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45分</w:t>
      </w:r>
    </w:p>
    <w:tbl>
      <w:tblPr>
        <w:tblStyle w:val="58"/>
        <w:tblW w:w="969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194"/>
        <w:gridCol w:w="907"/>
        <w:gridCol w:w="684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tblHeader/>
        </w:trPr>
        <w:tc>
          <w:tcPr>
            <w:tcW w:w="741" w:type="dxa"/>
            <w:tcBorders>
              <w:top w:val="single" w:color="auto" w:sz="12" w:space="0"/>
              <w:bottom w:val="single" w:color="auto" w:sz="4" w:space="0"/>
            </w:tcBorders>
            <w:shd w:val="clear" w:color="auto" w:fill="D9D9D9"/>
            <w:vAlign w:val="center"/>
          </w:tcPr>
          <w:p>
            <w:pPr>
              <w:snapToGrid w:val="0"/>
              <w:spacing w:line="320" w:lineRule="exact"/>
              <w:rPr>
                <w:rFonts w:cs="Arial"/>
                <w:b/>
                <w:color w:val="000000"/>
                <w:sz w:val="22"/>
                <w:szCs w:val="22"/>
              </w:rPr>
            </w:pPr>
            <w:r>
              <w:rPr>
                <w:rFonts w:hint="eastAsia" w:cs="Arial"/>
                <w:b/>
                <w:color w:val="000000"/>
                <w:sz w:val="22"/>
                <w:szCs w:val="22"/>
              </w:rPr>
              <w:t>序号</w:t>
            </w:r>
          </w:p>
        </w:tc>
        <w:tc>
          <w:tcPr>
            <w:tcW w:w="1194" w:type="dxa"/>
            <w:tcBorders>
              <w:top w:val="single" w:color="auto" w:sz="12" w:space="0"/>
              <w:bottom w:val="single" w:color="auto" w:sz="4" w:space="0"/>
            </w:tcBorders>
            <w:shd w:val="clear" w:color="auto" w:fill="D9D9D9"/>
            <w:vAlign w:val="center"/>
          </w:tcPr>
          <w:p>
            <w:pPr>
              <w:snapToGrid w:val="0"/>
              <w:spacing w:line="320" w:lineRule="exact"/>
              <w:jc w:val="center"/>
              <w:rPr>
                <w:rFonts w:cs="Arial"/>
                <w:b/>
                <w:color w:val="000000"/>
                <w:sz w:val="22"/>
                <w:szCs w:val="22"/>
              </w:rPr>
            </w:pPr>
            <w:r>
              <w:rPr>
                <w:rFonts w:hint="eastAsia" w:cs="Arial"/>
                <w:b/>
                <w:color w:val="000000"/>
                <w:sz w:val="22"/>
                <w:szCs w:val="22"/>
              </w:rPr>
              <w:t>评审内容</w:t>
            </w:r>
          </w:p>
        </w:tc>
        <w:tc>
          <w:tcPr>
            <w:tcW w:w="907" w:type="dxa"/>
            <w:tcBorders>
              <w:top w:val="single" w:color="auto" w:sz="12" w:space="0"/>
              <w:bottom w:val="single" w:color="auto" w:sz="4" w:space="0"/>
            </w:tcBorders>
            <w:shd w:val="clear" w:color="auto" w:fill="D9D9D9"/>
            <w:vAlign w:val="center"/>
          </w:tcPr>
          <w:p>
            <w:pPr>
              <w:pStyle w:val="33"/>
              <w:adjustRightInd w:val="0"/>
              <w:snapToGrid w:val="0"/>
              <w:spacing w:before="240" w:after="240" w:line="300" w:lineRule="exact"/>
              <w:jc w:val="center"/>
              <w:rPr>
                <w:rFonts w:hAnsi="宋体"/>
                <w:color w:val="000000"/>
                <w:sz w:val="22"/>
                <w:szCs w:val="22"/>
              </w:rPr>
            </w:pPr>
            <w:r>
              <w:rPr>
                <w:rFonts w:hint="eastAsia" w:hAnsi="宋体"/>
                <w:color w:val="000000"/>
                <w:sz w:val="22"/>
                <w:szCs w:val="22"/>
              </w:rPr>
              <w:t>分值</w:t>
            </w:r>
          </w:p>
          <w:p>
            <w:pPr>
              <w:snapToGrid w:val="0"/>
              <w:spacing w:line="320" w:lineRule="exact"/>
              <w:jc w:val="center"/>
              <w:rPr>
                <w:rFonts w:cs="Arial"/>
                <w:b/>
                <w:color w:val="000000"/>
                <w:sz w:val="22"/>
                <w:szCs w:val="22"/>
              </w:rPr>
            </w:pPr>
            <w:r>
              <w:rPr>
                <w:rFonts w:hint="eastAsia"/>
                <w:color w:val="000000"/>
                <w:sz w:val="22"/>
                <w:szCs w:val="22"/>
              </w:rPr>
              <w:t>范围</w:t>
            </w:r>
          </w:p>
        </w:tc>
        <w:tc>
          <w:tcPr>
            <w:tcW w:w="6849" w:type="dxa"/>
            <w:tcBorders>
              <w:top w:val="single" w:color="auto" w:sz="12" w:space="0"/>
              <w:bottom w:val="single" w:color="auto" w:sz="4" w:space="0"/>
            </w:tcBorders>
            <w:shd w:val="clear" w:color="auto" w:fill="D9D9D9"/>
            <w:vAlign w:val="center"/>
          </w:tcPr>
          <w:p>
            <w:pPr>
              <w:snapToGrid w:val="0"/>
              <w:spacing w:line="320" w:lineRule="exact"/>
              <w:jc w:val="center"/>
              <w:rPr>
                <w:rFonts w:cs="Arial"/>
                <w:b/>
                <w:color w:val="000000"/>
                <w:sz w:val="22"/>
                <w:szCs w:val="22"/>
              </w:rPr>
            </w:pPr>
            <w:r>
              <w:rPr>
                <w:rFonts w:hint="eastAsia" w:cs="Arial"/>
                <w:b/>
                <w:color w:val="000000"/>
                <w:sz w:val="22"/>
                <w:szCs w:val="22"/>
              </w:rPr>
              <w:t>评审标准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2" w:hRule="atLeast"/>
        </w:trPr>
        <w:tc>
          <w:tcPr>
            <w:tcW w:w="741" w:type="dxa"/>
            <w:vAlign w:val="center"/>
          </w:tcPr>
          <w:p>
            <w:pPr>
              <w:snapToGrid w:val="0"/>
              <w:spacing w:line="320" w:lineRule="exact"/>
              <w:jc w:val="center"/>
              <w:rPr>
                <w:rFonts w:cs="Arial"/>
                <w:color w:val="000000"/>
                <w:sz w:val="22"/>
                <w:szCs w:val="22"/>
              </w:rPr>
            </w:pPr>
            <w:r>
              <w:rPr>
                <w:rFonts w:hint="eastAsia" w:cs="Arial"/>
                <w:color w:val="000000"/>
                <w:sz w:val="22"/>
                <w:szCs w:val="22"/>
              </w:rPr>
              <w:t>1</w:t>
            </w:r>
          </w:p>
        </w:tc>
        <w:tc>
          <w:tcPr>
            <w:tcW w:w="1194" w:type="dxa"/>
            <w:vAlign w:val="center"/>
          </w:tcPr>
          <w:p>
            <w:pPr>
              <w:pStyle w:val="247"/>
              <w:snapToGrid w:val="0"/>
              <w:spacing w:line="320" w:lineRule="exact"/>
              <w:ind w:left="-107" w:firstLine="0" w:firstLineChars="0"/>
              <w:rPr>
                <w:color w:val="000000"/>
                <w:sz w:val="22"/>
              </w:rPr>
            </w:pPr>
            <w:r>
              <w:rPr>
                <w:rFonts w:hint="eastAsia" w:ascii="宋体" w:hAnsi="宋体" w:cs="宋体"/>
                <w:color w:val="000000"/>
                <w:sz w:val="22"/>
              </w:rPr>
              <w:t>产品技术参数、配置、性能</w:t>
            </w:r>
          </w:p>
        </w:tc>
        <w:tc>
          <w:tcPr>
            <w:tcW w:w="907" w:type="dxa"/>
            <w:vAlign w:val="center"/>
          </w:tcPr>
          <w:p>
            <w:pPr>
              <w:pStyle w:val="247"/>
              <w:snapToGrid w:val="0"/>
              <w:spacing w:line="320" w:lineRule="exact"/>
              <w:ind w:left="-107" w:firstLine="0" w:firstLineChars="0"/>
              <w:rPr>
                <w:rFonts w:cs="Arial"/>
                <w:color w:val="000000"/>
                <w:sz w:val="22"/>
              </w:rPr>
            </w:pPr>
            <w:r>
              <w:rPr>
                <w:rFonts w:hint="eastAsia" w:ascii="宋体" w:hAnsi="宋体" w:cs="宋体"/>
                <w:color w:val="000000"/>
                <w:sz w:val="22"/>
              </w:rPr>
              <w:t>0-24分</w:t>
            </w:r>
          </w:p>
        </w:tc>
        <w:tc>
          <w:tcPr>
            <w:tcW w:w="6849"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技术要求的符合性，即对提供货物的硬件技术参数、配置、性能是否符合或优于招标文件要求进行评价（提供证明材料）。</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技术要求中带★的项目，如有负偏离则每项扣1分。（0-24分）。必须按参数要求提供相应的①产品检测报告或②官网截图、链接、软件截图、认证证书等对应的证明材料复印件并加盖公章，否则视为负偏离做扣分处理，①、②提供任意一点即可。</w:t>
            </w:r>
          </w:p>
          <w:p>
            <w:pPr>
              <w:pStyle w:val="247"/>
              <w:snapToGrid w:val="0"/>
              <w:spacing w:line="320" w:lineRule="exact"/>
              <w:ind w:left="-107" w:firstLine="0" w:firstLineChars="0"/>
              <w:rPr>
                <w:rFonts w:hAnsi="宋体" w:cs="Arial"/>
                <w:color w:val="000000"/>
                <w:sz w:val="22"/>
              </w:rPr>
            </w:pPr>
            <w:r>
              <w:rPr>
                <w:rFonts w:hint="eastAsia" w:ascii="宋体" w:hAnsi="宋体" w:cs="宋体"/>
                <w:color w:val="000000"/>
                <w:sz w:val="22"/>
              </w:rPr>
              <w:t>技术要求中带★的项目，如负偏离数量≥8条则认定为重大负偏离，其响应文件作无效标处理；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41" w:type="dxa"/>
            <w:vAlign w:val="center"/>
          </w:tcPr>
          <w:p>
            <w:pPr>
              <w:snapToGrid w:val="0"/>
              <w:spacing w:line="320" w:lineRule="exact"/>
              <w:jc w:val="center"/>
              <w:rPr>
                <w:rFonts w:cs="Arial"/>
                <w:color w:val="000000"/>
                <w:sz w:val="22"/>
                <w:szCs w:val="22"/>
              </w:rPr>
            </w:pPr>
            <w:r>
              <w:rPr>
                <w:rFonts w:hint="eastAsia" w:cs="Arial"/>
                <w:color w:val="000000"/>
                <w:sz w:val="22"/>
                <w:szCs w:val="22"/>
              </w:rPr>
              <w:t>2</w:t>
            </w:r>
          </w:p>
        </w:tc>
        <w:tc>
          <w:tcPr>
            <w:tcW w:w="1194"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项目实施方案</w:t>
            </w:r>
          </w:p>
        </w:tc>
        <w:tc>
          <w:tcPr>
            <w:tcW w:w="907"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0-3分</w:t>
            </w:r>
          </w:p>
        </w:tc>
        <w:tc>
          <w:tcPr>
            <w:tcW w:w="6849"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项目实施方案（包括施工组织计划、安全保证措施、质量保证措施、进度保证措施和环境保证措施），由评标委员会根据实施方案的可行性、合理性，满足采购需求程度进行打分。</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（1）可行性（0-1分）；（2）满足采购需求程度（0-1分）；（3）合理性（0-1分）。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741" w:type="dxa"/>
            <w:vAlign w:val="center"/>
          </w:tcPr>
          <w:p>
            <w:pPr>
              <w:spacing w:line="320" w:lineRule="exact"/>
              <w:jc w:val="center"/>
              <w:rPr>
                <w:rFonts w:cs="Arial"/>
                <w:color w:val="000000"/>
                <w:sz w:val="22"/>
                <w:szCs w:val="22"/>
              </w:rPr>
            </w:pPr>
            <w:r>
              <w:rPr>
                <w:rFonts w:hint="eastAsia" w:cs="Arial"/>
                <w:color w:val="000000"/>
                <w:sz w:val="22"/>
                <w:szCs w:val="22"/>
              </w:rPr>
              <w:t>3</w:t>
            </w:r>
          </w:p>
        </w:tc>
        <w:tc>
          <w:tcPr>
            <w:tcW w:w="1194" w:type="dxa"/>
            <w:vAlign w:val="center"/>
          </w:tcPr>
          <w:p>
            <w:pPr>
              <w:pStyle w:val="247"/>
              <w:snapToGrid w:val="0"/>
              <w:spacing w:line="320" w:lineRule="exact"/>
              <w:ind w:left="-107" w:firstLine="0" w:firstLineChars="0"/>
              <w:rPr>
                <w:rFonts w:ascii="宋体" w:hAnsi="宋体" w:cs="宋体"/>
                <w:color w:val="000000"/>
                <w:sz w:val="22"/>
              </w:rPr>
            </w:pPr>
            <w:r>
              <w:rPr>
                <w:rFonts w:ascii="宋体" w:hAnsi="宋体" w:cs="宋体"/>
                <w:color w:val="000000"/>
                <w:sz w:val="22"/>
              </w:rPr>
              <w:t>服务于</w:t>
            </w:r>
            <w:r>
              <w:rPr>
                <w:rFonts w:hint="eastAsia" w:ascii="宋体" w:hAnsi="宋体" w:cs="宋体"/>
                <w:color w:val="000000"/>
                <w:sz w:val="22"/>
              </w:rPr>
              <w:t>本</w:t>
            </w:r>
            <w:r>
              <w:rPr>
                <w:rFonts w:ascii="宋体" w:hAnsi="宋体" w:cs="宋体"/>
                <w:color w:val="000000"/>
                <w:sz w:val="22"/>
              </w:rPr>
              <w:t>项目的工程技术人员情况</w:t>
            </w:r>
          </w:p>
        </w:tc>
        <w:tc>
          <w:tcPr>
            <w:tcW w:w="907"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0-4分</w:t>
            </w:r>
          </w:p>
        </w:tc>
        <w:tc>
          <w:tcPr>
            <w:tcW w:w="6849" w:type="dxa"/>
            <w:vAlign w:val="center"/>
          </w:tcPr>
          <w:p>
            <w:pPr>
              <w:pStyle w:val="247"/>
              <w:snapToGrid w:val="0"/>
              <w:spacing w:line="320" w:lineRule="exact"/>
              <w:ind w:left="-107" w:firstLine="0" w:firstLineChars="0"/>
              <w:rPr>
                <w:rFonts w:ascii="宋体" w:hAnsi="宋体" w:cs="宋体"/>
                <w:color w:val="000000"/>
                <w:sz w:val="22"/>
                <w:highlight w:val="none"/>
              </w:rPr>
            </w:pPr>
            <w:r>
              <w:rPr>
                <w:rFonts w:hint="eastAsia" w:ascii="宋体" w:hAnsi="宋体" w:cs="宋体"/>
                <w:color w:val="000000"/>
                <w:sz w:val="22"/>
                <w:lang w:val="en-US" w:eastAsia="zh-CN"/>
              </w:rPr>
              <w:t>1、</w:t>
            </w:r>
            <w:r>
              <w:rPr>
                <w:rFonts w:hint="eastAsia" w:ascii="宋体" w:hAnsi="宋体" w:cs="宋体"/>
                <w:color w:val="000000"/>
                <w:sz w:val="22"/>
              </w:rPr>
              <w:t>拟派项目班子中项目负责人</w:t>
            </w:r>
            <w:r>
              <w:rPr>
                <w:rFonts w:hint="eastAsia" w:ascii="宋体" w:hAnsi="宋体"/>
                <w:color w:val="000000"/>
                <w:sz w:val="22"/>
              </w:rPr>
              <w:t>一级建造师（机电工程）的得1分</w:t>
            </w:r>
            <w:r>
              <w:rPr>
                <w:rFonts w:hint="eastAsia" w:ascii="宋体" w:hAnsi="宋体" w:cs="宋体"/>
                <w:color w:val="000000"/>
                <w:sz w:val="22"/>
              </w:rPr>
              <w:t>，具有</w:t>
            </w:r>
            <w:r>
              <w:rPr>
                <w:rFonts w:hint="eastAsia" w:ascii="宋体" w:hAnsi="宋体"/>
                <w:color w:val="000000"/>
                <w:sz w:val="22"/>
              </w:rPr>
              <w:t>二级建造师（机电工程）的得0.5分</w:t>
            </w:r>
            <w:r>
              <w:rPr>
                <w:rFonts w:hint="eastAsia" w:ascii="宋体" w:hAnsi="宋体" w:cs="宋体"/>
                <w:bCs/>
                <w:color w:val="000000"/>
                <w:sz w:val="22"/>
              </w:rPr>
              <w:t>，须</w:t>
            </w:r>
            <w:r>
              <w:rPr>
                <w:rFonts w:ascii="宋体" w:hAnsi="宋体" w:cs="宋体"/>
                <w:bCs/>
                <w:color w:val="000000"/>
                <w:sz w:val="22"/>
              </w:rPr>
              <w:t>提供证书复印</w:t>
            </w:r>
            <w:r>
              <w:rPr>
                <w:rFonts w:ascii="宋体" w:hAnsi="宋体" w:cs="宋体"/>
                <w:bCs/>
                <w:color w:val="000000"/>
                <w:sz w:val="22"/>
                <w:highlight w:val="none"/>
              </w:rPr>
              <w:t>件</w:t>
            </w:r>
            <w:r>
              <w:rPr>
                <w:rFonts w:hint="eastAsia" w:ascii="宋体" w:hAnsi="宋体" w:cs="宋体"/>
                <w:bCs/>
                <w:color w:val="000000"/>
                <w:sz w:val="22"/>
                <w:highlight w:val="none"/>
              </w:rPr>
              <w:t>，</w:t>
            </w:r>
            <w:r>
              <w:rPr>
                <w:rFonts w:hint="eastAsia" w:ascii="宋体" w:hAnsi="宋体" w:cs="宋体"/>
                <w:bCs/>
                <w:color w:val="000000"/>
                <w:sz w:val="22"/>
                <w:highlight w:val="none"/>
                <w:lang w:eastAsia="zh-CN"/>
              </w:rPr>
              <w:t>不提供不得分</w:t>
            </w:r>
            <w:r>
              <w:rPr>
                <w:rFonts w:hint="eastAsia" w:ascii="宋体" w:hAnsi="宋体" w:cs="宋体"/>
                <w:color w:val="000000"/>
                <w:sz w:val="22"/>
                <w:highlight w:val="none"/>
              </w:rPr>
              <w:t>；</w:t>
            </w:r>
            <w:r>
              <w:rPr>
                <w:rFonts w:hint="eastAsia" w:ascii="宋体" w:hAnsi="宋体" w:cs="宋体"/>
                <w:color w:val="000000"/>
                <w:sz w:val="22"/>
                <w:highlight w:val="none"/>
              </w:rPr>
              <w:br w:type="textWrapping"/>
            </w:r>
            <w:r>
              <w:rPr>
                <w:rFonts w:hint="eastAsia" w:ascii="宋体" w:hAnsi="宋体" w:cs="宋体"/>
                <w:color w:val="000000"/>
                <w:sz w:val="22"/>
                <w:highlight w:val="none"/>
              </w:rPr>
              <w:t>2、</w:t>
            </w:r>
            <w:r>
              <w:rPr>
                <w:rFonts w:ascii="宋体" w:hAnsi="宋体" w:cs="宋体"/>
                <w:bCs/>
                <w:color w:val="000000"/>
                <w:sz w:val="22"/>
                <w:highlight w:val="none"/>
              </w:rPr>
              <w:t>拟派</w:t>
            </w:r>
            <w:r>
              <w:rPr>
                <w:rFonts w:hint="eastAsia" w:ascii="宋体" w:hAnsi="宋体" w:cs="宋体"/>
                <w:bCs/>
                <w:color w:val="000000"/>
                <w:sz w:val="22"/>
                <w:highlight w:val="none"/>
              </w:rPr>
              <w:t>项目</w:t>
            </w:r>
            <w:r>
              <w:rPr>
                <w:rFonts w:ascii="宋体" w:hAnsi="宋体" w:cs="宋体"/>
                <w:bCs/>
                <w:color w:val="000000"/>
                <w:sz w:val="22"/>
                <w:highlight w:val="none"/>
              </w:rPr>
              <w:t>技术负责人具</w:t>
            </w:r>
            <w:r>
              <w:rPr>
                <w:rFonts w:hint="eastAsia" w:ascii="宋体" w:hAnsi="宋体" w:cs="宋体"/>
                <w:color w:val="000000"/>
                <w:sz w:val="22"/>
                <w:highlight w:val="none"/>
              </w:rPr>
              <w:t>有</w:t>
            </w:r>
            <w:r>
              <w:rPr>
                <w:rFonts w:hint="eastAsia" w:ascii="宋体" w:hAnsi="宋体"/>
                <w:color w:val="000000"/>
                <w:sz w:val="22"/>
                <w:highlight w:val="none"/>
              </w:rPr>
              <w:t>信息系统项目管理师的得1分</w:t>
            </w:r>
            <w:r>
              <w:rPr>
                <w:rFonts w:hint="eastAsia" w:ascii="宋体" w:hAnsi="宋体" w:cs="宋体"/>
                <w:bCs/>
                <w:color w:val="000000"/>
                <w:sz w:val="22"/>
                <w:highlight w:val="none"/>
              </w:rPr>
              <w:t>，须</w:t>
            </w:r>
            <w:r>
              <w:rPr>
                <w:rFonts w:ascii="宋体" w:hAnsi="宋体" w:cs="宋体"/>
                <w:bCs/>
                <w:color w:val="000000"/>
                <w:sz w:val="22"/>
                <w:highlight w:val="none"/>
              </w:rPr>
              <w:t>提供证书复印件</w:t>
            </w:r>
            <w:r>
              <w:rPr>
                <w:rFonts w:hint="eastAsia" w:ascii="宋体" w:hAnsi="宋体" w:cs="宋体"/>
                <w:bCs/>
                <w:color w:val="000000"/>
                <w:sz w:val="22"/>
                <w:highlight w:val="none"/>
              </w:rPr>
              <w:t>，</w:t>
            </w:r>
            <w:r>
              <w:rPr>
                <w:rFonts w:hint="eastAsia" w:ascii="宋体" w:hAnsi="宋体" w:cs="宋体"/>
                <w:bCs/>
                <w:color w:val="000000"/>
                <w:sz w:val="22"/>
                <w:highlight w:val="none"/>
                <w:lang w:eastAsia="zh-CN"/>
              </w:rPr>
              <w:t>不提供不得分</w:t>
            </w:r>
            <w:r>
              <w:rPr>
                <w:rFonts w:hint="eastAsia" w:ascii="宋体" w:hAnsi="宋体" w:cs="宋体"/>
                <w:bCs/>
                <w:color w:val="000000"/>
                <w:sz w:val="22"/>
                <w:highlight w:val="none"/>
              </w:rPr>
              <w:t>；</w:t>
            </w:r>
            <w:r>
              <w:rPr>
                <w:rFonts w:hint="eastAsia" w:ascii="宋体" w:hAnsi="宋体" w:cs="宋体"/>
                <w:bCs/>
                <w:color w:val="000000"/>
                <w:sz w:val="22"/>
                <w:highlight w:val="none"/>
              </w:rPr>
              <w:br w:type="textWrapping"/>
            </w:r>
            <w:r>
              <w:rPr>
                <w:rFonts w:hint="eastAsia" w:ascii="宋体" w:hAnsi="宋体" w:cs="宋体"/>
                <w:bCs/>
                <w:color w:val="000000"/>
                <w:sz w:val="22"/>
                <w:highlight w:val="none"/>
              </w:rPr>
              <w:t>3、</w:t>
            </w:r>
            <w:r>
              <w:rPr>
                <w:rFonts w:hint="eastAsia" w:ascii="宋体" w:hAnsi="宋体" w:cs="宋体"/>
                <w:color w:val="000000"/>
                <w:sz w:val="22"/>
                <w:highlight w:val="none"/>
              </w:rPr>
              <w:t>项目组成员中除项目负责人和</w:t>
            </w:r>
            <w:r>
              <w:rPr>
                <w:rFonts w:hint="eastAsia" w:ascii="宋体" w:hAnsi="宋体" w:cs="宋体"/>
                <w:bCs/>
                <w:color w:val="000000"/>
                <w:sz w:val="22"/>
                <w:highlight w:val="none"/>
              </w:rPr>
              <w:t>项目</w:t>
            </w:r>
            <w:r>
              <w:rPr>
                <w:rFonts w:ascii="宋体" w:hAnsi="宋体" w:cs="宋体"/>
                <w:bCs/>
                <w:color w:val="000000"/>
                <w:sz w:val="22"/>
                <w:highlight w:val="none"/>
              </w:rPr>
              <w:t>技术负责人</w:t>
            </w:r>
            <w:r>
              <w:rPr>
                <w:rFonts w:hint="eastAsia" w:ascii="宋体" w:hAnsi="宋体" w:cs="宋体"/>
                <w:color w:val="000000"/>
                <w:sz w:val="22"/>
                <w:highlight w:val="none"/>
              </w:rPr>
              <w:t>以外的成员具有</w:t>
            </w:r>
            <w:r>
              <w:rPr>
                <w:rFonts w:hint="eastAsia" w:ascii="宋体" w:hAnsi="宋体" w:cs="宋体"/>
                <w:color w:val="000000"/>
                <w:sz w:val="22"/>
                <w:highlight w:val="none"/>
              </w:rPr>
              <w:fldChar w:fldCharType="begin"/>
            </w:r>
            <w:r>
              <w:rPr>
                <w:rFonts w:hint="eastAsia" w:ascii="宋体" w:hAnsi="宋体" w:cs="宋体"/>
                <w:color w:val="000000"/>
                <w:sz w:val="22"/>
                <w:highlight w:val="none"/>
              </w:rPr>
              <w:instrText xml:space="preserve"> HYPERLINK "http://zb.wzcc.com/upload/pdfview/637732158423402813_%E7%B3%BB%E7%BB%9F%E5%88%86%E6%9E%90%E5%B8%88%E9%83%91%E7%91%9E%E6%B5%B7.pdf" \t "http://zb.wzcc.com/admins/PersonalQualification/_blank" </w:instrText>
            </w:r>
            <w:r>
              <w:rPr>
                <w:rFonts w:hint="eastAsia" w:ascii="宋体" w:hAnsi="宋体" w:cs="宋体"/>
                <w:color w:val="000000"/>
                <w:sz w:val="22"/>
                <w:highlight w:val="none"/>
              </w:rPr>
              <w:fldChar w:fldCharType="separate"/>
            </w:r>
            <w:r>
              <w:rPr>
                <w:rFonts w:ascii="宋体" w:hAnsi="宋体" w:cs="宋体"/>
                <w:color w:val="000000"/>
                <w:sz w:val="22"/>
                <w:highlight w:val="none"/>
              </w:rPr>
              <w:t>系统分析师</w:t>
            </w:r>
            <w:r>
              <w:rPr>
                <w:rFonts w:ascii="宋体" w:hAnsi="宋体" w:cs="宋体"/>
                <w:color w:val="000000"/>
                <w:sz w:val="22"/>
                <w:highlight w:val="none"/>
              </w:rPr>
              <w:fldChar w:fldCharType="end"/>
            </w:r>
            <w:r>
              <w:rPr>
                <w:rFonts w:hint="eastAsia" w:ascii="宋体" w:hAnsi="宋体" w:cs="宋体"/>
                <w:color w:val="000000"/>
                <w:sz w:val="22"/>
                <w:highlight w:val="none"/>
              </w:rPr>
              <w:t>的得0.5分，具有中级通信工程师的得0.5分，具有智能建筑弱电高级工程师的得0.5分，具有信息安全工程师的得0.5分，</w:t>
            </w:r>
            <w:r>
              <w:rPr>
                <w:rStyle w:val="165"/>
                <w:rFonts w:hint="default"/>
                <w:bCs/>
                <w:sz w:val="22"/>
                <w:szCs w:val="22"/>
                <w:highlight w:val="none"/>
              </w:rPr>
              <w:t>同一人员不重复计分，</w:t>
            </w:r>
            <w:r>
              <w:rPr>
                <w:rFonts w:hint="eastAsia" w:ascii="宋体" w:hAnsi="宋体" w:cs="宋体"/>
                <w:bCs/>
                <w:color w:val="000000"/>
                <w:sz w:val="22"/>
                <w:highlight w:val="none"/>
              </w:rPr>
              <w:t>须</w:t>
            </w:r>
            <w:r>
              <w:rPr>
                <w:rFonts w:ascii="宋体" w:hAnsi="宋体" w:cs="宋体"/>
                <w:bCs/>
                <w:color w:val="000000"/>
                <w:sz w:val="22"/>
                <w:highlight w:val="none"/>
              </w:rPr>
              <w:t>提供证书复印件</w:t>
            </w:r>
            <w:r>
              <w:rPr>
                <w:rFonts w:hint="eastAsia" w:ascii="宋体" w:hAnsi="宋体" w:cs="宋体"/>
                <w:bCs/>
                <w:color w:val="000000"/>
                <w:sz w:val="22"/>
                <w:highlight w:val="none"/>
              </w:rPr>
              <w:t>，</w:t>
            </w:r>
            <w:r>
              <w:rPr>
                <w:rFonts w:hint="eastAsia" w:ascii="宋体" w:hAnsi="宋体" w:cs="宋体"/>
                <w:bCs/>
                <w:color w:val="000000"/>
                <w:sz w:val="22"/>
                <w:highlight w:val="none"/>
                <w:lang w:eastAsia="zh-CN"/>
              </w:rPr>
              <w:t>不提供不得分</w:t>
            </w:r>
            <w:r>
              <w:rPr>
                <w:rFonts w:hint="eastAsia" w:ascii="宋体" w:hAnsi="宋体" w:cs="宋体"/>
                <w:bCs/>
                <w:color w:val="000000"/>
                <w:sz w:val="22"/>
                <w:highlight w:val="none"/>
              </w:rPr>
              <w:t>；</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（以上人员需提供近六个月内任一个月的公司社保缴纳证明）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741" w:type="dxa"/>
            <w:vAlign w:val="center"/>
          </w:tcPr>
          <w:p>
            <w:pPr>
              <w:spacing w:line="320" w:lineRule="exact"/>
              <w:jc w:val="center"/>
              <w:rPr>
                <w:rFonts w:cs="Arial"/>
                <w:color w:val="000000"/>
                <w:sz w:val="22"/>
                <w:szCs w:val="22"/>
              </w:rPr>
            </w:pPr>
            <w:r>
              <w:rPr>
                <w:rFonts w:hint="eastAsia" w:cs="Arial"/>
                <w:color w:val="000000"/>
                <w:sz w:val="22"/>
                <w:szCs w:val="22"/>
              </w:rPr>
              <w:t>4</w:t>
            </w:r>
          </w:p>
        </w:tc>
        <w:tc>
          <w:tcPr>
            <w:tcW w:w="1194"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供应商质保服务响应时间及质保维护承诺</w:t>
            </w:r>
          </w:p>
        </w:tc>
        <w:tc>
          <w:tcPr>
            <w:tcW w:w="907"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0-4分</w:t>
            </w:r>
          </w:p>
        </w:tc>
        <w:tc>
          <w:tcPr>
            <w:tcW w:w="6849" w:type="dxa"/>
            <w:vAlign w:val="center"/>
          </w:tcPr>
          <w:p>
            <w:pPr>
              <w:pStyle w:val="247"/>
              <w:numPr>
                <w:ilvl w:val="0"/>
                <w:numId w:val="18"/>
              </w:numPr>
              <w:snapToGrid w:val="0"/>
              <w:spacing w:line="320" w:lineRule="exact"/>
              <w:ind w:left="-107" w:firstLine="0" w:firstLineChars="0"/>
              <w:rPr>
                <w:rFonts w:hint="eastAsia" w:ascii="宋体" w:hAnsi="宋体" w:cs="宋体"/>
                <w:color w:val="000000"/>
                <w:sz w:val="22"/>
              </w:rPr>
            </w:pPr>
            <w:r>
              <w:rPr>
                <w:rFonts w:hint="eastAsia" w:ascii="宋体" w:hAnsi="宋体" w:cs="宋体"/>
                <w:color w:val="000000"/>
                <w:sz w:val="22"/>
              </w:rPr>
              <w:t>对供应商质保服务响应时间，根据项目需求满足程度进行打分，0-1.5分。</w:t>
            </w:r>
          </w:p>
          <w:p>
            <w:pPr>
              <w:pStyle w:val="247"/>
              <w:numPr>
                <w:ilvl w:val="0"/>
                <w:numId w:val="18"/>
              </w:numPr>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对供应商质保服务质保维护承诺，根据项目需求满足程度进行打分，0-1.5分。</w:t>
            </w:r>
            <w:r>
              <w:rPr>
                <w:rFonts w:hint="eastAsia" w:ascii="宋体" w:hAnsi="宋体" w:cs="宋体"/>
                <w:color w:val="000000"/>
                <w:sz w:val="22"/>
              </w:rPr>
              <w:br w:type="textWrapping"/>
            </w:r>
            <w:r>
              <w:rPr>
                <w:rFonts w:hint="eastAsia" w:ascii="宋体" w:hAnsi="宋体" w:cs="宋体"/>
                <w:color w:val="000000"/>
                <w:sz w:val="22"/>
              </w:rPr>
              <w:t>3、对各供应商服务网点、服务方案的可行性等多方面，根据项目需求满足程度进行打分，0-1分。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25" w:hRule="atLeast"/>
        </w:trPr>
        <w:tc>
          <w:tcPr>
            <w:tcW w:w="741" w:type="dxa"/>
            <w:vAlign w:val="center"/>
          </w:tcPr>
          <w:p>
            <w:pPr>
              <w:spacing w:line="320" w:lineRule="exact"/>
              <w:jc w:val="center"/>
              <w:rPr>
                <w:rFonts w:hint="eastAsia" w:cs="Arial"/>
                <w:color w:val="000000"/>
                <w:sz w:val="22"/>
                <w:szCs w:val="22"/>
              </w:rPr>
            </w:pPr>
            <w:r>
              <w:rPr>
                <w:rFonts w:hint="eastAsia" w:cs="Arial"/>
                <w:color w:val="000000"/>
                <w:sz w:val="22"/>
                <w:szCs w:val="22"/>
              </w:rPr>
              <w:t>5</w:t>
            </w:r>
          </w:p>
        </w:tc>
        <w:tc>
          <w:tcPr>
            <w:tcW w:w="1194" w:type="dxa"/>
            <w:vAlign w:val="center"/>
          </w:tcPr>
          <w:p>
            <w:pPr>
              <w:pStyle w:val="247"/>
              <w:snapToGrid w:val="0"/>
              <w:spacing w:line="320" w:lineRule="exact"/>
              <w:ind w:left="-107" w:firstLine="0" w:firstLineChars="0"/>
              <w:rPr>
                <w:rFonts w:hint="eastAsia" w:ascii="宋体" w:hAnsi="宋体" w:cs="宋体"/>
                <w:color w:val="000000"/>
                <w:sz w:val="22"/>
              </w:rPr>
            </w:pPr>
            <w:r>
              <w:rPr>
                <w:rFonts w:hint="eastAsia" w:ascii="宋体" w:hAnsi="宋体" w:cs="宋体"/>
                <w:color w:val="000000"/>
                <w:sz w:val="22"/>
              </w:rPr>
              <w:t>分布式系统“信号交互”现场演示</w:t>
            </w:r>
          </w:p>
        </w:tc>
        <w:tc>
          <w:tcPr>
            <w:tcW w:w="907" w:type="dxa"/>
            <w:vAlign w:val="center"/>
          </w:tcPr>
          <w:p>
            <w:pPr>
              <w:pStyle w:val="247"/>
              <w:snapToGrid w:val="0"/>
              <w:spacing w:line="320" w:lineRule="exact"/>
              <w:ind w:left="-107" w:firstLine="0" w:firstLineChars="0"/>
              <w:rPr>
                <w:rFonts w:hint="eastAsia" w:ascii="宋体" w:hAnsi="宋体" w:cs="宋体"/>
                <w:color w:val="000000"/>
                <w:sz w:val="22"/>
              </w:rPr>
            </w:pPr>
            <w:r>
              <w:rPr>
                <w:rFonts w:hint="eastAsia" w:ascii="宋体" w:hAnsi="宋体" w:cs="宋体"/>
                <w:color w:val="000000"/>
                <w:sz w:val="22"/>
              </w:rPr>
              <w:t>0-5.5分</w:t>
            </w:r>
          </w:p>
        </w:tc>
        <w:tc>
          <w:tcPr>
            <w:tcW w:w="6849" w:type="dxa"/>
            <w:vAlign w:val="center"/>
          </w:tcPr>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一、信号上墙演示</w:t>
            </w:r>
          </w:p>
          <w:p>
            <w:pPr>
              <w:pStyle w:val="247"/>
              <w:widowControl w:val="0"/>
              <w:snapToGrid w:val="0"/>
              <w:spacing w:line="320" w:lineRule="exact"/>
              <w:ind w:left="-107" w:firstLine="0" w:firstLineChars="0"/>
              <w:jc w:val="both"/>
              <w:rPr>
                <w:rFonts w:ascii="宋体" w:hAnsi="宋体"/>
                <w:color w:val="000000"/>
                <w:sz w:val="22"/>
              </w:rPr>
            </w:pPr>
            <w:r>
              <w:rPr>
                <w:rFonts w:hint="eastAsia" w:ascii="宋体" w:hAnsi="宋体"/>
                <w:color w:val="000000"/>
                <w:sz w:val="22"/>
              </w:rPr>
              <w:t>演示信号上墙可采用点选和拖拽两种方式（先把虚拟墙进行分割，A按照需求，选择信号源，点选指定虚拟墙，该信号源上墙表明符合要求；B按照需求，选择信号源，拖拽到指定虚拟墙，该信号源上墙表明符合要求）情况得0-1.5分。</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二、信号叠加演示</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1、演示单屏支持32路1080P视频（演示单屏支持32路1080P视频叠加，能叠加32层1080P信号源而且不替换掉前面的信号，现场逐步叠加上单个显示屏且不替换掉前面的信号，满足需求。现场展示1080P视频源）情况得0-1分。</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2、演示单屏支持16路4K信号源（演示单屏支持16路4K的视频信号现场逐步叠加上单个显示屏，能叠加16层4K信号源而且不替换掉前面的信号，满足需求。现场展示4K视频源）情况得0-1分。</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三、反向控制功能演示</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演示支持IPAD端接管并操作电脑主机，实现IPAD反控操作电脑主机，如使用触摸板一样操作鼠标移动和点击，控制视频的播放暂停、PPT的翻页以及对WORD文档的操作情况得0-1分。</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四、设备助手平台演示</w:t>
            </w:r>
          </w:p>
          <w:p>
            <w:pPr>
              <w:pStyle w:val="247"/>
              <w:widowControl w:val="0"/>
              <w:snapToGrid w:val="0"/>
              <w:spacing w:line="320" w:lineRule="exact"/>
              <w:ind w:left="-107" w:firstLine="0" w:firstLineChars="0"/>
              <w:jc w:val="both"/>
              <w:rPr>
                <w:rFonts w:hint="eastAsia" w:ascii="宋体" w:hAnsi="宋体"/>
                <w:color w:val="000000"/>
                <w:sz w:val="22"/>
              </w:rPr>
            </w:pPr>
            <w:r>
              <w:rPr>
                <w:rFonts w:hint="eastAsia" w:ascii="宋体" w:hAnsi="宋体"/>
                <w:color w:val="000000"/>
                <w:sz w:val="22"/>
              </w:rPr>
              <w:t>通过分布式助手软件，可查看到接入的所有可视化输入/输出节点IP，并可对节点状态进行监看、编辑、管理情况得0-1分。</w:t>
            </w:r>
          </w:p>
          <w:p>
            <w:pPr>
              <w:pStyle w:val="247"/>
              <w:widowControl w:val="0"/>
              <w:snapToGrid w:val="0"/>
              <w:spacing w:line="320" w:lineRule="exact"/>
              <w:ind w:left="-107" w:firstLine="0" w:firstLineChars="0"/>
              <w:jc w:val="both"/>
              <w:rPr>
                <w:rFonts w:hint="eastAsia" w:ascii="宋体" w:hAnsi="宋体"/>
                <w:color w:val="000000"/>
                <w:sz w:val="22"/>
                <w:highlight w:val="none"/>
              </w:rPr>
            </w:pPr>
            <w:r>
              <w:rPr>
                <w:rFonts w:hint="eastAsia" w:ascii="宋体" w:hAnsi="宋体"/>
                <w:color w:val="000000"/>
                <w:sz w:val="22"/>
              </w:rPr>
              <w:t>注：以上演示每家供应商演示时间不超过20分钟。要求使用真实的软硬件系统进行演示，若只有PPT讲解系统、视频播放等演示，则最高得1分；未能进行演示者，此项不得分。</w:t>
            </w:r>
            <w:r>
              <w:rPr>
                <w:rFonts w:hint="eastAsia" w:ascii="宋体" w:hAnsi="宋体"/>
                <w:color w:val="000000"/>
                <w:sz w:val="22"/>
                <w:highlight w:val="none"/>
                <w:lang w:val="en-US" w:eastAsia="zh-CN"/>
              </w:rPr>
              <w:t>真实系统演示、视频演示、PPT演示</w:t>
            </w:r>
            <w:r>
              <w:rPr>
                <w:rFonts w:hint="eastAsia" w:ascii="宋体" w:hAnsi="宋体"/>
                <w:color w:val="000000"/>
                <w:sz w:val="22"/>
                <w:highlight w:val="none"/>
              </w:rPr>
              <w:t>地点：投标截止前到平阳县公共资</w:t>
            </w:r>
            <w:r>
              <w:rPr>
                <w:rFonts w:hint="eastAsia" w:ascii="宋体" w:hAnsi="宋体"/>
                <w:color w:val="000000"/>
                <w:sz w:val="22"/>
              </w:rPr>
              <w:t>源交易中心</w:t>
            </w:r>
            <w:r>
              <w:rPr>
                <w:rFonts w:hint="eastAsia" w:ascii="宋体" w:hAnsi="宋体"/>
                <w:color w:val="000000"/>
                <w:sz w:val="22"/>
                <w:highlight w:val="none"/>
                <w:lang w:val="en-US" w:eastAsia="zh-CN"/>
              </w:rPr>
              <w:t>三</w:t>
            </w:r>
            <w:r>
              <w:rPr>
                <w:rFonts w:hint="eastAsia" w:ascii="宋体" w:hAnsi="宋体"/>
                <w:color w:val="000000"/>
                <w:sz w:val="22"/>
                <w:highlight w:val="none"/>
              </w:rPr>
              <w:t>楼等候</w:t>
            </w:r>
            <w:r>
              <w:rPr>
                <w:rFonts w:hint="eastAsia" w:ascii="宋体" w:hAnsi="宋体"/>
                <w:color w:val="000000"/>
                <w:sz w:val="22"/>
                <w:highlight w:val="none"/>
                <w:lang w:eastAsia="zh-CN"/>
              </w:rPr>
              <w:t>。</w:t>
            </w:r>
            <w:r>
              <w:rPr>
                <w:rFonts w:hint="eastAsia" w:ascii="宋体" w:hAnsi="宋体"/>
                <w:color w:val="000000"/>
                <w:sz w:val="22"/>
                <w:highlight w:val="none"/>
                <w:lang w:val="en-US" w:eastAsia="zh-CN"/>
              </w:rPr>
              <w:t>演示人数：不超过2人</w:t>
            </w:r>
            <w:r>
              <w:rPr>
                <w:rFonts w:hint="eastAsia" w:ascii="宋体" w:hAnsi="宋体"/>
                <w:color w:val="000000"/>
                <w:sz w:val="22"/>
                <w:highlight w:val="none"/>
              </w:rPr>
              <w:t>。</w:t>
            </w:r>
          </w:p>
          <w:p>
            <w:pPr>
              <w:pStyle w:val="247"/>
              <w:widowControl w:val="0"/>
              <w:snapToGrid w:val="0"/>
              <w:spacing w:line="320" w:lineRule="exact"/>
              <w:ind w:left="-107" w:firstLine="0" w:firstLineChars="0"/>
              <w:jc w:val="both"/>
              <w:rPr>
                <w:rFonts w:hint="eastAsia" w:ascii="宋体" w:hAnsi="宋体" w:cs="宋体"/>
                <w:color w:val="000000"/>
                <w:sz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41" w:type="dxa"/>
            <w:vAlign w:val="center"/>
          </w:tcPr>
          <w:p>
            <w:pPr>
              <w:spacing w:line="320" w:lineRule="exact"/>
              <w:jc w:val="center"/>
              <w:rPr>
                <w:rFonts w:hint="eastAsia" w:cs="Arial"/>
                <w:color w:val="000000"/>
                <w:sz w:val="22"/>
                <w:szCs w:val="22"/>
              </w:rPr>
            </w:pPr>
            <w:r>
              <w:rPr>
                <w:rFonts w:hint="eastAsia" w:cs="Arial"/>
                <w:color w:val="000000"/>
                <w:sz w:val="22"/>
                <w:szCs w:val="22"/>
              </w:rPr>
              <w:t>6</w:t>
            </w:r>
          </w:p>
        </w:tc>
        <w:tc>
          <w:tcPr>
            <w:tcW w:w="1194"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投标供应商体系认证</w:t>
            </w:r>
          </w:p>
        </w:tc>
        <w:tc>
          <w:tcPr>
            <w:tcW w:w="907"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0-2.5分</w:t>
            </w:r>
          </w:p>
        </w:tc>
        <w:tc>
          <w:tcPr>
            <w:tcW w:w="6849"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具备有效期内的质量管理体系认证证书，得0.5分</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具备有效期内的信息安全管理体系认证证书，得0.5分</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具备有效期内的环境管理体系认证证书，得0.5分</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具备有效期内的信息技术服务管理体系认证证书，得0.5分</w:t>
            </w:r>
          </w:p>
          <w:p>
            <w:pPr>
              <w:pStyle w:val="247"/>
              <w:snapToGrid w:val="0"/>
              <w:spacing w:line="320" w:lineRule="exact"/>
              <w:ind w:left="-107" w:firstLine="0" w:firstLineChars="0"/>
              <w:rPr>
                <w:rFonts w:hint="eastAsia" w:ascii="宋体" w:hAnsi="宋体" w:cs="宋体"/>
                <w:color w:val="000000"/>
                <w:sz w:val="22"/>
              </w:rPr>
            </w:pPr>
            <w:r>
              <w:rPr>
                <w:rFonts w:hint="eastAsia" w:ascii="宋体" w:hAnsi="宋体" w:cs="宋体"/>
                <w:color w:val="000000"/>
                <w:sz w:val="22"/>
              </w:rPr>
              <w:t>具备有效期内的职业健康安全管理体系认证证书，得0.5分</w:t>
            </w:r>
          </w:p>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以上</w:t>
            </w:r>
            <w:r>
              <w:rPr>
                <w:rFonts w:hint="eastAsia" w:ascii="宋体" w:hAnsi="宋体" w:cs="宋体"/>
                <w:bCs/>
                <w:color w:val="000000"/>
                <w:sz w:val="22"/>
              </w:rPr>
              <w:t>须</w:t>
            </w:r>
            <w:r>
              <w:rPr>
                <w:rFonts w:ascii="宋体" w:hAnsi="宋体" w:cs="宋体"/>
                <w:bCs/>
                <w:color w:val="000000"/>
                <w:sz w:val="22"/>
              </w:rPr>
              <w:t>提供证书复印件</w:t>
            </w:r>
            <w:r>
              <w:rPr>
                <w:rFonts w:hint="eastAsia" w:ascii="宋体" w:hAnsi="宋体" w:cs="宋体"/>
                <w:bCs/>
                <w:color w:val="auto"/>
                <w:sz w:val="22"/>
                <w:highlight w:val="none"/>
              </w:rPr>
              <w:t>，</w:t>
            </w:r>
            <w:r>
              <w:rPr>
                <w:rFonts w:hint="eastAsia" w:ascii="宋体" w:hAnsi="宋体" w:cs="宋体"/>
                <w:b w:val="0"/>
                <w:bCs/>
                <w:color w:val="auto"/>
                <w:sz w:val="22"/>
                <w:highlight w:val="none"/>
              </w:rPr>
              <w:t>不提供</w:t>
            </w:r>
            <w:r>
              <w:rPr>
                <w:rFonts w:hint="eastAsia" w:ascii="宋体" w:hAnsi="宋体"/>
                <w:b w:val="0"/>
                <w:bCs/>
                <w:color w:val="auto"/>
                <w:sz w:val="22"/>
                <w:highlight w:val="none"/>
              </w:rPr>
              <w:t>不</w:t>
            </w:r>
            <w:r>
              <w:rPr>
                <w:rFonts w:hint="eastAsia" w:ascii="宋体" w:hAnsi="宋体" w:cs="宋体"/>
                <w:b w:val="0"/>
                <w:bCs/>
                <w:color w:val="auto"/>
                <w:sz w:val="22"/>
                <w:highlight w:val="none"/>
              </w:rPr>
              <w:t>得分</w:t>
            </w:r>
            <w:r>
              <w:rPr>
                <w:rFonts w:hint="eastAsia" w:ascii="宋体" w:hAnsi="宋体" w:cs="宋体"/>
                <w:b w:val="0"/>
                <w:bCs/>
                <w:color w:val="auto"/>
                <w:sz w:val="22"/>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741" w:type="dxa"/>
            <w:vAlign w:val="center"/>
          </w:tcPr>
          <w:p>
            <w:pPr>
              <w:spacing w:line="320" w:lineRule="exact"/>
              <w:jc w:val="center"/>
              <w:rPr>
                <w:rFonts w:hint="eastAsia" w:cs="Arial"/>
                <w:color w:val="000000"/>
                <w:sz w:val="22"/>
                <w:szCs w:val="22"/>
              </w:rPr>
            </w:pPr>
            <w:r>
              <w:rPr>
                <w:rFonts w:hint="eastAsia" w:cs="Arial"/>
                <w:color w:val="000000"/>
                <w:sz w:val="22"/>
                <w:szCs w:val="22"/>
              </w:rPr>
              <w:t>7</w:t>
            </w:r>
          </w:p>
        </w:tc>
        <w:tc>
          <w:tcPr>
            <w:tcW w:w="1194" w:type="dxa"/>
            <w:vAlign w:val="center"/>
          </w:tcPr>
          <w:p>
            <w:pPr>
              <w:pStyle w:val="247"/>
              <w:snapToGrid w:val="0"/>
              <w:spacing w:line="320" w:lineRule="exact"/>
              <w:ind w:left="-107" w:firstLine="0" w:firstLineChars="0"/>
              <w:rPr>
                <w:rFonts w:ascii="宋体" w:hAnsi="宋体" w:cs="宋体"/>
                <w:color w:val="000000"/>
                <w:sz w:val="22"/>
              </w:rPr>
            </w:pPr>
            <w:r>
              <w:rPr>
                <w:rFonts w:hint="eastAsia" w:ascii="宋体" w:hAnsi="宋体" w:cs="宋体"/>
                <w:color w:val="000000"/>
                <w:sz w:val="22"/>
              </w:rPr>
              <w:t>项目业绩</w:t>
            </w:r>
          </w:p>
        </w:tc>
        <w:tc>
          <w:tcPr>
            <w:tcW w:w="907" w:type="dxa"/>
            <w:vAlign w:val="center"/>
          </w:tcPr>
          <w:p>
            <w:pPr>
              <w:pStyle w:val="247"/>
              <w:snapToGrid w:val="0"/>
              <w:spacing w:line="320" w:lineRule="exact"/>
              <w:ind w:left="-107" w:firstLine="0" w:firstLineChars="0"/>
              <w:rPr>
                <w:rFonts w:ascii="宋体" w:hAnsi="宋体" w:cs="宋体"/>
                <w:color w:val="000000"/>
                <w:sz w:val="22"/>
                <w:highlight w:val="none"/>
              </w:rPr>
            </w:pPr>
            <w:r>
              <w:rPr>
                <w:rFonts w:hint="eastAsia" w:ascii="宋体" w:hAnsi="宋体" w:cs="宋体"/>
                <w:color w:val="000000"/>
                <w:sz w:val="22"/>
                <w:highlight w:val="none"/>
              </w:rPr>
              <w:t>0-2分</w:t>
            </w:r>
          </w:p>
        </w:tc>
        <w:tc>
          <w:tcPr>
            <w:tcW w:w="6849" w:type="dxa"/>
            <w:vAlign w:val="center"/>
          </w:tcPr>
          <w:p>
            <w:pPr>
              <w:pStyle w:val="247"/>
              <w:snapToGrid w:val="0"/>
              <w:spacing w:line="320" w:lineRule="exact"/>
              <w:ind w:left="-107" w:firstLine="0" w:firstLineChars="0"/>
              <w:rPr>
                <w:rFonts w:ascii="宋体" w:hAnsi="宋体" w:cs="宋体"/>
                <w:color w:val="000000"/>
                <w:sz w:val="22"/>
                <w:highlight w:val="none"/>
              </w:rPr>
            </w:pPr>
            <w:r>
              <w:rPr>
                <w:rFonts w:hint="eastAsia" w:ascii="宋体" w:hAnsi="宋体" w:cs="宋体"/>
                <w:color w:val="000000"/>
                <w:sz w:val="22"/>
                <w:highlight w:val="none"/>
              </w:rPr>
              <w:t>投标人自2020年1月1日至今同类业绩，每个得0.5分，最高得2分。有效证明材料为业绩合同和中标通知书复印件加盖公章，其中合同关键页至少包括首页、合同金额、服务内容、签字盖章页。</w:t>
            </w:r>
          </w:p>
        </w:tc>
      </w:tr>
    </w:tbl>
    <w:p>
      <w:pPr>
        <w:pStyle w:val="54"/>
        <w:widowControl w:val="0"/>
        <w:adjustRightInd w:val="0"/>
        <w:snapToGrid w:val="0"/>
        <w:spacing w:before="0" w:beforeAutospacing="0" w:after="0" w:afterAutospacing="0" w:line="460" w:lineRule="exact"/>
        <w:rPr>
          <w:rFonts w:hint="eastAsia" w:hAnsi="宋体"/>
          <w:sz w:val="22"/>
          <w:szCs w:val="22"/>
        </w:rPr>
      </w:pPr>
      <w:r>
        <w:rPr>
          <w:rFonts w:hint="eastAsia" w:hAnsi="宋体"/>
          <w:sz w:val="22"/>
          <w:szCs w:val="22"/>
        </w:rPr>
        <w:t>三、说明</w:t>
      </w:r>
    </w:p>
    <w:p>
      <w:pPr>
        <w:pStyle w:val="37"/>
        <w:widowControl w:val="0"/>
        <w:adjustRightInd w:val="0"/>
        <w:snapToGrid w:val="0"/>
        <w:spacing w:line="400" w:lineRule="exact"/>
        <w:ind w:firstLine="440" w:firstLineChars="200"/>
        <w:rPr>
          <w:rFonts w:hint="eastAsia" w:hAnsi="宋体"/>
          <w:color w:val="000000"/>
          <w:sz w:val="22"/>
          <w:szCs w:val="22"/>
        </w:rPr>
      </w:pPr>
      <w:r>
        <w:rPr>
          <w:rFonts w:hint="eastAsia" w:hAnsi="宋体"/>
          <w:color w:val="000000"/>
          <w:sz w:val="22"/>
          <w:szCs w:val="22"/>
        </w:rPr>
        <w:t>1、每个供应商最终得分=商务技术部分分值（所有评标委员会成员的算术平均值）＋报价部分分值。</w:t>
      </w:r>
    </w:p>
    <w:p>
      <w:pPr>
        <w:adjustRightInd w:val="0"/>
        <w:snapToGrid w:val="0"/>
        <w:spacing w:line="400" w:lineRule="exact"/>
        <w:ind w:firstLine="420"/>
        <w:rPr>
          <w:rFonts w:hint="eastAsia" w:cs="Arial"/>
          <w:snapToGrid w:val="0"/>
          <w:color w:val="000000"/>
          <w:sz w:val="22"/>
          <w:szCs w:val="22"/>
        </w:rPr>
      </w:pPr>
      <w:r>
        <w:rPr>
          <w:rFonts w:hint="eastAsia"/>
          <w:color w:val="000000"/>
          <w:sz w:val="22"/>
          <w:szCs w:val="22"/>
        </w:rPr>
        <w:t>2、所有分值计算保留小数点后两位，小数点后三位四舍五入。</w:t>
      </w:r>
    </w:p>
    <w:p>
      <w:pPr>
        <w:pStyle w:val="33"/>
        <w:adjustRightInd w:val="0"/>
        <w:snapToGrid w:val="0"/>
        <w:spacing w:line="400" w:lineRule="exact"/>
        <w:jc w:val="center"/>
        <w:rPr>
          <w:rFonts w:hint="eastAsia" w:hAnsi="宋体"/>
          <w:color w:val="000000"/>
          <w:sz w:val="22"/>
          <w:szCs w:val="22"/>
        </w:rPr>
      </w:pPr>
      <w:r>
        <w:rPr>
          <w:rFonts w:hint="eastAsia" w:hAnsi="宋体"/>
          <w:color w:val="000000"/>
          <w:sz w:val="22"/>
          <w:szCs w:val="22"/>
        </w:rPr>
        <w:t>参见本招标文件第三部分：“供应商须知” 中的相关内容，未尽事宜按有关法律规定处理。</w:t>
      </w:r>
    </w:p>
    <w:p>
      <w:pPr>
        <w:pageBreakBefore/>
        <w:jc w:val="center"/>
        <w:rPr>
          <w:rFonts w:ascii="仿宋" w:hAnsi="仿宋" w:eastAsia="仿宋" w:cs="仿宋"/>
          <w:b/>
          <w:bCs/>
          <w:color w:val="000000"/>
          <w:sz w:val="44"/>
          <w:szCs w:val="44"/>
        </w:rPr>
      </w:pPr>
      <w:r>
        <w:rPr>
          <w:rFonts w:hint="eastAsia" w:ascii="仿宋" w:hAnsi="仿宋" w:eastAsia="仿宋" w:cs="仿宋"/>
          <w:b/>
          <w:bCs/>
          <w:color w:val="000000"/>
          <w:sz w:val="44"/>
          <w:szCs w:val="44"/>
        </w:rPr>
        <w:t>质疑函范本</w:t>
      </w:r>
    </w:p>
    <w:p>
      <w:pPr>
        <w:adjustRightInd w:val="0"/>
        <w:snapToGrid w:val="0"/>
        <w:spacing w:beforeLines="100" w:line="360" w:lineRule="auto"/>
        <w:rPr>
          <w:rFonts w:ascii="黑体" w:hAnsi="黑体" w:eastAsia="黑体" w:cs="仿宋"/>
          <w:bCs/>
          <w:color w:val="000000"/>
          <w:sz w:val="32"/>
          <w:szCs w:val="32"/>
        </w:rPr>
      </w:pPr>
      <w:r>
        <w:rPr>
          <w:rFonts w:hint="eastAsia" w:ascii="黑体" w:hAnsi="黑体" w:eastAsia="黑体" w:cs="仿宋"/>
          <w:bCs/>
          <w:color w:val="000000"/>
          <w:sz w:val="32"/>
          <w:szCs w:val="32"/>
        </w:rPr>
        <w:t>一、质疑供应商基本信息</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质疑供应商：</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地址：</w:t>
      </w:r>
      <w:r>
        <w:rPr>
          <w:rFonts w:hint="eastAsia" w:ascii="仿宋" w:hAnsi="仿宋" w:eastAsia="仿宋" w:cs="仿宋"/>
          <w:color w:val="000000"/>
          <w:sz w:val="32"/>
          <w:szCs w:val="32"/>
          <w:u w:val="dotted"/>
        </w:rPr>
        <w:t xml:space="preserve">                          </w:t>
      </w:r>
      <w:r>
        <w:rPr>
          <w:rFonts w:hint="eastAsia" w:ascii="仿宋" w:hAnsi="仿宋" w:eastAsia="仿宋" w:cs="仿宋"/>
          <w:color w:val="000000"/>
          <w:sz w:val="32"/>
          <w:szCs w:val="32"/>
        </w:rPr>
        <w:t>邮编：</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联系人：</w:t>
      </w:r>
      <w:r>
        <w:rPr>
          <w:rFonts w:hint="eastAsia" w:ascii="仿宋" w:hAnsi="仿宋" w:eastAsia="仿宋" w:cs="仿宋"/>
          <w:color w:val="000000"/>
          <w:sz w:val="32"/>
          <w:szCs w:val="32"/>
          <w:u w:val="dotted"/>
        </w:rPr>
        <w:t xml:space="preserve">                      </w:t>
      </w:r>
      <w:r>
        <w:rPr>
          <w:rFonts w:hint="eastAsia" w:ascii="仿宋" w:hAnsi="仿宋" w:eastAsia="仿宋" w:cs="仿宋"/>
          <w:color w:val="000000"/>
          <w:sz w:val="32"/>
          <w:szCs w:val="32"/>
        </w:rPr>
        <w:t>联系电话：</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授权代表：</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联系电话：</w:t>
      </w:r>
      <w:r>
        <w:rPr>
          <w:rFonts w:hint="eastAsia" w:ascii="仿宋" w:hAnsi="仿宋" w:eastAsia="仿宋" w:cs="仿宋"/>
          <w:color w:val="000000"/>
          <w:sz w:val="32"/>
          <w:szCs w:val="32"/>
          <w:u w:val="dotted"/>
        </w:rPr>
        <w:t xml:space="preserve">                                           </w:t>
      </w:r>
      <w:r>
        <w:rPr>
          <w:rFonts w:ascii="仿宋" w:hAnsi="仿宋" w:eastAsia="仿宋" w:cs="仿宋"/>
          <w:color w:val="000000"/>
          <w:sz w:val="32"/>
          <w:szCs w:val="32"/>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地址：</w:t>
      </w:r>
      <w:r>
        <w:rPr>
          <w:rFonts w:ascii="仿宋" w:hAnsi="仿宋" w:eastAsia="仿宋" w:cs="仿宋"/>
          <w:color w:val="000000"/>
          <w:sz w:val="32"/>
          <w:szCs w:val="32"/>
        </w:rPr>
        <w:t xml:space="preserve"> </w:t>
      </w:r>
      <w:r>
        <w:rPr>
          <w:rFonts w:hint="eastAsia" w:ascii="仿宋" w:hAnsi="仿宋" w:eastAsia="仿宋" w:cs="仿宋"/>
          <w:color w:val="000000"/>
          <w:sz w:val="32"/>
          <w:szCs w:val="32"/>
          <w:u w:val="dotted"/>
        </w:rPr>
        <w:t xml:space="preserve">                        </w:t>
      </w:r>
      <w:r>
        <w:rPr>
          <w:rFonts w:hint="eastAsia" w:ascii="仿宋" w:hAnsi="仿宋" w:eastAsia="仿宋" w:cs="仿宋"/>
          <w:color w:val="000000"/>
          <w:sz w:val="32"/>
          <w:szCs w:val="32"/>
        </w:rPr>
        <w:t>邮编：</w:t>
      </w:r>
      <w:r>
        <w:rPr>
          <w:rFonts w:hint="eastAsia" w:ascii="仿宋" w:hAnsi="仿宋" w:eastAsia="仿宋" w:cs="仿宋"/>
          <w:color w:val="000000"/>
          <w:sz w:val="32"/>
          <w:szCs w:val="32"/>
          <w:u w:val="dotted"/>
        </w:rPr>
        <w:t xml:space="preserve">                                                </w:t>
      </w:r>
    </w:p>
    <w:p>
      <w:pPr>
        <w:adjustRightInd w:val="0"/>
        <w:snapToGrid w:val="0"/>
        <w:spacing w:line="360" w:lineRule="auto"/>
        <w:rPr>
          <w:rFonts w:ascii="黑体" w:hAnsi="黑体" w:eastAsia="黑体" w:cs="仿宋"/>
          <w:bCs/>
          <w:color w:val="000000"/>
          <w:sz w:val="32"/>
          <w:szCs w:val="32"/>
        </w:rPr>
      </w:pPr>
      <w:r>
        <w:rPr>
          <w:rFonts w:hint="eastAsia" w:ascii="黑体" w:hAnsi="黑体" w:eastAsia="黑体" w:cs="仿宋"/>
          <w:bCs/>
          <w:color w:val="000000"/>
          <w:sz w:val="32"/>
          <w:szCs w:val="32"/>
        </w:rPr>
        <w:t>二、质疑项目基本情况</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质疑项目的名称：</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质疑项目的编号：</w:t>
      </w:r>
      <w:r>
        <w:rPr>
          <w:rFonts w:hint="eastAsia" w:ascii="仿宋" w:hAnsi="仿宋" w:eastAsia="仿宋" w:cs="仿宋"/>
          <w:color w:val="000000"/>
          <w:sz w:val="32"/>
          <w:szCs w:val="32"/>
          <w:u w:val="dotted"/>
        </w:rPr>
        <w:t xml:space="preserve">               </w:t>
      </w:r>
      <w:r>
        <w:rPr>
          <w:rFonts w:hint="eastAsia" w:ascii="仿宋" w:hAnsi="仿宋" w:eastAsia="仿宋" w:cs="仿宋"/>
          <w:color w:val="000000"/>
          <w:sz w:val="32"/>
          <w:szCs w:val="32"/>
        </w:rPr>
        <w:t>包号：</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采购人名称：</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采购文件获取日期：</w:t>
      </w:r>
      <w:r>
        <w:rPr>
          <w:rFonts w:hint="eastAsia" w:ascii="仿宋" w:hAnsi="仿宋" w:eastAsia="仿宋" w:cs="仿宋"/>
          <w:color w:val="000000"/>
          <w:sz w:val="32"/>
          <w:szCs w:val="32"/>
          <w:u w:val="dotted"/>
        </w:rPr>
        <w:t xml:space="preserve">                                           </w:t>
      </w:r>
    </w:p>
    <w:p>
      <w:pPr>
        <w:adjustRightInd w:val="0"/>
        <w:snapToGrid w:val="0"/>
        <w:spacing w:line="360" w:lineRule="auto"/>
        <w:rPr>
          <w:rFonts w:ascii="黑体" w:hAnsi="黑体" w:eastAsia="黑体" w:cs="仿宋"/>
          <w:bCs/>
          <w:color w:val="000000"/>
          <w:sz w:val="32"/>
          <w:szCs w:val="32"/>
        </w:rPr>
      </w:pPr>
      <w:r>
        <w:rPr>
          <w:rFonts w:hint="eastAsia" w:ascii="黑体" w:hAnsi="黑体" w:eastAsia="黑体" w:cs="仿宋"/>
          <w:bCs/>
          <w:color w:val="000000"/>
          <w:sz w:val="32"/>
          <w:szCs w:val="32"/>
        </w:rPr>
        <w:t>三、质疑事项具体内容</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质疑事项1：</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事实依据：</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法律依据：</w:t>
      </w: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u w:val="dotted"/>
        </w:rPr>
        <w:t xml:space="preserve">                                                     </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质疑事项2</w:t>
      </w:r>
    </w:p>
    <w:p>
      <w:pPr>
        <w:adjustRightInd w:val="0"/>
        <w:snapToGrid w:val="0"/>
        <w:spacing w:line="360" w:lineRule="auto"/>
        <w:rPr>
          <w:rFonts w:ascii="仿宋" w:hAnsi="仿宋" w:eastAsia="仿宋" w:cs="仿宋"/>
          <w:color w:val="000000"/>
          <w:sz w:val="32"/>
          <w:szCs w:val="32"/>
        </w:rPr>
      </w:pPr>
      <w:r>
        <w:rPr>
          <w:rFonts w:hint="eastAsia" w:ascii="仿宋" w:hAnsi="仿宋" w:eastAsia="仿宋" w:cs="仿宋"/>
          <w:color w:val="000000"/>
          <w:sz w:val="32"/>
          <w:szCs w:val="32"/>
        </w:rPr>
        <w:t>……</w:t>
      </w:r>
    </w:p>
    <w:p>
      <w:pPr>
        <w:adjustRightInd w:val="0"/>
        <w:snapToGrid w:val="0"/>
        <w:spacing w:line="360" w:lineRule="auto"/>
        <w:rPr>
          <w:rFonts w:ascii="黑体" w:hAnsi="黑体" w:eastAsia="黑体" w:cs="仿宋"/>
          <w:bCs/>
          <w:color w:val="000000"/>
          <w:sz w:val="32"/>
          <w:szCs w:val="32"/>
        </w:rPr>
      </w:pPr>
      <w:r>
        <w:rPr>
          <w:rFonts w:hint="eastAsia" w:ascii="黑体" w:hAnsi="黑体" w:eastAsia="黑体" w:cs="仿宋"/>
          <w:bCs/>
          <w:color w:val="000000"/>
          <w:sz w:val="32"/>
          <w:szCs w:val="32"/>
        </w:rPr>
        <w:t>四、与质疑事项相关的质疑请求</w:t>
      </w:r>
    </w:p>
    <w:p>
      <w:pPr>
        <w:adjustRightInd w:val="0"/>
        <w:snapToGrid w:val="0"/>
        <w:spacing w:line="360" w:lineRule="auto"/>
        <w:rPr>
          <w:rFonts w:ascii="仿宋" w:hAnsi="仿宋" w:eastAsia="仿宋" w:cs="仿宋"/>
          <w:color w:val="000000"/>
          <w:sz w:val="32"/>
          <w:szCs w:val="32"/>
          <w:u w:val="dotted"/>
        </w:rPr>
      </w:pPr>
      <w:r>
        <w:rPr>
          <w:rFonts w:hint="eastAsia" w:ascii="仿宋" w:hAnsi="仿宋" w:eastAsia="仿宋" w:cs="仿宋"/>
          <w:color w:val="000000"/>
          <w:sz w:val="32"/>
          <w:szCs w:val="32"/>
        </w:rPr>
        <w:t>请求：</w:t>
      </w:r>
      <w:r>
        <w:rPr>
          <w:rFonts w:hint="eastAsia" w:ascii="仿宋" w:hAnsi="仿宋" w:eastAsia="仿宋" w:cs="仿宋"/>
          <w:color w:val="000000"/>
          <w:sz w:val="32"/>
          <w:szCs w:val="32"/>
          <w:u w:val="dotted"/>
        </w:rPr>
        <w:t xml:space="preserve">                                               </w:t>
      </w:r>
    </w:p>
    <w:p>
      <w:pPr>
        <w:rPr>
          <w:rFonts w:ascii="仿宋_GB2312" w:eastAsia="仿宋_GB2312"/>
          <w:color w:val="000000"/>
          <w:sz w:val="30"/>
          <w:szCs w:val="30"/>
        </w:rPr>
      </w:pPr>
      <w:r>
        <w:rPr>
          <w:rFonts w:hint="eastAsia" w:ascii="仿宋_GB2312" w:eastAsia="仿宋_GB2312"/>
          <w:color w:val="000000"/>
          <w:sz w:val="30"/>
          <w:szCs w:val="30"/>
        </w:rPr>
        <w:t xml:space="preserve">签字(签章)：                   公章：                      </w:t>
      </w:r>
    </w:p>
    <w:p>
      <w:pPr>
        <w:rPr>
          <w:rFonts w:ascii="仿宋_GB2312" w:eastAsia="仿宋_GB2312"/>
          <w:color w:val="000000"/>
          <w:sz w:val="30"/>
          <w:szCs w:val="30"/>
        </w:rPr>
      </w:pPr>
      <w:r>
        <w:rPr>
          <w:rFonts w:hint="eastAsia" w:ascii="仿宋_GB2312" w:eastAsia="仿宋_GB2312"/>
          <w:color w:val="000000"/>
          <w:sz w:val="30"/>
          <w:szCs w:val="30"/>
        </w:rPr>
        <w:t xml:space="preserve">日期：    </w:t>
      </w:r>
    </w:p>
    <w:p>
      <w:pPr>
        <w:adjustRightInd w:val="0"/>
        <w:snapToGrid w:val="0"/>
        <w:spacing w:line="360" w:lineRule="auto"/>
        <w:rPr>
          <w:rFonts w:ascii="仿宋" w:hAnsi="仿宋" w:eastAsia="仿宋" w:cs="仿宋"/>
          <w:color w:val="000000"/>
          <w:sz w:val="32"/>
          <w:szCs w:val="32"/>
        </w:rPr>
      </w:pPr>
    </w:p>
    <w:p>
      <w:pPr>
        <w:adjustRightInd w:val="0"/>
        <w:snapToGrid w:val="0"/>
        <w:spacing w:line="360" w:lineRule="auto"/>
        <w:rPr>
          <w:rFonts w:ascii="仿宋" w:hAnsi="仿宋" w:eastAsia="仿宋" w:cs="仿宋"/>
          <w:color w:val="000000"/>
          <w:sz w:val="32"/>
          <w:szCs w:val="32"/>
        </w:rPr>
      </w:pPr>
    </w:p>
    <w:p>
      <w:pPr>
        <w:jc w:val="center"/>
        <w:rPr>
          <w:rFonts w:ascii="仿宋" w:hAnsi="仿宋" w:eastAsia="仿宋" w:cs="仿宋"/>
          <w:b/>
          <w:bCs/>
          <w:color w:val="000000"/>
          <w:sz w:val="32"/>
          <w:szCs w:val="32"/>
        </w:rPr>
      </w:pPr>
    </w:p>
    <w:p>
      <w:pPr>
        <w:jc w:val="center"/>
        <w:rPr>
          <w:rFonts w:ascii="仿宋" w:hAnsi="仿宋" w:eastAsia="仿宋" w:cs="仿宋"/>
          <w:b/>
          <w:bCs/>
          <w:color w:val="000000"/>
          <w:sz w:val="32"/>
          <w:szCs w:val="32"/>
        </w:rPr>
      </w:pPr>
    </w:p>
    <w:p>
      <w:pPr>
        <w:jc w:val="center"/>
        <w:rPr>
          <w:rFonts w:ascii="仿宋" w:hAnsi="仿宋" w:eastAsia="仿宋" w:cs="仿宋"/>
          <w:b/>
          <w:bCs/>
          <w:color w:val="000000"/>
          <w:sz w:val="32"/>
          <w:szCs w:val="32"/>
        </w:rPr>
      </w:pPr>
    </w:p>
    <w:p>
      <w:pPr>
        <w:jc w:val="center"/>
        <w:rPr>
          <w:rFonts w:ascii="仿宋" w:hAnsi="仿宋" w:eastAsia="仿宋" w:cs="仿宋"/>
          <w:b/>
          <w:bCs/>
          <w:color w:val="000000"/>
          <w:sz w:val="32"/>
          <w:szCs w:val="32"/>
        </w:rPr>
      </w:pPr>
    </w:p>
    <w:p>
      <w:pPr>
        <w:jc w:val="center"/>
        <w:rPr>
          <w:rFonts w:ascii="仿宋" w:hAnsi="仿宋" w:eastAsia="仿宋" w:cs="仿宋"/>
          <w:b/>
          <w:bCs/>
          <w:color w:val="000000"/>
          <w:sz w:val="32"/>
          <w:szCs w:val="32"/>
        </w:rPr>
      </w:pPr>
    </w:p>
    <w:p>
      <w:pPr>
        <w:jc w:val="center"/>
        <w:rPr>
          <w:rFonts w:ascii="仿宋" w:hAnsi="仿宋" w:eastAsia="仿宋" w:cs="仿宋"/>
          <w:b/>
          <w:bCs/>
          <w:color w:val="000000"/>
          <w:sz w:val="32"/>
          <w:szCs w:val="32"/>
        </w:rPr>
      </w:pPr>
    </w:p>
    <w:p>
      <w:pPr>
        <w:jc w:val="center"/>
        <w:rPr>
          <w:rFonts w:ascii="仿宋" w:hAnsi="仿宋" w:eastAsia="仿宋" w:cs="仿宋"/>
          <w:b/>
          <w:bCs/>
          <w:color w:val="000000"/>
          <w:sz w:val="32"/>
          <w:szCs w:val="32"/>
        </w:rPr>
      </w:pPr>
    </w:p>
    <w:p>
      <w:pPr>
        <w:rPr>
          <w:rFonts w:ascii="黑体" w:hAnsi="黑体" w:eastAsia="黑体"/>
          <w:b/>
          <w:color w:val="000000"/>
          <w:sz w:val="32"/>
          <w:szCs w:val="32"/>
        </w:rPr>
      </w:pPr>
      <w:r>
        <w:rPr>
          <w:rFonts w:hint="eastAsia" w:ascii="黑体" w:hAnsi="黑体" w:eastAsia="黑体"/>
          <w:b/>
          <w:color w:val="000000"/>
          <w:sz w:val="32"/>
          <w:szCs w:val="32"/>
        </w:rPr>
        <w:t>质疑函制作说明：</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1.供应商提出质疑时，应提交质疑函和必要的证明材料。</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3.质疑供应商若对项目的某一分包进行质疑，质疑函中应列明具体分包号。</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4.质疑函的质疑事项应具体、明确，并有必要的事实依据和法律依据。</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5.质疑函的质疑请求应与质疑事项相关。</w:t>
      </w:r>
    </w:p>
    <w:p>
      <w:pPr>
        <w:ind w:firstLine="640" w:firstLineChars="200"/>
        <w:rPr>
          <w:rFonts w:hint="eastAsia"/>
          <w:color w:val="000000"/>
        </w:rPr>
      </w:pPr>
      <w:r>
        <w:rPr>
          <w:rFonts w:hint="eastAsia" w:ascii="仿宋_GB2312" w:eastAsia="仿宋_GB2312"/>
          <w:color w:val="000000"/>
          <w:sz w:val="32"/>
          <w:szCs w:val="32"/>
        </w:rPr>
        <w:t>6.质疑供应商为自然人的，质疑函应由本人签字；质疑供应商为法人或者其他组织的，质疑函应由法定代表人、主要负责人，或者其授权代表签字或者盖章，并加盖公章。</w:t>
      </w:r>
    </w:p>
    <w:bookmarkEnd w:id="0"/>
    <w:p>
      <w:pPr>
        <w:pStyle w:val="33"/>
        <w:adjustRightInd w:val="0"/>
        <w:snapToGrid w:val="0"/>
        <w:spacing w:line="400" w:lineRule="exact"/>
        <w:jc w:val="center"/>
        <w:rPr>
          <w:rFonts w:hint="eastAsia"/>
          <w:color w:val="000000"/>
        </w:rPr>
      </w:pPr>
    </w:p>
    <w:p>
      <w:pPr>
        <w:pStyle w:val="33"/>
        <w:adjustRightInd w:val="0"/>
        <w:snapToGrid w:val="0"/>
        <w:spacing w:line="400" w:lineRule="exact"/>
        <w:jc w:val="center"/>
        <w:rPr>
          <w:rFonts w:hint="eastAsia"/>
          <w:color w:val="000000"/>
        </w:rPr>
      </w:pPr>
    </w:p>
    <w:p>
      <w:pPr>
        <w:pStyle w:val="33"/>
        <w:adjustRightInd w:val="0"/>
        <w:snapToGrid w:val="0"/>
        <w:spacing w:line="400" w:lineRule="exact"/>
        <w:jc w:val="center"/>
        <w:rPr>
          <w:rFonts w:hint="eastAsia"/>
          <w:color w:val="000000"/>
        </w:rPr>
      </w:pPr>
    </w:p>
    <w:p>
      <w:pPr>
        <w:pStyle w:val="33"/>
        <w:adjustRightInd w:val="0"/>
        <w:snapToGrid w:val="0"/>
        <w:spacing w:line="400" w:lineRule="exact"/>
        <w:jc w:val="center"/>
        <w:rPr>
          <w:rFonts w:hint="eastAsia"/>
          <w:color w:val="000000"/>
        </w:rPr>
      </w:pPr>
    </w:p>
    <w:p>
      <w:pPr>
        <w:pStyle w:val="33"/>
        <w:adjustRightInd w:val="0"/>
        <w:snapToGrid w:val="0"/>
        <w:spacing w:line="400" w:lineRule="exact"/>
        <w:jc w:val="center"/>
        <w:rPr>
          <w:rFonts w:hint="eastAsia"/>
          <w:color w:val="000000"/>
        </w:rPr>
      </w:pPr>
    </w:p>
    <w:p>
      <w:pPr>
        <w:pStyle w:val="33"/>
        <w:adjustRightInd w:val="0"/>
        <w:snapToGrid w:val="0"/>
        <w:spacing w:line="400" w:lineRule="exact"/>
        <w:jc w:val="center"/>
        <w:rPr>
          <w:rFonts w:hint="eastAsia"/>
          <w:color w:val="000000"/>
        </w:rPr>
      </w:pPr>
    </w:p>
    <w:p>
      <w:pPr>
        <w:pStyle w:val="773"/>
        <w:widowControl w:val="0"/>
        <w:snapToGrid w:val="0"/>
        <w:spacing w:line="480" w:lineRule="exact"/>
        <w:ind w:firstLine="2560" w:firstLineChars="800"/>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rPr>
        <w:t>政府采购活动现场确认声明书</w:t>
      </w:r>
    </w:p>
    <w:p>
      <w:pPr>
        <w:pStyle w:val="773"/>
        <w:widowControl w:val="0"/>
        <w:snapToGrid w:val="0"/>
        <w:spacing w:line="480" w:lineRule="exact"/>
        <w:ind w:firstLine="440"/>
        <w:jc w:val="both"/>
        <w:rPr>
          <w:rFonts w:ascii="宋体" w:hAnsi="宋体"/>
          <w:color w:val="000000"/>
          <w:sz w:val="22"/>
          <w:szCs w:val="22"/>
          <w:u w:val="single"/>
        </w:rPr>
      </w:pPr>
      <w:r>
        <w:rPr>
          <w:rFonts w:hint="eastAsia" w:ascii="宋体" w:hAnsi="宋体"/>
          <w:color w:val="000000"/>
          <w:kern w:val="0"/>
          <w:sz w:val="22"/>
          <w:szCs w:val="22"/>
          <w:u w:val="single"/>
        </w:rPr>
        <w:t>平阳县公共资源交易中心</w:t>
      </w:r>
      <w:r>
        <w:rPr>
          <w:rFonts w:ascii="宋体" w:hAnsi="宋体"/>
          <w:color w:val="000000"/>
          <w:kern w:val="0"/>
          <w:sz w:val="22"/>
          <w:szCs w:val="22"/>
          <w:u w:val="single"/>
        </w:rPr>
        <w:t>：</w:t>
      </w:r>
    </w:p>
    <w:p>
      <w:pPr>
        <w:pStyle w:val="773"/>
        <w:widowControl w:val="0"/>
        <w:snapToGrid w:val="0"/>
        <w:spacing w:line="480" w:lineRule="exact"/>
        <w:ind w:firstLine="464" w:firstLineChars="200"/>
        <w:jc w:val="both"/>
        <w:rPr>
          <w:rFonts w:ascii="宋体" w:hAnsi="宋体"/>
          <w:color w:val="000000"/>
          <w:spacing w:val="6"/>
          <w:sz w:val="22"/>
          <w:szCs w:val="22"/>
        </w:rPr>
      </w:pPr>
      <w:r>
        <w:rPr>
          <w:rFonts w:ascii="宋体" w:hAnsi="宋体"/>
          <w:color w:val="000000"/>
          <w:spacing w:val="6"/>
          <w:sz w:val="22"/>
          <w:szCs w:val="22"/>
          <w:u w:val="single"/>
        </w:rPr>
        <w:t>本人经由                            （单位）负责人        （姓名）合法授权参加</w:t>
      </w:r>
      <w:r>
        <w:rPr>
          <w:rFonts w:hint="eastAsia" w:ascii="宋体" w:hAnsi="宋体"/>
          <w:color w:val="000000"/>
          <w:spacing w:val="6"/>
          <w:sz w:val="22"/>
          <w:szCs w:val="22"/>
          <w:u w:val="single"/>
        </w:rPr>
        <w:t xml:space="preserve">                    （项目编号：             ）</w:t>
      </w:r>
      <w:r>
        <w:rPr>
          <w:rFonts w:ascii="宋体" w:hAnsi="宋体"/>
          <w:color w:val="000000"/>
          <w:spacing w:val="6"/>
          <w:sz w:val="22"/>
          <w:szCs w:val="22"/>
        </w:rPr>
        <w:t xml:space="preserve">政府采购活动，经与本单位法人代表（负责人）联系确认，现就有关公平竞争事项郑重声明如下： </w:t>
      </w:r>
    </w:p>
    <w:p>
      <w:pPr>
        <w:pStyle w:val="702"/>
        <w:widowControl/>
        <w:numPr>
          <w:ilvl w:val="0"/>
          <w:numId w:val="19"/>
        </w:numPr>
        <w:snapToGrid w:val="0"/>
        <w:spacing w:line="480" w:lineRule="exact"/>
        <w:ind w:firstLine="415" w:firstLineChars="189"/>
        <w:rPr>
          <w:rFonts w:hAnsi="宋体"/>
          <w:sz w:val="22"/>
          <w:szCs w:val="22"/>
        </w:rPr>
      </w:pPr>
      <w:r>
        <w:rPr>
          <w:rFonts w:hAnsi="宋体"/>
          <w:sz w:val="22"/>
          <w:szCs w:val="22"/>
        </w:rPr>
        <w:t xml:space="preserve">本单位与采购人之间 </w:t>
      </w:r>
      <w:r>
        <w:rPr>
          <w:rFonts w:hAnsi="宋体" w:cs="宋体"/>
          <w:sz w:val="22"/>
          <w:szCs w:val="22"/>
        </w:rPr>
        <w:t>□</w:t>
      </w:r>
      <w:r>
        <w:rPr>
          <w:rFonts w:hAnsi="宋体"/>
          <w:sz w:val="22"/>
          <w:szCs w:val="22"/>
        </w:rPr>
        <w:t xml:space="preserve">不存在利害关系 </w:t>
      </w:r>
      <w:r>
        <w:rPr>
          <w:rFonts w:hAnsi="宋体" w:cs="宋体"/>
          <w:sz w:val="22"/>
          <w:szCs w:val="22"/>
        </w:rPr>
        <w:t>□</w:t>
      </w:r>
      <w:r>
        <w:rPr>
          <w:rFonts w:hAnsi="宋体"/>
          <w:sz w:val="22"/>
          <w:szCs w:val="22"/>
        </w:rPr>
        <w:t>存在下列利害关系：</w:t>
      </w:r>
    </w:p>
    <w:p>
      <w:pPr>
        <w:pStyle w:val="702"/>
        <w:widowControl/>
        <w:snapToGrid w:val="0"/>
        <w:spacing w:line="480" w:lineRule="exact"/>
        <w:ind w:firstLine="220"/>
        <w:rPr>
          <w:rFonts w:hAnsi="宋体"/>
          <w:sz w:val="22"/>
          <w:szCs w:val="22"/>
        </w:rPr>
      </w:pPr>
      <w:r>
        <w:rPr>
          <w:rFonts w:hAnsi="宋体"/>
          <w:sz w:val="22"/>
          <w:szCs w:val="22"/>
        </w:rPr>
        <w:t xml:space="preserve">  A.投资关系    B.行政隶属关系    C.业务指导关系</w:t>
      </w:r>
    </w:p>
    <w:p>
      <w:pPr>
        <w:pStyle w:val="702"/>
        <w:widowControl/>
        <w:snapToGrid w:val="0"/>
        <w:spacing w:line="480" w:lineRule="exact"/>
        <w:ind w:firstLine="220"/>
        <w:rPr>
          <w:rFonts w:hAnsi="宋体"/>
          <w:sz w:val="22"/>
          <w:szCs w:val="22"/>
        </w:rPr>
      </w:pPr>
      <w:r>
        <w:rPr>
          <w:rFonts w:hAnsi="宋体"/>
          <w:sz w:val="22"/>
          <w:szCs w:val="22"/>
        </w:rPr>
        <w:t xml:space="preserve">  D.其他可能影响采购公正的利害关系</w:t>
      </w:r>
      <w:r>
        <w:rPr>
          <w:rFonts w:hAnsi="宋体"/>
          <w:sz w:val="22"/>
          <w:szCs w:val="22"/>
          <w:u w:val="single"/>
        </w:rPr>
        <w:t xml:space="preserve">（如有，请如实说明）                 </w:t>
      </w:r>
      <w:r>
        <w:rPr>
          <w:rFonts w:hAnsi="宋体"/>
          <w:sz w:val="22"/>
          <w:szCs w:val="22"/>
        </w:rPr>
        <w:t>。</w:t>
      </w:r>
    </w:p>
    <w:p>
      <w:pPr>
        <w:pStyle w:val="702"/>
        <w:widowControl/>
        <w:snapToGrid w:val="0"/>
        <w:spacing w:line="480" w:lineRule="exact"/>
        <w:ind w:firstLine="232"/>
        <w:rPr>
          <w:rFonts w:hAnsi="宋体"/>
          <w:sz w:val="22"/>
          <w:szCs w:val="22"/>
        </w:rPr>
      </w:pPr>
      <w:r>
        <w:rPr>
          <w:rFonts w:hAnsi="宋体"/>
          <w:spacing w:val="6"/>
          <w:sz w:val="22"/>
          <w:szCs w:val="22"/>
        </w:rPr>
        <w:t xml:space="preserve">  二、</w:t>
      </w:r>
      <w:r>
        <w:rPr>
          <w:rFonts w:hAnsi="宋体"/>
          <w:sz w:val="22"/>
          <w:szCs w:val="22"/>
        </w:rPr>
        <w:t xml:space="preserve">现已清楚知道参加本项目采购活动的其他所有供应商名称，本单位 </w:t>
      </w:r>
      <w:r>
        <w:rPr>
          <w:rFonts w:hAnsi="宋体" w:cs="宋体"/>
          <w:sz w:val="22"/>
          <w:szCs w:val="22"/>
        </w:rPr>
        <w:t>□与其他所有供应商之间均</w:t>
      </w:r>
      <w:r>
        <w:rPr>
          <w:rFonts w:hAnsi="宋体"/>
          <w:sz w:val="22"/>
          <w:szCs w:val="22"/>
        </w:rPr>
        <w:t xml:space="preserve">不存在利害关系 </w:t>
      </w:r>
      <w:r>
        <w:rPr>
          <w:rFonts w:hAnsi="宋体" w:cs="宋体"/>
          <w:sz w:val="22"/>
          <w:szCs w:val="22"/>
        </w:rPr>
        <w:t>□与</w:t>
      </w:r>
      <w:r>
        <w:rPr>
          <w:rFonts w:hAnsi="宋体" w:cs="宋体"/>
          <w:sz w:val="22"/>
          <w:szCs w:val="22"/>
          <w:u w:val="single"/>
        </w:rPr>
        <w:t xml:space="preserve">           （供应商名称）</w:t>
      </w:r>
      <w:r>
        <w:rPr>
          <w:rFonts w:hAnsi="宋体" w:cs="宋体"/>
          <w:sz w:val="22"/>
          <w:szCs w:val="22"/>
        </w:rPr>
        <w:t>之间</w:t>
      </w:r>
      <w:r>
        <w:rPr>
          <w:rFonts w:hAnsi="宋体"/>
          <w:sz w:val="22"/>
          <w:szCs w:val="22"/>
        </w:rPr>
        <w:t>存在下列利害关系：</w:t>
      </w:r>
    </w:p>
    <w:p>
      <w:pPr>
        <w:pStyle w:val="773"/>
        <w:widowControl w:val="0"/>
        <w:snapToGrid w:val="0"/>
        <w:spacing w:line="480" w:lineRule="exact"/>
        <w:ind w:firstLine="440"/>
        <w:jc w:val="both"/>
        <w:rPr>
          <w:rFonts w:ascii="宋体" w:hAnsi="宋体"/>
          <w:color w:val="000000"/>
          <w:kern w:val="0"/>
          <w:sz w:val="22"/>
          <w:szCs w:val="22"/>
        </w:rPr>
      </w:pPr>
      <w:r>
        <w:rPr>
          <w:rFonts w:ascii="宋体" w:hAnsi="宋体"/>
          <w:color w:val="000000"/>
          <w:kern w:val="0"/>
          <w:sz w:val="22"/>
          <w:szCs w:val="22"/>
        </w:rPr>
        <w:t xml:space="preserve">  A.法定代表人或负责人或实际控制人是同一人</w:t>
      </w:r>
    </w:p>
    <w:p>
      <w:pPr>
        <w:pStyle w:val="773"/>
        <w:widowControl w:val="0"/>
        <w:snapToGrid w:val="0"/>
        <w:spacing w:line="480" w:lineRule="exact"/>
        <w:ind w:firstLine="440"/>
        <w:jc w:val="both"/>
        <w:rPr>
          <w:rFonts w:ascii="宋体" w:hAnsi="宋体"/>
          <w:color w:val="000000"/>
          <w:spacing w:val="6"/>
          <w:sz w:val="22"/>
          <w:szCs w:val="22"/>
        </w:rPr>
      </w:pPr>
      <w:r>
        <w:rPr>
          <w:rFonts w:ascii="宋体" w:hAnsi="宋体"/>
          <w:color w:val="000000"/>
          <w:kern w:val="0"/>
          <w:sz w:val="22"/>
          <w:szCs w:val="22"/>
        </w:rPr>
        <w:t xml:space="preserve">  B.法定代表人或负责人或实际控制人是夫妻关系</w:t>
      </w:r>
    </w:p>
    <w:p>
      <w:pPr>
        <w:pStyle w:val="773"/>
        <w:widowControl w:val="0"/>
        <w:snapToGrid w:val="0"/>
        <w:spacing w:line="480" w:lineRule="exact"/>
        <w:ind w:firstLine="440"/>
        <w:jc w:val="both"/>
        <w:rPr>
          <w:rFonts w:ascii="宋体" w:hAnsi="宋体"/>
          <w:color w:val="000000"/>
          <w:spacing w:val="6"/>
          <w:sz w:val="22"/>
          <w:szCs w:val="22"/>
        </w:rPr>
      </w:pPr>
      <w:r>
        <w:rPr>
          <w:rFonts w:ascii="宋体" w:hAnsi="宋体"/>
          <w:color w:val="000000"/>
          <w:kern w:val="0"/>
          <w:sz w:val="22"/>
          <w:szCs w:val="22"/>
        </w:rPr>
        <w:t xml:space="preserve">  C.法定代表人或负责人或实际控制人是直系血亲关系</w:t>
      </w:r>
    </w:p>
    <w:p>
      <w:pPr>
        <w:pStyle w:val="773"/>
        <w:widowControl w:val="0"/>
        <w:snapToGrid w:val="0"/>
        <w:spacing w:line="480" w:lineRule="exact"/>
        <w:ind w:firstLine="440"/>
        <w:jc w:val="both"/>
        <w:rPr>
          <w:rFonts w:ascii="宋体" w:hAnsi="宋体"/>
          <w:color w:val="000000"/>
          <w:spacing w:val="6"/>
          <w:sz w:val="22"/>
          <w:szCs w:val="22"/>
        </w:rPr>
      </w:pPr>
      <w:r>
        <w:rPr>
          <w:rFonts w:ascii="宋体" w:hAnsi="宋体"/>
          <w:color w:val="000000"/>
          <w:kern w:val="0"/>
          <w:sz w:val="22"/>
          <w:szCs w:val="22"/>
        </w:rPr>
        <w:t xml:space="preserve">  D.法定代表人或负责人或实际控制人存在三代以内旁系血亲关系</w:t>
      </w:r>
    </w:p>
    <w:p>
      <w:pPr>
        <w:pStyle w:val="773"/>
        <w:widowControl w:val="0"/>
        <w:snapToGrid w:val="0"/>
        <w:spacing w:line="480" w:lineRule="exact"/>
        <w:ind w:firstLine="440"/>
        <w:jc w:val="both"/>
        <w:rPr>
          <w:rFonts w:ascii="宋体" w:hAnsi="宋体"/>
          <w:color w:val="000000"/>
          <w:kern w:val="0"/>
          <w:sz w:val="22"/>
          <w:szCs w:val="22"/>
        </w:rPr>
      </w:pPr>
      <w:r>
        <w:rPr>
          <w:rFonts w:ascii="宋体" w:hAnsi="宋体"/>
          <w:color w:val="000000"/>
          <w:kern w:val="0"/>
          <w:sz w:val="22"/>
          <w:szCs w:val="22"/>
        </w:rPr>
        <w:t xml:space="preserve">  E.法定代表人或负责人或实际控制人存在近姻亲关系</w:t>
      </w:r>
    </w:p>
    <w:p>
      <w:pPr>
        <w:pStyle w:val="773"/>
        <w:widowControl w:val="0"/>
        <w:snapToGrid w:val="0"/>
        <w:spacing w:line="480" w:lineRule="exact"/>
        <w:ind w:firstLine="440"/>
        <w:jc w:val="both"/>
        <w:rPr>
          <w:rFonts w:ascii="宋体" w:hAnsi="宋体"/>
          <w:color w:val="000000"/>
          <w:kern w:val="0"/>
          <w:sz w:val="22"/>
          <w:szCs w:val="22"/>
        </w:rPr>
      </w:pPr>
      <w:r>
        <w:rPr>
          <w:rFonts w:ascii="宋体" w:hAnsi="宋体"/>
          <w:color w:val="000000"/>
          <w:kern w:val="0"/>
          <w:sz w:val="22"/>
          <w:szCs w:val="22"/>
        </w:rPr>
        <w:t xml:space="preserve">  F.法定代表人或负责人或实际控制人存在股份控制或实际控制关系</w:t>
      </w:r>
    </w:p>
    <w:p>
      <w:pPr>
        <w:pStyle w:val="773"/>
        <w:widowControl w:val="0"/>
        <w:snapToGrid w:val="0"/>
        <w:spacing w:line="480" w:lineRule="exact"/>
        <w:ind w:firstLine="440"/>
        <w:jc w:val="both"/>
        <w:outlineLvl w:val="0"/>
        <w:rPr>
          <w:rFonts w:ascii="宋体" w:hAnsi="宋体"/>
          <w:color w:val="000000"/>
          <w:kern w:val="0"/>
          <w:sz w:val="22"/>
          <w:szCs w:val="22"/>
        </w:rPr>
      </w:pPr>
      <w:r>
        <w:rPr>
          <w:rFonts w:ascii="宋体" w:hAnsi="宋体"/>
          <w:color w:val="000000"/>
          <w:kern w:val="0"/>
          <w:sz w:val="22"/>
          <w:szCs w:val="22"/>
        </w:rPr>
        <w:t xml:space="preserve">  G.存在共同直接或间接投资设立子公司、联营企业和合营企业情况</w:t>
      </w:r>
    </w:p>
    <w:p>
      <w:pPr>
        <w:pStyle w:val="773"/>
        <w:widowControl w:val="0"/>
        <w:snapToGrid w:val="0"/>
        <w:spacing w:line="480" w:lineRule="exact"/>
        <w:ind w:firstLine="440"/>
        <w:jc w:val="both"/>
        <w:rPr>
          <w:rFonts w:ascii="宋体" w:hAnsi="宋体"/>
          <w:color w:val="000000"/>
          <w:sz w:val="22"/>
          <w:szCs w:val="22"/>
        </w:rPr>
      </w:pPr>
      <w:r>
        <w:rPr>
          <w:rFonts w:ascii="宋体" w:hAnsi="宋体"/>
          <w:color w:val="000000"/>
          <w:kern w:val="0"/>
          <w:sz w:val="22"/>
          <w:szCs w:val="22"/>
        </w:rPr>
        <w:t xml:space="preserve">  H.存在分级代理或代销关系、同一生产制造商关系、</w:t>
      </w:r>
      <w:r>
        <w:rPr>
          <w:rFonts w:ascii="宋体" w:hAnsi="宋体"/>
          <w:color w:val="000000"/>
          <w:sz w:val="22"/>
          <w:szCs w:val="22"/>
        </w:rPr>
        <w:t>管理关系、重要业务（占主营业务收入50%以上）或重要财务往来关系（如融资）等其他实质性控制关系</w:t>
      </w:r>
    </w:p>
    <w:p>
      <w:pPr>
        <w:pStyle w:val="773"/>
        <w:widowControl w:val="0"/>
        <w:snapToGrid w:val="0"/>
        <w:spacing w:line="480" w:lineRule="exact"/>
        <w:ind w:firstLine="440"/>
        <w:jc w:val="both"/>
        <w:rPr>
          <w:rFonts w:ascii="宋体" w:hAnsi="宋体"/>
          <w:color w:val="000000"/>
          <w:spacing w:val="6"/>
          <w:sz w:val="22"/>
          <w:szCs w:val="22"/>
        </w:rPr>
      </w:pPr>
      <w:r>
        <w:rPr>
          <w:rFonts w:ascii="宋体" w:hAnsi="宋体"/>
          <w:color w:val="000000"/>
          <w:sz w:val="22"/>
          <w:szCs w:val="22"/>
        </w:rPr>
        <w:t xml:space="preserve">    I</w:t>
      </w:r>
      <w:r>
        <w:rPr>
          <w:rFonts w:ascii="宋体" w:hAnsi="宋体"/>
          <w:color w:val="000000"/>
          <w:kern w:val="0"/>
          <w:sz w:val="22"/>
          <w:szCs w:val="22"/>
        </w:rPr>
        <w:t>.</w:t>
      </w:r>
      <w:r>
        <w:rPr>
          <w:rFonts w:ascii="宋体" w:hAnsi="宋体"/>
          <w:color w:val="000000"/>
          <w:sz w:val="22"/>
          <w:szCs w:val="22"/>
        </w:rPr>
        <w:t>其他利害关系情况</w:t>
      </w:r>
      <w:r>
        <w:rPr>
          <w:rFonts w:ascii="宋体" w:hAnsi="宋体"/>
          <w:color w:val="000000"/>
          <w:kern w:val="0"/>
          <w:sz w:val="22"/>
          <w:szCs w:val="22"/>
        </w:rPr>
        <w:t>。</w:t>
      </w:r>
    </w:p>
    <w:p>
      <w:pPr>
        <w:pStyle w:val="702"/>
        <w:widowControl/>
        <w:numPr>
          <w:ilvl w:val="0"/>
          <w:numId w:val="20"/>
        </w:numPr>
        <w:snapToGrid w:val="0"/>
        <w:spacing w:line="480" w:lineRule="exact"/>
        <w:ind w:firstLine="415" w:firstLineChars="189"/>
        <w:rPr>
          <w:rFonts w:hAnsi="宋体"/>
          <w:sz w:val="22"/>
          <w:szCs w:val="22"/>
        </w:rPr>
      </w:pPr>
      <w:r>
        <w:rPr>
          <w:rFonts w:hAnsi="宋体"/>
          <w:sz w:val="22"/>
          <w:szCs w:val="22"/>
        </w:rPr>
        <w:t>现已清楚知道并严格遵守政府采购法律法规和现场纪律。</w:t>
      </w:r>
    </w:p>
    <w:p>
      <w:pPr>
        <w:pStyle w:val="702"/>
        <w:widowControl/>
        <w:numPr>
          <w:ilvl w:val="0"/>
          <w:numId w:val="20"/>
        </w:numPr>
        <w:snapToGrid w:val="0"/>
        <w:spacing w:line="480" w:lineRule="exact"/>
        <w:ind w:firstLine="415" w:firstLineChars="189"/>
        <w:rPr>
          <w:rFonts w:hAnsi="宋体"/>
          <w:sz w:val="22"/>
          <w:szCs w:val="22"/>
        </w:rPr>
      </w:pPr>
      <w:r>
        <w:rPr>
          <w:rFonts w:hAnsi="宋体"/>
          <w:sz w:val="22"/>
          <w:szCs w:val="22"/>
        </w:rPr>
        <w:t>我发现</w:t>
      </w:r>
      <w:r>
        <w:rPr>
          <w:rFonts w:hAnsi="宋体" w:cs="宋体"/>
          <w:sz w:val="22"/>
          <w:szCs w:val="22"/>
          <w:u w:val="single"/>
        </w:rPr>
        <w:t xml:space="preserve">           （供应商名称）</w:t>
      </w:r>
      <w:r>
        <w:rPr>
          <w:rFonts w:hAnsi="宋体"/>
          <w:sz w:val="22"/>
          <w:szCs w:val="22"/>
        </w:rPr>
        <w:t>供应商之间存在或可能存在上述第二条第</w:t>
      </w:r>
      <w:r>
        <w:rPr>
          <w:rFonts w:hAnsi="宋体" w:cs="宋体"/>
          <w:sz w:val="22"/>
          <w:szCs w:val="22"/>
          <w:u w:val="single"/>
        </w:rPr>
        <w:t xml:space="preserve">         </w:t>
      </w:r>
      <w:r>
        <w:rPr>
          <w:rFonts w:hAnsi="宋体"/>
          <w:sz w:val="22"/>
          <w:szCs w:val="22"/>
        </w:rPr>
        <w:t>项利害关系</w:t>
      </w:r>
    </w:p>
    <w:p>
      <w:pPr>
        <w:pStyle w:val="773"/>
        <w:widowControl w:val="0"/>
        <w:snapToGrid w:val="0"/>
        <w:spacing w:line="480" w:lineRule="exact"/>
        <w:ind w:firstLine="5280" w:firstLineChars="2400"/>
        <w:jc w:val="both"/>
        <w:rPr>
          <w:rFonts w:ascii="宋体" w:hAnsi="宋体"/>
          <w:color w:val="000000"/>
          <w:sz w:val="22"/>
          <w:szCs w:val="22"/>
        </w:rPr>
      </w:pPr>
    </w:p>
    <w:p>
      <w:pPr>
        <w:pStyle w:val="773"/>
        <w:widowControl w:val="0"/>
        <w:snapToGrid w:val="0"/>
        <w:spacing w:line="480" w:lineRule="exact"/>
        <w:ind w:firstLine="5280" w:firstLineChars="2400"/>
        <w:jc w:val="both"/>
        <w:rPr>
          <w:rFonts w:ascii="宋体" w:hAnsi="宋体"/>
          <w:color w:val="000000"/>
          <w:sz w:val="22"/>
          <w:szCs w:val="22"/>
        </w:rPr>
      </w:pPr>
      <w:r>
        <w:rPr>
          <w:rFonts w:ascii="宋体" w:hAnsi="宋体"/>
          <w:color w:val="000000"/>
          <w:sz w:val="22"/>
          <w:szCs w:val="22"/>
        </w:rPr>
        <w:t>（供应商代表签名）</w:t>
      </w:r>
    </w:p>
    <w:p>
      <w:pPr>
        <w:pStyle w:val="773"/>
        <w:widowControl w:val="0"/>
        <w:snapToGrid w:val="0"/>
        <w:spacing w:line="480" w:lineRule="exact"/>
        <w:ind w:firstLine="440" w:firstLineChars="200"/>
        <w:jc w:val="both"/>
        <w:rPr>
          <w:rFonts w:ascii="宋体" w:hAnsi="宋体"/>
          <w:color w:val="000000"/>
          <w:sz w:val="22"/>
          <w:szCs w:val="22"/>
        </w:rPr>
      </w:pPr>
      <w:r>
        <w:rPr>
          <w:rFonts w:ascii="宋体" w:hAnsi="宋体"/>
          <w:color w:val="000000"/>
          <w:sz w:val="22"/>
          <w:szCs w:val="22"/>
        </w:rPr>
        <w:t xml:space="preserve">                                              年  月   日</w:t>
      </w:r>
    </w:p>
    <w:p>
      <w:pPr>
        <w:snapToGrid w:val="0"/>
        <w:ind w:firstLine="442" w:firstLineChars="200"/>
        <w:rPr>
          <w:b/>
          <w:bCs/>
          <w:color w:val="000000"/>
          <w:sz w:val="22"/>
        </w:rPr>
      </w:pPr>
    </w:p>
    <w:p>
      <w:pPr>
        <w:pStyle w:val="33"/>
        <w:adjustRightInd w:val="0"/>
        <w:snapToGrid w:val="0"/>
        <w:spacing w:line="400" w:lineRule="exact"/>
        <w:jc w:val="center"/>
        <w:rPr>
          <w:rFonts w:hint="eastAsia"/>
          <w:color w:val="000000"/>
        </w:rPr>
      </w:pPr>
      <w:r>
        <w:rPr>
          <w:rFonts w:hint="eastAsia"/>
          <w:b/>
          <w:bCs/>
          <w:color w:val="000000"/>
          <w:sz w:val="22"/>
        </w:rPr>
        <w:t>注：投标文件解密结束后，各投标供应商签署《政府采购活动现场确认声明书》，并以扫描件方式发送至代理机构邮箱：</w:t>
      </w:r>
      <w:r>
        <w:fldChar w:fldCharType="begin"/>
      </w:r>
      <w:r>
        <w:instrText xml:space="preserve"> HYPERLINK "mailto:340445119@qq.com" </w:instrText>
      </w:r>
      <w:r>
        <w:fldChar w:fldCharType="separate"/>
      </w:r>
      <w:r>
        <w:rPr>
          <w:rStyle w:val="64"/>
          <w:color w:val="000000"/>
        </w:rPr>
        <w:t>340445119</w:t>
      </w:r>
      <w:r>
        <w:rPr>
          <w:rStyle w:val="64"/>
          <w:rFonts w:hint="eastAsia"/>
          <w:color w:val="000000"/>
          <w:sz w:val="22"/>
        </w:rPr>
        <w:t>@qq.com</w:t>
      </w:r>
      <w:r>
        <w:rPr>
          <w:rStyle w:val="64"/>
          <w:rFonts w:hint="eastAsia"/>
          <w:color w:val="000000"/>
          <w:sz w:val="22"/>
        </w:rPr>
        <w:fldChar w:fldCharType="end"/>
      </w:r>
      <w:r>
        <w:rPr>
          <w:rFonts w:hint="eastAsia"/>
          <w:b/>
          <w:bCs/>
          <w:color w:val="000000"/>
          <w:sz w:val="22"/>
        </w:rPr>
        <w:t xml:space="preserve"> 。</w:t>
      </w:r>
    </w:p>
    <w:sectPr>
      <w:footerReference r:id="rId10" w:type="first"/>
      <w:headerReference r:id="rId7" w:type="default"/>
      <w:footerReference r:id="rId8" w:type="default"/>
      <w:footerReference r:id="rId9" w:type="even"/>
      <w:pgSz w:w="11906" w:h="16838"/>
      <w:pgMar w:top="1440" w:right="1361" w:bottom="1440" w:left="136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Trebuchet MS">
    <w:panose1 w:val="020B0603020202020204"/>
    <w:charset w:val="00"/>
    <w:family w:val="swiss"/>
    <w:pitch w:val="default"/>
    <w:sig w:usb0="00000287" w:usb1="00000000" w:usb2="00000000" w:usb3="00000000" w:csb0="2000009F" w:csb1="00000000"/>
  </w:font>
  <w:font w:name="FuturaA Bk BT">
    <w:altName w:val="Arial"/>
    <w:panose1 w:val="00000000000000000000"/>
    <w:charset w:val="00"/>
    <w:family w:val="swiss"/>
    <w:pitch w:val="default"/>
    <w:sig w:usb0="00000000" w:usb1="00000000" w:usb2="00000000" w:usb3="00000000" w:csb0="00000001" w:csb1="00000000"/>
  </w:font>
  <w:font w:name="TimesNewRomanPSMT">
    <w:altName w:val="Times New Roman"/>
    <w:panose1 w:val="00000000000000000000"/>
    <w:charset w:val="00"/>
    <w:family w:val="auto"/>
    <w:pitch w:val="default"/>
    <w:sig w:usb0="00000000" w:usb1="00000000"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Arial Narrow">
    <w:altName w:val="Arial"/>
    <w:panose1 w:val="020B0606020202030204"/>
    <w:charset w:val="00"/>
    <w:family w:val="swiss"/>
    <w:pitch w:val="default"/>
    <w:sig w:usb0="00000000" w:usb1="00000000" w:usb2="00000000" w:usb3="00000000" w:csb0="0000009F" w:csb1="00000000"/>
  </w:font>
  <w:font w:name="Wingdings 2">
    <w:altName w:val="Wingdings"/>
    <w:panose1 w:val="05020102010507070707"/>
    <w:charset w:val="02"/>
    <w:family w:val="roman"/>
    <w:pitch w:val="default"/>
    <w:sig w:usb0="00000000" w:usb1="00000000" w:usb2="00000000" w:usb3="00000000" w:csb0="80000000" w:csb1="00000000"/>
  </w:font>
  <w:font w:name="Arial Unicode MS">
    <w:altName w:val="宋体"/>
    <w:panose1 w:val="020B0604020202020204"/>
    <w:charset w:val="86"/>
    <w:family w:val="swiss"/>
    <w:pitch w:val="default"/>
    <w:sig w:usb0="00000000" w:usb1="00000000" w:usb2="0000003F" w:usb3="00000000" w:csb0="003F01FF" w:csb1="00000000"/>
  </w:font>
  <w:font w:name="High Tower Text">
    <w:altName w:val="Palatino Linotype"/>
    <w:panose1 w:val="02040502050506030303"/>
    <w:charset w:val="00"/>
    <w:family w:val="roma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Century">
    <w:altName w:val="Times New Roman"/>
    <w:panose1 w:val="02040604050505020304"/>
    <w:charset w:val="00"/>
    <w:family w:val="roman"/>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MS Gothic">
    <w:panose1 w:val="020B0609070205080204"/>
    <w:charset w:val="80"/>
    <w:family w:val="modern"/>
    <w:pitch w:val="default"/>
    <w:sig w:usb0="E00002FF" w:usb1="6AC7FDFB" w:usb2="00000012" w:usb3="00000000" w:csb0="4002009F" w:csb1="DFD70000"/>
  </w:font>
  <w:font w:name="Times">
    <w:altName w:val="Times New Roman"/>
    <w:panose1 w:val="02020603050405020304"/>
    <w:charset w:val="00"/>
    <w:family w:val="roman"/>
    <w:pitch w:val="default"/>
    <w:sig w:usb0="00000000" w:usb1="00000000" w:usb2="00000009" w:usb3="00000000" w:csb0="000001FF" w:csb1="00000000"/>
  </w:font>
  <w:font w:name="Helvetica">
    <w:altName w:val="Arial"/>
    <w:panose1 w:val="020B0604020202020204"/>
    <w:charset w:val="00"/>
    <w:family w:val="swiss"/>
    <w:pitch w:val="default"/>
    <w:sig w:usb0="00000000" w:usb1="00000000" w:usb2="00000009" w:usb3="00000000" w:csb0="000001FF" w:csb1="00000000"/>
  </w:font>
  <w:font w:name="MS PMincho">
    <w:panose1 w:val="02020600040205080304"/>
    <w:charset w:val="80"/>
    <w:family w:val="roman"/>
    <w:pitch w:val="default"/>
    <w:sig w:usb0="E00002FF" w:usb1="6AC7FDFB" w:usb2="00000012" w:usb3="00000000" w:csb0="4002009F" w:csb1="DFD70000"/>
  </w:font>
  <w:font w:name="华文细黑">
    <w:altName w:val="微软雅黑"/>
    <w:panose1 w:val="02010600040101010101"/>
    <w:charset w:val="86"/>
    <w:family w:val="auto"/>
    <w:pitch w:val="default"/>
    <w:sig w:usb0="00000000" w:usb1="00000000" w:usb2="00000010" w:usb3="00000000" w:csb0="0004009F" w:csb1="00000000"/>
  </w:font>
  <w:font w:name="HPFutura Light">
    <w:altName w:val="Arial"/>
    <w:panose1 w:val="00000000000000000000"/>
    <w:charset w:val="00"/>
    <w:family w:val="modern"/>
    <w:pitch w:val="default"/>
    <w:sig w:usb0="00000000" w:usb1="00000000" w:usb2="00000000" w:usb3="00000000" w:csb0="00000001" w:csb1="00000000"/>
  </w:font>
  <w:font w:name="TT-JTCウインS4P">
    <w:altName w:val="MS Mincho"/>
    <w:panose1 w:val="00000000000000000000"/>
    <w:charset w:val="80"/>
    <w:family w:val="auto"/>
    <w:pitch w:val="default"/>
    <w:sig w:usb0="00000000" w:usb1="00000000" w:usb2="00000010" w:usb3="00000000" w:csb0="00020000" w:csb1="00000000"/>
  </w:font>
  <w:font w:name="Century Gothic">
    <w:altName w:val="AmdtSymbols"/>
    <w:panose1 w:val="020B0502020202020204"/>
    <w:charset w:val="00"/>
    <w:family w:val="swiss"/>
    <w:pitch w:val="default"/>
    <w:sig w:usb0="00000000" w:usb1="00000000" w:usb2="00000000" w:usb3="00000000" w:csb0="0000009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方正小标宋简体">
    <w:altName w:val="黑体"/>
    <w:panose1 w:val="00000000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Palatino Linotype">
    <w:panose1 w:val="02040502050505030304"/>
    <w:charset w:val="00"/>
    <w:family w:val="auto"/>
    <w:pitch w:val="default"/>
    <w:sig w:usb0="E0000287" w:usb1="40000013" w:usb2="00000000" w:usb3="00000000" w:csb0="2000019F" w:csb1="00000000"/>
  </w:font>
  <w:font w:name="AmdtSymbols">
    <w:panose1 w:val="02000500000000020004"/>
    <w:charset w:val="00"/>
    <w:family w:val="auto"/>
    <w:pitch w:val="default"/>
    <w:sig w:usb0="00000001" w:usb1="00000000" w:usb2="00000000" w:usb3="00000000" w:csb0="00000001" w:csb1="00000000"/>
  </w:font>
  <w:font w:name="sans-serif">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center" w:y="1"/>
      <w:rPr>
        <w:rStyle w:val="62"/>
      </w:rPr>
    </w:pPr>
    <w:r>
      <w:fldChar w:fldCharType="begin"/>
    </w:r>
    <w:r>
      <w:rPr>
        <w:rStyle w:val="62"/>
      </w:rPr>
      <w:instrText xml:space="preserve">PAGE  </w:instrText>
    </w:r>
    <w:r>
      <w:fldChar w:fldCharType="separate"/>
    </w:r>
    <w:r>
      <w:rPr>
        <w:rStyle w:val="62"/>
      </w:rPr>
      <w:t>83</w:t>
    </w:r>
    <w:r>
      <w:fldChar w:fldCharType="end"/>
    </w:r>
  </w:p>
  <w:p>
    <w:pPr>
      <w:pStyle w:val="40"/>
      <w:jc w:val="right"/>
      <w:rPr>
        <w:rFonts w:hint="eastAsia"/>
      </w:rPr>
    </w:pPr>
    <w:r>
      <w:rPr>
        <w:lang w:val="en-US" w:eastAsia="zh-CN"/>
      </w:rPr>
      <mc:AlternateContent>
        <mc:Choice Requires="wps">
          <w:drawing>
            <wp:anchor distT="0" distB="0" distL="114300" distR="114300" simplePos="0" relativeHeight="251675648"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34" name="直线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flip:x;margin-left:5.25pt;margin-top:-2.8pt;height:0pt;width:467.25pt;z-index:25167564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HmHNT1QAAAAgBAAAPAAAAAAAAAAEAIAAA&#10;ACIAAABkcnMvZG93bnJldi54bWxQSwECFAAUAAAACACHTuJAiU65FtYBAACYAwAADgAAAAAAAAAB&#10;ACAAAAAkAQAAZHJzL2Uyb0RvYy54bWxQSwUGAAAAAAYABgBZAQAAbAUAAAAA&#10;">
              <v:fill on="f" focussize="0,0"/>
              <v:stroke color="#000000" joinstyle="round"/>
              <v:imagedata o:title=""/>
              <o:lock v:ext="edit" aspectratio="f"/>
            </v:line>
          </w:pict>
        </mc:Fallback>
      </mc:AlternateContent>
    </w:r>
    <w:r>
      <w:rPr>
        <w:rFonts w:hint="eastAsia"/>
        <w:shd w:val="pct10" w:color="auto" w:fill="FFFFFF"/>
      </w:rPr>
      <w:t>平阳县公共资源交易中心</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center" w:y="1"/>
      <w:rPr>
        <w:rStyle w:val="62"/>
      </w:rPr>
    </w:pPr>
    <w:r>
      <w:fldChar w:fldCharType="begin"/>
    </w:r>
    <w:r>
      <w:rPr>
        <w:rStyle w:val="62"/>
      </w:rPr>
      <w:instrText xml:space="preserve">PAGE  </w:instrText>
    </w:r>
    <w:r>
      <w:fldChar w:fldCharType="separate"/>
    </w:r>
    <w:r>
      <w:rPr>
        <w:rStyle w:val="62"/>
      </w:rPr>
      <w:t>93</w:t>
    </w:r>
    <w:r>
      <w:fldChar w:fldCharType="end"/>
    </w:r>
  </w:p>
  <w:p>
    <w:pPr>
      <w:pStyle w:val="40"/>
      <w:jc w:val="right"/>
      <w:rPr>
        <w:rFonts w:hint="eastAsia"/>
      </w:rPr>
    </w:pPr>
    <w:r>
      <w:rPr>
        <w:kern w:val="0"/>
        <w:szCs w:val="21"/>
        <w:shd w:val="pct10" w:color="auto" w:fill="FFFFFF"/>
      </w:rPr>
      <w:t>- -</w:t>
    </w:r>
    <w:r>
      <w:rPr>
        <w:lang w:val="en-US" w:eastAsia="zh-CN"/>
      </w:rPr>
      <mc:AlternateContent>
        <mc:Choice Requires="wps">
          <w:drawing>
            <wp:anchor distT="0" distB="0" distL="114300" distR="114300" simplePos="0" relativeHeight="25167462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线 4"/>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flip:x;margin-left:5.25pt;margin-top:-2.8pt;height:0pt;width:467.25pt;z-index:25167462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eYc1PVAAAACAEAAA8AAAAAAAAAAQAgAAAA&#10;IgAAAGRycy9kb3ducmV2LnhtbFBLAQIUABQAAAAIAIdO4kBDHjLF1QEAAJcDAAAOAAAAAAAAAAEA&#10;IAAAACQBAABkcnMvZTJvRG9jLnhtbFBLBQYAAAAABgAGAFkBAABrBQAAAAA=&#10;">
              <v:fill on="f" focussize="0,0"/>
              <v:stroke color="#000000" joinstyle="round"/>
              <v:imagedata o:title=""/>
              <o:lock v:ext="edit" aspectratio="f"/>
            </v:line>
          </w:pict>
        </mc:Fallback>
      </mc:AlternateContent>
    </w:r>
    <w:r>
      <w:rPr>
        <w:rFonts w:hint="eastAsia"/>
        <w:shd w:val="pct10" w:color="auto" w:fill="FFFFFF"/>
      </w:rPr>
      <w:t>平阳县公共资源交易中心</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framePr w:wrap="around" w:vAnchor="text" w:hAnchor="margin" w:xAlign="center" w:y="1"/>
      <w:rPr>
        <w:rStyle w:val="62"/>
      </w:rPr>
    </w:pPr>
    <w:r>
      <w:fldChar w:fldCharType="begin"/>
    </w:r>
    <w:r>
      <w:rPr>
        <w:rStyle w:val="62"/>
      </w:rPr>
      <w:instrText xml:space="preserve">PAGE  </w:instrText>
    </w:r>
    <w:r>
      <w:fldChar w:fldCharType="end"/>
    </w:r>
  </w:p>
  <w:p>
    <w:pPr>
      <w:pStyle w:val="4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shd w:val="clear" w:color="auto" w:fill="FFFFFF"/>
      <w:jc w:val="both"/>
      <w:rPr>
        <w:rFonts w:hint="eastAsia"/>
      </w:rPr>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shd w:val="clear" w:color="auto" w:fill="FFFFFF"/>
      <w:jc w:val="both"/>
      <w:rPr>
        <w:rFonts w:hint="eastAsia"/>
      </w:rPr>
    </w:pPr>
    <w:r>
      <w:rPr>
        <w:rFonts w:hint="eastAsia"/>
        <w:shd w:val="pct10" w:color="auto" w:fill="FFFFFF"/>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7CCE80"/>
    <w:multiLevelType w:val="singleLevel"/>
    <w:tmpl w:val="907CCE80"/>
    <w:lvl w:ilvl="0" w:tentative="0">
      <w:start w:val="1"/>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E3842B4"/>
    <w:multiLevelType w:val="singleLevel"/>
    <w:tmpl w:val="DE3842B4"/>
    <w:lvl w:ilvl="0" w:tentative="0">
      <w:start w:val="1"/>
      <w:numFmt w:val="decimal"/>
      <w:suff w:val="nothing"/>
      <w:lvlText w:val="%1、"/>
      <w:lvlJc w:val="left"/>
    </w:lvl>
  </w:abstractNum>
  <w:abstractNum w:abstractNumId="3">
    <w:nsid w:val="00000001"/>
    <w:multiLevelType w:val="singleLevel"/>
    <w:tmpl w:val="00000001"/>
    <w:lvl w:ilvl="0" w:tentative="0">
      <w:start w:val="1"/>
      <w:numFmt w:val="bullet"/>
      <w:pStyle w:val="677"/>
      <w:lvlText w:val=""/>
      <w:lvlJc w:val="left"/>
      <w:pPr>
        <w:tabs>
          <w:tab w:val="left" w:pos="780"/>
        </w:tabs>
        <w:ind w:left="780" w:hanging="360"/>
      </w:pPr>
      <w:rPr>
        <w:rFonts w:hint="default" w:ascii="Wingdings" w:hAnsi="Wingdings"/>
      </w:rPr>
    </w:lvl>
  </w:abstractNum>
  <w:abstractNum w:abstractNumId="4">
    <w:nsid w:val="00000003"/>
    <w:multiLevelType w:val="multilevel"/>
    <w:tmpl w:val="00000003"/>
    <w:lvl w:ilvl="0" w:tentative="0">
      <w:start w:val="1"/>
      <w:numFmt w:val="decimal"/>
      <w:pStyle w:val="779"/>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0000004"/>
    <w:multiLevelType w:val="multilevel"/>
    <w:tmpl w:val="00000004"/>
    <w:lvl w:ilvl="0" w:tentative="0">
      <w:start w:val="1"/>
      <w:numFmt w:val="bullet"/>
      <w:pStyle w:val="737"/>
      <w:lvlText w:val=""/>
      <w:lvlJc w:val="left"/>
      <w:pPr>
        <w:tabs>
          <w:tab w:val="left" w:pos="900"/>
        </w:tabs>
        <w:ind w:left="875" w:hanging="335"/>
      </w:pPr>
      <w:rPr>
        <w:rFonts w:hint="default" w:ascii="Symbol" w:hAnsi="Symbol"/>
      </w:rPr>
    </w:lvl>
    <w:lvl w:ilvl="1" w:tentative="0">
      <w:start w:val="1"/>
      <w:numFmt w:val="bullet"/>
      <w:lvlText w:val="o"/>
      <w:lvlJc w:val="left"/>
      <w:pPr>
        <w:tabs>
          <w:tab w:val="left" w:pos="1922"/>
        </w:tabs>
        <w:ind w:left="1922" w:hanging="360"/>
      </w:pPr>
      <w:rPr>
        <w:rFonts w:hint="default" w:ascii="Courier New" w:hAnsi="Courier New"/>
      </w:rPr>
    </w:lvl>
    <w:lvl w:ilvl="2" w:tentative="0">
      <w:start w:val="1"/>
      <w:numFmt w:val="bullet"/>
      <w:lvlText w:val=""/>
      <w:lvlJc w:val="left"/>
      <w:pPr>
        <w:tabs>
          <w:tab w:val="left" w:pos="2642"/>
        </w:tabs>
        <w:ind w:left="2642" w:hanging="360"/>
      </w:pPr>
      <w:rPr>
        <w:rFonts w:hint="default" w:ascii="Wingdings" w:hAnsi="Wingdings"/>
      </w:rPr>
    </w:lvl>
    <w:lvl w:ilvl="3" w:tentative="0">
      <w:start w:val="1"/>
      <w:numFmt w:val="bullet"/>
      <w:lvlText w:val=""/>
      <w:lvlJc w:val="left"/>
      <w:pPr>
        <w:tabs>
          <w:tab w:val="left" w:pos="3362"/>
        </w:tabs>
        <w:ind w:left="3362" w:hanging="360"/>
      </w:pPr>
      <w:rPr>
        <w:rFonts w:hint="default" w:ascii="Symbol" w:hAnsi="Symbol"/>
      </w:rPr>
    </w:lvl>
    <w:lvl w:ilvl="4" w:tentative="0">
      <w:start w:val="1"/>
      <w:numFmt w:val="bullet"/>
      <w:lvlText w:val="o"/>
      <w:lvlJc w:val="left"/>
      <w:pPr>
        <w:tabs>
          <w:tab w:val="left" w:pos="4082"/>
        </w:tabs>
        <w:ind w:left="4082" w:hanging="360"/>
      </w:pPr>
      <w:rPr>
        <w:rFonts w:hint="default" w:ascii="Courier New" w:hAnsi="Courier New"/>
      </w:rPr>
    </w:lvl>
    <w:lvl w:ilvl="5" w:tentative="0">
      <w:start w:val="1"/>
      <w:numFmt w:val="bullet"/>
      <w:lvlText w:val=""/>
      <w:lvlJc w:val="left"/>
      <w:pPr>
        <w:tabs>
          <w:tab w:val="left" w:pos="4802"/>
        </w:tabs>
        <w:ind w:left="4802" w:hanging="360"/>
      </w:pPr>
      <w:rPr>
        <w:rFonts w:hint="default" w:ascii="Wingdings" w:hAnsi="Wingdings"/>
      </w:rPr>
    </w:lvl>
    <w:lvl w:ilvl="6" w:tentative="0">
      <w:start w:val="1"/>
      <w:numFmt w:val="bullet"/>
      <w:lvlText w:val=""/>
      <w:lvlJc w:val="left"/>
      <w:pPr>
        <w:tabs>
          <w:tab w:val="left" w:pos="5522"/>
        </w:tabs>
        <w:ind w:left="5522" w:hanging="360"/>
      </w:pPr>
      <w:rPr>
        <w:rFonts w:hint="default" w:ascii="Symbol" w:hAnsi="Symbol"/>
      </w:rPr>
    </w:lvl>
    <w:lvl w:ilvl="7" w:tentative="0">
      <w:start w:val="1"/>
      <w:numFmt w:val="bullet"/>
      <w:lvlText w:val="o"/>
      <w:lvlJc w:val="left"/>
      <w:pPr>
        <w:tabs>
          <w:tab w:val="left" w:pos="6242"/>
        </w:tabs>
        <w:ind w:left="6242" w:hanging="360"/>
      </w:pPr>
      <w:rPr>
        <w:rFonts w:hint="default" w:ascii="Courier New" w:hAnsi="Courier New"/>
      </w:rPr>
    </w:lvl>
    <w:lvl w:ilvl="8" w:tentative="0">
      <w:start w:val="1"/>
      <w:numFmt w:val="bullet"/>
      <w:lvlText w:val=""/>
      <w:lvlJc w:val="left"/>
      <w:pPr>
        <w:tabs>
          <w:tab w:val="left" w:pos="6962"/>
        </w:tabs>
        <w:ind w:left="6962" w:hanging="360"/>
      </w:pPr>
      <w:rPr>
        <w:rFonts w:hint="default" w:ascii="Wingdings" w:hAnsi="Wingdings"/>
      </w:rPr>
    </w:lvl>
  </w:abstractNum>
  <w:abstractNum w:abstractNumId="6">
    <w:nsid w:val="00000005"/>
    <w:multiLevelType w:val="multilevel"/>
    <w:tmpl w:val="00000005"/>
    <w:lvl w:ilvl="0" w:tentative="0">
      <w:start w:val="1"/>
      <w:numFmt w:val="decimal"/>
      <w:pStyle w:val="687"/>
      <w:lvlText w:val="%1."/>
      <w:lvlJc w:val="left"/>
      <w:pPr>
        <w:tabs>
          <w:tab w:val="left" w:pos="567"/>
        </w:tabs>
        <w:ind w:left="567" w:hanging="567"/>
      </w:pPr>
      <w:rPr>
        <w:rFonts w:hint="default" w:ascii="Arial" w:hAnsi="Arial" w:eastAsia="宋体"/>
        <w:b/>
        <w:i w:val="0"/>
        <w:sz w:val="21"/>
      </w:rPr>
    </w:lvl>
    <w:lvl w:ilvl="1" w:tentative="0">
      <w:start w:val="1"/>
      <w:numFmt w:val="decimal"/>
      <w:pStyle w:val="614"/>
      <w:lvlText w:val="%1.%2"/>
      <w:lvlJc w:val="left"/>
      <w:pPr>
        <w:tabs>
          <w:tab w:val="left" w:pos="567"/>
        </w:tabs>
        <w:ind w:left="567" w:hanging="567"/>
      </w:pPr>
      <w:rPr>
        <w:rFonts w:hint="default" w:ascii="Arial" w:hAnsi="Arial" w:eastAsia="宋体"/>
        <w:b w:val="0"/>
        <w:i w:val="0"/>
        <w:sz w:val="21"/>
      </w:rPr>
    </w:lvl>
    <w:lvl w:ilvl="2" w:tentative="0">
      <w:start w:val="1"/>
      <w:numFmt w:val="decimal"/>
      <w:pStyle w:val="662"/>
      <w:lvlText w:val="%1.%2.%3"/>
      <w:lvlJc w:val="left"/>
      <w:pPr>
        <w:tabs>
          <w:tab w:val="left" w:pos="720"/>
        </w:tabs>
        <w:ind w:left="420" w:hanging="42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7">
    <w:nsid w:val="00000007"/>
    <w:multiLevelType w:val="multilevel"/>
    <w:tmpl w:val="00000007"/>
    <w:lvl w:ilvl="0" w:tentative="0">
      <w:start w:val="1"/>
      <w:numFmt w:val="bullet"/>
      <w:pStyle w:val="732"/>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8">
    <w:nsid w:val="0000000A"/>
    <w:multiLevelType w:val="multilevel"/>
    <w:tmpl w:val="0000000A"/>
    <w:lvl w:ilvl="0" w:tentative="0">
      <w:start w:val="1"/>
      <w:numFmt w:val="bullet"/>
      <w:pStyle w:val="327"/>
      <w:lvlText w:val=""/>
      <w:lvlJc w:val="left"/>
      <w:pPr>
        <w:ind w:left="987" w:hanging="420"/>
      </w:pPr>
      <w:rPr>
        <w:rFonts w:hint="default" w:ascii="Wingdings" w:hAnsi="Wingdings"/>
      </w:rPr>
    </w:lvl>
    <w:lvl w:ilvl="1" w:tentative="0">
      <w:start w:val="1"/>
      <w:numFmt w:val="bullet"/>
      <w:lvlRestart w:val="0"/>
      <w:lvlText w:val=""/>
      <w:lvlJc w:val="left"/>
      <w:pPr>
        <w:tabs>
          <w:tab w:val="left" w:pos="840"/>
        </w:tabs>
        <w:ind w:left="840" w:hanging="420"/>
      </w:pPr>
      <w:rPr>
        <w:rFonts w:hint="default" w:ascii="Wingdings" w:hAnsi="Wingdings"/>
      </w:rPr>
    </w:lvl>
    <w:lvl w:ilvl="2" w:tentative="0">
      <w:start w:val="1"/>
      <w:numFmt w:val="bullet"/>
      <w:lvlRestart w:val="0"/>
      <w:lvlText w:val=""/>
      <w:lvlJc w:val="left"/>
      <w:pPr>
        <w:tabs>
          <w:tab w:val="left" w:pos="1260"/>
        </w:tabs>
        <w:ind w:left="1260" w:hanging="420"/>
      </w:pPr>
      <w:rPr>
        <w:rFonts w:hint="default" w:ascii="Wingdings" w:hAnsi="Wingdings"/>
      </w:rPr>
    </w:lvl>
    <w:lvl w:ilvl="3" w:tentative="0">
      <w:start w:val="1"/>
      <w:numFmt w:val="bullet"/>
      <w:lvlRestart w:val="0"/>
      <w:lvlText w:val=""/>
      <w:lvlJc w:val="left"/>
      <w:pPr>
        <w:tabs>
          <w:tab w:val="left" w:pos="1680"/>
        </w:tabs>
        <w:ind w:left="1680" w:hanging="420"/>
      </w:pPr>
      <w:rPr>
        <w:rFonts w:hint="default" w:ascii="Wingdings" w:hAnsi="Wingdings"/>
      </w:rPr>
    </w:lvl>
    <w:lvl w:ilvl="4" w:tentative="0">
      <w:start w:val="1"/>
      <w:numFmt w:val="bullet"/>
      <w:lvlRestart w:val="0"/>
      <w:lvlText w:val=""/>
      <w:lvlJc w:val="left"/>
      <w:pPr>
        <w:tabs>
          <w:tab w:val="left" w:pos="2100"/>
        </w:tabs>
        <w:ind w:left="2100" w:hanging="420"/>
      </w:pPr>
      <w:rPr>
        <w:rFonts w:hint="default" w:ascii="Wingdings" w:hAnsi="Wingdings"/>
      </w:rPr>
    </w:lvl>
    <w:lvl w:ilvl="5" w:tentative="0">
      <w:start w:val="1"/>
      <w:numFmt w:val="bullet"/>
      <w:lvlRestart w:val="0"/>
      <w:lvlText w:val=""/>
      <w:lvlJc w:val="left"/>
      <w:pPr>
        <w:tabs>
          <w:tab w:val="left" w:pos="2520"/>
        </w:tabs>
        <w:ind w:left="2520" w:hanging="420"/>
      </w:pPr>
      <w:rPr>
        <w:rFonts w:hint="default" w:ascii="Wingdings" w:hAnsi="Wingdings"/>
      </w:rPr>
    </w:lvl>
    <w:lvl w:ilvl="6" w:tentative="0">
      <w:start w:val="1"/>
      <w:numFmt w:val="bullet"/>
      <w:lvlRestart w:val="0"/>
      <w:lvlText w:val=""/>
      <w:lvlJc w:val="left"/>
      <w:pPr>
        <w:tabs>
          <w:tab w:val="left" w:pos="2940"/>
        </w:tabs>
        <w:ind w:left="2940" w:hanging="420"/>
      </w:pPr>
      <w:rPr>
        <w:rFonts w:hint="default" w:ascii="Wingdings" w:hAnsi="Wingdings"/>
      </w:rPr>
    </w:lvl>
    <w:lvl w:ilvl="7" w:tentative="0">
      <w:start w:val="1"/>
      <w:numFmt w:val="bullet"/>
      <w:lvlRestart w:val="0"/>
      <w:lvlText w:val=""/>
      <w:lvlJc w:val="left"/>
      <w:pPr>
        <w:tabs>
          <w:tab w:val="left" w:pos="3360"/>
        </w:tabs>
        <w:ind w:left="3360" w:hanging="420"/>
      </w:pPr>
      <w:rPr>
        <w:rFonts w:hint="default" w:ascii="Wingdings" w:hAnsi="Wingdings"/>
      </w:rPr>
    </w:lvl>
    <w:lvl w:ilvl="8" w:tentative="0">
      <w:start w:val="1"/>
      <w:numFmt w:val="bullet"/>
      <w:lvlRestart w:val="0"/>
      <w:lvlText w:val=""/>
      <w:lvlJc w:val="left"/>
      <w:pPr>
        <w:tabs>
          <w:tab w:val="left" w:pos="3780"/>
        </w:tabs>
        <w:ind w:left="3780" w:hanging="420"/>
      </w:pPr>
      <w:rPr>
        <w:rFonts w:hint="default" w:ascii="Wingdings" w:hAnsi="Wingdings"/>
      </w:rPr>
    </w:lvl>
  </w:abstractNum>
  <w:abstractNum w:abstractNumId="9">
    <w:nsid w:val="0000000B"/>
    <w:multiLevelType w:val="multilevel"/>
    <w:tmpl w:val="0000000B"/>
    <w:lvl w:ilvl="0" w:tentative="0">
      <w:start w:val="1"/>
      <w:numFmt w:val="bullet"/>
      <w:pStyle w:val="543"/>
      <w:lvlText w:val=""/>
      <w:lvlJc w:val="left"/>
      <w:pPr>
        <w:ind w:left="1696"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Restart w:val="0"/>
      <w:lvlText w:val=""/>
      <w:lvlJc w:val="left"/>
      <w:pPr>
        <w:tabs>
          <w:tab w:val="left" w:pos="1260"/>
        </w:tabs>
        <w:ind w:left="1260" w:hanging="420"/>
      </w:pPr>
      <w:rPr>
        <w:rFonts w:hint="default" w:ascii="Wingdings" w:hAnsi="Wingdings"/>
      </w:rPr>
    </w:lvl>
    <w:lvl w:ilvl="3" w:tentative="0">
      <w:start w:val="1"/>
      <w:numFmt w:val="bullet"/>
      <w:lvlRestart w:val="0"/>
      <w:lvlText w:val=""/>
      <w:lvlJc w:val="left"/>
      <w:pPr>
        <w:tabs>
          <w:tab w:val="left" w:pos="1680"/>
        </w:tabs>
        <w:ind w:left="1680" w:hanging="420"/>
      </w:pPr>
      <w:rPr>
        <w:rFonts w:hint="default" w:ascii="Wingdings" w:hAnsi="Wingdings"/>
      </w:rPr>
    </w:lvl>
    <w:lvl w:ilvl="4" w:tentative="0">
      <w:start w:val="1"/>
      <w:numFmt w:val="bullet"/>
      <w:lvlRestart w:val="0"/>
      <w:lvlText w:val=""/>
      <w:lvlJc w:val="left"/>
      <w:pPr>
        <w:tabs>
          <w:tab w:val="left" w:pos="2100"/>
        </w:tabs>
        <w:ind w:left="2100" w:hanging="420"/>
      </w:pPr>
      <w:rPr>
        <w:rFonts w:hint="default" w:ascii="Wingdings" w:hAnsi="Wingdings"/>
      </w:rPr>
    </w:lvl>
    <w:lvl w:ilvl="5" w:tentative="0">
      <w:start w:val="1"/>
      <w:numFmt w:val="bullet"/>
      <w:lvlRestart w:val="0"/>
      <w:lvlText w:val=""/>
      <w:lvlJc w:val="left"/>
      <w:pPr>
        <w:tabs>
          <w:tab w:val="left" w:pos="2520"/>
        </w:tabs>
        <w:ind w:left="2520" w:hanging="420"/>
      </w:pPr>
      <w:rPr>
        <w:rFonts w:hint="default" w:ascii="Wingdings" w:hAnsi="Wingdings"/>
      </w:rPr>
    </w:lvl>
    <w:lvl w:ilvl="6" w:tentative="0">
      <w:start w:val="1"/>
      <w:numFmt w:val="bullet"/>
      <w:lvlRestart w:val="0"/>
      <w:lvlText w:val=""/>
      <w:lvlJc w:val="left"/>
      <w:pPr>
        <w:tabs>
          <w:tab w:val="left" w:pos="2940"/>
        </w:tabs>
        <w:ind w:left="2940" w:hanging="420"/>
      </w:pPr>
      <w:rPr>
        <w:rFonts w:hint="default" w:ascii="Wingdings" w:hAnsi="Wingdings"/>
      </w:rPr>
    </w:lvl>
    <w:lvl w:ilvl="7" w:tentative="0">
      <w:start w:val="1"/>
      <w:numFmt w:val="bullet"/>
      <w:lvlRestart w:val="0"/>
      <w:lvlText w:val=""/>
      <w:lvlJc w:val="left"/>
      <w:pPr>
        <w:tabs>
          <w:tab w:val="left" w:pos="3360"/>
        </w:tabs>
        <w:ind w:left="3360" w:hanging="420"/>
      </w:pPr>
      <w:rPr>
        <w:rFonts w:hint="default" w:ascii="Wingdings" w:hAnsi="Wingdings"/>
      </w:rPr>
    </w:lvl>
    <w:lvl w:ilvl="8" w:tentative="0">
      <w:start w:val="1"/>
      <w:numFmt w:val="bullet"/>
      <w:lvlRestart w:val="0"/>
      <w:lvlText w:val=""/>
      <w:lvlJc w:val="left"/>
      <w:pPr>
        <w:tabs>
          <w:tab w:val="left" w:pos="3780"/>
        </w:tabs>
        <w:ind w:left="3780" w:hanging="420"/>
      </w:pPr>
      <w:rPr>
        <w:rFonts w:hint="default" w:ascii="Wingdings" w:hAnsi="Wingdings"/>
      </w:rPr>
    </w:lvl>
  </w:abstractNum>
  <w:abstractNum w:abstractNumId="10">
    <w:nsid w:val="0000000C"/>
    <w:multiLevelType w:val="multilevel"/>
    <w:tmpl w:val="0000000C"/>
    <w:lvl w:ilvl="0" w:tentative="0">
      <w:start w:val="1"/>
      <w:numFmt w:val="decimal"/>
      <w:lvlText w:val="%1."/>
      <w:lvlJc w:val="left"/>
      <w:pPr>
        <w:tabs>
          <w:tab w:val="left" w:pos="720"/>
        </w:tabs>
        <w:ind w:left="0" w:firstLine="0"/>
      </w:pPr>
      <w:rPr>
        <w:rFonts w:hint="eastAsia"/>
      </w:rPr>
    </w:lvl>
    <w:lvl w:ilvl="1" w:tentative="0">
      <w:start w:val="1"/>
      <w:numFmt w:val="decimal"/>
      <w:pStyle w:val="800"/>
      <w:lvlText w:val="%1.%2"/>
      <w:lvlJc w:val="left"/>
      <w:pPr>
        <w:tabs>
          <w:tab w:val="left" w:pos="720"/>
        </w:tabs>
        <w:ind w:left="0" w:firstLine="0"/>
      </w:pPr>
      <w:rPr>
        <w:rFonts w:hint="default" w:ascii="Arial" w:hAnsi="Arial" w:eastAsia="MS Gothic"/>
        <w:b w:val="0"/>
        <w:i w:val="0"/>
      </w:rPr>
    </w:lvl>
    <w:lvl w:ilvl="2" w:tentative="0">
      <w:start w:val="1"/>
      <w:numFmt w:val="decimal"/>
      <w:lvlText w:val="(%3)"/>
      <w:lvlJc w:val="left"/>
      <w:pPr>
        <w:tabs>
          <w:tab w:val="left" w:pos="948"/>
        </w:tabs>
        <w:ind w:left="948" w:hanging="720"/>
      </w:pPr>
      <w:rPr>
        <w:rFonts w:hint="default" w:ascii="Arial" w:hAnsi="Arial" w:eastAsia="MS Gothic"/>
        <w:b w:val="0"/>
        <w:i w:val="0"/>
        <w:sz w:val="28"/>
      </w:rPr>
    </w:lvl>
    <w:lvl w:ilvl="3" w:tentative="0">
      <w:start w:val="1"/>
      <w:numFmt w:val="lowerLetter"/>
      <w:suff w:val="space"/>
      <w:lvlText w:val="(%4)"/>
      <w:lvlJc w:val="left"/>
      <w:pPr>
        <w:ind w:left="720" w:hanging="663"/>
      </w:pPr>
      <w:rPr>
        <w:rFonts w:hint="default" w:ascii="Arial" w:hAnsi="Arial" w:eastAsia="MS Gothic"/>
        <w:b w:val="0"/>
        <w:i w:val="0"/>
      </w:rPr>
    </w:lvl>
    <w:lvl w:ilvl="4" w:tentative="0">
      <w:start w:val="1"/>
      <w:numFmt w:val="decimal"/>
      <w:lvlText w:val="（%5）"/>
      <w:lvlJc w:val="left"/>
      <w:pPr>
        <w:tabs>
          <w:tab w:val="left" w:pos="2187"/>
        </w:tabs>
        <w:ind w:left="2187" w:hanging="567"/>
      </w:pPr>
      <w:rPr>
        <w:rFonts w:hint="eastAsia" w:ascii="MS Gothic" w:eastAsia="MS Gothic"/>
        <w:b w:val="0"/>
        <w:i w:val="0"/>
        <w:sz w:val="20"/>
      </w:rPr>
    </w:lvl>
    <w:lvl w:ilvl="5" w:tentative="0">
      <w:start w:val="1"/>
      <w:numFmt w:val="lowerLetter"/>
      <w:lvlText w:val="（%6）"/>
      <w:lvlJc w:val="left"/>
      <w:pPr>
        <w:tabs>
          <w:tab w:val="left" w:pos="2126"/>
        </w:tabs>
        <w:ind w:left="2126" w:hanging="567"/>
      </w:pPr>
      <w:rPr>
        <w:rFonts w:hint="eastAsia" w:ascii="MS Gothic" w:eastAsia="MS Gothic"/>
        <w:b w:val="0"/>
        <w:i w:val="0"/>
        <w:sz w:val="20"/>
      </w:rPr>
    </w:lvl>
    <w:lvl w:ilvl="6" w:tentative="0">
      <w:start w:val="1"/>
      <w:numFmt w:val="bullet"/>
      <w:lvlText w:val=""/>
      <w:lvlJc w:val="left"/>
      <w:pPr>
        <w:tabs>
          <w:tab w:val="left" w:pos="2580"/>
        </w:tabs>
        <w:ind w:left="2580" w:hanging="454"/>
      </w:pPr>
      <w:rPr>
        <w:rFonts w:hint="default" w:ascii="Symbol" w:hAnsi="Symbol"/>
        <w:color w:val="auto"/>
      </w:rPr>
    </w:lvl>
    <w:lvl w:ilvl="7" w:tentative="0">
      <w:start w:val="1"/>
      <w:numFmt w:val="decimalEnclosedCircle"/>
      <w:lvlText w:val="%8"/>
      <w:lvlJc w:val="left"/>
      <w:pPr>
        <w:tabs>
          <w:tab w:val="left" w:pos="1984"/>
        </w:tabs>
        <w:ind w:left="1984" w:hanging="283"/>
      </w:pPr>
      <w:rPr>
        <w:rFonts w:hint="eastAsia" w:ascii="TT-JTCウインS4P" w:hAnsi="Century Gothic" w:eastAsia="TT-JTCウインS4P"/>
        <w:b/>
        <w:i w:val="0"/>
        <w:sz w:val="20"/>
        <w:szCs w:val="20"/>
        <w:lang w:val="en-US"/>
      </w:rPr>
    </w:lvl>
    <w:lvl w:ilvl="8" w:tentative="0">
      <w:start w:val="1"/>
      <w:numFmt w:val="none"/>
      <w:lvlText w:val=""/>
      <w:lvlJc w:val="left"/>
      <w:pPr>
        <w:tabs>
          <w:tab w:val="left" w:pos="3826"/>
        </w:tabs>
        <w:ind w:left="3826" w:hanging="1700"/>
      </w:pPr>
      <w:rPr>
        <w:rFonts w:hint="eastAsia"/>
      </w:rPr>
    </w:lvl>
  </w:abstractNum>
  <w:abstractNum w:abstractNumId="11">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142"/>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0"/>
      <w:lvlText w:val="%1.%2.%3.%4.%5.%6"/>
      <w:lvlJc w:val="left"/>
      <w:pPr>
        <w:tabs>
          <w:tab w:val="left" w:pos="1152"/>
        </w:tabs>
        <w:ind w:left="1152" w:hanging="1152"/>
      </w:pPr>
    </w:lvl>
    <w:lvl w:ilvl="6" w:tentative="0">
      <w:start w:val="1"/>
      <w:numFmt w:val="decimal"/>
      <w:pStyle w:val="12"/>
      <w:lvlText w:val="%1.%2.%3.%4.%5.%6.%7"/>
      <w:lvlJc w:val="left"/>
      <w:pPr>
        <w:tabs>
          <w:tab w:val="left" w:pos="1296"/>
        </w:tabs>
        <w:ind w:left="1296" w:hanging="1296"/>
      </w:pPr>
    </w:lvl>
    <w:lvl w:ilvl="7" w:tentative="0">
      <w:start w:val="1"/>
      <w:numFmt w:val="decimal"/>
      <w:pStyle w:val="13"/>
      <w:lvlText w:val="%1.%2.%3.%4.%5.%6.%7.%8"/>
      <w:lvlJc w:val="left"/>
      <w:pPr>
        <w:tabs>
          <w:tab w:val="left" w:pos="1440"/>
        </w:tabs>
        <w:ind w:left="1440" w:hanging="1440"/>
      </w:pPr>
    </w:lvl>
    <w:lvl w:ilvl="8" w:tentative="0">
      <w:start w:val="1"/>
      <w:numFmt w:val="decimal"/>
      <w:pStyle w:val="14"/>
      <w:lvlText w:val="%1.%2.%3.%4.%5.%6.%7.%8.%9"/>
      <w:lvlJc w:val="left"/>
      <w:pPr>
        <w:tabs>
          <w:tab w:val="left" w:pos="1584"/>
        </w:tabs>
        <w:ind w:left="1584" w:hanging="1584"/>
      </w:pPr>
    </w:lvl>
  </w:abstractNum>
  <w:abstractNum w:abstractNumId="12">
    <w:nsid w:val="00000014"/>
    <w:multiLevelType w:val="multilevel"/>
    <w:tmpl w:val="00000014"/>
    <w:lvl w:ilvl="0" w:tentative="0">
      <w:start w:val="1"/>
      <w:numFmt w:val="bullet"/>
      <w:pStyle w:val="538"/>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4">
    <w:nsid w:val="08F25EA2"/>
    <w:multiLevelType w:val="multilevel"/>
    <w:tmpl w:val="08F25EA2"/>
    <w:lvl w:ilvl="0" w:tentative="0">
      <w:start w:val="1"/>
      <w:numFmt w:val="decimal"/>
      <w:lvlText w:val="%1）"/>
      <w:lvlJc w:val="left"/>
      <w:pPr>
        <w:ind w:left="720" w:hanging="720"/>
      </w:pPr>
      <w:rPr>
        <w:rFonts w:hint="default" w:hAnsi="宋体"/>
      </w:rPr>
    </w:lvl>
    <w:lvl w:ilvl="1" w:tentative="0">
      <w:start w:val="1"/>
      <w:numFmt w:val="lowerLetter"/>
      <w:pStyle w:val="352"/>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4F403B5"/>
    <w:multiLevelType w:val="singleLevel"/>
    <w:tmpl w:val="54F403B5"/>
    <w:lvl w:ilvl="0" w:tentative="0">
      <w:start w:val="1"/>
      <w:numFmt w:val="chineseCounting"/>
      <w:suff w:val="nothing"/>
      <w:lvlText w:val="%1、"/>
      <w:lvlJc w:val="left"/>
    </w:lvl>
  </w:abstractNum>
  <w:abstractNum w:abstractNumId="16">
    <w:nsid w:val="557FD3DA"/>
    <w:multiLevelType w:val="singleLevel"/>
    <w:tmpl w:val="557FD3DA"/>
    <w:lvl w:ilvl="0" w:tentative="0">
      <w:start w:val="3"/>
      <w:numFmt w:val="chineseCounting"/>
      <w:suff w:val="nothing"/>
      <w:lvlText w:val="%1、"/>
      <w:lvlJc w:val="left"/>
    </w:lvl>
  </w:abstractNum>
  <w:abstractNum w:abstractNumId="17">
    <w:nsid w:val="5DE508AA"/>
    <w:multiLevelType w:val="multilevel"/>
    <w:tmpl w:val="5DE508AA"/>
    <w:lvl w:ilvl="0" w:tentative="0">
      <w:start w:val="1"/>
      <w:numFmt w:val="decimal"/>
      <w:lvlText w:val="%1."/>
      <w:lvlJc w:val="left"/>
      <w:pPr>
        <w:tabs>
          <w:tab w:val="left" w:pos="425"/>
        </w:tabs>
        <w:ind w:left="425" w:hanging="425"/>
      </w:pPr>
    </w:lvl>
    <w:lvl w:ilvl="1" w:tentative="0">
      <w:start w:val="1"/>
      <w:numFmt w:val="decimal"/>
      <w:pStyle w:val="771"/>
      <w:isLgl/>
      <w:lvlText w:val="%1.%2."/>
      <w:lvlJc w:val="left"/>
      <w:pPr>
        <w:tabs>
          <w:tab w:val="left" w:pos="567"/>
        </w:tabs>
        <w:ind w:left="567" w:hanging="567"/>
      </w:pPr>
      <w:rPr>
        <w:b w:val="0"/>
        <w:bCs w:val="0"/>
        <w:i w:val="0"/>
        <w:iCs w:val="0"/>
        <w:caps w:val="0"/>
        <w:smallCaps w:val="0"/>
        <w:strike w:val="0"/>
        <w:dstrike w:val="0"/>
        <w:outline w:val="0"/>
        <w:shadow w:val="0"/>
        <w:emboss w:val="0"/>
        <w:imprint w:val="0"/>
        <w:spacing w:val="0"/>
        <w:position w:val="0"/>
        <w:u w:val="none"/>
        <w:vertAlign w:val="baseline"/>
      </w:rPr>
    </w:lvl>
    <w:lvl w:ilvl="2" w:tentative="0">
      <w:start w:val="1"/>
      <w:numFmt w:val="decimal"/>
      <w:lvlText w:val="%1.%2.%3."/>
      <w:lvlJc w:val="left"/>
      <w:pPr>
        <w:tabs>
          <w:tab w:val="left" w:pos="709"/>
        </w:tabs>
        <w:ind w:left="709" w:hanging="709"/>
      </w:pPr>
      <w:rPr>
        <w:b w:val="0"/>
        <w:bCs w:val="0"/>
        <w:i w:val="0"/>
        <w:iCs w:val="0"/>
        <w:caps w:val="0"/>
        <w:smallCaps w:val="0"/>
        <w:strike w:val="0"/>
        <w:dstrike w:val="0"/>
        <w:outline w:val="0"/>
        <w:shadow w:val="0"/>
        <w:emboss w:val="0"/>
        <w:imprint w:val="0"/>
        <w:spacing w:val="0"/>
        <w:position w:val="0"/>
        <w:u w:val="none"/>
        <w:vertAlign w:val="baseline"/>
      </w:rPr>
    </w:lvl>
    <w:lvl w:ilvl="3" w:tentative="0">
      <w:start w:val="1"/>
      <w:numFmt w:val="decimal"/>
      <w:lvlText w:val="%1.%2.%3.%4."/>
      <w:lvlJc w:val="left"/>
      <w:pPr>
        <w:tabs>
          <w:tab w:val="left" w:pos="851"/>
        </w:tabs>
        <w:ind w:left="851" w:hanging="851"/>
      </w:pPr>
      <w:rPr>
        <w:sz w:val="21"/>
        <w:szCs w:val="21"/>
      </w:rPr>
    </w:lvl>
    <w:lvl w:ilvl="4" w:tentative="0">
      <w:start w:val="1"/>
      <w:numFmt w:val="decimal"/>
      <w:lvlText w:val="%1.%2.%3.%4.%5."/>
      <w:lvlJc w:val="left"/>
      <w:pPr>
        <w:tabs>
          <w:tab w:val="left" w:pos="992"/>
        </w:tabs>
        <w:ind w:left="992" w:hanging="992"/>
      </w:pPr>
      <w:rPr>
        <w:b w:val="0"/>
        <w:bCs w:val="0"/>
        <w:i w:val="0"/>
        <w:iCs w:val="0"/>
        <w:caps w:val="0"/>
        <w:smallCaps w:val="0"/>
        <w:strike w:val="0"/>
        <w:dstrike w:val="0"/>
        <w:outline w:val="0"/>
        <w:shadow w:val="0"/>
        <w:emboss w:val="0"/>
        <w:imprint w:val="0"/>
        <w:spacing w:val="0"/>
        <w:position w:val="0"/>
        <w:u w:val="none"/>
        <w:vertAlign w:val="baseline"/>
      </w:r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8">
    <w:nsid w:val="640C410E"/>
    <w:multiLevelType w:val="singleLevel"/>
    <w:tmpl w:val="640C410E"/>
    <w:lvl w:ilvl="0" w:tentative="0">
      <w:start w:val="1"/>
      <w:numFmt w:val="decimal"/>
      <w:suff w:val="nothing"/>
      <w:lvlText w:val="%1、"/>
      <w:lvlJc w:val="left"/>
    </w:lvl>
  </w:abstractNum>
  <w:abstractNum w:abstractNumId="19">
    <w:nsid w:val="6A8B2BB1"/>
    <w:multiLevelType w:val="multilevel"/>
    <w:tmpl w:val="6A8B2BB1"/>
    <w:lvl w:ilvl="0" w:tentative="0">
      <w:start w:val="1"/>
      <w:numFmt w:val="bullet"/>
      <w:pStyle w:val="824"/>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1"/>
  </w:num>
  <w:num w:numId="2">
    <w:abstractNumId w:val="8"/>
  </w:num>
  <w:num w:numId="3">
    <w:abstractNumId w:val="14"/>
  </w:num>
  <w:num w:numId="4">
    <w:abstractNumId w:val="12"/>
  </w:num>
  <w:num w:numId="5">
    <w:abstractNumId w:val="9"/>
  </w:num>
  <w:num w:numId="6">
    <w:abstractNumId w:val="6"/>
  </w:num>
  <w:num w:numId="7">
    <w:abstractNumId w:val="3"/>
  </w:num>
  <w:num w:numId="8">
    <w:abstractNumId w:val="7"/>
  </w:num>
  <w:num w:numId="9">
    <w:abstractNumId w:val="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9"/>
  </w:num>
  <w:num w:numId="14">
    <w:abstractNumId w:val="13"/>
  </w:num>
  <w:num w:numId="15">
    <w:abstractNumId w:val="2"/>
  </w:num>
  <w:num w:numId="16">
    <w:abstractNumId w:val="18"/>
  </w:num>
  <w:num w:numId="17">
    <w:abstractNumId w:val="1"/>
  </w:num>
  <w:num w:numId="18">
    <w:abstractNumId w:val="0"/>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2Y2Y1ZWM4MTg0YzhmNWM2MWMxNTI3OTFlNzM0ZmQifQ=="/>
  </w:docVars>
  <w:rsids>
    <w:rsidRoot w:val="00172A27"/>
    <w:rsid w:val="0000007B"/>
    <w:rsid w:val="000004ED"/>
    <w:rsid w:val="0000050A"/>
    <w:rsid w:val="00000B74"/>
    <w:rsid w:val="000014F3"/>
    <w:rsid w:val="0000156B"/>
    <w:rsid w:val="000017CF"/>
    <w:rsid w:val="00001DDA"/>
    <w:rsid w:val="000029F6"/>
    <w:rsid w:val="0000311E"/>
    <w:rsid w:val="000033C5"/>
    <w:rsid w:val="000034D4"/>
    <w:rsid w:val="000036A4"/>
    <w:rsid w:val="00003A96"/>
    <w:rsid w:val="00003D5B"/>
    <w:rsid w:val="0000416C"/>
    <w:rsid w:val="00004D25"/>
    <w:rsid w:val="00004D38"/>
    <w:rsid w:val="00005023"/>
    <w:rsid w:val="00005159"/>
    <w:rsid w:val="00005BD8"/>
    <w:rsid w:val="00006D65"/>
    <w:rsid w:val="00007470"/>
    <w:rsid w:val="00010A5F"/>
    <w:rsid w:val="00010D4B"/>
    <w:rsid w:val="000111C2"/>
    <w:rsid w:val="0001150A"/>
    <w:rsid w:val="000118BB"/>
    <w:rsid w:val="000133EC"/>
    <w:rsid w:val="000149B6"/>
    <w:rsid w:val="000154DC"/>
    <w:rsid w:val="00016B11"/>
    <w:rsid w:val="00020642"/>
    <w:rsid w:val="00020AC2"/>
    <w:rsid w:val="00021685"/>
    <w:rsid w:val="000218B9"/>
    <w:rsid w:val="00021A3D"/>
    <w:rsid w:val="00021F57"/>
    <w:rsid w:val="000226B5"/>
    <w:rsid w:val="00022DF7"/>
    <w:rsid w:val="0002376C"/>
    <w:rsid w:val="0002395C"/>
    <w:rsid w:val="00023DA5"/>
    <w:rsid w:val="000242E6"/>
    <w:rsid w:val="00025C59"/>
    <w:rsid w:val="00025D0E"/>
    <w:rsid w:val="00025E55"/>
    <w:rsid w:val="00026619"/>
    <w:rsid w:val="0002669A"/>
    <w:rsid w:val="00026CD3"/>
    <w:rsid w:val="00027025"/>
    <w:rsid w:val="00027440"/>
    <w:rsid w:val="00027CA5"/>
    <w:rsid w:val="000329F2"/>
    <w:rsid w:val="000332E2"/>
    <w:rsid w:val="0003371C"/>
    <w:rsid w:val="00033E3B"/>
    <w:rsid w:val="00033FD0"/>
    <w:rsid w:val="0003498F"/>
    <w:rsid w:val="00034EEB"/>
    <w:rsid w:val="000355AE"/>
    <w:rsid w:val="000357AF"/>
    <w:rsid w:val="00035814"/>
    <w:rsid w:val="00035E08"/>
    <w:rsid w:val="000360AF"/>
    <w:rsid w:val="00036277"/>
    <w:rsid w:val="000369C7"/>
    <w:rsid w:val="00040F15"/>
    <w:rsid w:val="00041F41"/>
    <w:rsid w:val="00042886"/>
    <w:rsid w:val="0004302D"/>
    <w:rsid w:val="0004353D"/>
    <w:rsid w:val="000442C4"/>
    <w:rsid w:val="00044FB4"/>
    <w:rsid w:val="000457C2"/>
    <w:rsid w:val="00045BD0"/>
    <w:rsid w:val="00046FC2"/>
    <w:rsid w:val="000474AC"/>
    <w:rsid w:val="00047958"/>
    <w:rsid w:val="00050733"/>
    <w:rsid w:val="0005145F"/>
    <w:rsid w:val="00051CC7"/>
    <w:rsid w:val="00051D7F"/>
    <w:rsid w:val="000558A6"/>
    <w:rsid w:val="00056284"/>
    <w:rsid w:val="00056744"/>
    <w:rsid w:val="00056BD7"/>
    <w:rsid w:val="00056E70"/>
    <w:rsid w:val="000577CC"/>
    <w:rsid w:val="00057ABA"/>
    <w:rsid w:val="00057CB1"/>
    <w:rsid w:val="0006007B"/>
    <w:rsid w:val="00060B88"/>
    <w:rsid w:val="0006156F"/>
    <w:rsid w:val="00061AB8"/>
    <w:rsid w:val="0006258D"/>
    <w:rsid w:val="00063B32"/>
    <w:rsid w:val="00063BE1"/>
    <w:rsid w:val="0006481D"/>
    <w:rsid w:val="00064858"/>
    <w:rsid w:val="00064959"/>
    <w:rsid w:val="000651A3"/>
    <w:rsid w:val="0006558F"/>
    <w:rsid w:val="00065A3B"/>
    <w:rsid w:val="000666B4"/>
    <w:rsid w:val="0006707E"/>
    <w:rsid w:val="00067659"/>
    <w:rsid w:val="00067745"/>
    <w:rsid w:val="000704A9"/>
    <w:rsid w:val="000705C3"/>
    <w:rsid w:val="000709E4"/>
    <w:rsid w:val="000712DC"/>
    <w:rsid w:val="00071DEC"/>
    <w:rsid w:val="00073444"/>
    <w:rsid w:val="000736A8"/>
    <w:rsid w:val="0007374E"/>
    <w:rsid w:val="00073B3E"/>
    <w:rsid w:val="00073D17"/>
    <w:rsid w:val="00073ED5"/>
    <w:rsid w:val="000743B6"/>
    <w:rsid w:val="00074ACB"/>
    <w:rsid w:val="00075269"/>
    <w:rsid w:val="000758BE"/>
    <w:rsid w:val="00075B30"/>
    <w:rsid w:val="000762F2"/>
    <w:rsid w:val="00076D1F"/>
    <w:rsid w:val="00077B94"/>
    <w:rsid w:val="000806C8"/>
    <w:rsid w:val="000810F1"/>
    <w:rsid w:val="00081589"/>
    <w:rsid w:val="00081B25"/>
    <w:rsid w:val="000820DB"/>
    <w:rsid w:val="0008219B"/>
    <w:rsid w:val="00082920"/>
    <w:rsid w:val="00082F7F"/>
    <w:rsid w:val="00083C74"/>
    <w:rsid w:val="0008504F"/>
    <w:rsid w:val="00087B0F"/>
    <w:rsid w:val="00090B8A"/>
    <w:rsid w:val="00090EC8"/>
    <w:rsid w:val="00091393"/>
    <w:rsid w:val="000917E8"/>
    <w:rsid w:val="00091CEC"/>
    <w:rsid w:val="00093174"/>
    <w:rsid w:val="00093674"/>
    <w:rsid w:val="00095AF6"/>
    <w:rsid w:val="000963D0"/>
    <w:rsid w:val="000969A6"/>
    <w:rsid w:val="00096FB5"/>
    <w:rsid w:val="00097360"/>
    <w:rsid w:val="00097400"/>
    <w:rsid w:val="000A0394"/>
    <w:rsid w:val="000A0700"/>
    <w:rsid w:val="000A08BC"/>
    <w:rsid w:val="000A0C93"/>
    <w:rsid w:val="000A142F"/>
    <w:rsid w:val="000A19C2"/>
    <w:rsid w:val="000A26FF"/>
    <w:rsid w:val="000A3957"/>
    <w:rsid w:val="000A3E42"/>
    <w:rsid w:val="000A495C"/>
    <w:rsid w:val="000A5F70"/>
    <w:rsid w:val="000A61BC"/>
    <w:rsid w:val="000A61FB"/>
    <w:rsid w:val="000A632B"/>
    <w:rsid w:val="000A6F71"/>
    <w:rsid w:val="000A746D"/>
    <w:rsid w:val="000A7ACE"/>
    <w:rsid w:val="000A7E30"/>
    <w:rsid w:val="000B0999"/>
    <w:rsid w:val="000B1651"/>
    <w:rsid w:val="000B2AD3"/>
    <w:rsid w:val="000B30F1"/>
    <w:rsid w:val="000B7B86"/>
    <w:rsid w:val="000C045E"/>
    <w:rsid w:val="000C06D3"/>
    <w:rsid w:val="000C094E"/>
    <w:rsid w:val="000C112C"/>
    <w:rsid w:val="000C26AF"/>
    <w:rsid w:val="000C3636"/>
    <w:rsid w:val="000C3AF4"/>
    <w:rsid w:val="000C45B0"/>
    <w:rsid w:val="000C46BB"/>
    <w:rsid w:val="000C4BB1"/>
    <w:rsid w:val="000C52A5"/>
    <w:rsid w:val="000C5D68"/>
    <w:rsid w:val="000C6502"/>
    <w:rsid w:val="000C7AEC"/>
    <w:rsid w:val="000D0687"/>
    <w:rsid w:val="000D1804"/>
    <w:rsid w:val="000D1968"/>
    <w:rsid w:val="000D1B65"/>
    <w:rsid w:val="000D1D2D"/>
    <w:rsid w:val="000D2748"/>
    <w:rsid w:val="000D2DBF"/>
    <w:rsid w:val="000D37A9"/>
    <w:rsid w:val="000D3DE1"/>
    <w:rsid w:val="000D4756"/>
    <w:rsid w:val="000D674B"/>
    <w:rsid w:val="000D6EDD"/>
    <w:rsid w:val="000D6FB4"/>
    <w:rsid w:val="000D75EA"/>
    <w:rsid w:val="000D7651"/>
    <w:rsid w:val="000E0FA6"/>
    <w:rsid w:val="000E16A7"/>
    <w:rsid w:val="000E2A9B"/>
    <w:rsid w:val="000E3807"/>
    <w:rsid w:val="000E4384"/>
    <w:rsid w:val="000E52F1"/>
    <w:rsid w:val="000E53AA"/>
    <w:rsid w:val="000E5978"/>
    <w:rsid w:val="000E7200"/>
    <w:rsid w:val="000F0708"/>
    <w:rsid w:val="000F1E66"/>
    <w:rsid w:val="000F3176"/>
    <w:rsid w:val="000F3EBE"/>
    <w:rsid w:val="000F5A10"/>
    <w:rsid w:val="000F5B45"/>
    <w:rsid w:val="000F6461"/>
    <w:rsid w:val="000F7415"/>
    <w:rsid w:val="000F78BE"/>
    <w:rsid w:val="000F7BBF"/>
    <w:rsid w:val="000F7C3F"/>
    <w:rsid w:val="000F7CC6"/>
    <w:rsid w:val="000F7E58"/>
    <w:rsid w:val="001014D4"/>
    <w:rsid w:val="00101A44"/>
    <w:rsid w:val="001023F3"/>
    <w:rsid w:val="00103ABA"/>
    <w:rsid w:val="001043FD"/>
    <w:rsid w:val="001051EB"/>
    <w:rsid w:val="00105427"/>
    <w:rsid w:val="001054D2"/>
    <w:rsid w:val="0010551A"/>
    <w:rsid w:val="00106EA5"/>
    <w:rsid w:val="0010737A"/>
    <w:rsid w:val="0011098F"/>
    <w:rsid w:val="00110F7D"/>
    <w:rsid w:val="001117E1"/>
    <w:rsid w:val="00111A6F"/>
    <w:rsid w:val="00112E63"/>
    <w:rsid w:val="00112FAC"/>
    <w:rsid w:val="00113394"/>
    <w:rsid w:val="00113BCA"/>
    <w:rsid w:val="00114196"/>
    <w:rsid w:val="001150FA"/>
    <w:rsid w:val="001166ED"/>
    <w:rsid w:val="00116F28"/>
    <w:rsid w:val="001175AC"/>
    <w:rsid w:val="00117945"/>
    <w:rsid w:val="00117A94"/>
    <w:rsid w:val="00117CFD"/>
    <w:rsid w:val="00120110"/>
    <w:rsid w:val="0012026E"/>
    <w:rsid w:val="00120344"/>
    <w:rsid w:val="001211E6"/>
    <w:rsid w:val="001213C0"/>
    <w:rsid w:val="00121709"/>
    <w:rsid w:val="00122191"/>
    <w:rsid w:val="00122EBB"/>
    <w:rsid w:val="00122EFF"/>
    <w:rsid w:val="001233F3"/>
    <w:rsid w:val="001236D9"/>
    <w:rsid w:val="001237CA"/>
    <w:rsid w:val="00125D25"/>
    <w:rsid w:val="0012630E"/>
    <w:rsid w:val="001269FB"/>
    <w:rsid w:val="00126ADA"/>
    <w:rsid w:val="00127135"/>
    <w:rsid w:val="00127221"/>
    <w:rsid w:val="00130504"/>
    <w:rsid w:val="00130B40"/>
    <w:rsid w:val="001315E4"/>
    <w:rsid w:val="00131637"/>
    <w:rsid w:val="00131BD9"/>
    <w:rsid w:val="00134916"/>
    <w:rsid w:val="00135064"/>
    <w:rsid w:val="00135960"/>
    <w:rsid w:val="00136471"/>
    <w:rsid w:val="00136705"/>
    <w:rsid w:val="001405B0"/>
    <w:rsid w:val="001405B7"/>
    <w:rsid w:val="0014063C"/>
    <w:rsid w:val="0014066C"/>
    <w:rsid w:val="00140F64"/>
    <w:rsid w:val="001432C5"/>
    <w:rsid w:val="00143A08"/>
    <w:rsid w:val="00144D76"/>
    <w:rsid w:val="00147437"/>
    <w:rsid w:val="001506A9"/>
    <w:rsid w:val="0015071E"/>
    <w:rsid w:val="00151292"/>
    <w:rsid w:val="001517E1"/>
    <w:rsid w:val="001535CC"/>
    <w:rsid w:val="00153FC5"/>
    <w:rsid w:val="00155423"/>
    <w:rsid w:val="001558AF"/>
    <w:rsid w:val="00155957"/>
    <w:rsid w:val="00156313"/>
    <w:rsid w:val="001564F2"/>
    <w:rsid w:val="001567C0"/>
    <w:rsid w:val="00156DC7"/>
    <w:rsid w:val="00157604"/>
    <w:rsid w:val="00157872"/>
    <w:rsid w:val="00160543"/>
    <w:rsid w:val="0016082A"/>
    <w:rsid w:val="00161451"/>
    <w:rsid w:val="00162D9C"/>
    <w:rsid w:val="00162E74"/>
    <w:rsid w:val="00164072"/>
    <w:rsid w:val="0016422C"/>
    <w:rsid w:val="00165902"/>
    <w:rsid w:val="00165FBB"/>
    <w:rsid w:val="00167A1A"/>
    <w:rsid w:val="0017051D"/>
    <w:rsid w:val="00170D92"/>
    <w:rsid w:val="0017135E"/>
    <w:rsid w:val="00172916"/>
    <w:rsid w:val="0017320B"/>
    <w:rsid w:val="0017358E"/>
    <w:rsid w:val="0017418E"/>
    <w:rsid w:val="0017445C"/>
    <w:rsid w:val="001755D3"/>
    <w:rsid w:val="00175F3E"/>
    <w:rsid w:val="00176767"/>
    <w:rsid w:val="00177193"/>
    <w:rsid w:val="00180245"/>
    <w:rsid w:val="00180AD0"/>
    <w:rsid w:val="00180BCA"/>
    <w:rsid w:val="001816A5"/>
    <w:rsid w:val="00182040"/>
    <w:rsid w:val="0018263A"/>
    <w:rsid w:val="00182FC8"/>
    <w:rsid w:val="0018455D"/>
    <w:rsid w:val="00186372"/>
    <w:rsid w:val="00186E97"/>
    <w:rsid w:val="00187D8C"/>
    <w:rsid w:val="00190621"/>
    <w:rsid w:val="00190D54"/>
    <w:rsid w:val="0019111C"/>
    <w:rsid w:val="00191E7F"/>
    <w:rsid w:val="00192E86"/>
    <w:rsid w:val="00192EB7"/>
    <w:rsid w:val="00193F47"/>
    <w:rsid w:val="001945D5"/>
    <w:rsid w:val="001948D7"/>
    <w:rsid w:val="00194FCB"/>
    <w:rsid w:val="00195065"/>
    <w:rsid w:val="00195D3D"/>
    <w:rsid w:val="00196373"/>
    <w:rsid w:val="0019678A"/>
    <w:rsid w:val="001A07AA"/>
    <w:rsid w:val="001A0F67"/>
    <w:rsid w:val="001A1174"/>
    <w:rsid w:val="001A29A1"/>
    <w:rsid w:val="001A3CD0"/>
    <w:rsid w:val="001A44D6"/>
    <w:rsid w:val="001A649F"/>
    <w:rsid w:val="001A6F76"/>
    <w:rsid w:val="001A7B86"/>
    <w:rsid w:val="001B1437"/>
    <w:rsid w:val="001B1A32"/>
    <w:rsid w:val="001B1B20"/>
    <w:rsid w:val="001B212E"/>
    <w:rsid w:val="001B2180"/>
    <w:rsid w:val="001B37FA"/>
    <w:rsid w:val="001B4F5A"/>
    <w:rsid w:val="001B61EF"/>
    <w:rsid w:val="001B6C30"/>
    <w:rsid w:val="001B7052"/>
    <w:rsid w:val="001C08AB"/>
    <w:rsid w:val="001C09BB"/>
    <w:rsid w:val="001C23D2"/>
    <w:rsid w:val="001C273E"/>
    <w:rsid w:val="001C3251"/>
    <w:rsid w:val="001C3AE0"/>
    <w:rsid w:val="001C4423"/>
    <w:rsid w:val="001C46F3"/>
    <w:rsid w:val="001C4CD4"/>
    <w:rsid w:val="001C6218"/>
    <w:rsid w:val="001C64F4"/>
    <w:rsid w:val="001C7834"/>
    <w:rsid w:val="001D0CCF"/>
    <w:rsid w:val="001D2544"/>
    <w:rsid w:val="001D2841"/>
    <w:rsid w:val="001D38EB"/>
    <w:rsid w:val="001D3A07"/>
    <w:rsid w:val="001D40A3"/>
    <w:rsid w:val="001D50B9"/>
    <w:rsid w:val="001D5708"/>
    <w:rsid w:val="001D5DB9"/>
    <w:rsid w:val="001D6B2F"/>
    <w:rsid w:val="001D735F"/>
    <w:rsid w:val="001D7DFD"/>
    <w:rsid w:val="001E051E"/>
    <w:rsid w:val="001E096E"/>
    <w:rsid w:val="001E3967"/>
    <w:rsid w:val="001E3A70"/>
    <w:rsid w:val="001E491B"/>
    <w:rsid w:val="001E4E13"/>
    <w:rsid w:val="001E564E"/>
    <w:rsid w:val="001E6979"/>
    <w:rsid w:val="001E77F0"/>
    <w:rsid w:val="001E78DA"/>
    <w:rsid w:val="001F0B08"/>
    <w:rsid w:val="001F114B"/>
    <w:rsid w:val="001F17AE"/>
    <w:rsid w:val="001F1A5C"/>
    <w:rsid w:val="001F33E3"/>
    <w:rsid w:val="001F47B5"/>
    <w:rsid w:val="001F4BE7"/>
    <w:rsid w:val="001F5221"/>
    <w:rsid w:val="001F542A"/>
    <w:rsid w:val="001F5653"/>
    <w:rsid w:val="001F59A2"/>
    <w:rsid w:val="001F5B9F"/>
    <w:rsid w:val="001F6A98"/>
    <w:rsid w:val="001F7CD9"/>
    <w:rsid w:val="001F7D0E"/>
    <w:rsid w:val="0020055C"/>
    <w:rsid w:val="002008F3"/>
    <w:rsid w:val="002009AF"/>
    <w:rsid w:val="00201453"/>
    <w:rsid w:val="002014DB"/>
    <w:rsid w:val="002017D3"/>
    <w:rsid w:val="00201972"/>
    <w:rsid w:val="00202A5D"/>
    <w:rsid w:val="002034D5"/>
    <w:rsid w:val="002035CF"/>
    <w:rsid w:val="00204334"/>
    <w:rsid w:val="0020447F"/>
    <w:rsid w:val="00204480"/>
    <w:rsid w:val="002046D7"/>
    <w:rsid w:val="002056B6"/>
    <w:rsid w:val="00205B9B"/>
    <w:rsid w:val="00206BF5"/>
    <w:rsid w:val="00206DA3"/>
    <w:rsid w:val="00207D6C"/>
    <w:rsid w:val="00210EB9"/>
    <w:rsid w:val="00211A9B"/>
    <w:rsid w:val="00212C62"/>
    <w:rsid w:val="00213FEF"/>
    <w:rsid w:val="00214018"/>
    <w:rsid w:val="00215F2E"/>
    <w:rsid w:val="002164D9"/>
    <w:rsid w:val="0021695E"/>
    <w:rsid w:val="00216FB4"/>
    <w:rsid w:val="00217A9A"/>
    <w:rsid w:val="00220626"/>
    <w:rsid w:val="002206AF"/>
    <w:rsid w:val="00220A3A"/>
    <w:rsid w:val="00220CF3"/>
    <w:rsid w:val="00221687"/>
    <w:rsid w:val="00221EAA"/>
    <w:rsid w:val="00222471"/>
    <w:rsid w:val="00222A0D"/>
    <w:rsid w:val="00224A0F"/>
    <w:rsid w:val="00226BCB"/>
    <w:rsid w:val="002271B2"/>
    <w:rsid w:val="002305D5"/>
    <w:rsid w:val="00230E2B"/>
    <w:rsid w:val="00230E73"/>
    <w:rsid w:val="002311F1"/>
    <w:rsid w:val="00231443"/>
    <w:rsid w:val="002316F2"/>
    <w:rsid w:val="002317B7"/>
    <w:rsid w:val="00231BF6"/>
    <w:rsid w:val="0023237D"/>
    <w:rsid w:val="002327E6"/>
    <w:rsid w:val="002333C1"/>
    <w:rsid w:val="002333F3"/>
    <w:rsid w:val="002334A1"/>
    <w:rsid w:val="00233982"/>
    <w:rsid w:val="00234662"/>
    <w:rsid w:val="0023468D"/>
    <w:rsid w:val="00234D71"/>
    <w:rsid w:val="00235522"/>
    <w:rsid w:val="00235787"/>
    <w:rsid w:val="00235E0C"/>
    <w:rsid w:val="00235E63"/>
    <w:rsid w:val="002367B0"/>
    <w:rsid w:val="00236ADA"/>
    <w:rsid w:val="0024112D"/>
    <w:rsid w:val="00241AB0"/>
    <w:rsid w:val="00241F02"/>
    <w:rsid w:val="00242842"/>
    <w:rsid w:val="002447E3"/>
    <w:rsid w:val="002464AE"/>
    <w:rsid w:val="00246B37"/>
    <w:rsid w:val="00246FC3"/>
    <w:rsid w:val="00247295"/>
    <w:rsid w:val="00247A17"/>
    <w:rsid w:val="00250564"/>
    <w:rsid w:val="002515A6"/>
    <w:rsid w:val="00251F35"/>
    <w:rsid w:val="00252531"/>
    <w:rsid w:val="00252722"/>
    <w:rsid w:val="0025387B"/>
    <w:rsid w:val="002548E3"/>
    <w:rsid w:val="00254AE9"/>
    <w:rsid w:val="00254BCD"/>
    <w:rsid w:val="002560D6"/>
    <w:rsid w:val="00257E16"/>
    <w:rsid w:val="0026174A"/>
    <w:rsid w:val="00261951"/>
    <w:rsid w:val="00262C15"/>
    <w:rsid w:val="00263D39"/>
    <w:rsid w:val="00264C3B"/>
    <w:rsid w:val="00265E3E"/>
    <w:rsid w:val="00266417"/>
    <w:rsid w:val="00267EA7"/>
    <w:rsid w:val="00273B67"/>
    <w:rsid w:val="00273D1A"/>
    <w:rsid w:val="00273F23"/>
    <w:rsid w:val="00275599"/>
    <w:rsid w:val="002758ED"/>
    <w:rsid w:val="00275CF9"/>
    <w:rsid w:val="00276027"/>
    <w:rsid w:val="002766E7"/>
    <w:rsid w:val="00276B25"/>
    <w:rsid w:val="0027768D"/>
    <w:rsid w:val="00277B15"/>
    <w:rsid w:val="00277B27"/>
    <w:rsid w:val="00280BA4"/>
    <w:rsid w:val="00280E31"/>
    <w:rsid w:val="00281A66"/>
    <w:rsid w:val="002829C1"/>
    <w:rsid w:val="0028354B"/>
    <w:rsid w:val="00283B0A"/>
    <w:rsid w:val="00284497"/>
    <w:rsid w:val="00284DC2"/>
    <w:rsid w:val="00285514"/>
    <w:rsid w:val="00285619"/>
    <w:rsid w:val="00286A1D"/>
    <w:rsid w:val="002870E5"/>
    <w:rsid w:val="0028777B"/>
    <w:rsid w:val="002879B9"/>
    <w:rsid w:val="00291E15"/>
    <w:rsid w:val="00291F05"/>
    <w:rsid w:val="00293CA1"/>
    <w:rsid w:val="00293F70"/>
    <w:rsid w:val="0029595C"/>
    <w:rsid w:val="00295A75"/>
    <w:rsid w:val="002961B5"/>
    <w:rsid w:val="00297228"/>
    <w:rsid w:val="00297C26"/>
    <w:rsid w:val="002A034C"/>
    <w:rsid w:val="002A30D1"/>
    <w:rsid w:val="002A3D44"/>
    <w:rsid w:val="002A43F6"/>
    <w:rsid w:val="002A4825"/>
    <w:rsid w:val="002A5847"/>
    <w:rsid w:val="002A5D02"/>
    <w:rsid w:val="002A5E46"/>
    <w:rsid w:val="002A604D"/>
    <w:rsid w:val="002A617F"/>
    <w:rsid w:val="002A64C7"/>
    <w:rsid w:val="002A6764"/>
    <w:rsid w:val="002A6835"/>
    <w:rsid w:val="002A69A1"/>
    <w:rsid w:val="002A6BA9"/>
    <w:rsid w:val="002A783B"/>
    <w:rsid w:val="002A7D1F"/>
    <w:rsid w:val="002A7F59"/>
    <w:rsid w:val="002B0C9A"/>
    <w:rsid w:val="002B120E"/>
    <w:rsid w:val="002B3711"/>
    <w:rsid w:val="002B3B5B"/>
    <w:rsid w:val="002B4ED8"/>
    <w:rsid w:val="002B5225"/>
    <w:rsid w:val="002B56F3"/>
    <w:rsid w:val="002B587C"/>
    <w:rsid w:val="002B6E5F"/>
    <w:rsid w:val="002C0287"/>
    <w:rsid w:val="002C1AC4"/>
    <w:rsid w:val="002C20FA"/>
    <w:rsid w:val="002C2498"/>
    <w:rsid w:val="002C290A"/>
    <w:rsid w:val="002C2EC9"/>
    <w:rsid w:val="002C2F88"/>
    <w:rsid w:val="002C2FDC"/>
    <w:rsid w:val="002C3642"/>
    <w:rsid w:val="002C3A38"/>
    <w:rsid w:val="002C400B"/>
    <w:rsid w:val="002C51E3"/>
    <w:rsid w:val="002C5673"/>
    <w:rsid w:val="002C5A6B"/>
    <w:rsid w:val="002C7383"/>
    <w:rsid w:val="002C749B"/>
    <w:rsid w:val="002C760A"/>
    <w:rsid w:val="002C7AD2"/>
    <w:rsid w:val="002C7D14"/>
    <w:rsid w:val="002D0084"/>
    <w:rsid w:val="002D0543"/>
    <w:rsid w:val="002D0BD3"/>
    <w:rsid w:val="002D0F8E"/>
    <w:rsid w:val="002D1D1F"/>
    <w:rsid w:val="002D28EA"/>
    <w:rsid w:val="002D3335"/>
    <w:rsid w:val="002D3B3D"/>
    <w:rsid w:val="002D3CD4"/>
    <w:rsid w:val="002D3E0E"/>
    <w:rsid w:val="002D4228"/>
    <w:rsid w:val="002D448C"/>
    <w:rsid w:val="002D5E7D"/>
    <w:rsid w:val="002D6253"/>
    <w:rsid w:val="002D6A39"/>
    <w:rsid w:val="002D6DA0"/>
    <w:rsid w:val="002D6DED"/>
    <w:rsid w:val="002D771C"/>
    <w:rsid w:val="002D7E9C"/>
    <w:rsid w:val="002E0853"/>
    <w:rsid w:val="002E0AA1"/>
    <w:rsid w:val="002E0C2A"/>
    <w:rsid w:val="002E0DC6"/>
    <w:rsid w:val="002E10B5"/>
    <w:rsid w:val="002E17A2"/>
    <w:rsid w:val="002E1803"/>
    <w:rsid w:val="002E2109"/>
    <w:rsid w:val="002E3C4E"/>
    <w:rsid w:val="002E4B96"/>
    <w:rsid w:val="002E5634"/>
    <w:rsid w:val="002E5750"/>
    <w:rsid w:val="002E5CB0"/>
    <w:rsid w:val="002E6B91"/>
    <w:rsid w:val="002E6BE9"/>
    <w:rsid w:val="002F05C7"/>
    <w:rsid w:val="002F05CD"/>
    <w:rsid w:val="002F45D5"/>
    <w:rsid w:val="002F545B"/>
    <w:rsid w:val="002F5AF5"/>
    <w:rsid w:val="002F5B00"/>
    <w:rsid w:val="002F6975"/>
    <w:rsid w:val="002F69F8"/>
    <w:rsid w:val="002F7A0B"/>
    <w:rsid w:val="00300661"/>
    <w:rsid w:val="0030089B"/>
    <w:rsid w:val="0030193D"/>
    <w:rsid w:val="00301F8F"/>
    <w:rsid w:val="00302FF7"/>
    <w:rsid w:val="00303464"/>
    <w:rsid w:val="00303658"/>
    <w:rsid w:val="00304435"/>
    <w:rsid w:val="003046D2"/>
    <w:rsid w:val="00304D3D"/>
    <w:rsid w:val="00305277"/>
    <w:rsid w:val="0030549E"/>
    <w:rsid w:val="00305C54"/>
    <w:rsid w:val="00305E83"/>
    <w:rsid w:val="00306F6F"/>
    <w:rsid w:val="00307519"/>
    <w:rsid w:val="003076B8"/>
    <w:rsid w:val="0031023D"/>
    <w:rsid w:val="003104D3"/>
    <w:rsid w:val="00311103"/>
    <w:rsid w:val="00312701"/>
    <w:rsid w:val="003129CC"/>
    <w:rsid w:val="00313488"/>
    <w:rsid w:val="00313D55"/>
    <w:rsid w:val="0031465D"/>
    <w:rsid w:val="003147F5"/>
    <w:rsid w:val="00314EDB"/>
    <w:rsid w:val="00315E1A"/>
    <w:rsid w:val="00316C8E"/>
    <w:rsid w:val="003176DD"/>
    <w:rsid w:val="003207CF"/>
    <w:rsid w:val="00320DBD"/>
    <w:rsid w:val="00321D8E"/>
    <w:rsid w:val="00321DAC"/>
    <w:rsid w:val="00321F02"/>
    <w:rsid w:val="003226D5"/>
    <w:rsid w:val="00323923"/>
    <w:rsid w:val="003241E6"/>
    <w:rsid w:val="00324686"/>
    <w:rsid w:val="0032576B"/>
    <w:rsid w:val="00325F68"/>
    <w:rsid w:val="003262C0"/>
    <w:rsid w:val="003263D9"/>
    <w:rsid w:val="003265BD"/>
    <w:rsid w:val="00327B17"/>
    <w:rsid w:val="003302E0"/>
    <w:rsid w:val="00330366"/>
    <w:rsid w:val="00331155"/>
    <w:rsid w:val="00331D75"/>
    <w:rsid w:val="003328C2"/>
    <w:rsid w:val="00332DD7"/>
    <w:rsid w:val="003341C6"/>
    <w:rsid w:val="00334272"/>
    <w:rsid w:val="0033456F"/>
    <w:rsid w:val="00335386"/>
    <w:rsid w:val="00336379"/>
    <w:rsid w:val="003405C4"/>
    <w:rsid w:val="003406F2"/>
    <w:rsid w:val="00340837"/>
    <w:rsid w:val="00340D76"/>
    <w:rsid w:val="00341685"/>
    <w:rsid w:val="0034225A"/>
    <w:rsid w:val="003426DB"/>
    <w:rsid w:val="00342CCA"/>
    <w:rsid w:val="00344C77"/>
    <w:rsid w:val="00345364"/>
    <w:rsid w:val="00345A24"/>
    <w:rsid w:val="003463D6"/>
    <w:rsid w:val="003467E5"/>
    <w:rsid w:val="00346C47"/>
    <w:rsid w:val="00346EA0"/>
    <w:rsid w:val="003478E0"/>
    <w:rsid w:val="00347E37"/>
    <w:rsid w:val="003511A2"/>
    <w:rsid w:val="00351B51"/>
    <w:rsid w:val="003522E3"/>
    <w:rsid w:val="003526D3"/>
    <w:rsid w:val="00352B6C"/>
    <w:rsid w:val="00353703"/>
    <w:rsid w:val="00354119"/>
    <w:rsid w:val="00356783"/>
    <w:rsid w:val="003568D0"/>
    <w:rsid w:val="003569C8"/>
    <w:rsid w:val="00357141"/>
    <w:rsid w:val="00357188"/>
    <w:rsid w:val="0036002C"/>
    <w:rsid w:val="00361B66"/>
    <w:rsid w:val="00363530"/>
    <w:rsid w:val="003636F7"/>
    <w:rsid w:val="00363929"/>
    <w:rsid w:val="00363C40"/>
    <w:rsid w:val="00364D7A"/>
    <w:rsid w:val="00365A84"/>
    <w:rsid w:val="003660A0"/>
    <w:rsid w:val="003661FF"/>
    <w:rsid w:val="00366230"/>
    <w:rsid w:val="0036676A"/>
    <w:rsid w:val="003669E3"/>
    <w:rsid w:val="00367F0F"/>
    <w:rsid w:val="00370B5B"/>
    <w:rsid w:val="00370CCF"/>
    <w:rsid w:val="003720AF"/>
    <w:rsid w:val="00372346"/>
    <w:rsid w:val="00372376"/>
    <w:rsid w:val="0037357B"/>
    <w:rsid w:val="0037436D"/>
    <w:rsid w:val="00374B5B"/>
    <w:rsid w:val="00376E2B"/>
    <w:rsid w:val="00380350"/>
    <w:rsid w:val="00381AC4"/>
    <w:rsid w:val="003838C5"/>
    <w:rsid w:val="003841FE"/>
    <w:rsid w:val="00390106"/>
    <w:rsid w:val="00390581"/>
    <w:rsid w:val="003905A3"/>
    <w:rsid w:val="00390B9C"/>
    <w:rsid w:val="00390E9D"/>
    <w:rsid w:val="00391544"/>
    <w:rsid w:val="0039198B"/>
    <w:rsid w:val="00391CB9"/>
    <w:rsid w:val="00391DDC"/>
    <w:rsid w:val="00392035"/>
    <w:rsid w:val="003941F8"/>
    <w:rsid w:val="003956CC"/>
    <w:rsid w:val="00395827"/>
    <w:rsid w:val="00396590"/>
    <w:rsid w:val="003968B8"/>
    <w:rsid w:val="00396999"/>
    <w:rsid w:val="00396BAF"/>
    <w:rsid w:val="00397128"/>
    <w:rsid w:val="003A13EC"/>
    <w:rsid w:val="003A17F3"/>
    <w:rsid w:val="003A1E97"/>
    <w:rsid w:val="003A2025"/>
    <w:rsid w:val="003A251D"/>
    <w:rsid w:val="003A287C"/>
    <w:rsid w:val="003A2F4A"/>
    <w:rsid w:val="003A3118"/>
    <w:rsid w:val="003A335B"/>
    <w:rsid w:val="003A3AE1"/>
    <w:rsid w:val="003A497B"/>
    <w:rsid w:val="003A4B8B"/>
    <w:rsid w:val="003A4CE6"/>
    <w:rsid w:val="003A52CB"/>
    <w:rsid w:val="003A649D"/>
    <w:rsid w:val="003A68F3"/>
    <w:rsid w:val="003A69B7"/>
    <w:rsid w:val="003A7450"/>
    <w:rsid w:val="003B1F8C"/>
    <w:rsid w:val="003B2028"/>
    <w:rsid w:val="003B210F"/>
    <w:rsid w:val="003B280F"/>
    <w:rsid w:val="003B283A"/>
    <w:rsid w:val="003B2D52"/>
    <w:rsid w:val="003B35EA"/>
    <w:rsid w:val="003B373E"/>
    <w:rsid w:val="003B394D"/>
    <w:rsid w:val="003B40C6"/>
    <w:rsid w:val="003B4675"/>
    <w:rsid w:val="003B47A4"/>
    <w:rsid w:val="003B4A22"/>
    <w:rsid w:val="003B4A37"/>
    <w:rsid w:val="003B6331"/>
    <w:rsid w:val="003B7429"/>
    <w:rsid w:val="003B77EC"/>
    <w:rsid w:val="003B78A0"/>
    <w:rsid w:val="003C000A"/>
    <w:rsid w:val="003C052B"/>
    <w:rsid w:val="003C09F7"/>
    <w:rsid w:val="003C142E"/>
    <w:rsid w:val="003C1C98"/>
    <w:rsid w:val="003C33A2"/>
    <w:rsid w:val="003C46B1"/>
    <w:rsid w:val="003C5530"/>
    <w:rsid w:val="003C592F"/>
    <w:rsid w:val="003C5C79"/>
    <w:rsid w:val="003C621F"/>
    <w:rsid w:val="003C7C25"/>
    <w:rsid w:val="003D09C7"/>
    <w:rsid w:val="003D1366"/>
    <w:rsid w:val="003D17A3"/>
    <w:rsid w:val="003D25F7"/>
    <w:rsid w:val="003D344F"/>
    <w:rsid w:val="003D47D7"/>
    <w:rsid w:val="003D50AE"/>
    <w:rsid w:val="003D5F57"/>
    <w:rsid w:val="003D611E"/>
    <w:rsid w:val="003D6907"/>
    <w:rsid w:val="003D74FB"/>
    <w:rsid w:val="003D7558"/>
    <w:rsid w:val="003D7639"/>
    <w:rsid w:val="003D76E0"/>
    <w:rsid w:val="003D79A1"/>
    <w:rsid w:val="003D7AAF"/>
    <w:rsid w:val="003D7D0B"/>
    <w:rsid w:val="003D7FFE"/>
    <w:rsid w:val="003E022B"/>
    <w:rsid w:val="003E0583"/>
    <w:rsid w:val="003E0636"/>
    <w:rsid w:val="003E0B20"/>
    <w:rsid w:val="003E0B58"/>
    <w:rsid w:val="003E15F6"/>
    <w:rsid w:val="003E1D89"/>
    <w:rsid w:val="003E233F"/>
    <w:rsid w:val="003E3E9D"/>
    <w:rsid w:val="003E42C9"/>
    <w:rsid w:val="003E4C86"/>
    <w:rsid w:val="003E5CCB"/>
    <w:rsid w:val="003E6846"/>
    <w:rsid w:val="003E6BE6"/>
    <w:rsid w:val="003E73C7"/>
    <w:rsid w:val="003F18AB"/>
    <w:rsid w:val="003F3C9A"/>
    <w:rsid w:val="003F4C70"/>
    <w:rsid w:val="003F5278"/>
    <w:rsid w:val="003F5E8A"/>
    <w:rsid w:val="003F6254"/>
    <w:rsid w:val="003F6843"/>
    <w:rsid w:val="003F6AE0"/>
    <w:rsid w:val="003F704E"/>
    <w:rsid w:val="003F714A"/>
    <w:rsid w:val="003F7155"/>
    <w:rsid w:val="003F75F2"/>
    <w:rsid w:val="004003B6"/>
    <w:rsid w:val="004006FB"/>
    <w:rsid w:val="0040088E"/>
    <w:rsid w:val="00402AA5"/>
    <w:rsid w:val="00402B3F"/>
    <w:rsid w:val="004040DC"/>
    <w:rsid w:val="0040416B"/>
    <w:rsid w:val="004051B2"/>
    <w:rsid w:val="004065EE"/>
    <w:rsid w:val="00407991"/>
    <w:rsid w:val="00410FEE"/>
    <w:rsid w:val="0041253A"/>
    <w:rsid w:val="00412C8C"/>
    <w:rsid w:val="00412CBE"/>
    <w:rsid w:val="00413769"/>
    <w:rsid w:val="004140F7"/>
    <w:rsid w:val="00415DDA"/>
    <w:rsid w:val="00415EC2"/>
    <w:rsid w:val="00416BBD"/>
    <w:rsid w:val="00417A6B"/>
    <w:rsid w:val="00417FEB"/>
    <w:rsid w:val="0042018B"/>
    <w:rsid w:val="004203EE"/>
    <w:rsid w:val="00421345"/>
    <w:rsid w:val="00421431"/>
    <w:rsid w:val="004214A6"/>
    <w:rsid w:val="00421D90"/>
    <w:rsid w:val="004223C1"/>
    <w:rsid w:val="00424672"/>
    <w:rsid w:val="00425645"/>
    <w:rsid w:val="0042604E"/>
    <w:rsid w:val="004260AC"/>
    <w:rsid w:val="004260ED"/>
    <w:rsid w:val="0042666A"/>
    <w:rsid w:val="00426E4D"/>
    <w:rsid w:val="00427A51"/>
    <w:rsid w:val="004311A3"/>
    <w:rsid w:val="004315C2"/>
    <w:rsid w:val="00431807"/>
    <w:rsid w:val="00433939"/>
    <w:rsid w:val="00433D5E"/>
    <w:rsid w:val="00435098"/>
    <w:rsid w:val="00435111"/>
    <w:rsid w:val="00435A24"/>
    <w:rsid w:val="00435AFA"/>
    <w:rsid w:val="00435B8E"/>
    <w:rsid w:val="00436335"/>
    <w:rsid w:val="00436FDC"/>
    <w:rsid w:val="004375D5"/>
    <w:rsid w:val="00440517"/>
    <w:rsid w:val="0044064A"/>
    <w:rsid w:val="00441572"/>
    <w:rsid w:val="00441655"/>
    <w:rsid w:val="0044263F"/>
    <w:rsid w:val="0044286D"/>
    <w:rsid w:val="004428C8"/>
    <w:rsid w:val="00442E9A"/>
    <w:rsid w:val="00442F1B"/>
    <w:rsid w:val="00443564"/>
    <w:rsid w:val="00443AA1"/>
    <w:rsid w:val="00444822"/>
    <w:rsid w:val="0044484F"/>
    <w:rsid w:val="00445765"/>
    <w:rsid w:val="004457AD"/>
    <w:rsid w:val="00447DAB"/>
    <w:rsid w:val="00447F6E"/>
    <w:rsid w:val="004506CA"/>
    <w:rsid w:val="00450802"/>
    <w:rsid w:val="00450D1F"/>
    <w:rsid w:val="00452207"/>
    <w:rsid w:val="004522A6"/>
    <w:rsid w:val="004531C0"/>
    <w:rsid w:val="00454318"/>
    <w:rsid w:val="00454581"/>
    <w:rsid w:val="00454B9F"/>
    <w:rsid w:val="00455657"/>
    <w:rsid w:val="00455845"/>
    <w:rsid w:val="00456C47"/>
    <w:rsid w:val="0045734E"/>
    <w:rsid w:val="004602FD"/>
    <w:rsid w:val="00462799"/>
    <w:rsid w:val="00462C08"/>
    <w:rsid w:val="00463A36"/>
    <w:rsid w:val="00463DE3"/>
    <w:rsid w:val="004667A3"/>
    <w:rsid w:val="00466F42"/>
    <w:rsid w:val="004679C1"/>
    <w:rsid w:val="00470540"/>
    <w:rsid w:val="00470A5A"/>
    <w:rsid w:val="00470B71"/>
    <w:rsid w:val="00470D27"/>
    <w:rsid w:val="00470E7D"/>
    <w:rsid w:val="00471CC7"/>
    <w:rsid w:val="00472655"/>
    <w:rsid w:val="00473022"/>
    <w:rsid w:val="00473BBA"/>
    <w:rsid w:val="00473C45"/>
    <w:rsid w:val="00474055"/>
    <w:rsid w:val="004746C0"/>
    <w:rsid w:val="004760E1"/>
    <w:rsid w:val="00477162"/>
    <w:rsid w:val="004773D9"/>
    <w:rsid w:val="00477A95"/>
    <w:rsid w:val="00480034"/>
    <w:rsid w:val="004806EC"/>
    <w:rsid w:val="0048143D"/>
    <w:rsid w:val="0048183E"/>
    <w:rsid w:val="0048185E"/>
    <w:rsid w:val="00482F03"/>
    <w:rsid w:val="0048470C"/>
    <w:rsid w:val="0048479E"/>
    <w:rsid w:val="004859A9"/>
    <w:rsid w:val="004859D1"/>
    <w:rsid w:val="0048631D"/>
    <w:rsid w:val="00486B05"/>
    <w:rsid w:val="00487ABB"/>
    <w:rsid w:val="00491538"/>
    <w:rsid w:val="00491AF4"/>
    <w:rsid w:val="004928D4"/>
    <w:rsid w:val="00492BA6"/>
    <w:rsid w:val="00492D97"/>
    <w:rsid w:val="004933A0"/>
    <w:rsid w:val="00493F0C"/>
    <w:rsid w:val="00494046"/>
    <w:rsid w:val="0049468D"/>
    <w:rsid w:val="00494861"/>
    <w:rsid w:val="00494EC5"/>
    <w:rsid w:val="004963E4"/>
    <w:rsid w:val="004972D2"/>
    <w:rsid w:val="00497609"/>
    <w:rsid w:val="004A1522"/>
    <w:rsid w:val="004A34A8"/>
    <w:rsid w:val="004A370D"/>
    <w:rsid w:val="004A3A7C"/>
    <w:rsid w:val="004A4DDE"/>
    <w:rsid w:val="004A57C1"/>
    <w:rsid w:val="004A6D6F"/>
    <w:rsid w:val="004A7D97"/>
    <w:rsid w:val="004B0537"/>
    <w:rsid w:val="004B12DD"/>
    <w:rsid w:val="004B2CF9"/>
    <w:rsid w:val="004B3A6C"/>
    <w:rsid w:val="004B3CD3"/>
    <w:rsid w:val="004B403E"/>
    <w:rsid w:val="004B47BA"/>
    <w:rsid w:val="004B4896"/>
    <w:rsid w:val="004B49FC"/>
    <w:rsid w:val="004B4E0D"/>
    <w:rsid w:val="004B548B"/>
    <w:rsid w:val="004B573A"/>
    <w:rsid w:val="004B5BDB"/>
    <w:rsid w:val="004B6946"/>
    <w:rsid w:val="004B6AE5"/>
    <w:rsid w:val="004B6D7B"/>
    <w:rsid w:val="004B71C9"/>
    <w:rsid w:val="004B733C"/>
    <w:rsid w:val="004B786E"/>
    <w:rsid w:val="004B7BFD"/>
    <w:rsid w:val="004C02D0"/>
    <w:rsid w:val="004C0C54"/>
    <w:rsid w:val="004C1BC3"/>
    <w:rsid w:val="004C2825"/>
    <w:rsid w:val="004C38BE"/>
    <w:rsid w:val="004C40CF"/>
    <w:rsid w:val="004C5563"/>
    <w:rsid w:val="004C77D1"/>
    <w:rsid w:val="004C7D28"/>
    <w:rsid w:val="004C7D67"/>
    <w:rsid w:val="004D076F"/>
    <w:rsid w:val="004D0B35"/>
    <w:rsid w:val="004D0CFF"/>
    <w:rsid w:val="004D1010"/>
    <w:rsid w:val="004D15B7"/>
    <w:rsid w:val="004D2A58"/>
    <w:rsid w:val="004D2CC3"/>
    <w:rsid w:val="004D2E41"/>
    <w:rsid w:val="004D30C5"/>
    <w:rsid w:val="004D3670"/>
    <w:rsid w:val="004D3E6C"/>
    <w:rsid w:val="004D4680"/>
    <w:rsid w:val="004D4FF8"/>
    <w:rsid w:val="004D56A1"/>
    <w:rsid w:val="004D5E52"/>
    <w:rsid w:val="004D5E99"/>
    <w:rsid w:val="004D6142"/>
    <w:rsid w:val="004D630D"/>
    <w:rsid w:val="004D63C4"/>
    <w:rsid w:val="004D736A"/>
    <w:rsid w:val="004D73A9"/>
    <w:rsid w:val="004D78F3"/>
    <w:rsid w:val="004E09FF"/>
    <w:rsid w:val="004E0AB0"/>
    <w:rsid w:val="004E1750"/>
    <w:rsid w:val="004E17A6"/>
    <w:rsid w:val="004E1942"/>
    <w:rsid w:val="004E2984"/>
    <w:rsid w:val="004E2BB8"/>
    <w:rsid w:val="004E2C00"/>
    <w:rsid w:val="004E3D07"/>
    <w:rsid w:val="004E4145"/>
    <w:rsid w:val="004E4422"/>
    <w:rsid w:val="004E4A29"/>
    <w:rsid w:val="004E6BC7"/>
    <w:rsid w:val="004E6F4E"/>
    <w:rsid w:val="004E799C"/>
    <w:rsid w:val="004E7E17"/>
    <w:rsid w:val="004F0068"/>
    <w:rsid w:val="004F05EA"/>
    <w:rsid w:val="004F1CB9"/>
    <w:rsid w:val="004F1FA4"/>
    <w:rsid w:val="004F2273"/>
    <w:rsid w:val="004F246B"/>
    <w:rsid w:val="004F38F2"/>
    <w:rsid w:val="004F39B6"/>
    <w:rsid w:val="004F3BC0"/>
    <w:rsid w:val="004F5CF3"/>
    <w:rsid w:val="004F6C30"/>
    <w:rsid w:val="004F6CA3"/>
    <w:rsid w:val="004F71A2"/>
    <w:rsid w:val="005000D2"/>
    <w:rsid w:val="00500EA1"/>
    <w:rsid w:val="005019BF"/>
    <w:rsid w:val="005023EA"/>
    <w:rsid w:val="005028BC"/>
    <w:rsid w:val="00502FA6"/>
    <w:rsid w:val="00503CDF"/>
    <w:rsid w:val="0050430E"/>
    <w:rsid w:val="005045A5"/>
    <w:rsid w:val="00504638"/>
    <w:rsid w:val="00504D86"/>
    <w:rsid w:val="00505013"/>
    <w:rsid w:val="005051F7"/>
    <w:rsid w:val="00505CCC"/>
    <w:rsid w:val="00506C84"/>
    <w:rsid w:val="005102F6"/>
    <w:rsid w:val="00510E87"/>
    <w:rsid w:val="00511803"/>
    <w:rsid w:val="0051235E"/>
    <w:rsid w:val="005126ED"/>
    <w:rsid w:val="0051335B"/>
    <w:rsid w:val="00513695"/>
    <w:rsid w:val="0051376F"/>
    <w:rsid w:val="00514D64"/>
    <w:rsid w:val="005156B7"/>
    <w:rsid w:val="00515EBB"/>
    <w:rsid w:val="00517888"/>
    <w:rsid w:val="00520EC3"/>
    <w:rsid w:val="00522385"/>
    <w:rsid w:val="005223E6"/>
    <w:rsid w:val="00522E91"/>
    <w:rsid w:val="00524AC1"/>
    <w:rsid w:val="00526ED3"/>
    <w:rsid w:val="00527573"/>
    <w:rsid w:val="00527CA4"/>
    <w:rsid w:val="00527CBC"/>
    <w:rsid w:val="00527DEF"/>
    <w:rsid w:val="005301FE"/>
    <w:rsid w:val="005316D8"/>
    <w:rsid w:val="00536668"/>
    <w:rsid w:val="0053745B"/>
    <w:rsid w:val="00537B25"/>
    <w:rsid w:val="0054025C"/>
    <w:rsid w:val="005405E1"/>
    <w:rsid w:val="0054132E"/>
    <w:rsid w:val="0054173E"/>
    <w:rsid w:val="0054248E"/>
    <w:rsid w:val="00542EE3"/>
    <w:rsid w:val="0054332D"/>
    <w:rsid w:val="00545F81"/>
    <w:rsid w:val="00546504"/>
    <w:rsid w:val="00547AD5"/>
    <w:rsid w:val="00550494"/>
    <w:rsid w:val="005505B1"/>
    <w:rsid w:val="0055061F"/>
    <w:rsid w:val="00550B9F"/>
    <w:rsid w:val="0055223E"/>
    <w:rsid w:val="00552248"/>
    <w:rsid w:val="00552EF0"/>
    <w:rsid w:val="005532A3"/>
    <w:rsid w:val="00553C0E"/>
    <w:rsid w:val="00553ED1"/>
    <w:rsid w:val="005550CB"/>
    <w:rsid w:val="0055532B"/>
    <w:rsid w:val="00555436"/>
    <w:rsid w:val="00556384"/>
    <w:rsid w:val="00556735"/>
    <w:rsid w:val="00556B2C"/>
    <w:rsid w:val="0055710D"/>
    <w:rsid w:val="00560811"/>
    <w:rsid w:val="00560A0A"/>
    <w:rsid w:val="00560F0B"/>
    <w:rsid w:val="00562E9B"/>
    <w:rsid w:val="00562FDD"/>
    <w:rsid w:val="00563918"/>
    <w:rsid w:val="00563ED1"/>
    <w:rsid w:val="00564174"/>
    <w:rsid w:val="005655C8"/>
    <w:rsid w:val="0056607C"/>
    <w:rsid w:val="0056650A"/>
    <w:rsid w:val="00566C53"/>
    <w:rsid w:val="00566CAA"/>
    <w:rsid w:val="00567DEA"/>
    <w:rsid w:val="00570078"/>
    <w:rsid w:val="00571545"/>
    <w:rsid w:val="00571DEA"/>
    <w:rsid w:val="00572456"/>
    <w:rsid w:val="00572A72"/>
    <w:rsid w:val="00573D1E"/>
    <w:rsid w:val="00574223"/>
    <w:rsid w:val="005747F0"/>
    <w:rsid w:val="00574CF1"/>
    <w:rsid w:val="00576119"/>
    <w:rsid w:val="005763B0"/>
    <w:rsid w:val="00576A45"/>
    <w:rsid w:val="00576B9A"/>
    <w:rsid w:val="0057701F"/>
    <w:rsid w:val="005779D8"/>
    <w:rsid w:val="005803A4"/>
    <w:rsid w:val="00580528"/>
    <w:rsid w:val="00580809"/>
    <w:rsid w:val="00580968"/>
    <w:rsid w:val="00581A93"/>
    <w:rsid w:val="0058272B"/>
    <w:rsid w:val="00584B3E"/>
    <w:rsid w:val="00585694"/>
    <w:rsid w:val="00585BAE"/>
    <w:rsid w:val="00586B35"/>
    <w:rsid w:val="00586D74"/>
    <w:rsid w:val="005876AE"/>
    <w:rsid w:val="00587980"/>
    <w:rsid w:val="00587E30"/>
    <w:rsid w:val="005904EC"/>
    <w:rsid w:val="00591D7E"/>
    <w:rsid w:val="00591D81"/>
    <w:rsid w:val="005929E7"/>
    <w:rsid w:val="005944FD"/>
    <w:rsid w:val="00594E10"/>
    <w:rsid w:val="00595BF4"/>
    <w:rsid w:val="00595D87"/>
    <w:rsid w:val="00596894"/>
    <w:rsid w:val="0059748D"/>
    <w:rsid w:val="005974C8"/>
    <w:rsid w:val="005A0544"/>
    <w:rsid w:val="005A0B4A"/>
    <w:rsid w:val="005A0E17"/>
    <w:rsid w:val="005A1289"/>
    <w:rsid w:val="005A14A6"/>
    <w:rsid w:val="005A23D5"/>
    <w:rsid w:val="005A3AF6"/>
    <w:rsid w:val="005A3EA2"/>
    <w:rsid w:val="005A47D3"/>
    <w:rsid w:val="005A59B3"/>
    <w:rsid w:val="005A60DD"/>
    <w:rsid w:val="005A65B0"/>
    <w:rsid w:val="005A765B"/>
    <w:rsid w:val="005B0472"/>
    <w:rsid w:val="005B0CCB"/>
    <w:rsid w:val="005B0EF1"/>
    <w:rsid w:val="005B19D2"/>
    <w:rsid w:val="005B23F3"/>
    <w:rsid w:val="005B261A"/>
    <w:rsid w:val="005B29F4"/>
    <w:rsid w:val="005B2C70"/>
    <w:rsid w:val="005B32A4"/>
    <w:rsid w:val="005B3D79"/>
    <w:rsid w:val="005B3FD3"/>
    <w:rsid w:val="005B4FC5"/>
    <w:rsid w:val="005B52BC"/>
    <w:rsid w:val="005B571D"/>
    <w:rsid w:val="005B58EE"/>
    <w:rsid w:val="005B6B2F"/>
    <w:rsid w:val="005B73B3"/>
    <w:rsid w:val="005C0A07"/>
    <w:rsid w:val="005C0D5D"/>
    <w:rsid w:val="005C18E5"/>
    <w:rsid w:val="005C1D35"/>
    <w:rsid w:val="005C3F34"/>
    <w:rsid w:val="005C4048"/>
    <w:rsid w:val="005C5348"/>
    <w:rsid w:val="005C5436"/>
    <w:rsid w:val="005C582B"/>
    <w:rsid w:val="005C5BC7"/>
    <w:rsid w:val="005C5E16"/>
    <w:rsid w:val="005C60AE"/>
    <w:rsid w:val="005C6F96"/>
    <w:rsid w:val="005C7C87"/>
    <w:rsid w:val="005C7D6A"/>
    <w:rsid w:val="005D0965"/>
    <w:rsid w:val="005D0F1C"/>
    <w:rsid w:val="005D21D3"/>
    <w:rsid w:val="005D2552"/>
    <w:rsid w:val="005D2C5C"/>
    <w:rsid w:val="005D3823"/>
    <w:rsid w:val="005D4187"/>
    <w:rsid w:val="005D4A65"/>
    <w:rsid w:val="005D5455"/>
    <w:rsid w:val="005D5546"/>
    <w:rsid w:val="005D565F"/>
    <w:rsid w:val="005D5927"/>
    <w:rsid w:val="005D5937"/>
    <w:rsid w:val="005D5B44"/>
    <w:rsid w:val="005D6772"/>
    <w:rsid w:val="005D6F4B"/>
    <w:rsid w:val="005D7D09"/>
    <w:rsid w:val="005E05C2"/>
    <w:rsid w:val="005E0830"/>
    <w:rsid w:val="005E0F98"/>
    <w:rsid w:val="005E1798"/>
    <w:rsid w:val="005E1C83"/>
    <w:rsid w:val="005E260C"/>
    <w:rsid w:val="005E290D"/>
    <w:rsid w:val="005E3437"/>
    <w:rsid w:val="005E389F"/>
    <w:rsid w:val="005E454F"/>
    <w:rsid w:val="005E489F"/>
    <w:rsid w:val="005E4CA5"/>
    <w:rsid w:val="005E52B8"/>
    <w:rsid w:val="005E53DA"/>
    <w:rsid w:val="005E56E7"/>
    <w:rsid w:val="005E7096"/>
    <w:rsid w:val="005E7647"/>
    <w:rsid w:val="005E7BA9"/>
    <w:rsid w:val="005F16DD"/>
    <w:rsid w:val="005F1ACD"/>
    <w:rsid w:val="005F2674"/>
    <w:rsid w:val="005F2F5F"/>
    <w:rsid w:val="005F38A6"/>
    <w:rsid w:val="005F4094"/>
    <w:rsid w:val="005F4835"/>
    <w:rsid w:val="005F4930"/>
    <w:rsid w:val="005F4F02"/>
    <w:rsid w:val="005F5216"/>
    <w:rsid w:val="005F53CF"/>
    <w:rsid w:val="005F5A47"/>
    <w:rsid w:val="005F5B60"/>
    <w:rsid w:val="005F5EEA"/>
    <w:rsid w:val="005F63AE"/>
    <w:rsid w:val="005F68AD"/>
    <w:rsid w:val="005F725D"/>
    <w:rsid w:val="00602252"/>
    <w:rsid w:val="0060244F"/>
    <w:rsid w:val="006029B6"/>
    <w:rsid w:val="00602A02"/>
    <w:rsid w:val="00603107"/>
    <w:rsid w:val="00603412"/>
    <w:rsid w:val="006044D7"/>
    <w:rsid w:val="00606964"/>
    <w:rsid w:val="00607054"/>
    <w:rsid w:val="0060746D"/>
    <w:rsid w:val="00607AE9"/>
    <w:rsid w:val="006105E6"/>
    <w:rsid w:val="00611079"/>
    <w:rsid w:val="00611D1A"/>
    <w:rsid w:val="006128D0"/>
    <w:rsid w:val="006131D6"/>
    <w:rsid w:val="006132C3"/>
    <w:rsid w:val="006139E3"/>
    <w:rsid w:val="006146C7"/>
    <w:rsid w:val="00616000"/>
    <w:rsid w:val="00620EED"/>
    <w:rsid w:val="00621228"/>
    <w:rsid w:val="0062216D"/>
    <w:rsid w:val="00623A29"/>
    <w:rsid w:val="00624B58"/>
    <w:rsid w:val="00625F16"/>
    <w:rsid w:val="006265D6"/>
    <w:rsid w:val="00627067"/>
    <w:rsid w:val="0062760C"/>
    <w:rsid w:val="006278FE"/>
    <w:rsid w:val="00627E48"/>
    <w:rsid w:val="00627F53"/>
    <w:rsid w:val="006302BD"/>
    <w:rsid w:val="00630988"/>
    <w:rsid w:val="00630BD9"/>
    <w:rsid w:val="0063243E"/>
    <w:rsid w:val="00632C8E"/>
    <w:rsid w:val="00633AA4"/>
    <w:rsid w:val="00633E2F"/>
    <w:rsid w:val="00634EAA"/>
    <w:rsid w:val="00636963"/>
    <w:rsid w:val="00636A8B"/>
    <w:rsid w:val="0063705E"/>
    <w:rsid w:val="0063757B"/>
    <w:rsid w:val="006375DF"/>
    <w:rsid w:val="00637923"/>
    <w:rsid w:val="00637D19"/>
    <w:rsid w:val="00637D7F"/>
    <w:rsid w:val="0064049E"/>
    <w:rsid w:val="006410D2"/>
    <w:rsid w:val="00641B9E"/>
    <w:rsid w:val="0064273C"/>
    <w:rsid w:val="00642C32"/>
    <w:rsid w:val="00643928"/>
    <w:rsid w:val="00644ADC"/>
    <w:rsid w:val="00644D8E"/>
    <w:rsid w:val="00645E5D"/>
    <w:rsid w:val="00647018"/>
    <w:rsid w:val="0065027F"/>
    <w:rsid w:val="006524B7"/>
    <w:rsid w:val="00652799"/>
    <w:rsid w:val="006527D6"/>
    <w:rsid w:val="00652A5B"/>
    <w:rsid w:val="006535C4"/>
    <w:rsid w:val="00653B4D"/>
    <w:rsid w:val="00655513"/>
    <w:rsid w:val="00655549"/>
    <w:rsid w:val="00655AFA"/>
    <w:rsid w:val="006561AC"/>
    <w:rsid w:val="0065655D"/>
    <w:rsid w:val="006568C7"/>
    <w:rsid w:val="00656E84"/>
    <w:rsid w:val="0065732A"/>
    <w:rsid w:val="006600AF"/>
    <w:rsid w:val="00660C31"/>
    <w:rsid w:val="00661DEB"/>
    <w:rsid w:val="006622BB"/>
    <w:rsid w:val="00662789"/>
    <w:rsid w:val="00664702"/>
    <w:rsid w:val="00665013"/>
    <w:rsid w:val="0066505B"/>
    <w:rsid w:val="00666CDD"/>
    <w:rsid w:val="00667639"/>
    <w:rsid w:val="006677BF"/>
    <w:rsid w:val="0067063E"/>
    <w:rsid w:val="00670882"/>
    <w:rsid w:val="00670ADF"/>
    <w:rsid w:val="00670BA8"/>
    <w:rsid w:val="00670BDB"/>
    <w:rsid w:val="0067135E"/>
    <w:rsid w:val="0067143A"/>
    <w:rsid w:val="0067243A"/>
    <w:rsid w:val="00672501"/>
    <w:rsid w:val="00674126"/>
    <w:rsid w:val="00675F04"/>
    <w:rsid w:val="00676FB6"/>
    <w:rsid w:val="00677F3C"/>
    <w:rsid w:val="006801FF"/>
    <w:rsid w:val="006805EE"/>
    <w:rsid w:val="00680AF1"/>
    <w:rsid w:val="00680DBA"/>
    <w:rsid w:val="006817DF"/>
    <w:rsid w:val="00681876"/>
    <w:rsid w:val="00681D70"/>
    <w:rsid w:val="00681FC0"/>
    <w:rsid w:val="006823E2"/>
    <w:rsid w:val="00682704"/>
    <w:rsid w:val="00682B95"/>
    <w:rsid w:val="006837FE"/>
    <w:rsid w:val="00683D55"/>
    <w:rsid w:val="00684090"/>
    <w:rsid w:val="00684CE0"/>
    <w:rsid w:val="00685DD7"/>
    <w:rsid w:val="00685F90"/>
    <w:rsid w:val="00686700"/>
    <w:rsid w:val="00687A74"/>
    <w:rsid w:val="006901A1"/>
    <w:rsid w:val="0069039F"/>
    <w:rsid w:val="00691819"/>
    <w:rsid w:val="00692A38"/>
    <w:rsid w:val="006930D8"/>
    <w:rsid w:val="00693279"/>
    <w:rsid w:val="00694AEC"/>
    <w:rsid w:val="0069518F"/>
    <w:rsid w:val="00696284"/>
    <w:rsid w:val="0069637C"/>
    <w:rsid w:val="006968C3"/>
    <w:rsid w:val="0069792D"/>
    <w:rsid w:val="006A00CC"/>
    <w:rsid w:val="006A296F"/>
    <w:rsid w:val="006A3197"/>
    <w:rsid w:val="006A33D5"/>
    <w:rsid w:val="006A3996"/>
    <w:rsid w:val="006A4349"/>
    <w:rsid w:val="006A4980"/>
    <w:rsid w:val="006A5A63"/>
    <w:rsid w:val="006A6705"/>
    <w:rsid w:val="006A6E54"/>
    <w:rsid w:val="006A7144"/>
    <w:rsid w:val="006B0D50"/>
    <w:rsid w:val="006B1860"/>
    <w:rsid w:val="006B1BB3"/>
    <w:rsid w:val="006B23E6"/>
    <w:rsid w:val="006B2E56"/>
    <w:rsid w:val="006B30C4"/>
    <w:rsid w:val="006B3A3A"/>
    <w:rsid w:val="006B4485"/>
    <w:rsid w:val="006B5253"/>
    <w:rsid w:val="006B5732"/>
    <w:rsid w:val="006B5E67"/>
    <w:rsid w:val="006B6352"/>
    <w:rsid w:val="006B64EA"/>
    <w:rsid w:val="006B6A86"/>
    <w:rsid w:val="006B6BD1"/>
    <w:rsid w:val="006B702C"/>
    <w:rsid w:val="006B778C"/>
    <w:rsid w:val="006B7C23"/>
    <w:rsid w:val="006C04FF"/>
    <w:rsid w:val="006C0BC6"/>
    <w:rsid w:val="006C12C9"/>
    <w:rsid w:val="006C1BFD"/>
    <w:rsid w:val="006C1FC7"/>
    <w:rsid w:val="006C20BF"/>
    <w:rsid w:val="006C2EDC"/>
    <w:rsid w:val="006C2F3E"/>
    <w:rsid w:val="006C3A84"/>
    <w:rsid w:val="006C4BE5"/>
    <w:rsid w:val="006C4C19"/>
    <w:rsid w:val="006C4D49"/>
    <w:rsid w:val="006C661A"/>
    <w:rsid w:val="006C75D4"/>
    <w:rsid w:val="006D0C6D"/>
    <w:rsid w:val="006D0F58"/>
    <w:rsid w:val="006D105B"/>
    <w:rsid w:val="006D26E2"/>
    <w:rsid w:val="006D2B3F"/>
    <w:rsid w:val="006D4787"/>
    <w:rsid w:val="006D4B1A"/>
    <w:rsid w:val="006D5D5C"/>
    <w:rsid w:val="006D69EA"/>
    <w:rsid w:val="006D6F5E"/>
    <w:rsid w:val="006D78F5"/>
    <w:rsid w:val="006D79C1"/>
    <w:rsid w:val="006D79F5"/>
    <w:rsid w:val="006D7B2D"/>
    <w:rsid w:val="006D7F4E"/>
    <w:rsid w:val="006E0E46"/>
    <w:rsid w:val="006E0F06"/>
    <w:rsid w:val="006E1AA7"/>
    <w:rsid w:val="006E1C95"/>
    <w:rsid w:val="006E1DD2"/>
    <w:rsid w:val="006E22E8"/>
    <w:rsid w:val="006E2BED"/>
    <w:rsid w:val="006E4D14"/>
    <w:rsid w:val="006E60C3"/>
    <w:rsid w:val="006E7002"/>
    <w:rsid w:val="006E7429"/>
    <w:rsid w:val="006F05DE"/>
    <w:rsid w:val="006F0722"/>
    <w:rsid w:val="006F0A66"/>
    <w:rsid w:val="006F2077"/>
    <w:rsid w:val="006F222E"/>
    <w:rsid w:val="006F2497"/>
    <w:rsid w:val="006F2957"/>
    <w:rsid w:val="006F3435"/>
    <w:rsid w:val="006F354D"/>
    <w:rsid w:val="006F372E"/>
    <w:rsid w:val="006F3B8F"/>
    <w:rsid w:val="006F3F63"/>
    <w:rsid w:val="006F4A23"/>
    <w:rsid w:val="006F4A4D"/>
    <w:rsid w:val="006F60D5"/>
    <w:rsid w:val="006F65DA"/>
    <w:rsid w:val="006F7BDC"/>
    <w:rsid w:val="00700198"/>
    <w:rsid w:val="00700A0C"/>
    <w:rsid w:val="00700F02"/>
    <w:rsid w:val="00701142"/>
    <w:rsid w:val="0070144A"/>
    <w:rsid w:val="00701C22"/>
    <w:rsid w:val="00701F56"/>
    <w:rsid w:val="00702E11"/>
    <w:rsid w:val="00705221"/>
    <w:rsid w:val="00705B5C"/>
    <w:rsid w:val="00705CDC"/>
    <w:rsid w:val="00706673"/>
    <w:rsid w:val="00707493"/>
    <w:rsid w:val="00707A3C"/>
    <w:rsid w:val="00707B35"/>
    <w:rsid w:val="00710E75"/>
    <w:rsid w:val="007113D7"/>
    <w:rsid w:val="007123BF"/>
    <w:rsid w:val="00712693"/>
    <w:rsid w:val="00712732"/>
    <w:rsid w:val="00713DB8"/>
    <w:rsid w:val="00717553"/>
    <w:rsid w:val="00717879"/>
    <w:rsid w:val="0072051F"/>
    <w:rsid w:val="0072056D"/>
    <w:rsid w:val="00720ACF"/>
    <w:rsid w:val="007216DA"/>
    <w:rsid w:val="00722003"/>
    <w:rsid w:val="007224D8"/>
    <w:rsid w:val="007224DB"/>
    <w:rsid w:val="00722757"/>
    <w:rsid w:val="007227E9"/>
    <w:rsid w:val="00722C08"/>
    <w:rsid w:val="00723113"/>
    <w:rsid w:val="00723296"/>
    <w:rsid w:val="00723B7A"/>
    <w:rsid w:val="007249D8"/>
    <w:rsid w:val="00725DA5"/>
    <w:rsid w:val="0072657C"/>
    <w:rsid w:val="00726A7C"/>
    <w:rsid w:val="007272E9"/>
    <w:rsid w:val="007302F5"/>
    <w:rsid w:val="007306CE"/>
    <w:rsid w:val="00730FA8"/>
    <w:rsid w:val="00731103"/>
    <w:rsid w:val="00733A56"/>
    <w:rsid w:val="00733CA7"/>
    <w:rsid w:val="00734461"/>
    <w:rsid w:val="007353A4"/>
    <w:rsid w:val="00735560"/>
    <w:rsid w:val="00735B0D"/>
    <w:rsid w:val="00735B1F"/>
    <w:rsid w:val="00735D2F"/>
    <w:rsid w:val="00735D4C"/>
    <w:rsid w:val="00735DBE"/>
    <w:rsid w:val="007361A7"/>
    <w:rsid w:val="00736569"/>
    <w:rsid w:val="0073678D"/>
    <w:rsid w:val="00736E36"/>
    <w:rsid w:val="007402F8"/>
    <w:rsid w:val="00740C3F"/>
    <w:rsid w:val="00740CE0"/>
    <w:rsid w:val="00741F60"/>
    <w:rsid w:val="007424DB"/>
    <w:rsid w:val="007436C4"/>
    <w:rsid w:val="00743B4A"/>
    <w:rsid w:val="00744944"/>
    <w:rsid w:val="0074656E"/>
    <w:rsid w:val="00746939"/>
    <w:rsid w:val="00746F7B"/>
    <w:rsid w:val="0074704D"/>
    <w:rsid w:val="00750153"/>
    <w:rsid w:val="00750332"/>
    <w:rsid w:val="00750E4B"/>
    <w:rsid w:val="007522A6"/>
    <w:rsid w:val="00752C07"/>
    <w:rsid w:val="00753D33"/>
    <w:rsid w:val="007543FA"/>
    <w:rsid w:val="00754DE7"/>
    <w:rsid w:val="007551D4"/>
    <w:rsid w:val="007558C1"/>
    <w:rsid w:val="00760253"/>
    <w:rsid w:val="00760758"/>
    <w:rsid w:val="0076078B"/>
    <w:rsid w:val="00760B43"/>
    <w:rsid w:val="00761D8C"/>
    <w:rsid w:val="007638F1"/>
    <w:rsid w:val="00763E20"/>
    <w:rsid w:val="007641F6"/>
    <w:rsid w:val="0076437F"/>
    <w:rsid w:val="00764B63"/>
    <w:rsid w:val="00765CB0"/>
    <w:rsid w:val="007679A6"/>
    <w:rsid w:val="00767D72"/>
    <w:rsid w:val="00770E79"/>
    <w:rsid w:val="00772312"/>
    <w:rsid w:val="0077314A"/>
    <w:rsid w:val="007734E7"/>
    <w:rsid w:val="0077415A"/>
    <w:rsid w:val="00774D93"/>
    <w:rsid w:val="00774DBF"/>
    <w:rsid w:val="00774FF5"/>
    <w:rsid w:val="00775F19"/>
    <w:rsid w:val="00775F83"/>
    <w:rsid w:val="0077600D"/>
    <w:rsid w:val="00776C53"/>
    <w:rsid w:val="00777010"/>
    <w:rsid w:val="00780365"/>
    <w:rsid w:val="007804BE"/>
    <w:rsid w:val="00780A36"/>
    <w:rsid w:val="007810D5"/>
    <w:rsid w:val="00781648"/>
    <w:rsid w:val="00781667"/>
    <w:rsid w:val="0078178A"/>
    <w:rsid w:val="00781B79"/>
    <w:rsid w:val="00781EDE"/>
    <w:rsid w:val="00781FBA"/>
    <w:rsid w:val="0078279B"/>
    <w:rsid w:val="0078284D"/>
    <w:rsid w:val="0078288D"/>
    <w:rsid w:val="007829F8"/>
    <w:rsid w:val="00782DA3"/>
    <w:rsid w:val="00783CDD"/>
    <w:rsid w:val="00783E22"/>
    <w:rsid w:val="007849BE"/>
    <w:rsid w:val="007861BB"/>
    <w:rsid w:val="0078720D"/>
    <w:rsid w:val="007876AD"/>
    <w:rsid w:val="0078790F"/>
    <w:rsid w:val="007905A1"/>
    <w:rsid w:val="007907D2"/>
    <w:rsid w:val="00791141"/>
    <w:rsid w:val="007912BA"/>
    <w:rsid w:val="00792394"/>
    <w:rsid w:val="0079258A"/>
    <w:rsid w:val="0079272C"/>
    <w:rsid w:val="00793005"/>
    <w:rsid w:val="00793124"/>
    <w:rsid w:val="00793668"/>
    <w:rsid w:val="00793ADC"/>
    <w:rsid w:val="00794659"/>
    <w:rsid w:val="0079468A"/>
    <w:rsid w:val="0079778B"/>
    <w:rsid w:val="00797841"/>
    <w:rsid w:val="007A1F29"/>
    <w:rsid w:val="007A27EC"/>
    <w:rsid w:val="007A2BA1"/>
    <w:rsid w:val="007A3226"/>
    <w:rsid w:val="007A3437"/>
    <w:rsid w:val="007A34E3"/>
    <w:rsid w:val="007A3F7F"/>
    <w:rsid w:val="007A4CF4"/>
    <w:rsid w:val="007A5789"/>
    <w:rsid w:val="007A5E29"/>
    <w:rsid w:val="007A7134"/>
    <w:rsid w:val="007A7676"/>
    <w:rsid w:val="007A7AB9"/>
    <w:rsid w:val="007A7E32"/>
    <w:rsid w:val="007A7E6C"/>
    <w:rsid w:val="007A7EE4"/>
    <w:rsid w:val="007B023B"/>
    <w:rsid w:val="007B0693"/>
    <w:rsid w:val="007B0E18"/>
    <w:rsid w:val="007B13A2"/>
    <w:rsid w:val="007B2BBE"/>
    <w:rsid w:val="007B2D45"/>
    <w:rsid w:val="007B2E0F"/>
    <w:rsid w:val="007B3607"/>
    <w:rsid w:val="007B3944"/>
    <w:rsid w:val="007B3E95"/>
    <w:rsid w:val="007B4948"/>
    <w:rsid w:val="007B5688"/>
    <w:rsid w:val="007B5769"/>
    <w:rsid w:val="007B5CDC"/>
    <w:rsid w:val="007B5DDE"/>
    <w:rsid w:val="007B67DD"/>
    <w:rsid w:val="007B6954"/>
    <w:rsid w:val="007B6E25"/>
    <w:rsid w:val="007B76CC"/>
    <w:rsid w:val="007B7E19"/>
    <w:rsid w:val="007B7F31"/>
    <w:rsid w:val="007C13F0"/>
    <w:rsid w:val="007C1B95"/>
    <w:rsid w:val="007C1FE5"/>
    <w:rsid w:val="007C3088"/>
    <w:rsid w:val="007C3238"/>
    <w:rsid w:val="007C3F24"/>
    <w:rsid w:val="007C44D6"/>
    <w:rsid w:val="007C45DE"/>
    <w:rsid w:val="007C5BF3"/>
    <w:rsid w:val="007C6DB3"/>
    <w:rsid w:val="007C6EDA"/>
    <w:rsid w:val="007C7CBD"/>
    <w:rsid w:val="007D048C"/>
    <w:rsid w:val="007D0C03"/>
    <w:rsid w:val="007D122E"/>
    <w:rsid w:val="007D184D"/>
    <w:rsid w:val="007D1EB8"/>
    <w:rsid w:val="007D21A6"/>
    <w:rsid w:val="007D2708"/>
    <w:rsid w:val="007D2B2A"/>
    <w:rsid w:val="007D2ECF"/>
    <w:rsid w:val="007D37B5"/>
    <w:rsid w:val="007D4281"/>
    <w:rsid w:val="007D4C0E"/>
    <w:rsid w:val="007D4EC1"/>
    <w:rsid w:val="007D5016"/>
    <w:rsid w:val="007D520C"/>
    <w:rsid w:val="007D5BD3"/>
    <w:rsid w:val="007D5E12"/>
    <w:rsid w:val="007D5E8B"/>
    <w:rsid w:val="007D624C"/>
    <w:rsid w:val="007D64F4"/>
    <w:rsid w:val="007D6B45"/>
    <w:rsid w:val="007D7F1C"/>
    <w:rsid w:val="007E0361"/>
    <w:rsid w:val="007E08FD"/>
    <w:rsid w:val="007E0C36"/>
    <w:rsid w:val="007E1227"/>
    <w:rsid w:val="007E1DA4"/>
    <w:rsid w:val="007E2D07"/>
    <w:rsid w:val="007E33E4"/>
    <w:rsid w:val="007E3F5C"/>
    <w:rsid w:val="007E45D9"/>
    <w:rsid w:val="007E4F82"/>
    <w:rsid w:val="007E58A7"/>
    <w:rsid w:val="007E5AA4"/>
    <w:rsid w:val="007E68B2"/>
    <w:rsid w:val="007E6FFC"/>
    <w:rsid w:val="007E7E71"/>
    <w:rsid w:val="007F00E3"/>
    <w:rsid w:val="007F327A"/>
    <w:rsid w:val="007F3511"/>
    <w:rsid w:val="007F357B"/>
    <w:rsid w:val="007F3AF8"/>
    <w:rsid w:val="007F40A8"/>
    <w:rsid w:val="007F44E7"/>
    <w:rsid w:val="007F4715"/>
    <w:rsid w:val="007F4863"/>
    <w:rsid w:val="007F4C99"/>
    <w:rsid w:val="007F53CB"/>
    <w:rsid w:val="007F5BA1"/>
    <w:rsid w:val="007F5CAF"/>
    <w:rsid w:val="007F7A96"/>
    <w:rsid w:val="0080244A"/>
    <w:rsid w:val="008033AA"/>
    <w:rsid w:val="00803772"/>
    <w:rsid w:val="00803A22"/>
    <w:rsid w:val="00803B75"/>
    <w:rsid w:val="0080577B"/>
    <w:rsid w:val="00805A2D"/>
    <w:rsid w:val="0080677D"/>
    <w:rsid w:val="008067B1"/>
    <w:rsid w:val="008071C2"/>
    <w:rsid w:val="008075F1"/>
    <w:rsid w:val="008103BD"/>
    <w:rsid w:val="00812552"/>
    <w:rsid w:val="0081341E"/>
    <w:rsid w:val="00813911"/>
    <w:rsid w:val="00814665"/>
    <w:rsid w:val="0081546A"/>
    <w:rsid w:val="00816039"/>
    <w:rsid w:val="008161C0"/>
    <w:rsid w:val="00816796"/>
    <w:rsid w:val="00816B53"/>
    <w:rsid w:val="008175A1"/>
    <w:rsid w:val="00817736"/>
    <w:rsid w:val="00817B33"/>
    <w:rsid w:val="00820E05"/>
    <w:rsid w:val="008219B9"/>
    <w:rsid w:val="008219F6"/>
    <w:rsid w:val="00821A21"/>
    <w:rsid w:val="008224BD"/>
    <w:rsid w:val="008230B4"/>
    <w:rsid w:val="0082396A"/>
    <w:rsid w:val="00823C27"/>
    <w:rsid w:val="0082460C"/>
    <w:rsid w:val="008263A9"/>
    <w:rsid w:val="00826C43"/>
    <w:rsid w:val="00826DCD"/>
    <w:rsid w:val="00826F1D"/>
    <w:rsid w:val="008303B2"/>
    <w:rsid w:val="00830C5C"/>
    <w:rsid w:val="008311A1"/>
    <w:rsid w:val="00832B76"/>
    <w:rsid w:val="00832D94"/>
    <w:rsid w:val="00832F2E"/>
    <w:rsid w:val="00833074"/>
    <w:rsid w:val="00835436"/>
    <w:rsid w:val="00835E28"/>
    <w:rsid w:val="00835E5E"/>
    <w:rsid w:val="0083627D"/>
    <w:rsid w:val="0083705C"/>
    <w:rsid w:val="00837292"/>
    <w:rsid w:val="00840372"/>
    <w:rsid w:val="00840ECE"/>
    <w:rsid w:val="00841D2E"/>
    <w:rsid w:val="00842E45"/>
    <w:rsid w:val="00842FC6"/>
    <w:rsid w:val="00844529"/>
    <w:rsid w:val="00844668"/>
    <w:rsid w:val="008448D5"/>
    <w:rsid w:val="0084752D"/>
    <w:rsid w:val="00847C51"/>
    <w:rsid w:val="00850AC2"/>
    <w:rsid w:val="008520E3"/>
    <w:rsid w:val="00852586"/>
    <w:rsid w:val="008525CC"/>
    <w:rsid w:val="008526B5"/>
    <w:rsid w:val="00852AF5"/>
    <w:rsid w:val="00853CFD"/>
    <w:rsid w:val="00854D00"/>
    <w:rsid w:val="00856E73"/>
    <w:rsid w:val="00857A90"/>
    <w:rsid w:val="0086018D"/>
    <w:rsid w:val="00863349"/>
    <w:rsid w:val="008635FC"/>
    <w:rsid w:val="00863886"/>
    <w:rsid w:val="008638E2"/>
    <w:rsid w:val="008647AC"/>
    <w:rsid w:val="00864C02"/>
    <w:rsid w:val="008655AC"/>
    <w:rsid w:val="008672D5"/>
    <w:rsid w:val="0086737B"/>
    <w:rsid w:val="008706E6"/>
    <w:rsid w:val="0087132C"/>
    <w:rsid w:val="00871BE4"/>
    <w:rsid w:val="00871E01"/>
    <w:rsid w:val="00872D3E"/>
    <w:rsid w:val="00872DD5"/>
    <w:rsid w:val="00874E19"/>
    <w:rsid w:val="00875134"/>
    <w:rsid w:val="00875A0E"/>
    <w:rsid w:val="00876477"/>
    <w:rsid w:val="008774C8"/>
    <w:rsid w:val="008775BF"/>
    <w:rsid w:val="00877907"/>
    <w:rsid w:val="00880112"/>
    <w:rsid w:val="0088049E"/>
    <w:rsid w:val="00880E16"/>
    <w:rsid w:val="00880F05"/>
    <w:rsid w:val="008819BE"/>
    <w:rsid w:val="00883B09"/>
    <w:rsid w:val="00884324"/>
    <w:rsid w:val="00884746"/>
    <w:rsid w:val="00885215"/>
    <w:rsid w:val="00885566"/>
    <w:rsid w:val="00885F6E"/>
    <w:rsid w:val="008869CD"/>
    <w:rsid w:val="00887C3F"/>
    <w:rsid w:val="00887E9D"/>
    <w:rsid w:val="008903A5"/>
    <w:rsid w:val="00890B20"/>
    <w:rsid w:val="00890D7A"/>
    <w:rsid w:val="0089157C"/>
    <w:rsid w:val="008918EF"/>
    <w:rsid w:val="00892D15"/>
    <w:rsid w:val="00894135"/>
    <w:rsid w:val="00894197"/>
    <w:rsid w:val="0089419B"/>
    <w:rsid w:val="0089440A"/>
    <w:rsid w:val="00894AF1"/>
    <w:rsid w:val="0089630E"/>
    <w:rsid w:val="0089692C"/>
    <w:rsid w:val="0089768A"/>
    <w:rsid w:val="00897707"/>
    <w:rsid w:val="00897784"/>
    <w:rsid w:val="00897AEF"/>
    <w:rsid w:val="008A0499"/>
    <w:rsid w:val="008A0741"/>
    <w:rsid w:val="008A0D37"/>
    <w:rsid w:val="008A0E29"/>
    <w:rsid w:val="008A16D2"/>
    <w:rsid w:val="008A262E"/>
    <w:rsid w:val="008A2DE1"/>
    <w:rsid w:val="008A3D01"/>
    <w:rsid w:val="008A48C2"/>
    <w:rsid w:val="008A512E"/>
    <w:rsid w:val="008A5DF4"/>
    <w:rsid w:val="008A64DA"/>
    <w:rsid w:val="008A64EB"/>
    <w:rsid w:val="008A64EC"/>
    <w:rsid w:val="008A7244"/>
    <w:rsid w:val="008A7E92"/>
    <w:rsid w:val="008B0320"/>
    <w:rsid w:val="008B110D"/>
    <w:rsid w:val="008B157E"/>
    <w:rsid w:val="008B2056"/>
    <w:rsid w:val="008B2BA2"/>
    <w:rsid w:val="008B336F"/>
    <w:rsid w:val="008B3626"/>
    <w:rsid w:val="008B4173"/>
    <w:rsid w:val="008B44F0"/>
    <w:rsid w:val="008B4795"/>
    <w:rsid w:val="008B5018"/>
    <w:rsid w:val="008B50FA"/>
    <w:rsid w:val="008B6635"/>
    <w:rsid w:val="008C01E1"/>
    <w:rsid w:val="008C111E"/>
    <w:rsid w:val="008C2781"/>
    <w:rsid w:val="008C36B0"/>
    <w:rsid w:val="008C3AFE"/>
    <w:rsid w:val="008C420B"/>
    <w:rsid w:val="008C449A"/>
    <w:rsid w:val="008C531E"/>
    <w:rsid w:val="008C7011"/>
    <w:rsid w:val="008C73C5"/>
    <w:rsid w:val="008C7725"/>
    <w:rsid w:val="008C7BA9"/>
    <w:rsid w:val="008D0A6D"/>
    <w:rsid w:val="008D0F50"/>
    <w:rsid w:val="008D1417"/>
    <w:rsid w:val="008D1717"/>
    <w:rsid w:val="008D190B"/>
    <w:rsid w:val="008D2377"/>
    <w:rsid w:val="008D3982"/>
    <w:rsid w:val="008D3CAA"/>
    <w:rsid w:val="008D48D8"/>
    <w:rsid w:val="008D4E38"/>
    <w:rsid w:val="008D4FDC"/>
    <w:rsid w:val="008D54AA"/>
    <w:rsid w:val="008D58EF"/>
    <w:rsid w:val="008D5D6C"/>
    <w:rsid w:val="008D64D2"/>
    <w:rsid w:val="008D67BC"/>
    <w:rsid w:val="008D7D04"/>
    <w:rsid w:val="008E016A"/>
    <w:rsid w:val="008E0EF1"/>
    <w:rsid w:val="008E3650"/>
    <w:rsid w:val="008E3B7F"/>
    <w:rsid w:val="008E46E6"/>
    <w:rsid w:val="008E4BC1"/>
    <w:rsid w:val="008E4DA5"/>
    <w:rsid w:val="008E5AE9"/>
    <w:rsid w:val="008E65E0"/>
    <w:rsid w:val="008E732D"/>
    <w:rsid w:val="008E7FC6"/>
    <w:rsid w:val="008F0BEE"/>
    <w:rsid w:val="008F10F4"/>
    <w:rsid w:val="008F11CB"/>
    <w:rsid w:val="008F12B4"/>
    <w:rsid w:val="008F179C"/>
    <w:rsid w:val="008F24AC"/>
    <w:rsid w:val="008F2C2C"/>
    <w:rsid w:val="008F52D4"/>
    <w:rsid w:val="008F5CD5"/>
    <w:rsid w:val="008F6453"/>
    <w:rsid w:val="008F65CD"/>
    <w:rsid w:val="008F7A3D"/>
    <w:rsid w:val="009005F4"/>
    <w:rsid w:val="0090146D"/>
    <w:rsid w:val="0090170F"/>
    <w:rsid w:val="009023C1"/>
    <w:rsid w:val="00902618"/>
    <w:rsid w:val="00904196"/>
    <w:rsid w:val="00904F05"/>
    <w:rsid w:val="00907BD0"/>
    <w:rsid w:val="0091096C"/>
    <w:rsid w:val="00911916"/>
    <w:rsid w:val="00911A0C"/>
    <w:rsid w:val="00911A78"/>
    <w:rsid w:val="00911D35"/>
    <w:rsid w:val="00911EC8"/>
    <w:rsid w:val="00911EE7"/>
    <w:rsid w:val="00912A0C"/>
    <w:rsid w:val="00913CC7"/>
    <w:rsid w:val="009140C1"/>
    <w:rsid w:val="009141B7"/>
    <w:rsid w:val="00914875"/>
    <w:rsid w:val="0091524B"/>
    <w:rsid w:val="009157AE"/>
    <w:rsid w:val="00916F68"/>
    <w:rsid w:val="00916FCE"/>
    <w:rsid w:val="009172FA"/>
    <w:rsid w:val="0091785A"/>
    <w:rsid w:val="00917BC5"/>
    <w:rsid w:val="0092504A"/>
    <w:rsid w:val="00925256"/>
    <w:rsid w:val="00925AD2"/>
    <w:rsid w:val="00926334"/>
    <w:rsid w:val="00926C65"/>
    <w:rsid w:val="0093001D"/>
    <w:rsid w:val="00930634"/>
    <w:rsid w:val="00932D57"/>
    <w:rsid w:val="00933BB7"/>
    <w:rsid w:val="0093404F"/>
    <w:rsid w:val="00934687"/>
    <w:rsid w:val="00935DA2"/>
    <w:rsid w:val="00936CD4"/>
    <w:rsid w:val="00941573"/>
    <w:rsid w:val="00941F10"/>
    <w:rsid w:val="0094257B"/>
    <w:rsid w:val="00942A07"/>
    <w:rsid w:val="0094348F"/>
    <w:rsid w:val="00943CD6"/>
    <w:rsid w:val="00944D08"/>
    <w:rsid w:val="00946174"/>
    <w:rsid w:val="00946291"/>
    <w:rsid w:val="00947154"/>
    <w:rsid w:val="009474F2"/>
    <w:rsid w:val="0094753C"/>
    <w:rsid w:val="00947F6C"/>
    <w:rsid w:val="00951189"/>
    <w:rsid w:val="0095129E"/>
    <w:rsid w:val="00951E47"/>
    <w:rsid w:val="00951E91"/>
    <w:rsid w:val="009526A6"/>
    <w:rsid w:val="00952805"/>
    <w:rsid w:val="00953247"/>
    <w:rsid w:val="009533DC"/>
    <w:rsid w:val="00953CE2"/>
    <w:rsid w:val="009540E9"/>
    <w:rsid w:val="00954276"/>
    <w:rsid w:val="00954B26"/>
    <w:rsid w:val="00954DD0"/>
    <w:rsid w:val="00955F52"/>
    <w:rsid w:val="00956111"/>
    <w:rsid w:val="00956414"/>
    <w:rsid w:val="009565A3"/>
    <w:rsid w:val="009566BB"/>
    <w:rsid w:val="0095693B"/>
    <w:rsid w:val="00956BCA"/>
    <w:rsid w:val="00957648"/>
    <w:rsid w:val="009609B2"/>
    <w:rsid w:val="0096139D"/>
    <w:rsid w:val="00962185"/>
    <w:rsid w:val="009624D7"/>
    <w:rsid w:val="00962643"/>
    <w:rsid w:val="009628EA"/>
    <w:rsid w:val="009633B9"/>
    <w:rsid w:val="0096367D"/>
    <w:rsid w:val="00964785"/>
    <w:rsid w:val="009659C3"/>
    <w:rsid w:val="009660C3"/>
    <w:rsid w:val="009665E0"/>
    <w:rsid w:val="00970B46"/>
    <w:rsid w:val="00971C02"/>
    <w:rsid w:val="00972086"/>
    <w:rsid w:val="00972960"/>
    <w:rsid w:val="00972972"/>
    <w:rsid w:val="00974725"/>
    <w:rsid w:val="009751AD"/>
    <w:rsid w:val="00975803"/>
    <w:rsid w:val="009761E4"/>
    <w:rsid w:val="0097680B"/>
    <w:rsid w:val="00980A54"/>
    <w:rsid w:val="00981EB5"/>
    <w:rsid w:val="00981F88"/>
    <w:rsid w:val="00983156"/>
    <w:rsid w:val="009838DB"/>
    <w:rsid w:val="00983979"/>
    <w:rsid w:val="00983AFE"/>
    <w:rsid w:val="009842C5"/>
    <w:rsid w:val="00985427"/>
    <w:rsid w:val="00986042"/>
    <w:rsid w:val="00986603"/>
    <w:rsid w:val="00986DA4"/>
    <w:rsid w:val="00987B86"/>
    <w:rsid w:val="00990255"/>
    <w:rsid w:val="00990534"/>
    <w:rsid w:val="0099078B"/>
    <w:rsid w:val="00991886"/>
    <w:rsid w:val="0099191A"/>
    <w:rsid w:val="00991F2D"/>
    <w:rsid w:val="00993068"/>
    <w:rsid w:val="009931C9"/>
    <w:rsid w:val="00993227"/>
    <w:rsid w:val="00993430"/>
    <w:rsid w:val="009938B6"/>
    <w:rsid w:val="009947A4"/>
    <w:rsid w:val="00995864"/>
    <w:rsid w:val="009958DE"/>
    <w:rsid w:val="00995E85"/>
    <w:rsid w:val="009968D0"/>
    <w:rsid w:val="0099697A"/>
    <w:rsid w:val="00997BCD"/>
    <w:rsid w:val="009A0B80"/>
    <w:rsid w:val="009A193A"/>
    <w:rsid w:val="009A20E5"/>
    <w:rsid w:val="009A3617"/>
    <w:rsid w:val="009A4297"/>
    <w:rsid w:val="009A516C"/>
    <w:rsid w:val="009A5798"/>
    <w:rsid w:val="009A588A"/>
    <w:rsid w:val="009A6E0E"/>
    <w:rsid w:val="009A6FAE"/>
    <w:rsid w:val="009A75DA"/>
    <w:rsid w:val="009A781C"/>
    <w:rsid w:val="009A7F5A"/>
    <w:rsid w:val="009B0365"/>
    <w:rsid w:val="009B056B"/>
    <w:rsid w:val="009B063D"/>
    <w:rsid w:val="009B1496"/>
    <w:rsid w:val="009B1B43"/>
    <w:rsid w:val="009B2D4C"/>
    <w:rsid w:val="009B38D9"/>
    <w:rsid w:val="009B3B2D"/>
    <w:rsid w:val="009B42DC"/>
    <w:rsid w:val="009B4479"/>
    <w:rsid w:val="009B4E3B"/>
    <w:rsid w:val="009B5A9F"/>
    <w:rsid w:val="009B5F1B"/>
    <w:rsid w:val="009B5F8F"/>
    <w:rsid w:val="009B67BE"/>
    <w:rsid w:val="009B6C22"/>
    <w:rsid w:val="009B7044"/>
    <w:rsid w:val="009B7172"/>
    <w:rsid w:val="009B72A1"/>
    <w:rsid w:val="009B7311"/>
    <w:rsid w:val="009B7FA9"/>
    <w:rsid w:val="009C1F60"/>
    <w:rsid w:val="009C21F7"/>
    <w:rsid w:val="009C22FA"/>
    <w:rsid w:val="009C2358"/>
    <w:rsid w:val="009C29BD"/>
    <w:rsid w:val="009C2CDF"/>
    <w:rsid w:val="009C2F1A"/>
    <w:rsid w:val="009C55D6"/>
    <w:rsid w:val="009C5FC6"/>
    <w:rsid w:val="009C629F"/>
    <w:rsid w:val="009C6856"/>
    <w:rsid w:val="009C6971"/>
    <w:rsid w:val="009C6C8E"/>
    <w:rsid w:val="009C6F0B"/>
    <w:rsid w:val="009C7308"/>
    <w:rsid w:val="009D0069"/>
    <w:rsid w:val="009D0E9B"/>
    <w:rsid w:val="009D15C2"/>
    <w:rsid w:val="009D249B"/>
    <w:rsid w:val="009D3BD0"/>
    <w:rsid w:val="009D3FC3"/>
    <w:rsid w:val="009D5E71"/>
    <w:rsid w:val="009D70E0"/>
    <w:rsid w:val="009D7324"/>
    <w:rsid w:val="009D7D47"/>
    <w:rsid w:val="009D7D55"/>
    <w:rsid w:val="009D7EDA"/>
    <w:rsid w:val="009E0157"/>
    <w:rsid w:val="009E02F6"/>
    <w:rsid w:val="009E0F88"/>
    <w:rsid w:val="009E10C3"/>
    <w:rsid w:val="009E12DB"/>
    <w:rsid w:val="009E1D66"/>
    <w:rsid w:val="009E1DD6"/>
    <w:rsid w:val="009E2118"/>
    <w:rsid w:val="009E250B"/>
    <w:rsid w:val="009E3485"/>
    <w:rsid w:val="009E3775"/>
    <w:rsid w:val="009E3ABB"/>
    <w:rsid w:val="009E555C"/>
    <w:rsid w:val="009E66A6"/>
    <w:rsid w:val="009E75DA"/>
    <w:rsid w:val="009F04BD"/>
    <w:rsid w:val="009F0828"/>
    <w:rsid w:val="009F0CC4"/>
    <w:rsid w:val="009F0DDD"/>
    <w:rsid w:val="009F0FB1"/>
    <w:rsid w:val="009F15B3"/>
    <w:rsid w:val="009F23BE"/>
    <w:rsid w:val="009F23C8"/>
    <w:rsid w:val="009F2515"/>
    <w:rsid w:val="009F2C56"/>
    <w:rsid w:val="009F2CAD"/>
    <w:rsid w:val="009F3A8F"/>
    <w:rsid w:val="009F4510"/>
    <w:rsid w:val="009F48B3"/>
    <w:rsid w:val="009F55BD"/>
    <w:rsid w:val="009F5884"/>
    <w:rsid w:val="009F6D33"/>
    <w:rsid w:val="009F789A"/>
    <w:rsid w:val="009F7D33"/>
    <w:rsid w:val="00A014F3"/>
    <w:rsid w:val="00A02420"/>
    <w:rsid w:val="00A02B1C"/>
    <w:rsid w:val="00A044CE"/>
    <w:rsid w:val="00A05B01"/>
    <w:rsid w:val="00A06214"/>
    <w:rsid w:val="00A066FC"/>
    <w:rsid w:val="00A0769D"/>
    <w:rsid w:val="00A07EA3"/>
    <w:rsid w:val="00A1045A"/>
    <w:rsid w:val="00A104E5"/>
    <w:rsid w:val="00A10BDF"/>
    <w:rsid w:val="00A10F3B"/>
    <w:rsid w:val="00A11359"/>
    <w:rsid w:val="00A11A25"/>
    <w:rsid w:val="00A12A3B"/>
    <w:rsid w:val="00A13284"/>
    <w:rsid w:val="00A132F7"/>
    <w:rsid w:val="00A14B91"/>
    <w:rsid w:val="00A157AB"/>
    <w:rsid w:val="00A159C9"/>
    <w:rsid w:val="00A15CAB"/>
    <w:rsid w:val="00A16B59"/>
    <w:rsid w:val="00A173EA"/>
    <w:rsid w:val="00A176F0"/>
    <w:rsid w:val="00A203B7"/>
    <w:rsid w:val="00A20423"/>
    <w:rsid w:val="00A20E88"/>
    <w:rsid w:val="00A20E9C"/>
    <w:rsid w:val="00A21024"/>
    <w:rsid w:val="00A218B3"/>
    <w:rsid w:val="00A21A6D"/>
    <w:rsid w:val="00A21E6A"/>
    <w:rsid w:val="00A224ED"/>
    <w:rsid w:val="00A23223"/>
    <w:rsid w:val="00A23642"/>
    <w:rsid w:val="00A23F64"/>
    <w:rsid w:val="00A24731"/>
    <w:rsid w:val="00A24A1B"/>
    <w:rsid w:val="00A25810"/>
    <w:rsid w:val="00A25C3A"/>
    <w:rsid w:val="00A2667D"/>
    <w:rsid w:val="00A26A51"/>
    <w:rsid w:val="00A26EC3"/>
    <w:rsid w:val="00A27691"/>
    <w:rsid w:val="00A308E1"/>
    <w:rsid w:val="00A3108C"/>
    <w:rsid w:val="00A3134E"/>
    <w:rsid w:val="00A31571"/>
    <w:rsid w:val="00A316DF"/>
    <w:rsid w:val="00A31E17"/>
    <w:rsid w:val="00A32142"/>
    <w:rsid w:val="00A32726"/>
    <w:rsid w:val="00A32C5B"/>
    <w:rsid w:val="00A33287"/>
    <w:rsid w:val="00A334EE"/>
    <w:rsid w:val="00A33750"/>
    <w:rsid w:val="00A33DAD"/>
    <w:rsid w:val="00A353D0"/>
    <w:rsid w:val="00A3576E"/>
    <w:rsid w:val="00A357CF"/>
    <w:rsid w:val="00A36211"/>
    <w:rsid w:val="00A373DC"/>
    <w:rsid w:val="00A3740E"/>
    <w:rsid w:val="00A378B4"/>
    <w:rsid w:val="00A37CB5"/>
    <w:rsid w:val="00A400F8"/>
    <w:rsid w:val="00A402AF"/>
    <w:rsid w:val="00A405DD"/>
    <w:rsid w:val="00A40E02"/>
    <w:rsid w:val="00A413ED"/>
    <w:rsid w:val="00A41412"/>
    <w:rsid w:val="00A418A9"/>
    <w:rsid w:val="00A4251A"/>
    <w:rsid w:val="00A42BC0"/>
    <w:rsid w:val="00A42F41"/>
    <w:rsid w:val="00A4386F"/>
    <w:rsid w:val="00A468FB"/>
    <w:rsid w:val="00A477B7"/>
    <w:rsid w:val="00A502E0"/>
    <w:rsid w:val="00A50A2B"/>
    <w:rsid w:val="00A50A6C"/>
    <w:rsid w:val="00A51008"/>
    <w:rsid w:val="00A515E5"/>
    <w:rsid w:val="00A52442"/>
    <w:rsid w:val="00A5289D"/>
    <w:rsid w:val="00A52AD6"/>
    <w:rsid w:val="00A53884"/>
    <w:rsid w:val="00A53A7C"/>
    <w:rsid w:val="00A54B7D"/>
    <w:rsid w:val="00A571D6"/>
    <w:rsid w:val="00A61587"/>
    <w:rsid w:val="00A62082"/>
    <w:rsid w:val="00A62197"/>
    <w:rsid w:val="00A623FB"/>
    <w:rsid w:val="00A62A16"/>
    <w:rsid w:val="00A63DCE"/>
    <w:rsid w:val="00A63EC5"/>
    <w:rsid w:val="00A64312"/>
    <w:rsid w:val="00A64B3F"/>
    <w:rsid w:val="00A64D2B"/>
    <w:rsid w:val="00A65E6E"/>
    <w:rsid w:val="00A661C3"/>
    <w:rsid w:val="00A66476"/>
    <w:rsid w:val="00A66DAC"/>
    <w:rsid w:val="00A66EBC"/>
    <w:rsid w:val="00A678FE"/>
    <w:rsid w:val="00A67F43"/>
    <w:rsid w:val="00A70872"/>
    <w:rsid w:val="00A70FD6"/>
    <w:rsid w:val="00A70FFE"/>
    <w:rsid w:val="00A71153"/>
    <w:rsid w:val="00A72B06"/>
    <w:rsid w:val="00A72E0C"/>
    <w:rsid w:val="00A73F3F"/>
    <w:rsid w:val="00A742C4"/>
    <w:rsid w:val="00A753D4"/>
    <w:rsid w:val="00A754DF"/>
    <w:rsid w:val="00A77D68"/>
    <w:rsid w:val="00A77EA1"/>
    <w:rsid w:val="00A80348"/>
    <w:rsid w:val="00A8057F"/>
    <w:rsid w:val="00A807B8"/>
    <w:rsid w:val="00A80F9A"/>
    <w:rsid w:val="00A81345"/>
    <w:rsid w:val="00A814A1"/>
    <w:rsid w:val="00A81DD5"/>
    <w:rsid w:val="00A8227D"/>
    <w:rsid w:val="00A82E51"/>
    <w:rsid w:val="00A83335"/>
    <w:rsid w:val="00A837EF"/>
    <w:rsid w:val="00A83B2A"/>
    <w:rsid w:val="00A83DA8"/>
    <w:rsid w:val="00A850A9"/>
    <w:rsid w:val="00A869C5"/>
    <w:rsid w:val="00A86D94"/>
    <w:rsid w:val="00A86F33"/>
    <w:rsid w:val="00A8737D"/>
    <w:rsid w:val="00A904CE"/>
    <w:rsid w:val="00A915D4"/>
    <w:rsid w:val="00A93B60"/>
    <w:rsid w:val="00A94113"/>
    <w:rsid w:val="00A9413B"/>
    <w:rsid w:val="00A95162"/>
    <w:rsid w:val="00A95A83"/>
    <w:rsid w:val="00A95D59"/>
    <w:rsid w:val="00A9647E"/>
    <w:rsid w:val="00A965A9"/>
    <w:rsid w:val="00A96801"/>
    <w:rsid w:val="00AA1BB8"/>
    <w:rsid w:val="00AA29A1"/>
    <w:rsid w:val="00AA3D2F"/>
    <w:rsid w:val="00AA3F58"/>
    <w:rsid w:val="00AA4B72"/>
    <w:rsid w:val="00AA5A9F"/>
    <w:rsid w:val="00AA5E04"/>
    <w:rsid w:val="00AA62F9"/>
    <w:rsid w:val="00AA6900"/>
    <w:rsid w:val="00AB100A"/>
    <w:rsid w:val="00AB134F"/>
    <w:rsid w:val="00AB18AE"/>
    <w:rsid w:val="00AB2832"/>
    <w:rsid w:val="00AB35C8"/>
    <w:rsid w:val="00AB5585"/>
    <w:rsid w:val="00AB56A9"/>
    <w:rsid w:val="00AB575D"/>
    <w:rsid w:val="00AB57B3"/>
    <w:rsid w:val="00AB5A31"/>
    <w:rsid w:val="00AB5C70"/>
    <w:rsid w:val="00AB6EF9"/>
    <w:rsid w:val="00AC099A"/>
    <w:rsid w:val="00AC0C93"/>
    <w:rsid w:val="00AC19C4"/>
    <w:rsid w:val="00AC332F"/>
    <w:rsid w:val="00AC3840"/>
    <w:rsid w:val="00AC3DAE"/>
    <w:rsid w:val="00AC4167"/>
    <w:rsid w:val="00AC4889"/>
    <w:rsid w:val="00AC4FF6"/>
    <w:rsid w:val="00AC6768"/>
    <w:rsid w:val="00AC6BFA"/>
    <w:rsid w:val="00AC7465"/>
    <w:rsid w:val="00AC74F7"/>
    <w:rsid w:val="00AC7A8A"/>
    <w:rsid w:val="00AD0BF1"/>
    <w:rsid w:val="00AD1DC0"/>
    <w:rsid w:val="00AD24C7"/>
    <w:rsid w:val="00AD31B1"/>
    <w:rsid w:val="00AD3566"/>
    <w:rsid w:val="00AD37A7"/>
    <w:rsid w:val="00AD4DA6"/>
    <w:rsid w:val="00AD6C8F"/>
    <w:rsid w:val="00AD6DBA"/>
    <w:rsid w:val="00AD7B7B"/>
    <w:rsid w:val="00AE00C2"/>
    <w:rsid w:val="00AE0D7E"/>
    <w:rsid w:val="00AE0FB2"/>
    <w:rsid w:val="00AE202A"/>
    <w:rsid w:val="00AE205E"/>
    <w:rsid w:val="00AE211C"/>
    <w:rsid w:val="00AE3DCF"/>
    <w:rsid w:val="00AE738A"/>
    <w:rsid w:val="00AF040D"/>
    <w:rsid w:val="00AF0B85"/>
    <w:rsid w:val="00AF12F9"/>
    <w:rsid w:val="00AF17E2"/>
    <w:rsid w:val="00AF24FC"/>
    <w:rsid w:val="00AF28C2"/>
    <w:rsid w:val="00AF6BF1"/>
    <w:rsid w:val="00B03FF9"/>
    <w:rsid w:val="00B04703"/>
    <w:rsid w:val="00B04D6A"/>
    <w:rsid w:val="00B0501D"/>
    <w:rsid w:val="00B05945"/>
    <w:rsid w:val="00B05B4E"/>
    <w:rsid w:val="00B06999"/>
    <w:rsid w:val="00B06C6F"/>
    <w:rsid w:val="00B07221"/>
    <w:rsid w:val="00B10060"/>
    <w:rsid w:val="00B11CAD"/>
    <w:rsid w:val="00B12FB8"/>
    <w:rsid w:val="00B13189"/>
    <w:rsid w:val="00B13446"/>
    <w:rsid w:val="00B142A2"/>
    <w:rsid w:val="00B14DD9"/>
    <w:rsid w:val="00B15189"/>
    <w:rsid w:val="00B15834"/>
    <w:rsid w:val="00B15CAB"/>
    <w:rsid w:val="00B1652B"/>
    <w:rsid w:val="00B16FC5"/>
    <w:rsid w:val="00B175D0"/>
    <w:rsid w:val="00B200AC"/>
    <w:rsid w:val="00B20B02"/>
    <w:rsid w:val="00B22812"/>
    <w:rsid w:val="00B22FC9"/>
    <w:rsid w:val="00B241D3"/>
    <w:rsid w:val="00B25BC7"/>
    <w:rsid w:val="00B25DE4"/>
    <w:rsid w:val="00B25DF8"/>
    <w:rsid w:val="00B25E4B"/>
    <w:rsid w:val="00B25FC1"/>
    <w:rsid w:val="00B263A4"/>
    <w:rsid w:val="00B2647B"/>
    <w:rsid w:val="00B274B8"/>
    <w:rsid w:val="00B27E73"/>
    <w:rsid w:val="00B304F8"/>
    <w:rsid w:val="00B30C09"/>
    <w:rsid w:val="00B320AC"/>
    <w:rsid w:val="00B339B2"/>
    <w:rsid w:val="00B33FA4"/>
    <w:rsid w:val="00B34A16"/>
    <w:rsid w:val="00B35F66"/>
    <w:rsid w:val="00B35FF8"/>
    <w:rsid w:val="00B36D31"/>
    <w:rsid w:val="00B374AB"/>
    <w:rsid w:val="00B4013F"/>
    <w:rsid w:val="00B40FB1"/>
    <w:rsid w:val="00B426A5"/>
    <w:rsid w:val="00B45238"/>
    <w:rsid w:val="00B470E6"/>
    <w:rsid w:val="00B473BE"/>
    <w:rsid w:val="00B4775E"/>
    <w:rsid w:val="00B50469"/>
    <w:rsid w:val="00B50D0F"/>
    <w:rsid w:val="00B50E08"/>
    <w:rsid w:val="00B5163C"/>
    <w:rsid w:val="00B51F13"/>
    <w:rsid w:val="00B5217F"/>
    <w:rsid w:val="00B521B2"/>
    <w:rsid w:val="00B52CFA"/>
    <w:rsid w:val="00B5351D"/>
    <w:rsid w:val="00B5394B"/>
    <w:rsid w:val="00B54711"/>
    <w:rsid w:val="00B554FD"/>
    <w:rsid w:val="00B559D5"/>
    <w:rsid w:val="00B56359"/>
    <w:rsid w:val="00B61898"/>
    <w:rsid w:val="00B62CCF"/>
    <w:rsid w:val="00B6383A"/>
    <w:rsid w:val="00B63C72"/>
    <w:rsid w:val="00B63D3E"/>
    <w:rsid w:val="00B6512B"/>
    <w:rsid w:val="00B6575D"/>
    <w:rsid w:val="00B6781A"/>
    <w:rsid w:val="00B67A00"/>
    <w:rsid w:val="00B67EEE"/>
    <w:rsid w:val="00B70151"/>
    <w:rsid w:val="00B701B6"/>
    <w:rsid w:val="00B7189A"/>
    <w:rsid w:val="00B71A9A"/>
    <w:rsid w:val="00B72541"/>
    <w:rsid w:val="00B72CC7"/>
    <w:rsid w:val="00B72E1E"/>
    <w:rsid w:val="00B7553B"/>
    <w:rsid w:val="00B75544"/>
    <w:rsid w:val="00B770E1"/>
    <w:rsid w:val="00B8063C"/>
    <w:rsid w:val="00B80AC2"/>
    <w:rsid w:val="00B80BE2"/>
    <w:rsid w:val="00B826BD"/>
    <w:rsid w:val="00B82C6F"/>
    <w:rsid w:val="00B83282"/>
    <w:rsid w:val="00B8432F"/>
    <w:rsid w:val="00B843D0"/>
    <w:rsid w:val="00B84406"/>
    <w:rsid w:val="00B8512C"/>
    <w:rsid w:val="00B85938"/>
    <w:rsid w:val="00B85F34"/>
    <w:rsid w:val="00B867E4"/>
    <w:rsid w:val="00B86B70"/>
    <w:rsid w:val="00B86BCB"/>
    <w:rsid w:val="00B8750F"/>
    <w:rsid w:val="00B90123"/>
    <w:rsid w:val="00B90410"/>
    <w:rsid w:val="00B904B0"/>
    <w:rsid w:val="00B9179B"/>
    <w:rsid w:val="00B91F03"/>
    <w:rsid w:val="00B929B2"/>
    <w:rsid w:val="00B92DD0"/>
    <w:rsid w:val="00B93251"/>
    <w:rsid w:val="00B9345D"/>
    <w:rsid w:val="00B93999"/>
    <w:rsid w:val="00B93C6B"/>
    <w:rsid w:val="00B9492F"/>
    <w:rsid w:val="00B94A7A"/>
    <w:rsid w:val="00B94F71"/>
    <w:rsid w:val="00B953B7"/>
    <w:rsid w:val="00B95F32"/>
    <w:rsid w:val="00B9617D"/>
    <w:rsid w:val="00B96616"/>
    <w:rsid w:val="00B96F60"/>
    <w:rsid w:val="00B96F6F"/>
    <w:rsid w:val="00BA0E0E"/>
    <w:rsid w:val="00BA1AAD"/>
    <w:rsid w:val="00BA1D2A"/>
    <w:rsid w:val="00BA266B"/>
    <w:rsid w:val="00BA27CD"/>
    <w:rsid w:val="00BA2860"/>
    <w:rsid w:val="00BA3280"/>
    <w:rsid w:val="00BA3680"/>
    <w:rsid w:val="00BA4831"/>
    <w:rsid w:val="00BA59FF"/>
    <w:rsid w:val="00BA5C42"/>
    <w:rsid w:val="00BA64F4"/>
    <w:rsid w:val="00BA67C2"/>
    <w:rsid w:val="00BA6840"/>
    <w:rsid w:val="00BA6B4D"/>
    <w:rsid w:val="00BA7552"/>
    <w:rsid w:val="00BA765F"/>
    <w:rsid w:val="00BB178F"/>
    <w:rsid w:val="00BB1825"/>
    <w:rsid w:val="00BB1F0A"/>
    <w:rsid w:val="00BB1F89"/>
    <w:rsid w:val="00BB26DB"/>
    <w:rsid w:val="00BB30E4"/>
    <w:rsid w:val="00BB3D10"/>
    <w:rsid w:val="00BB50C3"/>
    <w:rsid w:val="00BB5252"/>
    <w:rsid w:val="00BB55A7"/>
    <w:rsid w:val="00BB579F"/>
    <w:rsid w:val="00BB5CC2"/>
    <w:rsid w:val="00BB68CB"/>
    <w:rsid w:val="00BB6FC6"/>
    <w:rsid w:val="00BB7733"/>
    <w:rsid w:val="00BB7E85"/>
    <w:rsid w:val="00BC0244"/>
    <w:rsid w:val="00BC081F"/>
    <w:rsid w:val="00BC097B"/>
    <w:rsid w:val="00BC1861"/>
    <w:rsid w:val="00BC2341"/>
    <w:rsid w:val="00BC2857"/>
    <w:rsid w:val="00BC301D"/>
    <w:rsid w:val="00BC361C"/>
    <w:rsid w:val="00BC3CE0"/>
    <w:rsid w:val="00BC40CA"/>
    <w:rsid w:val="00BC4184"/>
    <w:rsid w:val="00BC48A5"/>
    <w:rsid w:val="00BC509C"/>
    <w:rsid w:val="00BC617F"/>
    <w:rsid w:val="00BC61B0"/>
    <w:rsid w:val="00BC6AD3"/>
    <w:rsid w:val="00BC6F90"/>
    <w:rsid w:val="00BC7184"/>
    <w:rsid w:val="00BC72AF"/>
    <w:rsid w:val="00BC7F5C"/>
    <w:rsid w:val="00BD0007"/>
    <w:rsid w:val="00BD023C"/>
    <w:rsid w:val="00BD051A"/>
    <w:rsid w:val="00BD146E"/>
    <w:rsid w:val="00BD2191"/>
    <w:rsid w:val="00BD302A"/>
    <w:rsid w:val="00BD327F"/>
    <w:rsid w:val="00BD369F"/>
    <w:rsid w:val="00BD3C29"/>
    <w:rsid w:val="00BD4695"/>
    <w:rsid w:val="00BD5113"/>
    <w:rsid w:val="00BD51A3"/>
    <w:rsid w:val="00BD6742"/>
    <w:rsid w:val="00BD68D6"/>
    <w:rsid w:val="00BD777B"/>
    <w:rsid w:val="00BE0867"/>
    <w:rsid w:val="00BE145D"/>
    <w:rsid w:val="00BE209C"/>
    <w:rsid w:val="00BE3B8F"/>
    <w:rsid w:val="00BE3E2F"/>
    <w:rsid w:val="00BE49A5"/>
    <w:rsid w:val="00BE4BFA"/>
    <w:rsid w:val="00BE4D84"/>
    <w:rsid w:val="00BE4E33"/>
    <w:rsid w:val="00BE55FD"/>
    <w:rsid w:val="00BE5F11"/>
    <w:rsid w:val="00BE6DD9"/>
    <w:rsid w:val="00BE6F2F"/>
    <w:rsid w:val="00BE7671"/>
    <w:rsid w:val="00BF03D1"/>
    <w:rsid w:val="00BF1417"/>
    <w:rsid w:val="00BF24D0"/>
    <w:rsid w:val="00BF2ECF"/>
    <w:rsid w:val="00BF2EF4"/>
    <w:rsid w:val="00BF35AB"/>
    <w:rsid w:val="00BF398C"/>
    <w:rsid w:val="00BF3A26"/>
    <w:rsid w:val="00BF3F1D"/>
    <w:rsid w:val="00BF4777"/>
    <w:rsid w:val="00BF4ACD"/>
    <w:rsid w:val="00BF5054"/>
    <w:rsid w:val="00BF50D8"/>
    <w:rsid w:val="00BF7B1D"/>
    <w:rsid w:val="00BF7CE9"/>
    <w:rsid w:val="00C00EDA"/>
    <w:rsid w:val="00C0282B"/>
    <w:rsid w:val="00C029E5"/>
    <w:rsid w:val="00C02CCA"/>
    <w:rsid w:val="00C02E5E"/>
    <w:rsid w:val="00C02ED3"/>
    <w:rsid w:val="00C03157"/>
    <w:rsid w:val="00C04145"/>
    <w:rsid w:val="00C04D7C"/>
    <w:rsid w:val="00C05113"/>
    <w:rsid w:val="00C063EE"/>
    <w:rsid w:val="00C07511"/>
    <w:rsid w:val="00C107F1"/>
    <w:rsid w:val="00C13231"/>
    <w:rsid w:val="00C13AC0"/>
    <w:rsid w:val="00C140B0"/>
    <w:rsid w:val="00C14F1F"/>
    <w:rsid w:val="00C15680"/>
    <w:rsid w:val="00C16B5D"/>
    <w:rsid w:val="00C17052"/>
    <w:rsid w:val="00C1727E"/>
    <w:rsid w:val="00C20B18"/>
    <w:rsid w:val="00C20CC4"/>
    <w:rsid w:val="00C21388"/>
    <w:rsid w:val="00C21DAD"/>
    <w:rsid w:val="00C22133"/>
    <w:rsid w:val="00C227E8"/>
    <w:rsid w:val="00C22983"/>
    <w:rsid w:val="00C22B57"/>
    <w:rsid w:val="00C23BF5"/>
    <w:rsid w:val="00C24261"/>
    <w:rsid w:val="00C2505A"/>
    <w:rsid w:val="00C268CE"/>
    <w:rsid w:val="00C27230"/>
    <w:rsid w:val="00C27AFF"/>
    <w:rsid w:val="00C3028D"/>
    <w:rsid w:val="00C31087"/>
    <w:rsid w:val="00C3231A"/>
    <w:rsid w:val="00C33428"/>
    <w:rsid w:val="00C35C47"/>
    <w:rsid w:val="00C35E0B"/>
    <w:rsid w:val="00C366FA"/>
    <w:rsid w:val="00C37099"/>
    <w:rsid w:val="00C373AD"/>
    <w:rsid w:val="00C3743B"/>
    <w:rsid w:val="00C37A43"/>
    <w:rsid w:val="00C418BB"/>
    <w:rsid w:val="00C42668"/>
    <w:rsid w:val="00C4278D"/>
    <w:rsid w:val="00C43126"/>
    <w:rsid w:val="00C44810"/>
    <w:rsid w:val="00C4530D"/>
    <w:rsid w:val="00C45440"/>
    <w:rsid w:val="00C45E51"/>
    <w:rsid w:val="00C46504"/>
    <w:rsid w:val="00C4661D"/>
    <w:rsid w:val="00C47246"/>
    <w:rsid w:val="00C532B8"/>
    <w:rsid w:val="00C53469"/>
    <w:rsid w:val="00C54406"/>
    <w:rsid w:val="00C5465A"/>
    <w:rsid w:val="00C551D8"/>
    <w:rsid w:val="00C55453"/>
    <w:rsid w:val="00C55665"/>
    <w:rsid w:val="00C556C1"/>
    <w:rsid w:val="00C56711"/>
    <w:rsid w:val="00C56FE2"/>
    <w:rsid w:val="00C57091"/>
    <w:rsid w:val="00C57DBB"/>
    <w:rsid w:val="00C608AC"/>
    <w:rsid w:val="00C608DD"/>
    <w:rsid w:val="00C610BD"/>
    <w:rsid w:val="00C612EE"/>
    <w:rsid w:val="00C619AE"/>
    <w:rsid w:val="00C61BA1"/>
    <w:rsid w:val="00C61CC6"/>
    <w:rsid w:val="00C61ED7"/>
    <w:rsid w:val="00C6252A"/>
    <w:rsid w:val="00C62B64"/>
    <w:rsid w:val="00C63431"/>
    <w:rsid w:val="00C64070"/>
    <w:rsid w:val="00C64C35"/>
    <w:rsid w:val="00C64CB1"/>
    <w:rsid w:val="00C652F4"/>
    <w:rsid w:val="00C667C3"/>
    <w:rsid w:val="00C672A8"/>
    <w:rsid w:val="00C67B0D"/>
    <w:rsid w:val="00C7009A"/>
    <w:rsid w:val="00C716A9"/>
    <w:rsid w:val="00C71D50"/>
    <w:rsid w:val="00C71E80"/>
    <w:rsid w:val="00C72711"/>
    <w:rsid w:val="00C72842"/>
    <w:rsid w:val="00C731E9"/>
    <w:rsid w:val="00C7359E"/>
    <w:rsid w:val="00C73722"/>
    <w:rsid w:val="00C747A8"/>
    <w:rsid w:val="00C77421"/>
    <w:rsid w:val="00C77760"/>
    <w:rsid w:val="00C80542"/>
    <w:rsid w:val="00C8237C"/>
    <w:rsid w:val="00C82664"/>
    <w:rsid w:val="00C832CC"/>
    <w:rsid w:val="00C83973"/>
    <w:rsid w:val="00C83A9F"/>
    <w:rsid w:val="00C845F3"/>
    <w:rsid w:val="00C851EA"/>
    <w:rsid w:val="00C8526F"/>
    <w:rsid w:val="00C85B3F"/>
    <w:rsid w:val="00C861B9"/>
    <w:rsid w:val="00C864D0"/>
    <w:rsid w:val="00C8762A"/>
    <w:rsid w:val="00C907FD"/>
    <w:rsid w:val="00C90EBC"/>
    <w:rsid w:val="00C90F75"/>
    <w:rsid w:val="00C9193C"/>
    <w:rsid w:val="00C91B1B"/>
    <w:rsid w:val="00C91B1E"/>
    <w:rsid w:val="00C91B56"/>
    <w:rsid w:val="00C91DC2"/>
    <w:rsid w:val="00C91DCB"/>
    <w:rsid w:val="00C93201"/>
    <w:rsid w:val="00C93786"/>
    <w:rsid w:val="00C9460F"/>
    <w:rsid w:val="00C94648"/>
    <w:rsid w:val="00C949E7"/>
    <w:rsid w:val="00C9540D"/>
    <w:rsid w:val="00C96445"/>
    <w:rsid w:val="00C966B0"/>
    <w:rsid w:val="00C9710F"/>
    <w:rsid w:val="00C9765B"/>
    <w:rsid w:val="00C97D15"/>
    <w:rsid w:val="00C97D59"/>
    <w:rsid w:val="00CA0333"/>
    <w:rsid w:val="00CA0CD9"/>
    <w:rsid w:val="00CA1530"/>
    <w:rsid w:val="00CA1763"/>
    <w:rsid w:val="00CA2F07"/>
    <w:rsid w:val="00CA3EA7"/>
    <w:rsid w:val="00CA44EE"/>
    <w:rsid w:val="00CA51A4"/>
    <w:rsid w:val="00CA55C5"/>
    <w:rsid w:val="00CA5B1A"/>
    <w:rsid w:val="00CA681E"/>
    <w:rsid w:val="00CA7E75"/>
    <w:rsid w:val="00CB0D88"/>
    <w:rsid w:val="00CB1040"/>
    <w:rsid w:val="00CB1679"/>
    <w:rsid w:val="00CB2F23"/>
    <w:rsid w:val="00CB3DDB"/>
    <w:rsid w:val="00CB4502"/>
    <w:rsid w:val="00CB4B8B"/>
    <w:rsid w:val="00CB58E2"/>
    <w:rsid w:val="00CB5E96"/>
    <w:rsid w:val="00CB630D"/>
    <w:rsid w:val="00CB6CEA"/>
    <w:rsid w:val="00CB7371"/>
    <w:rsid w:val="00CB73F9"/>
    <w:rsid w:val="00CB7527"/>
    <w:rsid w:val="00CC02F6"/>
    <w:rsid w:val="00CC0A92"/>
    <w:rsid w:val="00CC2BDC"/>
    <w:rsid w:val="00CC2F9F"/>
    <w:rsid w:val="00CC3387"/>
    <w:rsid w:val="00CC4709"/>
    <w:rsid w:val="00CC5501"/>
    <w:rsid w:val="00CC569C"/>
    <w:rsid w:val="00CC663A"/>
    <w:rsid w:val="00CC6735"/>
    <w:rsid w:val="00CC7AC2"/>
    <w:rsid w:val="00CC7B77"/>
    <w:rsid w:val="00CC7C2C"/>
    <w:rsid w:val="00CD08C3"/>
    <w:rsid w:val="00CD0915"/>
    <w:rsid w:val="00CD10E4"/>
    <w:rsid w:val="00CD1A67"/>
    <w:rsid w:val="00CD1CDA"/>
    <w:rsid w:val="00CD20A6"/>
    <w:rsid w:val="00CD22A5"/>
    <w:rsid w:val="00CD2B21"/>
    <w:rsid w:val="00CD2C1D"/>
    <w:rsid w:val="00CD2DF8"/>
    <w:rsid w:val="00CD49F8"/>
    <w:rsid w:val="00CE0637"/>
    <w:rsid w:val="00CE0D1E"/>
    <w:rsid w:val="00CE1205"/>
    <w:rsid w:val="00CE133C"/>
    <w:rsid w:val="00CE1A47"/>
    <w:rsid w:val="00CE2BF0"/>
    <w:rsid w:val="00CE2C2D"/>
    <w:rsid w:val="00CE4450"/>
    <w:rsid w:val="00CE4D6C"/>
    <w:rsid w:val="00CE5868"/>
    <w:rsid w:val="00CE5D92"/>
    <w:rsid w:val="00CE6820"/>
    <w:rsid w:val="00CE704B"/>
    <w:rsid w:val="00CF032A"/>
    <w:rsid w:val="00CF07A6"/>
    <w:rsid w:val="00CF1E67"/>
    <w:rsid w:val="00CF25F8"/>
    <w:rsid w:val="00CF293D"/>
    <w:rsid w:val="00CF2C09"/>
    <w:rsid w:val="00CF3FDF"/>
    <w:rsid w:val="00CF51BA"/>
    <w:rsid w:val="00CF5933"/>
    <w:rsid w:val="00CF6813"/>
    <w:rsid w:val="00CF7AB6"/>
    <w:rsid w:val="00D00A76"/>
    <w:rsid w:val="00D0110F"/>
    <w:rsid w:val="00D0201E"/>
    <w:rsid w:val="00D021FE"/>
    <w:rsid w:val="00D0241E"/>
    <w:rsid w:val="00D0339C"/>
    <w:rsid w:val="00D035E2"/>
    <w:rsid w:val="00D04043"/>
    <w:rsid w:val="00D05F7E"/>
    <w:rsid w:val="00D06475"/>
    <w:rsid w:val="00D065A6"/>
    <w:rsid w:val="00D070CF"/>
    <w:rsid w:val="00D071E9"/>
    <w:rsid w:val="00D073FC"/>
    <w:rsid w:val="00D10AFD"/>
    <w:rsid w:val="00D10D23"/>
    <w:rsid w:val="00D10F69"/>
    <w:rsid w:val="00D11077"/>
    <w:rsid w:val="00D117AD"/>
    <w:rsid w:val="00D13407"/>
    <w:rsid w:val="00D13540"/>
    <w:rsid w:val="00D14B2E"/>
    <w:rsid w:val="00D151F1"/>
    <w:rsid w:val="00D152CF"/>
    <w:rsid w:val="00D1538E"/>
    <w:rsid w:val="00D15D1D"/>
    <w:rsid w:val="00D219A2"/>
    <w:rsid w:val="00D219CD"/>
    <w:rsid w:val="00D222AE"/>
    <w:rsid w:val="00D224DA"/>
    <w:rsid w:val="00D2264C"/>
    <w:rsid w:val="00D22760"/>
    <w:rsid w:val="00D241F3"/>
    <w:rsid w:val="00D24536"/>
    <w:rsid w:val="00D24DDD"/>
    <w:rsid w:val="00D2554A"/>
    <w:rsid w:val="00D2799D"/>
    <w:rsid w:val="00D3133C"/>
    <w:rsid w:val="00D31A1F"/>
    <w:rsid w:val="00D329C8"/>
    <w:rsid w:val="00D32A37"/>
    <w:rsid w:val="00D3330A"/>
    <w:rsid w:val="00D3385F"/>
    <w:rsid w:val="00D33F8D"/>
    <w:rsid w:val="00D344F2"/>
    <w:rsid w:val="00D35C32"/>
    <w:rsid w:val="00D35F27"/>
    <w:rsid w:val="00D3653F"/>
    <w:rsid w:val="00D4164C"/>
    <w:rsid w:val="00D41ACE"/>
    <w:rsid w:val="00D42941"/>
    <w:rsid w:val="00D42BC0"/>
    <w:rsid w:val="00D43670"/>
    <w:rsid w:val="00D43954"/>
    <w:rsid w:val="00D43DA7"/>
    <w:rsid w:val="00D44586"/>
    <w:rsid w:val="00D45E15"/>
    <w:rsid w:val="00D463BC"/>
    <w:rsid w:val="00D4648A"/>
    <w:rsid w:val="00D46F67"/>
    <w:rsid w:val="00D4710F"/>
    <w:rsid w:val="00D476C6"/>
    <w:rsid w:val="00D47C08"/>
    <w:rsid w:val="00D50418"/>
    <w:rsid w:val="00D50826"/>
    <w:rsid w:val="00D51636"/>
    <w:rsid w:val="00D517A6"/>
    <w:rsid w:val="00D51C74"/>
    <w:rsid w:val="00D522A4"/>
    <w:rsid w:val="00D539ED"/>
    <w:rsid w:val="00D541CA"/>
    <w:rsid w:val="00D54AA8"/>
    <w:rsid w:val="00D54B7F"/>
    <w:rsid w:val="00D54C0A"/>
    <w:rsid w:val="00D54C52"/>
    <w:rsid w:val="00D557B2"/>
    <w:rsid w:val="00D5698E"/>
    <w:rsid w:val="00D56D0F"/>
    <w:rsid w:val="00D56E27"/>
    <w:rsid w:val="00D56FAF"/>
    <w:rsid w:val="00D57E31"/>
    <w:rsid w:val="00D57F44"/>
    <w:rsid w:val="00D60039"/>
    <w:rsid w:val="00D605F0"/>
    <w:rsid w:val="00D618B2"/>
    <w:rsid w:val="00D61CC6"/>
    <w:rsid w:val="00D62070"/>
    <w:rsid w:val="00D62570"/>
    <w:rsid w:val="00D62868"/>
    <w:rsid w:val="00D62EC5"/>
    <w:rsid w:val="00D63B92"/>
    <w:rsid w:val="00D649D1"/>
    <w:rsid w:val="00D65B7D"/>
    <w:rsid w:val="00D65F76"/>
    <w:rsid w:val="00D67EA3"/>
    <w:rsid w:val="00D70379"/>
    <w:rsid w:val="00D705A0"/>
    <w:rsid w:val="00D70A92"/>
    <w:rsid w:val="00D7117E"/>
    <w:rsid w:val="00D71373"/>
    <w:rsid w:val="00D71458"/>
    <w:rsid w:val="00D7201E"/>
    <w:rsid w:val="00D726D7"/>
    <w:rsid w:val="00D73194"/>
    <w:rsid w:val="00D73D07"/>
    <w:rsid w:val="00D7413D"/>
    <w:rsid w:val="00D74240"/>
    <w:rsid w:val="00D74397"/>
    <w:rsid w:val="00D74A30"/>
    <w:rsid w:val="00D750ED"/>
    <w:rsid w:val="00D761D8"/>
    <w:rsid w:val="00D76F85"/>
    <w:rsid w:val="00D7789B"/>
    <w:rsid w:val="00D77942"/>
    <w:rsid w:val="00D77F62"/>
    <w:rsid w:val="00D80425"/>
    <w:rsid w:val="00D8046D"/>
    <w:rsid w:val="00D81315"/>
    <w:rsid w:val="00D81B9A"/>
    <w:rsid w:val="00D82092"/>
    <w:rsid w:val="00D82515"/>
    <w:rsid w:val="00D82665"/>
    <w:rsid w:val="00D831AA"/>
    <w:rsid w:val="00D83439"/>
    <w:rsid w:val="00D8386C"/>
    <w:rsid w:val="00D84A38"/>
    <w:rsid w:val="00D84AC4"/>
    <w:rsid w:val="00D84E1F"/>
    <w:rsid w:val="00D852AD"/>
    <w:rsid w:val="00D86AAD"/>
    <w:rsid w:val="00D877FD"/>
    <w:rsid w:val="00D87C9C"/>
    <w:rsid w:val="00D91DFD"/>
    <w:rsid w:val="00D920E9"/>
    <w:rsid w:val="00D928A6"/>
    <w:rsid w:val="00D93673"/>
    <w:rsid w:val="00D9379D"/>
    <w:rsid w:val="00D938AA"/>
    <w:rsid w:val="00D94C1D"/>
    <w:rsid w:val="00D95658"/>
    <w:rsid w:val="00D95F51"/>
    <w:rsid w:val="00D964FB"/>
    <w:rsid w:val="00D96AA3"/>
    <w:rsid w:val="00D97389"/>
    <w:rsid w:val="00DA0201"/>
    <w:rsid w:val="00DA1F37"/>
    <w:rsid w:val="00DA200A"/>
    <w:rsid w:val="00DA2E3D"/>
    <w:rsid w:val="00DA32D8"/>
    <w:rsid w:val="00DA3A75"/>
    <w:rsid w:val="00DA3C4B"/>
    <w:rsid w:val="00DA47D4"/>
    <w:rsid w:val="00DA4C69"/>
    <w:rsid w:val="00DA4E92"/>
    <w:rsid w:val="00DA5004"/>
    <w:rsid w:val="00DA5AF3"/>
    <w:rsid w:val="00DA5E8E"/>
    <w:rsid w:val="00DA5F19"/>
    <w:rsid w:val="00DA61BD"/>
    <w:rsid w:val="00DA6B28"/>
    <w:rsid w:val="00DA76B8"/>
    <w:rsid w:val="00DB1A85"/>
    <w:rsid w:val="00DB2569"/>
    <w:rsid w:val="00DB280E"/>
    <w:rsid w:val="00DB310F"/>
    <w:rsid w:val="00DB4A8E"/>
    <w:rsid w:val="00DB69DE"/>
    <w:rsid w:val="00DB6C20"/>
    <w:rsid w:val="00DC006E"/>
    <w:rsid w:val="00DC00DC"/>
    <w:rsid w:val="00DC0340"/>
    <w:rsid w:val="00DC0530"/>
    <w:rsid w:val="00DC0E8E"/>
    <w:rsid w:val="00DC1933"/>
    <w:rsid w:val="00DC1AED"/>
    <w:rsid w:val="00DC2173"/>
    <w:rsid w:val="00DC25A8"/>
    <w:rsid w:val="00DC2C7A"/>
    <w:rsid w:val="00DC2EA8"/>
    <w:rsid w:val="00DC4157"/>
    <w:rsid w:val="00DC477D"/>
    <w:rsid w:val="00DC629D"/>
    <w:rsid w:val="00DC632D"/>
    <w:rsid w:val="00DC65FA"/>
    <w:rsid w:val="00DC738D"/>
    <w:rsid w:val="00DC7D2D"/>
    <w:rsid w:val="00DC7DF3"/>
    <w:rsid w:val="00DD08FF"/>
    <w:rsid w:val="00DD0C82"/>
    <w:rsid w:val="00DD1D33"/>
    <w:rsid w:val="00DD1DAB"/>
    <w:rsid w:val="00DD2443"/>
    <w:rsid w:val="00DD27AA"/>
    <w:rsid w:val="00DD2A0F"/>
    <w:rsid w:val="00DD35DE"/>
    <w:rsid w:val="00DD430B"/>
    <w:rsid w:val="00DD4E5D"/>
    <w:rsid w:val="00DD626D"/>
    <w:rsid w:val="00DD72AC"/>
    <w:rsid w:val="00DD73BB"/>
    <w:rsid w:val="00DE0627"/>
    <w:rsid w:val="00DE10A5"/>
    <w:rsid w:val="00DE1276"/>
    <w:rsid w:val="00DE1C45"/>
    <w:rsid w:val="00DE3BAB"/>
    <w:rsid w:val="00DE4729"/>
    <w:rsid w:val="00DE489B"/>
    <w:rsid w:val="00DE4B82"/>
    <w:rsid w:val="00DE4E99"/>
    <w:rsid w:val="00DE5212"/>
    <w:rsid w:val="00DE690A"/>
    <w:rsid w:val="00DE6DB2"/>
    <w:rsid w:val="00DE711E"/>
    <w:rsid w:val="00DE73A6"/>
    <w:rsid w:val="00DF12A0"/>
    <w:rsid w:val="00DF16C5"/>
    <w:rsid w:val="00DF1983"/>
    <w:rsid w:val="00DF2C55"/>
    <w:rsid w:val="00DF2E9F"/>
    <w:rsid w:val="00DF3113"/>
    <w:rsid w:val="00DF3480"/>
    <w:rsid w:val="00DF3F45"/>
    <w:rsid w:val="00DF3FE4"/>
    <w:rsid w:val="00DF65E6"/>
    <w:rsid w:val="00DF669D"/>
    <w:rsid w:val="00DF6913"/>
    <w:rsid w:val="00DF729A"/>
    <w:rsid w:val="00DF77BD"/>
    <w:rsid w:val="00E0091F"/>
    <w:rsid w:val="00E014FB"/>
    <w:rsid w:val="00E02767"/>
    <w:rsid w:val="00E02B1A"/>
    <w:rsid w:val="00E036DE"/>
    <w:rsid w:val="00E03896"/>
    <w:rsid w:val="00E0457E"/>
    <w:rsid w:val="00E049E8"/>
    <w:rsid w:val="00E0514B"/>
    <w:rsid w:val="00E05EBF"/>
    <w:rsid w:val="00E06942"/>
    <w:rsid w:val="00E11224"/>
    <w:rsid w:val="00E118D1"/>
    <w:rsid w:val="00E1238D"/>
    <w:rsid w:val="00E124C1"/>
    <w:rsid w:val="00E13B1D"/>
    <w:rsid w:val="00E14370"/>
    <w:rsid w:val="00E14C2A"/>
    <w:rsid w:val="00E1569D"/>
    <w:rsid w:val="00E16067"/>
    <w:rsid w:val="00E16638"/>
    <w:rsid w:val="00E16CCC"/>
    <w:rsid w:val="00E171CF"/>
    <w:rsid w:val="00E17858"/>
    <w:rsid w:val="00E17A8C"/>
    <w:rsid w:val="00E20061"/>
    <w:rsid w:val="00E20B3D"/>
    <w:rsid w:val="00E20C69"/>
    <w:rsid w:val="00E210A4"/>
    <w:rsid w:val="00E22E0A"/>
    <w:rsid w:val="00E22EF0"/>
    <w:rsid w:val="00E23361"/>
    <w:rsid w:val="00E23A7E"/>
    <w:rsid w:val="00E24348"/>
    <w:rsid w:val="00E25D73"/>
    <w:rsid w:val="00E266E0"/>
    <w:rsid w:val="00E27764"/>
    <w:rsid w:val="00E27DF2"/>
    <w:rsid w:val="00E309DC"/>
    <w:rsid w:val="00E309E2"/>
    <w:rsid w:val="00E30A85"/>
    <w:rsid w:val="00E30C72"/>
    <w:rsid w:val="00E313D3"/>
    <w:rsid w:val="00E316E9"/>
    <w:rsid w:val="00E31E18"/>
    <w:rsid w:val="00E321B4"/>
    <w:rsid w:val="00E32E3A"/>
    <w:rsid w:val="00E340C3"/>
    <w:rsid w:val="00E40405"/>
    <w:rsid w:val="00E40A43"/>
    <w:rsid w:val="00E40CB0"/>
    <w:rsid w:val="00E41A78"/>
    <w:rsid w:val="00E420F4"/>
    <w:rsid w:val="00E422D7"/>
    <w:rsid w:val="00E42350"/>
    <w:rsid w:val="00E429F2"/>
    <w:rsid w:val="00E4329C"/>
    <w:rsid w:val="00E432DD"/>
    <w:rsid w:val="00E469FF"/>
    <w:rsid w:val="00E46B1B"/>
    <w:rsid w:val="00E46B1F"/>
    <w:rsid w:val="00E46CA6"/>
    <w:rsid w:val="00E47CB1"/>
    <w:rsid w:val="00E50F85"/>
    <w:rsid w:val="00E514DF"/>
    <w:rsid w:val="00E516E6"/>
    <w:rsid w:val="00E51B0B"/>
    <w:rsid w:val="00E51C0A"/>
    <w:rsid w:val="00E52184"/>
    <w:rsid w:val="00E53808"/>
    <w:rsid w:val="00E555AA"/>
    <w:rsid w:val="00E56046"/>
    <w:rsid w:val="00E56C03"/>
    <w:rsid w:val="00E57128"/>
    <w:rsid w:val="00E572F9"/>
    <w:rsid w:val="00E5780D"/>
    <w:rsid w:val="00E57E56"/>
    <w:rsid w:val="00E60E7D"/>
    <w:rsid w:val="00E61F93"/>
    <w:rsid w:val="00E6229E"/>
    <w:rsid w:val="00E622C3"/>
    <w:rsid w:val="00E639FC"/>
    <w:rsid w:val="00E6519D"/>
    <w:rsid w:val="00E6604D"/>
    <w:rsid w:val="00E661B8"/>
    <w:rsid w:val="00E66315"/>
    <w:rsid w:val="00E666A6"/>
    <w:rsid w:val="00E6706B"/>
    <w:rsid w:val="00E67683"/>
    <w:rsid w:val="00E6775C"/>
    <w:rsid w:val="00E67A43"/>
    <w:rsid w:val="00E67E1A"/>
    <w:rsid w:val="00E7109D"/>
    <w:rsid w:val="00E71B9B"/>
    <w:rsid w:val="00E72309"/>
    <w:rsid w:val="00E7283F"/>
    <w:rsid w:val="00E72885"/>
    <w:rsid w:val="00E72A6C"/>
    <w:rsid w:val="00E7345B"/>
    <w:rsid w:val="00E74247"/>
    <w:rsid w:val="00E746D5"/>
    <w:rsid w:val="00E74938"/>
    <w:rsid w:val="00E760A5"/>
    <w:rsid w:val="00E764EF"/>
    <w:rsid w:val="00E76AA9"/>
    <w:rsid w:val="00E77098"/>
    <w:rsid w:val="00E77BBE"/>
    <w:rsid w:val="00E82914"/>
    <w:rsid w:val="00E82B01"/>
    <w:rsid w:val="00E8303E"/>
    <w:rsid w:val="00E840F0"/>
    <w:rsid w:val="00E84C13"/>
    <w:rsid w:val="00E85B04"/>
    <w:rsid w:val="00E8666A"/>
    <w:rsid w:val="00E8669B"/>
    <w:rsid w:val="00E86745"/>
    <w:rsid w:val="00E87FA1"/>
    <w:rsid w:val="00E90B04"/>
    <w:rsid w:val="00E919BE"/>
    <w:rsid w:val="00E923A3"/>
    <w:rsid w:val="00E92B2E"/>
    <w:rsid w:val="00E9306D"/>
    <w:rsid w:val="00E93250"/>
    <w:rsid w:val="00E93811"/>
    <w:rsid w:val="00E93AA4"/>
    <w:rsid w:val="00E94B49"/>
    <w:rsid w:val="00E95386"/>
    <w:rsid w:val="00E95B24"/>
    <w:rsid w:val="00E95B7E"/>
    <w:rsid w:val="00E95CCA"/>
    <w:rsid w:val="00E95D28"/>
    <w:rsid w:val="00E96248"/>
    <w:rsid w:val="00E96E42"/>
    <w:rsid w:val="00E96F50"/>
    <w:rsid w:val="00E974CE"/>
    <w:rsid w:val="00E97880"/>
    <w:rsid w:val="00EA0697"/>
    <w:rsid w:val="00EA0980"/>
    <w:rsid w:val="00EA10C1"/>
    <w:rsid w:val="00EA10D7"/>
    <w:rsid w:val="00EA3A3E"/>
    <w:rsid w:val="00EA3DA6"/>
    <w:rsid w:val="00EA4C3B"/>
    <w:rsid w:val="00EA540A"/>
    <w:rsid w:val="00EA7465"/>
    <w:rsid w:val="00EA74DF"/>
    <w:rsid w:val="00EA7C91"/>
    <w:rsid w:val="00EB0135"/>
    <w:rsid w:val="00EB01C9"/>
    <w:rsid w:val="00EB0292"/>
    <w:rsid w:val="00EB1666"/>
    <w:rsid w:val="00EB17E0"/>
    <w:rsid w:val="00EB3A6D"/>
    <w:rsid w:val="00EB6EBF"/>
    <w:rsid w:val="00EB78C2"/>
    <w:rsid w:val="00EC04C1"/>
    <w:rsid w:val="00EC145E"/>
    <w:rsid w:val="00EC1FC5"/>
    <w:rsid w:val="00EC247B"/>
    <w:rsid w:val="00EC26FA"/>
    <w:rsid w:val="00EC342D"/>
    <w:rsid w:val="00EC3B7A"/>
    <w:rsid w:val="00EC4582"/>
    <w:rsid w:val="00EC4FEC"/>
    <w:rsid w:val="00EC5169"/>
    <w:rsid w:val="00EC5254"/>
    <w:rsid w:val="00EC56C1"/>
    <w:rsid w:val="00EC6B7C"/>
    <w:rsid w:val="00EC7431"/>
    <w:rsid w:val="00EC799C"/>
    <w:rsid w:val="00ED032C"/>
    <w:rsid w:val="00ED1083"/>
    <w:rsid w:val="00ED160D"/>
    <w:rsid w:val="00ED162F"/>
    <w:rsid w:val="00ED1728"/>
    <w:rsid w:val="00ED1884"/>
    <w:rsid w:val="00ED1A09"/>
    <w:rsid w:val="00ED1C5B"/>
    <w:rsid w:val="00ED2384"/>
    <w:rsid w:val="00ED2E46"/>
    <w:rsid w:val="00ED2F5B"/>
    <w:rsid w:val="00ED2FC8"/>
    <w:rsid w:val="00ED311D"/>
    <w:rsid w:val="00ED384F"/>
    <w:rsid w:val="00ED39E2"/>
    <w:rsid w:val="00ED3FA1"/>
    <w:rsid w:val="00ED405A"/>
    <w:rsid w:val="00ED4936"/>
    <w:rsid w:val="00ED50EF"/>
    <w:rsid w:val="00ED5869"/>
    <w:rsid w:val="00ED69A2"/>
    <w:rsid w:val="00ED7C9E"/>
    <w:rsid w:val="00EE0520"/>
    <w:rsid w:val="00EE0BFA"/>
    <w:rsid w:val="00EE1093"/>
    <w:rsid w:val="00EE1222"/>
    <w:rsid w:val="00EE194B"/>
    <w:rsid w:val="00EE28BB"/>
    <w:rsid w:val="00EE2A20"/>
    <w:rsid w:val="00EE2ACF"/>
    <w:rsid w:val="00EE40B8"/>
    <w:rsid w:val="00EE52C2"/>
    <w:rsid w:val="00EE6734"/>
    <w:rsid w:val="00EE695B"/>
    <w:rsid w:val="00EE6CDB"/>
    <w:rsid w:val="00EE6EB5"/>
    <w:rsid w:val="00EF043F"/>
    <w:rsid w:val="00EF26C4"/>
    <w:rsid w:val="00EF28C0"/>
    <w:rsid w:val="00EF2901"/>
    <w:rsid w:val="00EF3163"/>
    <w:rsid w:val="00EF3847"/>
    <w:rsid w:val="00EF3F5B"/>
    <w:rsid w:val="00EF41F9"/>
    <w:rsid w:val="00EF5405"/>
    <w:rsid w:val="00EF5BEF"/>
    <w:rsid w:val="00EF606C"/>
    <w:rsid w:val="00EF6763"/>
    <w:rsid w:val="00EF768D"/>
    <w:rsid w:val="00F00E8C"/>
    <w:rsid w:val="00F01185"/>
    <w:rsid w:val="00F01ABB"/>
    <w:rsid w:val="00F02EB9"/>
    <w:rsid w:val="00F03649"/>
    <w:rsid w:val="00F040B0"/>
    <w:rsid w:val="00F05C6C"/>
    <w:rsid w:val="00F060E6"/>
    <w:rsid w:val="00F0725A"/>
    <w:rsid w:val="00F1003F"/>
    <w:rsid w:val="00F119AF"/>
    <w:rsid w:val="00F119DF"/>
    <w:rsid w:val="00F11CFE"/>
    <w:rsid w:val="00F11D8E"/>
    <w:rsid w:val="00F12879"/>
    <w:rsid w:val="00F1392E"/>
    <w:rsid w:val="00F158AF"/>
    <w:rsid w:val="00F15C04"/>
    <w:rsid w:val="00F171AD"/>
    <w:rsid w:val="00F172A7"/>
    <w:rsid w:val="00F177F3"/>
    <w:rsid w:val="00F20AD6"/>
    <w:rsid w:val="00F21120"/>
    <w:rsid w:val="00F21700"/>
    <w:rsid w:val="00F21904"/>
    <w:rsid w:val="00F2362A"/>
    <w:rsid w:val="00F242FD"/>
    <w:rsid w:val="00F25C30"/>
    <w:rsid w:val="00F26B74"/>
    <w:rsid w:val="00F2715D"/>
    <w:rsid w:val="00F27288"/>
    <w:rsid w:val="00F27679"/>
    <w:rsid w:val="00F300D9"/>
    <w:rsid w:val="00F317CA"/>
    <w:rsid w:val="00F31F71"/>
    <w:rsid w:val="00F323BA"/>
    <w:rsid w:val="00F327C6"/>
    <w:rsid w:val="00F330F8"/>
    <w:rsid w:val="00F33D05"/>
    <w:rsid w:val="00F3470D"/>
    <w:rsid w:val="00F34F87"/>
    <w:rsid w:val="00F35118"/>
    <w:rsid w:val="00F35802"/>
    <w:rsid w:val="00F374FE"/>
    <w:rsid w:val="00F37E95"/>
    <w:rsid w:val="00F37F6C"/>
    <w:rsid w:val="00F40B89"/>
    <w:rsid w:val="00F41658"/>
    <w:rsid w:val="00F4229E"/>
    <w:rsid w:val="00F4261C"/>
    <w:rsid w:val="00F437C7"/>
    <w:rsid w:val="00F44D95"/>
    <w:rsid w:val="00F44DB2"/>
    <w:rsid w:val="00F45265"/>
    <w:rsid w:val="00F45513"/>
    <w:rsid w:val="00F45781"/>
    <w:rsid w:val="00F463FA"/>
    <w:rsid w:val="00F4677C"/>
    <w:rsid w:val="00F4696C"/>
    <w:rsid w:val="00F500BD"/>
    <w:rsid w:val="00F5049A"/>
    <w:rsid w:val="00F52A50"/>
    <w:rsid w:val="00F52D3A"/>
    <w:rsid w:val="00F53A31"/>
    <w:rsid w:val="00F53A75"/>
    <w:rsid w:val="00F54656"/>
    <w:rsid w:val="00F55377"/>
    <w:rsid w:val="00F55525"/>
    <w:rsid w:val="00F563EC"/>
    <w:rsid w:val="00F568F6"/>
    <w:rsid w:val="00F56D48"/>
    <w:rsid w:val="00F57422"/>
    <w:rsid w:val="00F57478"/>
    <w:rsid w:val="00F575C3"/>
    <w:rsid w:val="00F57F98"/>
    <w:rsid w:val="00F61CE7"/>
    <w:rsid w:val="00F622EB"/>
    <w:rsid w:val="00F62F44"/>
    <w:rsid w:val="00F63AC8"/>
    <w:rsid w:val="00F65794"/>
    <w:rsid w:val="00F66336"/>
    <w:rsid w:val="00F66BFA"/>
    <w:rsid w:val="00F66D9E"/>
    <w:rsid w:val="00F671F0"/>
    <w:rsid w:val="00F71235"/>
    <w:rsid w:val="00F71992"/>
    <w:rsid w:val="00F727F7"/>
    <w:rsid w:val="00F73ADF"/>
    <w:rsid w:val="00F745AE"/>
    <w:rsid w:val="00F756B8"/>
    <w:rsid w:val="00F7576D"/>
    <w:rsid w:val="00F76EC5"/>
    <w:rsid w:val="00F77D28"/>
    <w:rsid w:val="00F816A0"/>
    <w:rsid w:val="00F82052"/>
    <w:rsid w:val="00F82918"/>
    <w:rsid w:val="00F82C39"/>
    <w:rsid w:val="00F82ED4"/>
    <w:rsid w:val="00F84675"/>
    <w:rsid w:val="00F8509C"/>
    <w:rsid w:val="00F857FB"/>
    <w:rsid w:val="00F85A43"/>
    <w:rsid w:val="00F87136"/>
    <w:rsid w:val="00F8726C"/>
    <w:rsid w:val="00F874F9"/>
    <w:rsid w:val="00F90414"/>
    <w:rsid w:val="00F905CE"/>
    <w:rsid w:val="00F91223"/>
    <w:rsid w:val="00F93060"/>
    <w:rsid w:val="00F93A8C"/>
    <w:rsid w:val="00F94022"/>
    <w:rsid w:val="00F962B1"/>
    <w:rsid w:val="00F966FE"/>
    <w:rsid w:val="00FA1CC3"/>
    <w:rsid w:val="00FA221D"/>
    <w:rsid w:val="00FA2FB1"/>
    <w:rsid w:val="00FA34E2"/>
    <w:rsid w:val="00FA36AB"/>
    <w:rsid w:val="00FA4CD0"/>
    <w:rsid w:val="00FA5BB9"/>
    <w:rsid w:val="00FA6DDB"/>
    <w:rsid w:val="00FA7D28"/>
    <w:rsid w:val="00FB0B2F"/>
    <w:rsid w:val="00FB10EF"/>
    <w:rsid w:val="00FB19EB"/>
    <w:rsid w:val="00FB3098"/>
    <w:rsid w:val="00FB4EA2"/>
    <w:rsid w:val="00FB51C1"/>
    <w:rsid w:val="00FB5A9B"/>
    <w:rsid w:val="00FB5DD2"/>
    <w:rsid w:val="00FB6F9B"/>
    <w:rsid w:val="00FB7654"/>
    <w:rsid w:val="00FB7C76"/>
    <w:rsid w:val="00FC00B5"/>
    <w:rsid w:val="00FC14AB"/>
    <w:rsid w:val="00FC22B5"/>
    <w:rsid w:val="00FC25FA"/>
    <w:rsid w:val="00FC267B"/>
    <w:rsid w:val="00FC2C71"/>
    <w:rsid w:val="00FC2D10"/>
    <w:rsid w:val="00FC3314"/>
    <w:rsid w:val="00FC3A84"/>
    <w:rsid w:val="00FC43E8"/>
    <w:rsid w:val="00FC4580"/>
    <w:rsid w:val="00FC489C"/>
    <w:rsid w:val="00FC490E"/>
    <w:rsid w:val="00FC6417"/>
    <w:rsid w:val="00FD013F"/>
    <w:rsid w:val="00FD0266"/>
    <w:rsid w:val="00FD0FBE"/>
    <w:rsid w:val="00FD1936"/>
    <w:rsid w:val="00FD2206"/>
    <w:rsid w:val="00FD396A"/>
    <w:rsid w:val="00FD45C4"/>
    <w:rsid w:val="00FD5208"/>
    <w:rsid w:val="00FD5702"/>
    <w:rsid w:val="00FD59C8"/>
    <w:rsid w:val="00FD636C"/>
    <w:rsid w:val="00FD66AA"/>
    <w:rsid w:val="00FD67FE"/>
    <w:rsid w:val="00FD6C9E"/>
    <w:rsid w:val="00FD7022"/>
    <w:rsid w:val="00FD7879"/>
    <w:rsid w:val="00FE0A8D"/>
    <w:rsid w:val="00FE2352"/>
    <w:rsid w:val="00FE254A"/>
    <w:rsid w:val="00FE2E13"/>
    <w:rsid w:val="00FE3745"/>
    <w:rsid w:val="00FE456D"/>
    <w:rsid w:val="00FE45C5"/>
    <w:rsid w:val="00FE47F4"/>
    <w:rsid w:val="00FE4E0C"/>
    <w:rsid w:val="00FE4E52"/>
    <w:rsid w:val="00FE5026"/>
    <w:rsid w:val="00FE578D"/>
    <w:rsid w:val="00FE6050"/>
    <w:rsid w:val="00FE618E"/>
    <w:rsid w:val="00FE70BA"/>
    <w:rsid w:val="00FE76EA"/>
    <w:rsid w:val="00FE779C"/>
    <w:rsid w:val="00FE7DB8"/>
    <w:rsid w:val="00FF0721"/>
    <w:rsid w:val="00FF0D3F"/>
    <w:rsid w:val="00FF0EE7"/>
    <w:rsid w:val="00FF12E3"/>
    <w:rsid w:val="00FF154A"/>
    <w:rsid w:val="00FF20CF"/>
    <w:rsid w:val="00FF2EE0"/>
    <w:rsid w:val="00FF3264"/>
    <w:rsid w:val="00FF510E"/>
    <w:rsid w:val="00FF5489"/>
    <w:rsid w:val="00FF612C"/>
    <w:rsid w:val="00FF6294"/>
    <w:rsid w:val="00FF62C5"/>
    <w:rsid w:val="00FF7815"/>
    <w:rsid w:val="01861F7C"/>
    <w:rsid w:val="018764F0"/>
    <w:rsid w:val="02BF26CE"/>
    <w:rsid w:val="042960D7"/>
    <w:rsid w:val="04C1489D"/>
    <w:rsid w:val="04F24259"/>
    <w:rsid w:val="05247189"/>
    <w:rsid w:val="0552711D"/>
    <w:rsid w:val="065A3ABE"/>
    <w:rsid w:val="06F572D7"/>
    <w:rsid w:val="072C11C6"/>
    <w:rsid w:val="079F7DB2"/>
    <w:rsid w:val="07E53B9A"/>
    <w:rsid w:val="08E077C2"/>
    <w:rsid w:val="09280ABC"/>
    <w:rsid w:val="09EA4E3A"/>
    <w:rsid w:val="0A334D52"/>
    <w:rsid w:val="0BBB18FD"/>
    <w:rsid w:val="0CED690D"/>
    <w:rsid w:val="0FD625CF"/>
    <w:rsid w:val="103B0594"/>
    <w:rsid w:val="105950EE"/>
    <w:rsid w:val="10C95B0B"/>
    <w:rsid w:val="128C33DB"/>
    <w:rsid w:val="144F4B48"/>
    <w:rsid w:val="14AD4876"/>
    <w:rsid w:val="15C162C3"/>
    <w:rsid w:val="16565BFE"/>
    <w:rsid w:val="166E4B8A"/>
    <w:rsid w:val="16E31BF5"/>
    <w:rsid w:val="16EF42DA"/>
    <w:rsid w:val="16FA09A5"/>
    <w:rsid w:val="18B355AA"/>
    <w:rsid w:val="191316E5"/>
    <w:rsid w:val="19324167"/>
    <w:rsid w:val="1A4B55E6"/>
    <w:rsid w:val="1A883817"/>
    <w:rsid w:val="1BA11DBE"/>
    <w:rsid w:val="1CD81789"/>
    <w:rsid w:val="1CDF71B2"/>
    <w:rsid w:val="1EB5774F"/>
    <w:rsid w:val="203E7C2C"/>
    <w:rsid w:val="2041735A"/>
    <w:rsid w:val="20FA2D7D"/>
    <w:rsid w:val="217B25F6"/>
    <w:rsid w:val="21C14E9F"/>
    <w:rsid w:val="21E75DD3"/>
    <w:rsid w:val="226B2CA0"/>
    <w:rsid w:val="24A2338E"/>
    <w:rsid w:val="25BB169B"/>
    <w:rsid w:val="269551A0"/>
    <w:rsid w:val="28AF4EEF"/>
    <w:rsid w:val="28CA0744"/>
    <w:rsid w:val="28FD6D09"/>
    <w:rsid w:val="296C10E8"/>
    <w:rsid w:val="29A86573"/>
    <w:rsid w:val="2A1F4553"/>
    <w:rsid w:val="2A4D56A3"/>
    <w:rsid w:val="2EEF4ED8"/>
    <w:rsid w:val="2F0E015E"/>
    <w:rsid w:val="2FD618AA"/>
    <w:rsid w:val="305F1715"/>
    <w:rsid w:val="317D3783"/>
    <w:rsid w:val="31B86F27"/>
    <w:rsid w:val="31C0347B"/>
    <w:rsid w:val="34111F47"/>
    <w:rsid w:val="343A1E0D"/>
    <w:rsid w:val="35FF581D"/>
    <w:rsid w:val="36604066"/>
    <w:rsid w:val="37FE3DBE"/>
    <w:rsid w:val="38DF039E"/>
    <w:rsid w:val="39011AA7"/>
    <w:rsid w:val="391028E2"/>
    <w:rsid w:val="39DC0E57"/>
    <w:rsid w:val="3AEA46E4"/>
    <w:rsid w:val="3B064993"/>
    <w:rsid w:val="3CB01E05"/>
    <w:rsid w:val="3EE55590"/>
    <w:rsid w:val="3F5355A5"/>
    <w:rsid w:val="41B359D0"/>
    <w:rsid w:val="41F00D80"/>
    <w:rsid w:val="42042EED"/>
    <w:rsid w:val="430056E5"/>
    <w:rsid w:val="464A7282"/>
    <w:rsid w:val="46E12883"/>
    <w:rsid w:val="475810E3"/>
    <w:rsid w:val="48B96D94"/>
    <w:rsid w:val="48BB1CC6"/>
    <w:rsid w:val="48C8782B"/>
    <w:rsid w:val="49753D38"/>
    <w:rsid w:val="4A2A5135"/>
    <w:rsid w:val="4B965E6E"/>
    <w:rsid w:val="4B9A01A0"/>
    <w:rsid w:val="4C347692"/>
    <w:rsid w:val="4C732333"/>
    <w:rsid w:val="4D5A6603"/>
    <w:rsid w:val="4DD91993"/>
    <w:rsid w:val="4DE5300E"/>
    <w:rsid w:val="4F5F7C87"/>
    <w:rsid w:val="500D772B"/>
    <w:rsid w:val="511C5EFB"/>
    <w:rsid w:val="51B43660"/>
    <w:rsid w:val="525D006F"/>
    <w:rsid w:val="53233084"/>
    <w:rsid w:val="53296BFE"/>
    <w:rsid w:val="53743226"/>
    <w:rsid w:val="545F7F08"/>
    <w:rsid w:val="546469A3"/>
    <w:rsid w:val="547C7579"/>
    <w:rsid w:val="54E8723A"/>
    <w:rsid w:val="552E0026"/>
    <w:rsid w:val="55AB0A3D"/>
    <w:rsid w:val="575D1A32"/>
    <w:rsid w:val="579635E6"/>
    <w:rsid w:val="57C32112"/>
    <w:rsid w:val="58BD4BAA"/>
    <w:rsid w:val="592D4BC4"/>
    <w:rsid w:val="594133C7"/>
    <w:rsid w:val="595354BE"/>
    <w:rsid w:val="59AA6DED"/>
    <w:rsid w:val="5A2302F3"/>
    <w:rsid w:val="5A8D0F6A"/>
    <w:rsid w:val="5B55524B"/>
    <w:rsid w:val="5C6130E6"/>
    <w:rsid w:val="5C8D3E64"/>
    <w:rsid w:val="5CD5351D"/>
    <w:rsid w:val="5D3830B2"/>
    <w:rsid w:val="5D6313F0"/>
    <w:rsid w:val="5E420B82"/>
    <w:rsid w:val="5EBB328D"/>
    <w:rsid w:val="60C42297"/>
    <w:rsid w:val="61C575E4"/>
    <w:rsid w:val="62354F9F"/>
    <w:rsid w:val="63765C24"/>
    <w:rsid w:val="64CC61F6"/>
    <w:rsid w:val="65FC63A8"/>
    <w:rsid w:val="667B444F"/>
    <w:rsid w:val="668301E1"/>
    <w:rsid w:val="67482DF0"/>
    <w:rsid w:val="68C545C0"/>
    <w:rsid w:val="691408B5"/>
    <w:rsid w:val="69403126"/>
    <w:rsid w:val="6A60003D"/>
    <w:rsid w:val="6B103973"/>
    <w:rsid w:val="6B34732D"/>
    <w:rsid w:val="6C31532C"/>
    <w:rsid w:val="6D724A4F"/>
    <w:rsid w:val="6E2B23E0"/>
    <w:rsid w:val="6ECD0B78"/>
    <w:rsid w:val="6F8D0707"/>
    <w:rsid w:val="732D5326"/>
    <w:rsid w:val="760C255E"/>
    <w:rsid w:val="79CF75A3"/>
    <w:rsid w:val="7A0A7341"/>
    <w:rsid w:val="7B9E1D01"/>
    <w:rsid w:val="7CCB52D5"/>
    <w:rsid w:val="7CEE51B8"/>
    <w:rsid w:val="7CF06EAD"/>
    <w:rsid w:val="7E912134"/>
    <w:rsid w:val="7E9A49AC"/>
    <w:rsid w:val="7F5A7CC7"/>
    <w:rsid w:val="7F7C2835"/>
    <w:rsid w:val="7FF94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99" w:name="List 3"/>
    <w:lsdException w:uiPriority="99"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99"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5">
    <w:name w:val="heading 1"/>
    <w:basedOn w:val="1"/>
    <w:next w:val="1"/>
    <w:link w:val="68"/>
    <w:qFormat/>
    <w:uiPriority w:val="0"/>
    <w:pPr>
      <w:keepNext/>
      <w:jc w:val="center"/>
      <w:outlineLvl w:val="0"/>
    </w:pPr>
    <w:rPr>
      <w:rFonts w:ascii="Times New Roman" w:hAnsi="Times New Roman" w:cs="Times New Roman"/>
      <w:kern w:val="2"/>
      <w:sz w:val="28"/>
    </w:rPr>
  </w:style>
  <w:style w:type="paragraph" w:styleId="6">
    <w:name w:val="heading 2"/>
    <w:basedOn w:val="1"/>
    <w:next w:val="1"/>
    <w:link w:val="69"/>
    <w:qFormat/>
    <w:uiPriority w:val="0"/>
    <w:pPr>
      <w:keepNext/>
      <w:keepLines/>
      <w:spacing w:before="260" w:after="260" w:line="416" w:lineRule="auto"/>
      <w:outlineLvl w:val="1"/>
    </w:pPr>
    <w:rPr>
      <w:rFonts w:ascii="Arial" w:hAnsi="Arial" w:eastAsia="黑体" w:cs="Times New Roman"/>
      <w:b/>
      <w:bCs/>
      <w:kern w:val="2"/>
      <w:sz w:val="32"/>
      <w:szCs w:val="32"/>
    </w:rPr>
  </w:style>
  <w:style w:type="paragraph" w:styleId="7">
    <w:name w:val="heading 3"/>
    <w:basedOn w:val="1"/>
    <w:next w:val="1"/>
    <w:link w:val="70"/>
    <w:qFormat/>
    <w:uiPriority w:val="0"/>
    <w:pPr>
      <w:keepNext/>
      <w:keepLines/>
      <w:spacing w:before="260" w:after="260" w:line="416" w:lineRule="auto"/>
      <w:outlineLvl w:val="2"/>
    </w:pPr>
    <w:rPr>
      <w:rFonts w:ascii="Calibri" w:hAnsi="Calibri" w:cs="Times New Roman"/>
      <w:b/>
      <w:bCs/>
      <w:kern w:val="2"/>
      <w:sz w:val="32"/>
      <w:szCs w:val="32"/>
    </w:rPr>
  </w:style>
  <w:style w:type="paragraph" w:styleId="8">
    <w:name w:val="heading 4"/>
    <w:basedOn w:val="1"/>
    <w:next w:val="1"/>
    <w:link w:val="71"/>
    <w:qFormat/>
    <w:uiPriority w:val="9"/>
    <w:pPr>
      <w:keepNext/>
      <w:keepLines/>
      <w:spacing w:before="280" w:after="290" w:line="376" w:lineRule="auto"/>
      <w:outlineLvl w:val="3"/>
    </w:pPr>
    <w:rPr>
      <w:rFonts w:ascii="Cambria" w:hAnsi="Cambria" w:cs="Times New Roman"/>
      <w:b/>
      <w:bCs/>
      <w:kern w:val="2"/>
      <w:sz w:val="28"/>
      <w:szCs w:val="28"/>
    </w:rPr>
  </w:style>
  <w:style w:type="paragraph" w:styleId="9">
    <w:name w:val="heading 5"/>
    <w:basedOn w:val="1"/>
    <w:next w:val="1"/>
    <w:link w:val="72"/>
    <w:qFormat/>
    <w:uiPriority w:val="9"/>
    <w:pPr>
      <w:keepNext/>
      <w:keepLines/>
      <w:spacing w:before="280" w:after="290" w:line="376" w:lineRule="auto"/>
      <w:outlineLvl w:val="4"/>
    </w:pPr>
    <w:rPr>
      <w:rFonts w:cs="Times New Roman"/>
      <w:b/>
      <w:bCs/>
      <w:sz w:val="28"/>
      <w:szCs w:val="28"/>
    </w:rPr>
  </w:style>
  <w:style w:type="paragraph" w:styleId="10">
    <w:name w:val="heading 6"/>
    <w:basedOn w:val="1"/>
    <w:next w:val="11"/>
    <w:link w:val="73"/>
    <w:qFormat/>
    <w:uiPriority w:val="9"/>
    <w:pPr>
      <w:keepNext/>
      <w:keepLines/>
      <w:numPr>
        <w:ilvl w:val="5"/>
        <w:numId w:val="1"/>
      </w:numPr>
      <w:spacing w:before="240" w:after="64" w:line="320" w:lineRule="auto"/>
      <w:outlineLvl w:val="5"/>
    </w:pPr>
    <w:rPr>
      <w:rFonts w:ascii="Arial" w:hAnsi="Arial" w:eastAsia="黑体" w:cs="Times New Roman"/>
      <w:b/>
      <w:bCs/>
      <w:spacing w:val="6"/>
    </w:rPr>
  </w:style>
  <w:style w:type="paragraph" w:styleId="12">
    <w:name w:val="heading 7"/>
    <w:basedOn w:val="1"/>
    <w:next w:val="11"/>
    <w:link w:val="75"/>
    <w:qFormat/>
    <w:uiPriority w:val="9"/>
    <w:pPr>
      <w:keepNext/>
      <w:keepLines/>
      <w:numPr>
        <w:ilvl w:val="6"/>
        <w:numId w:val="1"/>
      </w:numPr>
      <w:spacing w:before="240" w:after="64" w:line="320" w:lineRule="auto"/>
      <w:outlineLvl w:val="6"/>
    </w:pPr>
    <w:rPr>
      <w:rFonts w:cs="Times New Roman"/>
      <w:b/>
      <w:bCs/>
      <w:spacing w:val="6"/>
    </w:rPr>
  </w:style>
  <w:style w:type="paragraph" w:styleId="13">
    <w:name w:val="heading 8"/>
    <w:basedOn w:val="1"/>
    <w:next w:val="11"/>
    <w:link w:val="76"/>
    <w:qFormat/>
    <w:uiPriority w:val="9"/>
    <w:pPr>
      <w:keepNext/>
      <w:keepLines/>
      <w:numPr>
        <w:ilvl w:val="7"/>
        <w:numId w:val="1"/>
      </w:numPr>
      <w:spacing w:before="240" w:after="64" w:line="320" w:lineRule="auto"/>
      <w:outlineLvl w:val="7"/>
    </w:pPr>
    <w:rPr>
      <w:rFonts w:ascii="Arial" w:hAnsi="Arial" w:eastAsia="黑体" w:cs="Times New Roman"/>
      <w:spacing w:val="6"/>
    </w:rPr>
  </w:style>
  <w:style w:type="paragraph" w:styleId="14">
    <w:name w:val="heading 9"/>
    <w:basedOn w:val="1"/>
    <w:next w:val="11"/>
    <w:link w:val="77"/>
    <w:qFormat/>
    <w:uiPriority w:val="9"/>
    <w:pPr>
      <w:keepNext/>
      <w:keepLines/>
      <w:numPr>
        <w:ilvl w:val="8"/>
        <w:numId w:val="1"/>
      </w:numPr>
      <w:spacing w:before="240" w:after="64" w:line="320" w:lineRule="auto"/>
      <w:outlineLvl w:val="8"/>
    </w:pPr>
    <w:rPr>
      <w:rFonts w:ascii="Arial" w:hAnsi="Arial" w:eastAsia="黑体" w:cs="Times New Roman"/>
      <w:spacing w:val="6"/>
    </w:rPr>
  </w:style>
  <w:style w:type="character" w:default="1" w:styleId="60">
    <w:name w:val="Default Paragraph Font"/>
    <w:qFormat/>
    <w:uiPriority w:val="0"/>
  </w:style>
  <w:style w:type="table" w:default="1" w:styleId="58">
    <w:name w:val="Normal Table"/>
    <w:qFormat/>
    <w:uiPriority w:val="0"/>
    <w:tblPr>
      <w:tblCellMar>
        <w:top w:w="0" w:type="dxa"/>
        <w:left w:w="108" w:type="dxa"/>
        <w:bottom w:w="0" w:type="dxa"/>
        <w:right w:w="108" w:type="dxa"/>
      </w:tblCellMar>
    </w:tblPr>
  </w:style>
  <w:style w:type="paragraph" w:customStyle="1" w:styleId="2">
    <w:name w:val="正文文本首行缩进"/>
    <w:basedOn w:val="3"/>
    <w:next w:val="4"/>
    <w:link w:val="67"/>
    <w:qFormat/>
    <w:uiPriority w:val="0"/>
    <w:pPr>
      <w:spacing w:after="120"/>
      <w:ind w:firstLine="420" w:firstLineChars="100"/>
    </w:pPr>
    <w:rPr>
      <w:rFonts w:ascii="Calibri" w:hAnsi="Calibri"/>
      <w:sz w:val="21"/>
      <w:szCs w:val="22"/>
    </w:rPr>
  </w:style>
  <w:style w:type="paragraph" w:styleId="3">
    <w:name w:val="Body Text"/>
    <w:basedOn w:val="1"/>
    <w:next w:val="2"/>
    <w:link w:val="66"/>
    <w:qFormat/>
    <w:uiPriority w:val="99"/>
    <w:rPr>
      <w:rFonts w:ascii="Arial" w:hAnsi="Arial" w:cs="Times New Roman"/>
      <w:bCs/>
      <w:kern w:val="2"/>
    </w:rPr>
  </w:style>
  <w:style w:type="paragraph" w:styleId="4">
    <w:name w:val="toc 6"/>
    <w:basedOn w:val="1"/>
    <w:next w:val="1"/>
    <w:qFormat/>
    <w:uiPriority w:val="39"/>
    <w:pPr>
      <w:widowControl w:val="0"/>
      <w:ind w:left="840"/>
    </w:pPr>
    <w:rPr>
      <w:rFonts w:ascii="Calibri" w:hAnsi="Calibri" w:cs="Calibri"/>
      <w:kern w:val="2"/>
      <w:sz w:val="20"/>
      <w:szCs w:val="20"/>
    </w:rPr>
  </w:style>
  <w:style w:type="paragraph" w:styleId="11">
    <w:name w:val="Normal Indent"/>
    <w:basedOn w:val="1"/>
    <w:link w:val="74"/>
    <w:qFormat/>
    <w:uiPriority w:val="0"/>
    <w:pPr>
      <w:ind w:firstLine="420" w:firstLineChars="200"/>
    </w:pPr>
    <w:rPr>
      <w:rFonts w:ascii="Times New Roman" w:hAnsi="Times New Roman" w:cs="Times New Roman"/>
      <w:kern w:val="2"/>
      <w:sz w:val="21"/>
    </w:rPr>
  </w:style>
  <w:style w:type="paragraph" w:styleId="15">
    <w:name w:val="toc 7"/>
    <w:basedOn w:val="1"/>
    <w:next w:val="1"/>
    <w:qFormat/>
    <w:uiPriority w:val="39"/>
    <w:pPr>
      <w:widowControl w:val="0"/>
      <w:ind w:left="1050"/>
    </w:pPr>
    <w:rPr>
      <w:rFonts w:ascii="Calibri" w:hAnsi="Calibri" w:cs="Calibri"/>
      <w:kern w:val="2"/>
      <w:sz w:val="20"/>
      <w:szCs w:val="20"/>
    </w:rPr>
  </w:style>
  <w:style w:type="paragraph" w:styleId="16">
    <w:name w:val="List Number 2"/>
    <w:basedOn w:val="1"/>
    <w:qFormat/>
    <w:uiPriority w:val="0"/>
    <w:pPr>
      <w:tabs>
        <w:tab w:val="left" w:pos="1697"/>
      </w:tabs>
      <w:spacing w:afterLines="50"/>
      <w:ind w:left="1697" w:hanging="420"/>
    </w:pPr>
    <w:rPr>
      <w:rFonts w:ascii="Times New Roman" w:hAnsi="Times New Roman" w:cs="Times New Roman"/>
      <w:szCs w:val="20"/>
    </w:rPr>
  </w:style>
  <w:style w:type="paragraph" w:styleId="17">
    <w:name w:val="List Bullet 4"/>
    <w:basedOn w:val="1"/>
    <w:qFormat/>
    <w:uiPriority w:val="0"/>
    <w:pPr>
      <w:widowControl w:val="0"/>
      <w:tabs>
        <w:tab w:val="left" w:pos="1620"/>
      </w:tabs>
      <w:snapToGrid w:val="0"/>
      <w:spacing w:line="360" w:lineRule="auto"/>
      <w:ind w:left="1620" w:leftChars="600" w:hanging="420"/>
    </w:pPr>
    <w:rPr>
      <w:rFonts w:ascii="Calibri" w:hAnsi="Calibri" w:cs="Times New Roman"/>
      <w:b/>
      <w:kern w:val="2"/>
      <w:sz w:val="32"/>
      <w:szCs w:val="20"/>
    </w:rPr>
  </w:style>
  <w:style w:type="paragraph" w:styleId="18">
    <w:name w:val="List Number"/>
    <w:basedOn w:val="1"/>
    <w:qFormat/>
    <w:uiPriority w:val="0"/>
    <w:pPr>
      <w:tabs>
        <w:tab w:val="left" w:pos="454"/>
        <w:tab w:val="left" w:pos="720"/>
        <w:tab w:val="left" w:pos="840"/>
      </w:tabs>
      <w:spacing w:afterLines="50"/>
      <w:ind w:left="454" w:hanging="284"/>
    </w:pPr>
    <w:rPr>
      <w:rFonts w:ascii="Times New Roman" w:hAnsi="Times New Roman" w:cs="Times New Roman"/>
      <w:sz w:val="21"/>
      <w:szCs w:val="20"/>
    </w:rPr>
  </w:style>
  <w:style w:type="paragraph" w:styleId="19">
    <w:name w:val="caption"/>
    <w:basedOn w:val="1"/>
    <w:next w:val="1"/>
    <w:link w:val="78"/>
    <w:qFormat/>
    <w:uiPriority w:val="0"/>
    <w:pPr>
      <w:widowControl w:val="0"/>
      <w:jc w:val="both"/>
    </w:pPr>
    <w:rPr>
      <w:rFonts w:ascii="Arial" w:hAnsi="Arial" w:eastAsia="黑体" w:cs="Times New Roman"/>
      <w:kern w:val="2"/>
    </w:rPr>
  </w:style>
  <w:style w:type="paragraph" w:styleId="20">
    <w:name w:val="List Bullet"/>
    <w:basedOn w:val="1"/>
    <w:qFormat/>
    <w:uiPriority w:val="0"/>
    <w:pPr>
      <w:widowControl w:val="0"/>
      <w:spacing w:line="360" w:lineRule="auto"/>
      <w:jc w:val="both"/>
    </w:pPr>
    <w:rPr>
      <w:rFonts w:hAnsi="Times New Roman" w:cs="Times New Roman"/>
      <w:kern w:val="2"/>
      <w:sz w:val="20"/>
      <w:szCs w:val="20"/>
    </w:rPr>
  </w:style>
  <w:style w:type="paragraph" w:styleId="21">
    <w:name w:val="Document Map"/>
    <w:basedOn w:val="1"/>
    <w:link w:val="79"/>
    <w:qFormat/>
    <w:uiPriority w:val="99"/>
    <w:rPr>
      <w:rFonts w:hAnsi="Calibri" w:cs="Times New Roman"/>
      <w:kern w:val="2"/>
      <w:sz w:val="18"/>
      <w:szCs w:val="18"/>
    </w:rPr>
  </w:style>
  <w:style w:type="paragraph" w:styleId="22">
    <w:name w:val="toa heading"/>
    <w:basedOn w:val="1"/>
    <w:next w:val="1"/>
    <w:qFormat/>
    <w:uiPriority w:val="0"/>
    <w:pPr>
      <w:spacing w:before="120"/>
    </w:pPr>
    <w:rPr>
      <w:rFonts w:ascii="Arial" w:hAnsi="Arial" w:cs="Arial"/>
    </w:rPr>
  </w:style>
  <w:style w:type="paragraph" w:styleId="23">
    <w:name w:val="annotation text"/>
    <w:basedOn w:val="1"/>
    <w:link w:val="80"/>
    <w:qFormat/>
    <w:uiPriority w:val="99"/>
    <w:rPr>
      <w:rFonts w:ascii="Calibri" w:hAnsi="Calibri" w:cs="Times New Roman"/>
      <w:kern w:val="2"/>
      <w:sz w:val="21"/>
      <w:szCs w:val="22"/>
    </w:rPr>
  </w:style>
  <w:style w:type="paragraph" w:styleId="24">
    <w:name w:val="Body Text 3"/>
    <w:basedOn w:val="1"/>
    <w:link w:val="81"/>
    <w:qFormat/>
    <w:uiPriority w:val="0"/>
    <w:pPr>
      <w:spacing w:line="400" w:lineRule="atLeast"/>
    </w:pPr>
    <w:rPr>
      <w:rFonts w:ascii="楷体_GB2312" w:eastAsia="楷体_GB2312" w:cs="Times New Roman"/>
      <w:i/>
      <w:iCs/>
      <w:szCs w:val="20"/>
    </w:rPr>
  </w:style>
  <w:style w:type="paragraph" w:styleId="25">
    <w:name w:val="List Bullet 3"/>
    <w:basedOn w:val="1"/>
    <w:qFormat/>
    <w:uiPriority w:val="0"/>
    <w:pPr>
      <w:widowControl w:val="0"/>
      <w:tabs>
        <w:tab w:val="left" w:pos="900"/>
      </w:tabs>
      <w:snapToGrid w:val="0"/>
      <w:spacing w:line="360" w:lineRule="auto"/>
      <w:ind w:left="900" w:hanging="420"/>
    </w:pPr>
    <w:rPr>
      <w:rFonts w:ascii="Calibri" w:hAnsi="Calibri" w:cs="Times New Roman"/>
      <w:b/>
      <w:kern w:val="2"/>
      <w:sz w:val="32"/>
      <w:szCs w:val="20"/>
    </w:rPr>
  </w:style>
  <w:style w:type="paragraph" w:styleId="26">
    <w:name w:val="Body Text Indent"/>
    <w:basedOn w:val="1"/>
    <w:link w:val="82"/>
    <w:qFormat/>
    <w:uiPriority w:val="0"/>
    <w:pPr>
      <w:spacing w:after="120"/>
      <w:ind w:left="420" w:leftChars="200"/>
    </w:pPr>
    <w:rPr>
      <w:rFonts w:ascii="Times New Roman" w:hAnsi="Times New Roman" w:cs="Times New Roman"/>
      <w:kern w:val="2"/>
      <w:sz w:val="21"/>
    </w:rPr>
  </w:style>
  <w:style w:type="paragraph" w:styleId="27">
    <w:name w:val="List Number 3"/>
    <w:basedOn w:val="1"/>
    <w:qFormat/>
    <w:uiPriority w:val="0"/>
    <w:pPr>
      <w:tabs>
        <w:tab w:val="left" w:pos="2260"/>
      </w:tabs>
      <w:spacing w:afterLines="50"/>
      <w:ind w:left="2260" w:hanging="340"/>
    </w:pPr>
    <w:rPr>
      <w:rFonts w:ascii="Times New Roman" w:hAnsi="Times New Roman" w:cs="Times New Roman"/>
      <w:szCs w:val="20"/>
    </w:rPr>
  </w:style>
  <w:style w:type="paragraph" w:styleId="28">
    <w:name w:val="List 2"/>
    <w:basedOn w:val="1"/>
    <w:qFormat/>
    <w:uiPriority w:val="0"/>
    <w:pPr>
      <w:ind w:left="100" w:leftChars="200" w:hanging="200" w:hangingChars="200"/>
    </w:pPr>
  </w:style>
  <w:style w:type="paragraph" w:styleId="29">
    <w:name w:val="Block Text"/>
    <w:basedOn w:val="1"/>
    <w:qFormat/>
    <w:uiPriority w:val="99"/>
    <w:pPr>
      <w:spacing w:beforeLines="50" w:afterLines="50"/>
      <w:ind w:left="426" w:right="-11" w:hanging="426" w:hangingChars="203"/>
    </w:pPr>
    <w:rPr>
      <w:rFonts w:eastAsia="楷体_GB2312"/>
    </w:rPr>
  </w:style>
  <w:style w:type="paragraph" w:styleId="30">
    <w:name w:val="List Bullet 2"/>
    <w:basedOn w:val="1"/>
    <w:qFormat/>
    <w:uiPriority w:val="0"/>
    <w:pPr>
      <w:widowControl w:val="0"/>
      <w:tabs>
        <w:tab w:val="left" w:pos="900"/>
      </w:tabs>
      <w:snapToGrid w:val="0"/>
      <w:spacing w:line="360" w:lineRule="auto"/>
      <w:ind w:left="900" w:hanging="420"/>
    </w:pPr>
    <w:rPr>
      <w:rFonts w:ascii="Calibri" w:hAnsi="Calibri" w:cs="Times New Roman"/>
      <w:b/>
      <w:kern w:val="2"/>
      <w:sz w:val="32"/>
      <w:szCs w:val="20"/>
    </w:rPr>
  </w:style>
  <w:style w:type="paragraph" w:styleId="31">
    <w:name w:val="toc 5"/>
    <w:basedOn w:val="1"/>
    <w:next w:val="1"/>
    <w:qFormat/>
    <w:uiPriority w:val="39"/>
    <w:pPr>
      <w:widowControl w:val="0"/>
      <w:ind w:left="630"/>
    </w:pPr>
    <w:rPr>
      <w:rFonts w:ascii="Calibri" w:hAnsi="Calibri" w:cs="Calibri"/>
      <w:kern w:val="2"/>
      <w:sz w:val="20"/>
      <w:szCs w:val="20"/>
    </w:rPr>
  </w:style>
  <w:style w:type="paragraph" w:styleId="32">
    <w:name w:val="toc 3"/>
    <w:basedOn w:val="1"/>
    <w:next w:val="1"/>
    <w:qFormat/>
    <w:uiPriority w:val="39"/>
    <w:pPr>
      <w:ind w:left="840" w:leftChars="400"/>
    </w:pPr>
    <w:rPr>
      <w:szCs w:val="20"/>
    </w:rPr>
  </w:style>
  <w:style w:type="paragraph" w:styleId="33">
    <w:name w:val="Plain Text"/>
    <w:basedOn w:val="1"/>
    <w:link w:val="83"/>
    <w:qFormat/>
    <w:uiPriority w:val="0"/>
    <w:rPr>
      <w:rFonts w:hAnsi="Courier New" w:cs="Times New Roman"/>
      <w:kern w:val="2"/>
      <w:sz w:val="21"/>
      <w:szCs w:val="20"/>
    </w:rPr>
  </w:style>
  <w:style w:type="paragraph" w:styleId="34">
    <w:name w:val="List Bullet 5"/>
    <w:basedOn w:val="1"/>
    <w:qFormat/>
    <w:uiPriority w:val="0"/>
    <w:pPr>
      <w:widowControl w:val="0"/>
      <w:tabs>
        <w:tab w:val="left" w:pos="2040"/>
      </w:tabs>
      <w:snapToGrid w:val="0"/>
      <w:spacing w:line="360" w:lineRule="auto"/>
      <w:ind w:left="2040" w:leftChars="800"/>
    </w:pPr>
    <w:rPr>
      <w:rFonts w:ascii="Calibri" w:hAnsi="Calibri" w:cs="Times New Roman"/>
      <w:b/>
      <w:kern w:val="2"/>
      <w:sz w:val="32"/>
      <w:szCs w:val="20"/>
    </w:rPr>
  </w:style>
  <w:style w:type="paragraph" w:styleId="35">
    <w:name w:val="toc 8"/>
    <w:basedOn w:val="1"/>
    <w:next w:val="1"/>
    <w:qFormat/>
    <w:uiPriority w:val="39"/>
    <w:pPr>
      <w:widowControl w:val="0"/>
      <w:ind w:left="1260"/>
    </w:pPr>
    <w:rPr>
      <w:rFonts w:ascii="Calibri" w:hAnsi="Calibri" w:cs="Calibri"/>
      <w:kern w:val="2"/>
      <w:sz w:val="20"/>
      <w:szCs w:val="20"/>
    </w:rPr>
  </w:style>
  <w:style w:type="paragraph" w:styleId="36">
    <w:name w:val="Date"/>
    <w:basedOn w:val="1"/>
    <w:next w:val="1"/>
    <w:link w:val="84"/>
    <w:qFormat/>
    <w:uiPriority w:val="0"/>
    <w:pPr>
      <w:ind w:left="100" w:leftChars="2500"/>
    </w:pPr>
    <w:rPr>
      <w:rFonts w:cs="Times New Roman"/>
      <w:color w:val="000000"/>
    </w:rPr>
  </w:style>
  <w:style w:type="paragraph" w:styleId="37">
    <w:name w:val="Body Text Indent 2"/>
    <w:basedOn w:val="1"/>
    <w:link w:val="85"/>
    <w:qFormat/>
    <w:uiPriority w:val="0"/>
    <w:pPr>
      <w:spacing w:line="480" w:lineRule="atLeast"/>
      <w:ind w:firstLine="480"/>
    </w:pPr>
    <w:rPr>
      <w:rFonts w:hAnsi="Times New Roman" w:cs="Times New Roman"/>
      <w:szCs w:val="20"/>
    </w:rPr>
  </w:style>
  <w:style w:type="paragraph" w:styleId="38">
    <w:name w:val="endnote text"/>
    <w:basedOn w:val="1"/>
    <w:link w:val="86"/>
    <w:qFormat/>
    <w:uiPriority w:val="0"/>
    <w:pPr>
      <w:widowControl w:val="0"/>
      <w:snapToGrid w:val="0"/>
      <w:spacing w:line="360" w:lineRule="auto"/>
    </w:pPr>
    <w:rPr>
      <w:rFonts w:ascii="Times New Roman" w:hAnsi="Times New Roman" w:cs="Times New Roman"/>
      <w:kern w:val="2"/>
      <w:sz w:val="21"/>
      <w:szCs w:val="21"/>
    </w:rPr>
  </w:style>
  <w:style w:type="paragraph" w:styleId="39">
    <w:name w:val="Balloon Text"/>
    <w:basedOn w:val="1"/>
    <w:link w:val="87"/>
    <w:qFormat/>
    <w:uiPriority w:val="99"/>
    <w:rPr>
      <w:rFonts w:cs="Times New Roman"/>
      <w:sz w:val="18"/>
      <w:szCs w:val="18"/>
    </w:rPr>
  </w:style>
  <w:style w:type="paragraph" w:styleId="40">
    <w:name w:val="footer"/>
    <w:basedOn w:val="1"/>
    <w:link w:val="88"/>
    <w:qFormat/>
    <w:uiPriority w:val="0"/>
    <w:pPr>
      <w:tabs>
        <w:tab w:val="center" w:pos="4153"/>
        <w:tab w:val="right" w:pos="8306"/>
      </w:tabs>
      <w:snapToGrid w:val="0"/>
    </w:pPr>
    <w:rPr>
      <w:rFonts w:ascii="Times New Roman" w:hAnsi="Times New Roman" w:cs="Times New Roman"/>
      <w:kern w:val="2"/>
      <w:sz w:val="18"/>
      <w:szCs w:val="18"/>
    </w:rPr>
  </w:style>
  <w:style w:type="paragraph" w:styleId="41">
    <w:name w:val="header"/>
    <w:basedOn w:val="1"/>
    <w:link w:val="89"/>
    <w:qFormat/>
    <w:uiPriority w:val="0"/>
    <w:pPr>
      <w:pBdr>
        <w:bottom w:val="single" w:color="auto" w:sz="6" w:space="1"/>
      </w:pBdr>
      <w:tabs>
        <w:tab w:val="center" w:pos="4153"/>
        <w:tab w:val="right" w:pos="8306"/>
      </w:tabs>
      <w:snapToGrid w:val="0"/>
      <w:jc w:val="center"/>
    </w:pPr>
    <w:rPr>
      <w:rFonts w:ascii="Times New Roman" w:hAnsi="Times New Roman" w:cs="Times New Roman"/>
      <w:kern w:val="2"/>
      <w:sz w:val="18"/>
      <w:szCs w:val="18"/>
    </w:rPr>
  </w:style>
  <w:style w:type="paragraph" w:styleId="42">
    <w:name w:val="toc 1"/>
    <w:basedOn w:val="1"/>
    <w:next w:val="1"/>
    <w:qFormat/>
    <w:uiPriority w:val="39"/>
    <w:rPr>
      <w:szCs w:val="20"/>
    </w:rPr>
  </w:style>
  <w:style w:type="paragraph" w:styleId="43">
    <w:name w:val="toc 4"/>
    <w:basedOn w:val="1"/>
    <w:next w:val="1"/>
    <w:qFormat/>
    <w:uiPriority w:val="39"/>
    <w:pPr>
      <w:widowControl w:val="0"/>
      <w:ind w:left="420"/>
    </w:pPr>
    <w:rPr>
      <w:rFonts w:ascii="Calibri" w:hAnsi="Calibri" w:cs="Calibri"/>
      <w:kern w:val="2"/>
      <w:sz w:val="20"/>
      <w:szCs w:val="20"/>
    </w:rPr>
  </w:style>
  <w:style w:type="paragraph" w:styleId="44">
    <w:name w:val="Subtitle"/>
    <w:basedOn w:val="1"/>
    <w:next w:val="1"/>
    <w:link w:val="90"/>
    <w:qFormat/>
    <w:uiPriority w:val="0"/>
    <w:pPr>
      <w:widowControl w:val="0"/>
      <w:spacing w:before="240" w:after="60" w:line="312" w:lineRule="auto"/>
      <w:jc w:val="center"/>
      <w:outlineLvl w:val="1"/>
    </w:pPr>
    <w:rPr>
      <w:rFonts w:ascii="Cambria" w:hAnsi="Cambria" w:cs="Times New Roman"/>
      <w:b/>
      <w:bCs/>
      <w:kern w:val="28"/>
      <w:sz w:val="32"/>
      <w:szCs w:val="32"/>
    </w:rPr>
  </w:style>
  <w:style w:type="paragraph" w:styleId="45">
    <w:name w:val="List"/>
    <w:basedOn w:val="1"/>
    <w:qFormat/>
    <w:uiPriority w:val="0"/>
    <w:pPr>
      <w:widowControl w:val="0"/>
      <w:ind w:left="420" w:hanging="420"/>
      <w:jc w:val="both"/>
    </w:pPr>
    <w:rPr>
      <w:rFonts w:ascii="Times New Roman" w:hAnsi="Times New Roman" w:cs="Times New Roman"/>
      <w:kern w:val="2"/>
      <w:sz w:val="21"/>
      <w:szCs w:val="20"/>
    </w:rPr>
  </w:style>
  <w:style w:type="paragraph" w:styleId="46">
    <w:name w:val="footnote text"/>
    <w:basedOn w:val="1"/>
    <w:link w:val="91"/>
    <w:qFormat/>
    <w:uiPriority w:val="0"/>
    <w:pPr>
      <w:widowControl w:val="0"/>
      <w:snapToGrid w:val="0"/>
      <w:spacing w:line="360" w:lineRule="auto"/>
    </w:pPr>
    <w:rPr>
      <w:rFonts w:ascii="Times New Roman" w:hAnsi="Times New Roman" w:cs="Times New Roman"/>
      <w:kern w:val="2"/>
      <w:sz w:val="18"/>
      <w:szCs w:val="18"/>
    </w:rPr>
  </w:style>
  <w:style w:type="paragraph" w:styleId="47">
    <w:name w:val="List 5"/>
    <w:basedOn w:val="1"/>
    <w:qFormat/>
    <w:uiPriority w:val="0"/>
    <w:pPr>
      <w:widowControl w:val="0"/>
      <w:ind w:left="2100" w:hanging="420"/>
      <w:jc w:val="both"/>
    </w:pPr>
    <w:rPr>
      <w:rFonts w:ascii="Times New Roman" w:hAnsi="Times New Roman" w:cs="Times New Roman"/>
      <w:kern w:val="2"/>
      <w:sz w:val="21"/>
      <w:szCs w:val="20"/>
    </w:rPr>
  </w:style>
  <w:style w:type="paragraph" w:styleId="48">
    <w:name w:val="Body Text Indent 3"/>
    <w:basedOn w:val="1"/>
    <w:link w:val="92"/>
    <w:qFormat/>
    <w:uiPriority w:val="0"/>
    <w:pPr>
      <w:autoSpaceDE w:val="0"/>
      <w:autoSpaceDN w:val="0"/>
      <w:spacing w:line="400" w:lineRule="atLeast"/>
      <w:ind w:firstLine="443" w:firstLineChars="200"/>
      <w:textAlignment w:val="bottom"/>
    </w:pPr>
    <w:rPr>
      <w:rFonts w:ascii="Times New Roman" w:hAnsi="Times New Roman" w:eastAsia="黑体" w:cs="Times New Roman"/>
      <w:color w:val="000000"/>
      <w:kern w:val="2"/>
    </w:rPr>
  </w:style>
  <w:style w:type="paragraph" w:styleId="49">
    <w:name w:val="toc 2"/>
    <w:basedOn w:val="1"/>
    <w:next w:val="1"/>
    <w:qFormat/>
    <w:uiPriority w:val="39"/>
    <w:pPr>
      <w:ind w:left="420" w:leftChars="200"/>
    </w:pPr>
    <w:rPr>
      <w:szCs w:val="20"/>
    </w:rPr>
  </w:style>
  <w:style w:type="paragraph" w:styleId="50">
    <w:name w:val="toc 9"/>
    <w:basedOn w:val="1"/>
    <w:next w:val="1"/>
    <w:qFormat/>
    <w:uiPriority w:val="39"/>
    <w:pPr>
      <w:widowControl w:val="0"/>
      <w:ind w:left="1470"/>
    </w:pPr>
    <w:rPr>
      <w:rFonts w:ascii="Calibri" w:hAnsi="Calibri" w:cs="Calibri"/>
      <w:kern w:val="2"/>
      <w:sz w:val="20"/>
      <w:szCs w:val="20"/>
    </w:rPr>
  </w:style>
  <w:style w:type="paragraph" w:styleId="51">
    <w:name w:val="Body Text 2"/>
    <w:basedOn w:val="1"/>
    <w:link w:val="93"/>
    <w:qFormat/>
    <w:uiPriority w:val="0"/>
    <w:pPr>
      <w:framePr w:hSpace="180" w:wrap="notBeside" w:vAnchor="text" w:hAnchor="page" w:x="1917" w:y="230"/>
    </w:pPr>
    <w:rPr>
      <w:rFonts w:cs="Times New Roman"/>
      <w:szCs w:val="20"/>
    </w:rPr>
  </w:style>
  <w:style w:type="paragraph" w:styleId="52">
    <w:name w:val="List Continue 2"/>
    <w:basedOn w:val="1"/>
    <w:qFormat/>
    <w:uiPriority w:val="0"/>
    <w:pPr>
      <w:widowControl w:val="0"/>
      <w:spacing w:after="120"/>
      <w:ind w:left="840" w:leftChars="400"/>
      <w:jc w:val="both"/>
    </w:pPr>
    <w:rPr>
      <w:rFonts w:ascii="Times New Roman" w:hAnsi="Times New Roman" w:cs="Times New Roman"/>
      <w:kern w:val="2"/>
      <w:sz w:val="21"/>
    </w:rPr>
  </w:style>
  <w:style w:type="paragraph" w:styleId="53">
    <w:name w:val="HTML Preformatted"/>
    <w:basedOn w:val="1"/>
    <w:link w:val="9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Times New Roman"/>
      <w:kern w:val="2"/>
    </w:rPr>
  </w:style>
  <w:style w:type="paragraph" w:styleId="54">
    <w:name w:val="Normal (Web)"/>
    <w:basedOn w:val="1"/>
    <w:link w:val="95"/>
    <w:qFormat/>
    <w:uiPriority w:val="99"/>
    <w:pPr>
      <w:spacing w:before="100" w:beforeAutospacing="1" w:after="100" w:afterAutospacing="1"/>
    </w:pPr>
    <w:rPr>
      <w:rFonts w:ascii="Arial" w:hAnsi="Arial" w:cs="Times New Roman"/>
      <w:color w:val="000000"/>
      <w:sz w:val="18"/>
      <w:szCs w:val="18"/>
    </w:rPr>
  </w:style>
  <w:style w:type="paragraph" w:styleId="55">
    <w:name w:val="index 1"/>
    <w:basedOn w:val="1"/>
    <w:next w:val="1"/>
    <w:qFormat/>
    <w:uiPriority w:val="0"/>
    <w:pPr>
      <w:widowControl w:val="0"/>
      <w:jc w:val="both"/>
    </w:pPr>
    <w:rPr>
      <w:rFonts w:ascii="Times New Roman" w:hAnsi="Times New Roman" w:cs="Times New Roman"/>
      <w:kern w:val="2"/>
      <w:sz w:val="21"/>
      <w:szCs w:val="20"/>
    </w:rPr>
  </w:style>
  <w:style w:type="paragraph" w:styleId="56">
    <w:name w:val="Title"/>
    <w:basedOn w:val="1"/>
    <w:next w:val="1"/>
    <w:link w:val="96"/>
    <w:qFormat/>
    <w:uiPriority w:val="0"/>
    <w:pPr>
      <w:spacing w:before="240" w:after="60" w:line="460" w:lineRule="exact"/>
      <w:jc w:val="center"/>
      <w:outlineLvl w:val="0"/>
    </w:pPr>
    <w:rPr>
      <w:rFonts w:ascii="Arial" w:hAnsi="Arial" w:cs="Times New Roman"/>
      <w:b/>
      <w:spacing w:val="14"/>
      <w:kern w:val="24"/>
      <w:sz w:val="32"/>
      <w:szCs w:val="20"/>
    </w:rPr>
  </w:style>
  <w:style w:type="paragraph" w:styleId="57">
    <w:name w:val="annotation subject"/>
    <w:basedOn w:val="23"/>
    <w:next w:val="23"/>
    <w:link w:val="97"/>
    <w:qFormat/>
    <w:uiPriority w:val="99"/>
    <w:rPr>
      <w:b/>
      <w:bCs/>
    </w:rPr>
  </w:style>
  <w:style w:type="table" w:styleId="59">
    <w:name w:val="Table Grid"/>
    <w:basedOn w:val="5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1">
    <w:name w:val="Strong"/>
    <w:qFormat/>
    <w:uiPriority w:val="22"/>
    <w:rPr>
      <w:b/>
      <w:bCs/>
    </w:rPr>
  </w:style>
  <w:style w:type="character" w:styleId="62">
    <w:name w:val="page number"/>
    <w:qFormat/>
    <w:uiPriority w:val="0"/>
  </w:style>
  <w:style w:type="character" w:styleId="63">
    <w:name w:val="Emphasis"/>
    <w:qFormat/>
    <w:uiPriority w:val="0"/>
    <w:rPr>
      <w:rFonts w:ascii="Times New Roman" w:hAnsi="Times New Roman" w:eastAsia="宋体" w:cs="Times New Roman"/>
      <w:i/>
      <w:iCs/>
    </w:rPr>
  </w:style>
  <w:style w:type="character" w:styleId="64">
    <w:name w:val="Hyperlink"/>
    <w:qFormat/>
    <w:uiPriority w:val="0"/>
    <w:rPr>
      <w:color w:val="0000FF"/>
      <w:u w:val="single"/>
    </w:rPr>
  </w:style>
  <w:style w:type="character" w:styleId="65">
    <w:name w:val="annotation reference"/>
    <w:qFormat/>
    <w:uiPriority w:val="0"/>
    <w:rPr>
      <w:sz w:val="21"/>
      <w:szCs w:val="21"/>
    </w:rPr>
  </w:style>
  <w:style w:type="character" w:customStyle="1" w:styleId="66">
    <w:name w:val="正文文本 字符"/>
    <w:link w:val="3"/>
    <w:qFormat/>
    <w:uiPriority w:val="99"/>
    <w:rPr>
      <w:rFonts w:ascii="Arial" w:hAnsi="Arial" w:eastAsia="宋体"/>
      <w:bCs/>
      <w:kern w:val="2"/>
      <w:sz w:val="24"/>
      <w:szCs w:val="24"/>
      <w:lang w:val="en-US" w:eastAsia="zh-CN" w:bidi="ar-SA"/>
    </w:rPr>
  </w:style>
  <w:style w:type="character" w:customStyle="1" w:styleId="67">
    <w:name w:val="正文文本首行缩进 字符"/>
    <w:link w:val="2"/>
    <w:qFormat/>
    <w:uiPriority w:val="0"/>
    <w:rPr>
      <w:rFonts w:ascii="Calibri" w:hAnsi="Calibri" w:eastAsia="宋体"/>
      <w:bCs/>
      <w:kern w:val="2"/>
      <w:sz w:val="21"/>
      <w:szCs w:val="22"/>
      <w:lang w:val="en-US" w:eastAsia="zh-CN" w:bidi="ar-SA"/>
    </w:rPr>
  </w:style>
  <w:style w:type="character" w:customStyle="1" w:styleId="68">
    <w:name w:val="标题 1 字符"/>
    <w:link w:val="5"/>
    <w:qFormat/>
    <w:uiPriority w:val="0"/>
    <w:rPr>
      <w:rFonts w:eastAsia="宋体"/>
      <w:kern w:val="2"/>
      <w:sz w:val="28"/>
      <w:szCs w:val="24"/>
      <w:lang w:val="en-US" w:eastAsia="zh-CN" w:bidi="ar-SA"/>
    </w:rPr>
  </w:style>
  <w:style w:type="character" w:customStyle="1" w:styleId="69">
    <w:name w:val="标题 2 字符"/>
    <w:link w:val="6"/>
    <w:qFormat/>
    <w:uiPriority w:val="0"/>
    <w:rPr>
      <w:rFonts w:ascii="Arial" w:hAnsi="Arial" w:eastAsia="黑体"/>
      <w:b/>
      <w:bCs/>
      <w:kern w:val="2"/>
      <w:sz w:val="32"/>
      <w:szCs w:val="32"/>
      <w:lang w:val="en-US" w:eastAsia="zh-CN" w:bidi="ar-SA"/>
    </w:rPr>
  </w:style>
  <w:style w:type="character" w:customStyle="1" w:styleId="70">
    <w:name w:val="标题 3 字符"/>
    <w:link w:val="7"/>
    <w:qFormat/>
    <w:uiPriority w:val="0"/>
    <w:rPr>
      <w:rFonts w:ascii="Calibri" w:hAnsi="Calibri" w:eastAsia="宋体"/>
      <w:b/>
      <w:bCs/>
      <w:kern w:val="2"/>
      <w:sz w:val="32"/>
      <w:szCs w:val="32"/>
      <w:lang w:val="en-US" w:eastAsia="zh-CN" w:bidi="ar-SA"/>
    </w:rPr>
  </w:style>
  <w:style w:type="character" w:customStyle="1" w:styleId="71">
    <w:name w:val="标题 4 字符"/>
    <w:link w:val="8"/>
    <w:qFormat/>
    <w:uiPriority w:val="9"/>
    <w:rPr>
      <w:rFonts w:ascii="Cambria" w:hAnsi="Cambria" w:eastAsia="宋体"/>
      <w:b/>
      <w:bCs/>
      <w:kern w:val="2"/>
      <w:sz w:val="28"/>
      <w:szCs w:val="28"/>
      <w:lang w:val="en-US" w:eastAsia="zh-CN" w:bidi="ar-SA"/>
    </w:rPr>
  </w:style>
  <w:style w:type="character" w:customStyle="1" w:styleId="72">
    <w:name w:val="标题 5 字符"/>
    <w:link w:val="9"/>
    <w:qFormat/>
    <w:uiPriority w:val="9"/>
    <w:rPr>
      <w:rFonts w:ascii="宋体" w:hAnsi="宋体" w:cs="宋体"/>
      <w:b/>
      <w:bCs/>
      <w:sz w:val="28"/>
      <w:szCs w:val="28"/>
    </w:rPr>
  </w:style>
  <w:style w:type="character" w:customStyle="1" w:styleId="73">
    <w:name w:val="标题 6 字符"/>
    <w:link w:val="10"/>
    <w:qFormat/>
    <w:uiPriority w:val="9"/>
    <w:rPr>
      <w:rFonts w:ascii="Arial" w:hAnsi="Arial" w:eastAsia="黑体"/>
      <w:b/>
      <w:bCs/>
      <w:spacing w:val="6"/>
      <w:sz w:val="24"/>
      <w:szCs w:val="24"/>
    </w:rPr>
  </w:style>
  <w:style w:type="character" w:customStyle="1" w:styleId="74">
    <w:name w:val="正文缩进 字符1"/>
    <w:link w:val="11"/>
    <w:qFormat/>
    <w:uiPriority w:val="0"/>
    <w:rPr>
      <w:rFonts w:eastAsia="宋体"/>
      <w:kern w:val="2"/>
      <w:sz w:val="21"/>
      <w:szCs w:val="24"/>
      <w:lang w:val="en-US" w:eastAsia="zh-CN" w:bidi="ar-SA"/>
    </w:rPr>
  </w:style>
  <w:style w:type="character" w:customStyle="1" w:styleId="75">
    <w:name w:val="标题 7 字符"/>
    <w:link w:val="12"/>
    <w:qFormat/>
    <w:uiPriority w:val="9"/>
    <w:rPr>
      <w:rFonts w:ascii="宋体" w:hAnsi="宋体"/>
      <w:b/>
      <w:bCs/>
      <w:spacing w:val="6"/>
      <w:sz w:val="24"/>
      <w:szCs w:val="24"/>
    </w:rPr>
  </w:style>
  <w:style w:type="character" w:customStyle="1" w:styleId="76">
    <w:name w:val="标题 8 字符"/>
    <w:link w:val="13"/>
    <w:qFormat/>
    <w:uiPriority w:val="9"/>
    <w:rPr>
      <w:rFonts w:ascii="Arial" w:hAnsi="Arial" w:eastAsia="黑体"/>
      <w:spacing w:val="6"/>
      <w:sz w:val="24"/>
      <w:szCs w:val="24"/>
    </w:rPr>
  </w:style>
  <w:style w:type="character" w:customStyle="1" w:styleId="77">
    <w:name w:val="标题 9 字符"/>
    <w:link w:val="14"/>
    <w:qFormat/>
    <w:uiPriority w:val="9"/>
    <w:rPr>
      <w:rFonts w:ascii="Arial" w:hAnsi="Arial" w:eastAsia="黑体"/>
      <w:spacing w:val="6"/>
      <w:sz w:val="24"/>
      <w:szCs w:val="24"/>
    </w:rPr>
  </w:style>
  <w:style w:type="character" w:customStyle="1" w:styleId="78">
    <w:name w:val="题注 字符"/>
    <w:link w:val="19"/>
    <w:qFormat/>
    <w:uiPriority w:val="0"/>
    <w:rPr>
      <w:rFonts w:ascii="Arial" w:hAnsi="Arial" w:eastAsia="黑体" w:cs="Arial"/>
      <w:kern w:val="2"/>
      <w:sz w:val="24"/>
      <w:szCs w:val="24"/>
    </w:rPr>
  </w:style>
  <w:style w:type="character" w:customStyle="1" w:styleId="79">
    <w:name w:val="文档结构图 字符"/>
    <w:link w:val="21"/>
    <w:qFormat/>
    <w:uiPriority w:val="99"/>
    <w:rPr>
      <w:rFonts w:ascii="宋体" w:hAnsi="Calibri" w:eastAsia="宋体"/>
      <w:kern w:val="2"/>
      <w:sz w:val="18"/>
      <w:szCs w:val="18"/>
      <w:lang w:val="en-US" w:eastAsia="zh-CN" w:bidi="ar-SA"/>
    </w:rPr>
  </w:style>
  <w:style w:type="character" w:customStyle="1" w:styleId="80">
    <w:name w:val="批注文字 字符"/>
    <w:link w:val="23"/>
    <w:qFormat/>
    <w:uiPriority w:val="99"/>
    <w:rPr>
      <w:rFonts w:ascii="Calibri" w:hAnsi="Calibri" w:eastAsia="宋体"/>
      <w:kern w:val="2"/>
      <w:sz w:val="21"/>
      <w:szCs w:val="22"/>
      <w:lang w:val="en-US" w:eastAsia="zh-CN" w:bidi="ar-SA"/>
    </w:rPr>
  </w:style>
  <w:style w:type="character" w:customStyle="1" w:styleId="81">
    <w:name w:val="正文文本 3 字符"/>
    <w:link w:val="24"/>
    <w:qFormat/>
    <w:uiPriority w:val="0"/>
    <w:rPr>
      <w:rFonts w:ascii="楷体_GB2312" w:hAnsi="宋体" w:eastAsia="楷体_GB2312" w:cs="宋体"/>
      <w:i/>
      <w:iCs/>
      <w:sz w:val="24"/>
    </w:rPr>
  </w:style>
  <w:style w:type="character" w:customStyle="1" w:styleId="82">
    <w:name w:val="正文文本缩进 字符"/>
    <w:link w:val="26"/>
    <w:qFormat/>
    <w:uiPriority w:val="0"/>
    <w:rPr>
      <w:kern w:val="2"/>
      <w:sz w:val="21"/>
      <w:szCs w:val="24"/>
    </w:rPr>
  </w:style>
  <w:style w:type="character" w:customStyle="1" w:styleId="83">
    <w:name w:val="纯文本 字符2"/>
    <w:link w:val="33"/>
    <w:qFormat/>
    <w:uiPriority w:val="0"/>
    <w:rPr>
      <w:rFonts w:ascii="宋体" w:hAnsi="Courier New" w:eastAsia="宋体"/>
      <w:kern w:val="2"/>
      <w:sz w:val="21"/>
      <w:lang w:val="en-US" w:eastAsia="zh-CN" w:bidi="ar-SA"/>
    </w:rPr>
  </w:style>
  <w:style w:type="character" w:customStyle="1" w:styleId="84">
    <w:name w:val="日期 字符"/>
    <w:link w:val="36"/>
    <w:qFormat/>
    <w:uiPriority w:val="0"/>
    <w:rPr>
      <w:rFonts w:ascii="宋体" w:hAnsi="宋体" w:cs="宋体"/>
      <w:color w:val="000000"/>
      <w:sz w:val="24"/>
      <w:szCs w:val="24"/>
    </w:rPr>
  </w:style>
  <w:style w:type="character" w:customStyle="1" w:styleId="85">
    <w:name w:val="正文文本缩进 2 字符"/>
    <w:link w:val="37"/>
    <w:qFormat/>
    <w:uiPriority w:val="0"/>
    <w:rPr>
      <w:rFonts w:ascii="宋体" w:eastAsia="宋体"/>
      <w:sz w:val="24"/>
      <w:lang w:val="en-US" w:eastAsia="zh-CN" w:bidi="ar-SA"/>
    </w:rPr>
  </w:style>
  <w:style w:type="character" w:customStyle="1" w:styleId="86">
    <w:name w:val="尾注文本 字符"/>
    <w:link w:val="38"/>
    <w:qFormat/>
    <w:uiPriority w:val="0"/>
    <w:rPr>
      <w:kern w:val="2"/>
      <w:sz w:val="21"/>
      <w:szCs w:val="21"/>
    </w:rPr>
  </w:style>
  <w:style w:type="character" w:customStyle="1" w:styleId="87">
    <w:name w:val="批注框文本 字符"/>
    <w:link w:val="39"/>
    <w:qFormat/>
    <w:uiPriority w:val="99"/>
    <w:rPr>
      <w:rFonts w:ascii="宋体" w:hAnsi="宋体" w:cs="宋体"/>
      <w:sz w:val="18"/>
      <w:szCs w:val="18"/>
    </w:rPr>
  </w:style>
  <w:style w:type="character" w:customStyle="1" w:styleId="88">
    <w:name w:val="页脚 字符"/>
    <w:link w:val="40"/>
    <w:qFormat/>
    <w:uiPriority w:val="0"/>
    <w:rPr>
      <w:rFonts w:eastAsia="宋体"/>
      <w:kern w:val="2"/>
      <w:sz w:val="18"/>
      <w:szCs w:val="18"/>
      <w:lang w:val="en-US" w:eastAsia="zh-CN" w:bidi="ar-SA"/>
    </w:rPr>
  </w:style>
  <w:style w:type="character" w:customStyle="1" w:styleId="89">
    <w:name w:val="页眉 字符"/>
    <w:link w:val="41"/>
    <w:qFormat/>
    <w:uiPriority w:val="0"/>
    <w:rPr>
      <w:rFonts w:eastAsia="宋体"/>
      <w:kern w:val="2"/>
      <w:sz w:val="18"/>
      <w:szCs w:val="18"/>
      <w:lang w:val="en-US" w:eastAsia="zh-CN" w:bidi="ar-SA"/>
    </w:rPr>
  </w:style>
  <w:style w:type="character" w:customStyle="1" w:styleId="90">
    <w:name w:val="副标题 字符"/>
    <w:link w:val="44"/>
    <w:qFormat/>
    <w:uiPriority w:val="0"/>
    <w:rPr>
      <w:rFonts w:ascii="Cambria" w:hAnsi="Cambria"/>
      <w:b/>
      <w:bCs/>
      <w:kern w:val="28"/>
      <w:sz w:val="32"/>
      <w:szCs w:val="32"/>
    </w:rPr>
  </w:style>
  <w:style w:type="character" w:customStyle="1" w:styleId="91">
    <w:name w:val="脚注文本 字符"/>
    <w:link w:val="46"/>
    <w:qFormat/>
    <w:uiPriority w:val="0"/>
    <w:rPr>
      <w:kern w:val="2"/>
      <w:sz w:val="18"/>
      <w:szCs w:val="18"/>
    </w:rPr>
  </w:style>
  <w:style w:type="character" w:customStyle="1" w:styleId="92">
    <w:name w:val="正文文本缩进 3 字符"/>
    <w:link w:val="48"/>
    <w:qFormat/>
    <w:uiPriority w:val="0"/>
    <w:rPr>
      <w:rFonts w:eastAsia="黑体"/>
      <w:color w:val="000000"/>
      <w:kern w:val="2"/>
      <w:sz w:val="24"/>
      <w:szCs w:val="24"/>
      <w:lang w:val="en-US" w:eastAsia="zh-CN" w:bidi="ar-SA"/>
    </w:rPr>
  </w:style>
  <w:style w:type="character" w:customStyle="1" w:styleId="93">
    <w:name w:val="正文文本 2 字符"/>
    <w:link w:val="51"/>
    <w:qFormat/>
    <w:uiPriority w:val="0"/>
    <w:rPr>
      <w:rFonts w:ascii="宋体" w:hAnsi="宋体" w:cs="宋体"/>
      <w:sz w:val="24"/>
    </w:rPr>
  </w:style>
  <w:style w:type="character" w:customStyle="1" w:styleId="94">
    <w:name w:val="HTML 预设格式 字符"/>
    <w:link w:val="53"/>
    <w:qFormat/>
    <w:uiPriority w:val="0"/>
    <w:rPr>
      <w:rFonts w:ascii="Arial" w:hAnsi="Arial" w:cs="Arial"/>
      <w:kern w:val="2"/>
      <w:sz w:val="24"/>
      <w:szCs w:val="24"/>
    </w:rPr>
  </w:style>
  <w:style w:type="character" w:customStyle="1" w:styleId="95">
    <w:name w:val="普通(网站) 字符"/>
    <w:link w:val="54"/>
    <w:qFormat/>
    <w:uiPriority w:val="0"/>
    <w:rPr>
      <w:rFonts w:ascii="Arial" w:hAnsi="Arial" w:cs="Arial"/>
      <w:color w:val="000000"/>
      <w:sz w:val="18"/>
      <w:szCs w:val="18"/>
    </w:rPr>
  </w:style>
  <w:style w:type="character" w:customStyle="1" w:styleId="96">
    <w:name w:val="标题 字符"/>
    <w:link w:val="56"/>
    <w:qFormat/>
    <w:uiPriority w:val="0"/>
    <w:rPr>
      <w:rFonts w:ascii="Arial" w:hAnsi="Arial" w:cs="宋体"/>
      <w:b/>
      <w:spacing w:val="14"/>
      <w:kern w:val="24"/>
      <w:sz w:val="32"/>
    </w:rPr>
  </w:style>
  <w:style w:type="character" w:customStyle="1" w:styleId="97">
    <w:name w:val="批注主题 字符"/>
    <w:link w:val="57"/>
    <w:qFormat/>
    <w:uiPriority w:val="99"/>
    <w:rPr>
      <w:rFonts w:ascii="Calibri" w:hAnsi="Calibri" w:eastAsia="宋体"/>
      <w:b/>
      <w:bCs/>
      <w:kern w:val="2"/>
      <w:sz w:val="21"/>
      <w:szCs w:val="22"/>
      <w:lang w:val="en-US" w:eastAsia="zh-CN" w:bidi="ar-SA"/>
    </w:rPr>
  </w:style>
  <w:style w:type="paragraph" w:customStyle="1" w:styleId="98">
    <w:name w:val="正文文本首行缩进 2"/>
    <w:basedOn w:val="26"/>
    <w:link w:val="99"/>
    <w:qFormat/>
    <w:uiPriority w:val="0"/>
    <w:pPr>
      <w:widowControl w:val="0"/>
      <w:ind w:firstLine="420" w:firstLineChars="200"/>
      <w:jc w:val="both"/>
    </w:pPr>
    <w:rPr>
      <w:rFonts w:ascii="仿宋_GB2312" w:hAnsi="宋体" w:eastAsia="仿宋_GB2312"/>
      <w:b/>
      <w:bCs/>
      <w:color w:val="000000"/>
      <w:szCs w:val="21"/>
    </w:rPr>
  </w:style>
  <w:style w:type="character" w:customStyle="1" w:styleId="99">
    <w:name w:val="正文文本首行缩进 2 字符"/>
    <w:link w:val="98"/>
    <w:qFormat/>
    <w:uiPriority w:val="0"/>
    <w:rPr>
      <w:rFonts w:ascii="仿宋_GB2312" w:hAnsi="宋体" w:eastAsia="仿宋_GB2312" w:cs="宋体"/>
      <w:b/>
      <w:bCs/>
      <w:color w:val="000000"/>
      <w:kern w:val="2"/>
      <w:sz w:val="21"/>
      <w:szCs w:val="21"/>
    </w:rPr>
  </w:style>
  <w:style w:type="character" w:customStyle="1" w:styleId="100">
    <w:name w:val="访问过的超链接"/>
    <w:qFormat/>
    <w:uiPriority w:val="0"/>
    <w:rPr>
      <w:color w:val="800080"/>
      <w:u w:val="single"/>
    </w:rPr>
  </w:style>
  <w:style w:type="character" w:customStyle="1" w:styleId="101">
    <w:name w:val="纯文本 字符"/>
    <w:qFormat/>
    <w:uiPriority w:val="0"/>
    <w:rPr>
      <w:rFonts w:ascii="宋体" w:hAnsi="Courier New" w:eastAsia="仿宋_GB2312" w:cs="Times New Roman"/>
      <w:b/>
      <w:color w:val="000000"/>
      <w:sz w:val="21"/>
      <w:lang w:val="en-US" w:eastAsia="zh-CN" w:bidi="ar-SA"/>
    </w:rPr>
  </w:style>
  <w:style w:type="character" w:customStyle="1" w:styleId="102">
    <w:name w:val="特点 Char"/>
    <w:qFormat/>
    <w:uiPriority w:val="0"/>
    <w:rPr>
      <w:sz w:val="20"/>
    </w:rPr>
  </w:style>
  <w:style w:type="character" w:customStyle="1" w:styleId="103">
    <w:name w:val="江西-正文 Char"/>
    <w:link w:val="104"/>
    <w:qFormat/>
    <w:locked/>
    <w:uiPriority w:val="0"/>
    <w:rPr>
      <w:rFonts w:ascii="Calibri" w:hAnsi="Calibri" w:eastAsia="华文中宋"/>
      <w:sz w:val="24"/>
    </w:rPr>
  </w:style>
  <w:style w:type="paragraph" w:customStyle="1" w:styleId="104">
    <w:name w:val="江西-正文"/>
    <w:basedOn w:val="1"/>
    <w:link w:val="103"/>
    <w:qFormat/>
    <w:uiPriority w:val="0"/>
    <w:pPr>
      <w:widowControl w:val="0"/>
      <w:ind w:firstLine="200" w:firstLineChars="200"/>
      <w:jc w:val="both"/>
    </w:pPr>
    <w:rPr>
      <w:rFonts w:ascii="Calibri" w:hAnsi="Calibri" w:eastAsia="华文中宋" w:cs="Times New Roman"/>
      <w:szCs w:val="20"/>
    </w:rPr>
  </w:style>
  <w:style w:type="character" w:customStyle="1" w:styleId="105">
    <w:name w:val="bulletintext1"/>
    <w:qFormat/>
    <w:uiPriority w:val="0"/>
    <w:rPr>
      <w:rFonts w:hint="eastAsia" w:ascii="宋体" w:hAnsi="宋体" w:eastAsia="宋体" w:cs="Times New Roman"/>
      <w:sz w:val="18"/>
      <w:szCs w:val="18"/>
    </w:rPr>
  </w:style>
  <w:style w:type="character" w:customStyle="1" w:styleId="106">
    <w:name w:val="++标题2 Char"/>
    <w:qFormat/>
    <w:uiPriority w:val="0"/>
    <w:rPr>
      <w:rFonts w:ascii="Times New Roman" w:hAnsi="Times New Roman" w:eastAsia="宋体" w:cs="Arial"/>
      <w:b/>
      <w:bCs/>
      <w:sz w:val="28"/>
      <w:szCs w:val="28"/>
      <w:lang w:val="en-US" w:eastAsia="zh-CN" w:bidi="ar-SA"/>
    </w:rPr>
  </w:style>
  <w:style w:type="character" w:customStyle="1" w:styleId="107">
    <w:name w:val="正文1 Char Char"/>
    <w:link w:val="108"/>
    <w:qFormat/>
    <w:uiPriority w:val="0"/>
    <w:rPr>
      <w:rFonts w:ascii="Calibri" w:hAnsi="Calibri"/>
      <w:sz w:val="21"/>
      <w:szCs w:val="22"/>
    </w:rPr>
  </w:style>
  <w:style w:type="paragraph" w:customStyle="1" w:styleId="108">
    <w:name w:val="正文1 Char"/>
    <w:basedOn w:val="1"/>
    <w:link w:val="107"/>
    <w:qFormat/>
    <w:uiPriority w:val="0"/>
    <w:pPr>
      <w:widowControl w:val="0"/>
      <w:spacing w:line="360" w:lineRule="auto"/>
      <w:ind w:firstLine="480"/>
      <w:jc w:val="both"/>
    </w:pPr>
    <w:rPr>
      <w:rFonts w:ascii="Calibri" w:hAnsi="Calibri" w:cs="Times New Roman"/>
      <w:sz w:val="21"/>
      <w:szCs w:val="22"/>
    </w:rPr>
  </w:style>
  <w:style w:type="character" w:customStyle="1" w:styleId="109">
    <w:name w:val="font41"/>
    <w:qFormat/>
    <w:uiPriority w:val="0"/>
    <w:rPr>
      <w:rFonts w:hint="default" w:ascii="Symbol" w:hAnsi="Symbol" w:cs="Symbol"/>
      <w:color w:val="000000"/>
      <w:sz w:val="16"/>
      <w:szCs w:val="16"/>
      <w:u w:val="none"/>
    </w:rPr>
  </w:style>
  <w:style w:type="character" w:customStyle="1" w:styleId="110">
    <w:name w:val="ZX-正文 Char"/>
    <w:link w:val="111"/>
    <w:qFormat/>
    <w:uiPriority w:val="0"/>
    <w:rPr>
      <w:rFonts w:ascii="Trebuchet MS" w:hAnsi="FuturaA Bk BT"/>
      <w:sz w:val="24"/>
      <w:lang w:val="en-US" w:eastAsia="zh-CN" w:bidi="ar-SA"/>
    </w:rPr>
  </w:style>
  <w:style w:type="paragraph" w:customStyle="1" w:styleId="111">
    <w:name w:val="ZX-正文"/>
    <w:link w:val="110"/>
    <w:qFormat/>
    <w:uiPriority w:val="0"/>
    <w:pPr>
      <w:spacing w:beforeLines="50"/>
      <w:ind w:firstLine="480" w:firstLineChars="200"/>
    </w:pPr>
    <w:rPr>
      <w:rFonts w:ascii="Trebuchet MS" w:hAnsi="FuturaA Bk BT" w:eastAsia="宋体" w:cs="Times New Roman"/>
      <w:sz w:val="24"/>
      <w:lang w:val="en-US" w:eastAsia="zh-CN" w:bidi="ar-SA"/>
    </w:rPr>
  </w:style>
  <w:style w:type="character" w:customStyle="1" w:styleId="112">
    <w:name w:val=" Char Char6"/>
    <w:qFormat/>
    <w:uiPriority w:val="0"/>
    <w:rPr>
      <w:rFonts w:eastAsia="宋体"/>
      <w:kern w:val="2"/>
      <w:sz w:val="18"/>
      <w:szCs w:val="18"/>
      <w:lang w:val="en-US" w:eastAsia="zh-CN" w:bidi="ar-SA"/>
    </w:rPr>
  </w:style>
  <w:style w:type="character" w:customStyle="1" w:styleId="113">
    <w:name w:val="15"/>
    <w:qFormat/>
    <w:uiPriority w:val="0"/>
    <w:rPr>
      <w:rFonts w:hint="default" w:ascii="TimesNewRomanPSMT" w:hAnsi="TimesNewRomanPSMT" w:eastAsia="宋体" w:cs="Times New Roman"/>
      <w:color w:val="000000"/>
      <w:sz w:val="24"/>
      <w:szCs w:val="24"/>
    </w:rPr>
  </w:style>
  <w:style w:type="character" w:customStyle="1" w:styleId="114">
    <w:name w:val="正文文本 Char1"/>
    <w:qFormat/>
    <w:uiPriority w:val="99"/>
    <w:rPr>
      <w:rFonts w:ascii="宋体" w:hAnsi="宋体" w:eastAsia="宋体" w:cs="宋体"/>
      <w:szCs w:val="24"/>
    </w:rPr>
  </w:style>
  <w:style w:type="character" w:customStyle="1" w:styleId="115">
    <w:name w:val="4号正文 Char"/>
    <w:link w:val="116"/>
    <w:uiPriority w:val="0"/>
    <w:rPr>
      <w:rFonts w:ascii="Arial" w:hAnsi="Arial"/>
      <w:spacing w:val="6"/>
      <w:sz w:val="24"/>
      <w:szCs w:val="28"/>
    </w:rPr>
  </w:style>
  <w:style w:type="paragraph" w:customStyle="1" w:styleId="116">
    <w:name w:val="4号正文"/>
    <w:basedOn w:val="11"/>
    <w:link w:val="115"/>
    <w:qFormat/>
    <w:uiPriority w:val="0"/>
    <w:pPr>
      <w:spacing w:before="30" w:line="360" w:lineRule="auto"/>
      <w:ind w:firstLine="200"/>
      <w:jc w:val="both"/>
    </w:pPr>
    <w:rPr>
      <w:rFonts w:ascii="Arial" w:hAnsi="Arial"/>
      <w:spacing w:val="6"/>
      <w:kern w:val="0"/>
      <w:sz w:val="24"/>
      <w:szCs w:val="28"/>
    </w:rPr>
  </w:style>
  <w:style w:type="character" w:customStyle="1" w:styleId="117">
    <w:name w:val="HTML 预设格式 Char1"/>
    <w:qFormat/>
    <w:uiPriority w:val="0"/>
    <w:rPr>
      <w:rFonts w:ascii="Times New Roman" w:hAnsi="Courier New" w:eastAsia="宋体" w:cs="Times New Roman"/>
      <w:kern w:val="0"/>
      <w:sz w:val="20"/>
      <w:szCs w:val="20"/>
    </w:rPr>
  </w:style>
  <w:style w:type="character" w:customStyle="1" w:styleId="118">
    <w:name w:val="font31"/>
    <w:qFormat/>
    <w:uiPriority w:val="0"/>
    <w:rPr>
      <w:rFonts w:hint="eastAsia" w:ascii="微软雅黑" w:hAnsi="微软雅黑" w:eastAsia="微软雅黑" w:cs="Times New Roman"/>
      <w:color w:val="000000"/>
      <w:sz w:val="21"/>
      <w:szCs w:val="21"/>
      <w:u w:val="none"/>
    </w:rPr>
  </w:style>
  <w:style w:type="character" w:customStyle="1" w:styleId="119">
    <w:name w:val="正文段 Char"/>
    <w:link w:val="120"/>
    <w:qFormat/>
    <w:uiPriority w:val="0"/>
  </w:style>
  <w:style w:type="paragraph" w:customStyle="1" w:styleId="120">
    <w:name w:val="正文段"/>
    <w:basedOn w:val="1"/>
    <w:link w:val="119"/>
    <w:qFormat/>
    <w:uiPriority w:val="0"/>
    <w:pPr>
      <w:snapToGrid w:val="0"/>
      <w:spacing w:afterLines="50"/>
      <w:ind w:firstLine="200" w:firstLineChars="200"/>
      <w:jc w:val="both"/>
    </w:pPr>
    <w:rPr>
      <w:rFonts w:ascii="Times New Roman" w:hAnsi="Times New Roman" w:cs="Times New Roman"/>
      <w:sz w:val="20"/>
      <w:szCs w:val="20"/>
    </w:rPr>
  </w:style>
  <w:style w:type="character" w:customStyle="1" w:styleId="121">
    <w:name w:val="自定义正文 Char"/>
    <w:link w:val="122"/>
    <w:qFormat/>
    <w:uiPriority w:val="0"/>
    <w:rPr>
      <w:rFonts w:ascii="仿宋_GB2312" w:eastAsia="仿宋_GB2312"/>
      <w:sz w:val="28"/>
    </w:rPr>
  </w:style>
  <w:style w:type="paragraph" w:customStyle="1" w:styleId="122">
    <w:name w:val="自定义正文"/>
    <w:basedOn w:val="1"/>
    <w:link w:val="121"/>
    <w:qFormat/>
    <w:uiPriority w:val="0"/>
    <w:pPr>
      <w:widowControl w:val="0"/>
      <w:spacing w:line="480" w:lineRule="exact"/>
      <w:ind w:firstLine="200" w:firstLineChars="200"/>
    </w:pPr>
    <w:rPr>
      <w:rFonts w:ascii="仿宋_GB2312" w:hAnsi="Times New Roman" w:eastAsia="仿宋_GB2312" w:cs="Times New Roman"/>
      <w:sz w:val="28"/>
      <w:szCs w:val="20"/>
    </w:rPr>
  </w:style>
  <w:style w:type="character" w:customStyle="1" w:styleId="123">
    <w:name w:val="SANGFOR_6_正文 Char"/>
    <w:link w:val="124"/>
    <w:qFormat/>
    <w:uiPriority w:val="0"/>
    <w:rPr>
      <w:szCs w:val="21"/>
    </w:rPr>
  </w:style>
  <w:style w:type="paragraph" w:customStyle="1" w:styleId="124">
    <w:name w:val="SANGFOR_6_正文"/>
    <w:basedOn w:val="1"/>
    <w:link w:val="123"/>
    <w:qFormat/>
    <w:uiPriority w:val="0"/>
    <w:pPr>
      <w:widowControl w:val="0"/>
      <w:spacing w:line="360" w:lineRule="auto"/>
      <w:ind w:firstLine="420" w:firstLineChars="200"/>
      <w:jc w:val="both"/>
    </w:pPr>
    <w:rPr>
      <w:rFonts w:ascii="Times New Roman" w:hAnsi="Times New Roman" w:cs="Times New Roman"/>
      <w:sz w:val="20"/>
      <w:szCs w:val="21"/>
    </w:rPr>
  </w:style>
  <w:style w:type="character" w:customStyle="1" w:styleId="125">
    <w:name w:val="Texte Char Char"/>
    <w:qFormat/>
    <w:uiPriority w:val="0"/>
    <w:rPr>
      <w:rFonts w:ascii="宋体" w:hAnsi="Courier New" w:eastAsia="仿宋_GB2312" w:cs="宋体"/>
      <w:b/>
      <w:bCs/>
      <w:color w:val="000000"/>
      <w:sz w:val="21"/>
      <w:lang w:val="en-US" w:eastAsia="zh-CN" w:bidi="ar-SA"/>
    </w:rPr>
  </w:style>
  <w:style w:type="character" w:customStyle="1" w:styleId="126">
    <w:name w:val="表格用 Char Char"/>
    <w:link w:val="127"/>
    <w:qFormat/>
    <w:uiPriority w:val="0"/>
    <w:rPr>
      <w:rFonts w:ascii="宋体"/>
      <w:sz w:val="22"/>
    </w:rPr>
  </w:style>
  <w:style w:type="paragraph" w:customStyle="1" w:styleId="127">
    <w:name w:val="表格用"/>
    <w:basedOn w:val="1"/>
    <w:link w:val="126"/>
    <w:uiPriority w:val="0"/>
    <w:rPr>
      <w:rFonts w:hAnsi="Times New Roman" w:cs="Times New Roman"/>
      <w:sz w:val="22"/>
      <w:szCs w:val="20"/>
    </w:rPr>
  </w:style>
  <w:style w:type="character" w:customStyle="1" w:styleId="128">
    <w:name w:val="正文文本缩进字符"/>
    <w:qFormat/>
    <w:uiPriority w:val="0"/>
    <w:rPr>
      <w:rFonts w:ascii="Times New Roman" w:hAnsi="Times New Roman" w:eastAsia="宋体" w:cs="Times New Roman"/>
      <w:kern w:val="2"/>
      <w:sz w:val="21"/>
      <w:szCs w:val="24"/>
      <w:lang w:val="en-US" w:eastAsia="zh-CN" w:bidi="ar-SA"/>
    </w:rPr>
  </w:style>
  <w:style w:type="character" w:customStyle="1" w:styleId="129">
    <w:name w:val="页码1"/>
    <w:qFormat/>
    <w:uiPriority w:val="0"/>
    <w:rPr>
      <w:rFonts w:ascii="Times New Roman" w:hAnsi="Times New Roman" w:eastAsia="宋体" w:cs="Times New Roman"/>
    </w:rPr>
  </w:style>
  <w:style w:type="character" w:customStyle="1" w:styleId="130">
    <w:name w:val="普通文字 Char Char"/>
    <w:qFormat/>
    <w:uiPriority w:val="0"/>
    <w:rPr>
      <w:rFonts w:ascii="宋体" w:hAnsi="Courier New" w:eastAsia="宋体"/>
      <w:kern w:val="2"/>
      <w:sz w:val="21"/>
      <w:lang w:val="en-US" w:eastAsia="zh-CN" w:bidi="ar-SA"/>
    </w:rPr>
  </w:style>
  <w:style w:type="character" w:customStyle="1" w:styleId="131">
    <w:name w:val="正文（绿盟科技） Char Char"/>
    <w:link w:val="132"/>
    <w:qFormat/>
    <w:uiPriority w:val="0"/>
    <w:rPr>
      <w:rFonts w:ascii="Arial" w:hAnsi="Arial"/>
      <w:sz w:val="21"/>
      <w:szCs w:val="21"/>
      <w:lang w:val="en-US" w:eastAsia="zh-CN" w:bidi="ar-SA"/>
    </w:rPr>
  </w:style>
  <w:style w:type="paragraph" w:customStyle="1" w:styleId="132">
    <w:name w:val="正文（绿盟科技）"/>
    <w:link w:val="131"/>
    <w:qFormat/>
    <w:uiPriority w:val="0"/>
    <w:pPr>
      <w:spacing w:line="300" w:lineRule="auto"/>
    </w:pPr>
    <w:rPr>
      <w:rFonts w:ascii="Arial" w:hAnsi="Arial" w:eastAsia="宋体" w:cs="Times New Roman"/>
      <w:sz w:val="21"/>
      <w:szCs w:val="21"/>
      <w:lang w:val="en-US" w:eastAsia="zh-CN" w:bidi="ar-SA"/>
    </w:rPr>
  </w:style>
  <w:style w:type="character" w:customStyle="1" w:styleId="133">
    <w:name w:val="正文文本缩进 Char1"/>
    <w:qFormat/>
    <w:uiPriority w:val="0"/>
    <w:rPr>
      <w:rFonts w:hint="eastAsia" w:ascii="宋体" w:hAnsi="宋体" w:eastAsia="宋体" w:cs="Times New Roman"/>
      <w:kern w:val="2"/>
      <w:sz w:val="24"/>
      <w:szCs w:val="24"/>
      <w:lang w:val="en-US" w:eastAsia="zh-CN" w:bidi="ar-SA"/>
    </w:rPr>
  </w:style>
  <w:style w:type="character" w:customStyle="1" w:styleId="134">
    <w:name w:val="param-name"/>
    <w:qFormat/>
    <w:uiPriority w:val="0"/>
    <w:rPr>
      <w:rFonts w:ascii="Times New Roman" w:hAnsi="Times New Roman" w:eastAsia="宋体" w:cs="Times New Roman"/>
    </w:rPr>
  </w:style>
  <w:style w:type="character" w:customStyle="1" w:styleId="135">
    <w:name w:val="日期 Char1"/>
    <w:qFormat/>
    <w:uiPriority w:val="99"/>
    <w:rPr>
      <w:rFonts w:hint="eastAsia" w:ascii="宋体" w:hAnsi="宋体" w:eastAsia="宋体" w:cs="宋体"/>
      <w:kern w:val="2"/>
      <w:sz w:val="24"/>
      <w:szCs w:val="24"/>
    </w:rPr>
  </w:style>
  <w:style w:type="character" w:customStyle="1" w:styleId="136">
    <w:name w:val="htd0"/>
    <w:uiPriority w:val="0"/>
  </w:style>
  <w:style w:type="character" w:customStyle="1" w:styleId="137">
    <w:name w:val="Char Char14"/>
    <w:qFormat/>
    <w:uiPriority w:val="0"/>
    <w:rPr>
      <w:rFonts w:hint="eastAsia" w:ascii="宋体" w:hAnsi="宋体" w:eastAsia="宋体" w:cs="Times New Roman"/>
      <w:sz w:val="18"/>
      <w:szCs w:val="18"/>
    </w:rPr>
  </w:style>
  <w:style w:type="character" w:customStyle="1" w:styleId="138">
    <w:name w:val="Char Char7"/>
    <w:qFormat/>
    <w:uiPriority w:val="0"/>
    <w:rPr>
      <w:rFonts w:ascii="Times New Roman" w:hAnsi="Times New Roman" w:eastAsia="仿宋_GB2312" w:cs="Times New Roman"/>
      <w:kern w:val="2"/>
      <w:sz w:val="24"/>
      <w:szCs w:val="24"/>
      <w:lang w:val="en-US" w:eastAsia="zh-CN" w:bidi="ar-SA"/>
    </w:rPr>
  </w:style>
  <w:style w:type="character" w:customStyle="1" w:styleId="139">
    <w:name w:val="font61"/>
    <w:qFormat/>
    <w:uiPriority w:val="0"/>
    <w:rPr>
      <w:rFonts w:hint="eastAsia" w:ascii="宋体" w:hAnsi="宋体" w:eastAsia="宋体" w:cs="宋体"/>
      <w:color w:val="000000"/>
      <w:sz w:val="18"/>
      <w:szCs w:val="18"/>
      <w:u w:val="none"/>
    </w:rPr>
  </w:style>
  <w:style w:type="character" w:customStyle="1" w:styleId="140">
    <w:name w:val="!! 正文 Char"/>
    <w:qFormat/>
    <w:uiPriority w:val="0"/>
    <w:rPr>
      <w:sz w:val="20"/>
    </w:rPr>
  </w:style>
  <w:style w:type="character" w:customStyle="1" w:styleId="141">
    <w:name w:val="二级标题 字符"/>
    <w:link w:val="142"/>
    <w:qFormat/>
    <w:uiPriority w:val="0"/>
    <w:rPr>
      <w:b/>
      <w:kern w:val="2"/>
      <w:sz w:val="32"/>
      <w:szCs w:val="32"/>
    </w:rPr>
  </w:style>
  <w:style w:type="paragraph" w:customStyle="1" w:styleId="142">
    <w:name w:val="二级标题"/>
    <w:basedOn w:val="6"/>
    <w:link w:val="141"/>
    <w:qFormat/>
    <w:uiPriority w:val="0"/>
    <w:pPr>
      <w:widowControl w:val="0"/>
      <w:numPr>
        <w:ilvl w:val="1"/>
        <w:numId w:val="1"/>
      </w:numPr>
      <w:spacing w:before="0" w:after="0" w:line="360" w:lineRule="auto"/>
      <w:jc w:val="both"/>
    </w:pPr>
    <w:rPr>
      <w:rFonts w:ascii="Times New Roman" w:hAnsi="Times New Roman" w:eastAsia="宋体"/>
      <w:bCs w:val="0"/>
    </w:rPr>
  </w:style>
  <w:style w:type="character" w:customStyle="1" w:styleId="143">
    <w:name w:val="样式 正文缩进 + 首行缩进:  2 字符 Char"/>
    <w:link w:val="144"/>
    <w:qFormat/>
    <w:uiPriority w:val="0"/>
    <w:rPr>
      <w:rFonts w:ascii="宋体" w:hAnsi="宋体"/>
      <w:color w:val="000000"/>
    </w:rPr>
  </w:style>
  <w:style w:type="paragraph" w:customStyle="1" w:styleId="144">
    <w:name w:val="样式 正文缩进 + 首行缩进:  2 字符"/>
    <w:basedOn w:val="11"/>
    <w:link w:val="143"/>
    <w:qFormat/>
    <w:uiPriority w:val="0"/>
    <w:pPr>
      <w:widowControl w:val="0"/>
      <w:spacing w:line="360" w:lineRule="auto"/>
      <w:ind w:firstLine="480"/>
      <w:jc w:val="both"/>
    </w:pPr>
    <w:rPr>
      <w:rFonts w:ascii="宋体" w:hAnsi="宋体"/>
      <w:color w:val="000000"/>
      <w:kern w:val="0"/>
      <w:sz w:val="20"/>
      <w:szCs w:val="20"/>
    </w:rPr>
  </w:style>
  <w:style w:type="character" w:customStyle="1" w:styleId="145">
    <w:name w:val="unnamed51"/>
    <w:qFormat/>
    <w:uiPriority w:val="0"/>
    <w:rPr>
      <w:sz w:val="22"/>
      <w:szCs w:val="22"/>
    </w:rPr>
  </w:style>
  <w:style w:type="character" w:customStyle="1" w:styleId="146">
    <w:name w:val="正文格式 Char Char"/>
    <w:link w:val="147"/>
    <w:qFormat/>
    <w:uiPriority w:val="0"/>
    <w:rPr>
      <w:rFonts w:ascii="宋体" w:hAnsi="宋体" w:cs="宋体"/>
      <w:sz w:val="24"/>
    </w:rPr>
  </w:style>
  <w:style w:type="paragraph" w:customStyle="1" w:styleId="147">
    <w:name w:val="正文格式"/>
    <w:basedOn w:val="1"/>
    <w:link w:val="146"/>
    <w:uiPriority w:val="0"/>
    <w:pPr>
      <w:adjustRightInd w:val="0"/>
      <w:snapToGrid w:val="0"/>
      <w:spacing w:line="360" w:lineRule="atLeast"/>
      <w:ind w:firstLine="482"/>
      <w:jc w:val="both"/>
      <w:textAlignment w:val="baseline"/>
    </w:pPr>
    <w:rPr>
      <w:rFonts w:cs="Times New Roman"/>
      <w:szCs w:val="20"/>
    </w:rPr>
  </w:style>
  <w:style w:type="character" w:customStyle="1" w:styleId="148">
    <w:name w:val="批注主题 Char1"/>
    <w:qFormat/>
    <w:uiPriority w:val="0"/>
    <w:rPr>
      <w:rFonts w:ascii="Times New Roman" w:hAnsi="Times New Roman" w:eastAsia="宋体" w:cs="Times New Roman"/>
      <w:b/>
      <w:bCs/>
      <w:szCs w:val="24"/>
    </w:rPr>
  </w:style>
  <w:style w:type="character" w:customStyle="1" w:styleId="149">
    <w:name w:val="宏文本 Char"/>
    <w:link w:val="150"/>
    <w:qFormat/>
    <w:uiPriority w:val="0"/>
    <w:rPr>
      <w:rFonts w:ascii="Courier New" w:hAnsi="Courier New" w:eastAsia="Times New Roman" w:cs="Courier New"/>
      <w:lang w:val="en-US" w:eastAsia="zh-CN" w:bidi="ar-SA"/>
    </w:rPr>
  </w:style>
  <w:style w:type="paragraph" w:customStyle="1" w:styleId="150">
    <w:name w:val="宏文本1"/>
    <w:link w:val="14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lang w:val="en-US" w:eastAsia="zh-CN" w:bidi="ar-SA"/>
    </w:rPr>
  </w:style>
  <w:style w:type="character" w:customStyle="1" w:styleId="151">
    <w:name w:val="Char Char11"/>
    <w:qFormat/>
    <w:uiPriority w:val="0"/>
    <w:rPr>
      <w:rFonts w:ascii="Times New Roman" w:hAnsi="Times New Roman" w:eastAsia="宋体" w:cs="Times New Roman"/>
      <w:b/>
      <w:kern w:val="44"/>
      <w:sz w:val="44"/>
    </w:rPr>
  </w:style>
  <w:style w:type="character" w:customStyle="1" w:styleId="152">
    <w:name w:val="方案正文 Char"/>
    <w:qFormat/>
    <w:uiPriority w:val="0"/>
    <w:rPr>
      <w:rFonts w:ascii="宋体" w:hAnsi="宋体" w:eastAsia="宋体" w:cs="Times New Roman"/>
      <w:color w:val="000000"/>
    </w:rPr>
  </w:style>
  <w:style w:type="character" w:customStyle="1" w:styleId="153">
    <w:name w:val="heading 4 + Indent: Left 0.5 in Char Char"/>
    <w:qFormat/>
    <w:uiPriority w:val="0"/>
    <w:rPr>
      <w:rFonts w:ascii="Arial" w:hAnsi="Arial" w:eastAsia="黑体"/>
      <w:b/>
      <w:bCs/>
      <w:kern w:val="2"/>
      <w:sz w:val="28"/>
      <w:szCs w:val="28"/>
      <w:lang w:val="en-US" w:eastAsia="zh-CN" w:bidi="ar-SA"/>
    </w:rPr>
  </w:style>
  <w:style w:type="character" w:customStyle="1" w:styleId="154">
    <w:name w:val="正文2 Char"/>
    <w:link w:val="155"/>
    <w:qFormat/>
    <w:uiPriority w:val="0"/>
    <w:rPr>
      <w:rFonts w:ascii="宋体" w:hAnsi="宋体" w:cs="宋体"/>
      <w:sz w:val="24"/>
    </w:rPr>
  </w:style>
  <w:style w:type="paragraph" w:customStyle="1" w:styleId="155">
    <w:name w:val="正文2"/>
    <w:basedOn w:val="1"/>
    <w:link w:val="154"/>
    <w:qFormat/>
    <w:uiPriority w:val="0"/>
    <w:pPr>
      <w:spacing w:before="156" w:line="360" w:lineRule="auto"/>
      <w:ind w:firstLine="510" w:firstLineChars="200"/>
    </w:pPr>
    <w:rPr>
      <w:rFonts w:cs="Times New Roman"/>
      <w:szCs w:val="20"/>
    </w:rPr>
  </w:style>
  <w:style w:type="character" w:customStyle="1" w:styleId="156">
    <w:name w:val="应答文本 Char Char"/>
    <w:link w:val="157"/>
    <w:qFormat/>
    <w:uiPriority w:val="0"/>
    <w:rPr>
      <w:rFonts w:ascii="宋体" w:hAnsi="宋体"/>
      <w:spacing w:val="4"/>
      <w:sz w:val="28"/>
      <w:szCs w:val="28"/>
    </w:rPr>
  </w:style>
  <w:style w:type="paragraph" w:customStyle="1" w:styleId="157">
    <w:name w:val="应答文本"/>
    <w:basedOn w:val="1"/>
    <w:link w:val="156"/>
    <w:qFormat/>
    <w:uiPriority w:val="0"/>
    <w:pPr>
      <w:widowControl w:val="0"/>
      <w:adjustRightInd w:val="0"/>
      <w:spacing w:afterLines="50" w:line="460" w:lineRule="exact"/>
      <w:ind w:left="720" w:leftChars="300" w:firstLine="576" w:firstLineChars="200"/>
      <w:jc w:val="both"/>
    </w:pPr>
    <w:rPr>
      <w:rFonts w:cs="Times New Roman"/>
      <w:spacing w:val="4"/>
      <w:sz w:val="28"/>
      <w:szCs w:val="28"/>
    </w:rPr>
  </w:style>
  <w:style w:type="character" w:customStyle="1" w:styleId="158">
    <w:name w:val="纯文本 字符1"/>
    <w:qFormat/>
    <w:uiPriority w:val="0"/>
    <w:rPr>
      <w:rFonts w:ascii="宋体" w:hAnsi="Courier New" w:eastAsia="宋体"/>
      <w:kern w:val="2"/>
      <w:sz w:val="21"/>
      <w:lang w:val="en-US" w:eastAsia="zh-CN" w:bidi="ar-SA"/>
    </w:rPr>
  </w:style>
  <w:style w:type="character" w:customStyle="1" w:styleId="159">
    <w:name w:val="标题 2 Char Char Char"/>
    <w:qFormat/>
    <w:uiPriority w:val="0"/>
    <w:rPr>
      <w:rFonts w:ascii="Arial" w:hAnsi="Arial" w:eastAsia="黑体" w:cs="宋体"/>
      <w:color w:val="000000"/>
      <w:spacing w:val="20"/>
      <w:sz w:val="32"/>
      <w:szCs w:val="32"/>
      <w:lang w:val="en-US" w:eastAsia="zh-CN" w:bidi="ar-SA"/>
    </w:rPr>
  </w:style>
  <w:style w:type="character" w:customStyle="1" w:styleId="160">
    <w:name w:val="12blk1"/>
    <w:qFormat/>
    <w:uiPriority w:val="0"/>
    <w:rPr>
      <w:rFonts w:hint="default"/>
      <w:color w:val="000000"/>
      <w:sz w:val="24"/>
      <w:szCs w:val="24"/>
      <w:u w:val="none"/>
    </w:rPr>
  </w:style>
  <w:style w:type="character" w:customStyle="1" w:styleId="161">
    <w:name w:val="列出段落 字符"/>
    <w:qFormat/>
    <w:uiPriority w:val="34"/>
    <w:rPr>
      <w:rFonts w:ascii="Times New Roman" w:hAnsi="Times New Roman" w:eastAsia="宋体" w:cs="Times New Roman"/>
      <w:sz w:val="24"/>
      <w:szCs w:val="24"/>
    </w:rPr>
  </w:style>
  <w:style w:type="character" w:customStyle="1" w:styleId="162">
    <w:name w:val="项目排列 Char"/>
    <w:link w:val="163"/>
    <w:qFormat/>
    <w:uiPriority w:val="0"/>
  </w:style>
  <w:style w:type="paragraph" w:customStyle="1" w:styleId="163">
    <w:name w:val="项目排列"/>
    <w:basedOn w:val="1"/>
    <w:link w:val="162"/>
    <w:qFormat/>
    <w:uiPriority w:val="0"/>
    <w:pPr>
      <w:widowControl w:val="0"/>
      <w:tabs>
        <w:tab w:val="left" w:pos="900"/>
      </w:tabs>
      <w:spacing w:beforeLines="50" w:afterLines="50" w:line="300" w:lineRule="auto"/>
      <w:ind w:left="900" w:hanging="420"/>
      <w:jc w:val="both"/>
    </w:pPr>
    <w:rPr>
      <w:rFonts w:ascii="Times New Roman" w:hAnsi="Times New Roman" w:cs="Times New Roman"/>
      <w:sz w:val="20"/>
      <w:szCs w:val="20"/>
    </w:rPr>
  </w:style>
  <w:style w:type="character" w:customStyle="1" w:styleId="164">
    <w:name w:val="标题 2 Char1"/>
    <w:qFormat/>
    <w:uiPriority w:val="0"/>
    <w:rPr>
      <w:rFonts w:ascii="Cambria" w:hAnsi="Cambria" w:eastAsia="宋体" w:cs="Times New Roman"/>
      <w:b/>
      <w:bCs/>
      <w:kern w:val="2"/>
      <w:sz w:val="32"/>
      <w:szCs w:val="32"/>
    </w:rPr>
  </w:style>
  <w:style w:type="character" w:customStyle="1" w:styleId="165">
    <w:name w:val="font01"/>
    <w:qFormat/>
    <w:uiPriority w:val="0"/>
    <w:rPr>
      <w:rFonts w:hint="eastAsia" w:ascii="宋体" w:hAnsi="宋体" w:eastAsia="宋体" w:cs="宋体"/>
      <w:color w:val="000000"/>
      <w:sz w:val="21"/>
      <w:szCs w:val="21"/>
      <w:u w:val="none"/>
    </w:rPr>
  </w:style>
  <w:style w:type="character" w:customStyle="1" w:styleId="166">
    <w:name w:val="链接"/>
    <w:qFormat/>
    <w:uiPriority w:val="0"/>
    <w:rPr>
      <w:rFonts w:hint="default" w:ascii="Times New Roman" w:hAnsi="Times New Roman" w:eastAsia="宋体" w:cs="Times New Roman"/>
      <w:color w:val="0000FF"/>
      <w:sz w:val="21"/>
      <w:u w:val="single" w:color="0000FF"/>
      <w:vertAlign w:val="baseline"/>
      <w:lang w:val="en-US" w:eastAsia="zh-CN"/>
    </w:rPr>
  </w:style>
  <w:style w:type="character" w:customStyle="1" w:styleId="167">
    <w:name w:val="列出段落 Char1"/>
    <w:qFormat/>
    <w:uiPriority w:val="0"/>
    <w:rPr>
      <w:kern w:val="2"/>
      <w:sz w:val="21"/>
      <w:szCs w:val="24"/>
    </w:rPr>
  </w:style>
  <w:style w:type="character" w:customStyle="1" w:styleId="168">
    <w:name w:val="ca-3"/>
    <w:qFormat/>
    <w:uiPriority w:val="0"/>
    <w:rPr>
      <w:rFonts w:ascii="Times New Roman" w:hAnsi="Times New Roman" w:eastAsia="宋体" w:cs="Times New Roman"/>
    </w:rPr>
  </w:style>
  <w:style w:type="character" w:customStyle="1" w:styleId="169">
    <w:name w:val="样式2 Char"/>
    <w:link w:val="170"/>
    <w:qFormat/>
    <w:uiPriority w:val="0"/>
    <w:rPr>
      <w:rFonts w:ascii="Arial" w:hAnsi="Arial" w:eastAsia="黑体" w:cs="Arial"/>
      <w:kern w:val="44"/>
      <w:sz w:val="30"/>
    </w:rPr>
  </w:style>
  <w:style w:type="paragraph" w:customStyle="1" w:styleId="170">
    <w:name w:val="样式2"/>
    <w:basedOn w:val="5"/>
    <w:link w:val="169"/>
    <w:qFormat/>
    <w:uiPriority w:val="0"/>
    <w:pPr>
      <w:keepNext w:val="0"/>
      <w:pageBreakBefore/>
      <w:tabs>
        <w:tab w:val="left" w:pos="432"/>
      </w:tabs>
      <w:adjustRightInd w:val="0"/>
      <w:spacing w:beforeLines="30" w:line="578" w:lineRule="atLeast"/>
      <w:ind w:left="432" w:hanging="432"/>
      <w:textAlignment w:val="baseline"/>
    </w:pPr>
    <w:rPr>
      <w:rFonts w:ascii="Arial" w:hAnsi="Arial" w:eastAsia="黑体"/>
      <w:kern w:val="44"/>
      <w:sz w:val="30"/>
      <w:szCs w:val="20"/>
    </w:rPr>
  </w:style>
  <w:style w:type="character" w:customStyle="1" w:styleId="171">
    <w:name w:val="纯文本 Char1"/>
    <w:qFormat/>
    <w:uiPriority w:val="0"/>
    <w:rPr>
      <w:rFonts w:ascii="宋体" w:hAnsi="Courier New" w:eastAsia="宋体"/>
      <w:kern w:val="2"/>
      <w:sz w:val="21"/>
      <w:lang w:val="en-US" w:eastAsia="zh-CN" w:bidi="ar-SA"/>
    </w:rPr>
  </w:style>
  <w:style w:type="character" w:customStyle="1" w:styleId="172">
    <w:name w:val="Plain Text Char"/>
    <w:qFormat/>
    <w:uiPriority w:val="0"/>
    <w:rPr>
      <w:rFonts w:ascii="宋体" w:hAnsi="Courier New" w:eastAsia="宋体" w:cs="Times New Roman"/>
      <w:snapToGrid/>
      <w:sz w:val="21"/>
    </w:rPr>
  </w:style>
  <w:style w:type="character" w:customStyle="1" w:styleId="173">
    <w:name w:val="标题 3 Char1"/>
    <w:qFormat/>
    <w:uiPriority w:val="0"/>
    <w:rPr>
      <w:rFonts w:hint="eastAsia" w:ascii="宋体" w:hAnsi="宋体" w:eastAsia="宋体" w:cs="Times New Roman"/>
      <w:b/>
      <w:sz w:val="24"/>
      <w:u w:val="single"/>
      <w:lang w:val="en-US" w:eastAsia="zh-CN" w:bidi="ar-SA"/>
    </w:rPr>
  </w:style>
  <w:style w:type="character" w:customStyle="1" w:styleId="174">
    <w:name w:val="标准文本 Char"/>
    <w:link w:val="175"/>
    <w:qFormat/>
    <w:uiPriority w:val="0"/>
  </w:style>
  <w:style w:type="paragraph" w:customStyle="1" w:styleId="175">
    <w:name w:val="标准文本"/>
    <w:basedOn w:val="1"/>
    <w:link w:val="174"/>
    <w:qFormat/>
    <w:uiPriority w:val="0"/>
    <w:pPr>
      <w:widowControl w:val="0"/>
      <w:spacing w:line="360" w:lineRule="auto"/>
      <w:ind w:firstLine="480" w:firstLineChars="200"/>
      <w:jc w:val="both"/>
    </w:pPr>
    <w:rPr>
      <w:rFonts w:ascii="Times New Roman" w:hAnsi="Times New Roman" w:cs="Times New Roman"/>
      <w:sz w:val="20"/>
      <w:szCs w:val="20"/>
    </w:rPr>
  </w:style>
  <w:style w:type="character" w:customStyle="1" w:styleId="176">
    <w:name w:val="表格文字图表文字 Char Char"/>
    <w:link w:val="177"/>
    <w:qFormat/>
    <w:uiPriority w:val="0"/>
  </w:style>
  <w:style w:type="paragraph" w:customStyle="1" w:styleId="177">
    <w:name w:val="表格文字图表文字"/>
    <w:basedOn w:val="1"/>
    <w:link w:val="176"/>
    <w:qFormat/>
    <w:uiPriority w:val="0"/>
    <w:pPr>
      <w:widowControl w:val="0"/>
      <w:snapToGrid w:val="0"/>
      <w:jc w:val="center"/>
    </w:pPr>
    <w:rPr>
      <w:rFonts w:ascii="Times New Roman" w:hAnsi="Times New Roman" w:cs="Times New Roman"/>
      <w:sz w:val="20"/>
      <w:szCs w:val="20"/>
    </w:rPr>
  </w:style>
  <w:style w:type="character" w:customStyle="1" w:styleId="178">
    <w:name w:val="页眉 Char1"/>
    <w:qFormat/>
    <w:uiPriority w:val="99"/>
    <w:rPr>
      <w:rFonts w:hint="eastAsia" w:ascii="宋体" w:hAnsi="宋体" w:eastAsia="宋体" w:cs="宋体"/>
      <w:kern w:val="2"/>
      <w:sz w:val="18"/>
      <w:szCs w:val="18"/>
    </w:rPr>
  </w:style>
  <w:style w:type="character" w:customStyle="1" w:styleId="179">
    <w:name w:val="style51"/>
    <w:qFormat/>
    <w:uiPriority w:val="0"/>
    <w:rPr>
      <w:rFonts w:ascii="Times New Roman" w:hAnsi="Times New Roman" w:eastAsia="宋体" w:cs="Times New Roman"/>
      <w:sz w:val="21"/>
      <w:szCs w:val="21"/>
    </w:rPr>
  </w:style>
  <w:style w:type="character" w:customStyle="1" w:styleId="180">
    <w:name w:val="18h1"/>
    <w:qFormat/>
    <w:uiPriority w:val="0"/>
    <w:rPr>
      <w:rFonts w:ascii="Times New Roman" w:hAnsi="Times New Roman" w:eastAsia="宋体" w:cs="Times New Roman"/>
      <w:color w:val="3B3B3B"/>
    </w:rPr>
  </w:style>
  <w:style w:type="character" w:customStyle="1" w:styleId="181">
    <w:name w:val="未处理的提及1"/>
    <w:unhideWhenUsed/>
    <w:qFormat/>
    <w:uiPriority w:val="99"/>
    <w:rPr>
      <w:color w:val="808080"/>
      <w:shd w:val="clear" w:color="auto" w:fill="E6E6E6"/>
    </w:rPr>
  </w:style>
  <w:style w:type="character" w:customStyle="1" w:styleId="182">
    <w:name w:val="wj1"/>
    <w:qFormat/>
    <w:uiPriority w:val="0"/>
    <w:rPr>
      <w:color w:val="000000"/>
      <w:sz w:val="18"/>
      <w:szCs w:val="18"/>
      <w:u w:val="none"/>
    </w:rPr>
  </w:style>
  <w:style w:type="character" w:customStyle="1" w:styleId="183">
    <w:name w:val="1ji Char"/>
    <w:link w:val="184"/>
    <w:qFormat/>
    <w:uiPriority w:val="0"/>
    <w:rPr>
      <w:rFonts w:ascii="宋体" w:hAnsi="宋体"/>
      <w:b/>
      <w:bCs/>
      <w:kern w:val="44"/>
      <w:sz w:val="36"/>
      <w:szCs w:val="44"/>
    </w:rPr>
  </w:style>
  <w:style w:type="paragraph" w:customStyle="1" w:styleId="184">
    <w:name w:val="1ji"/>
    <w:basedOn w:val="5"/>
    <w:link w:val="183"/>
    <w:qFormat/>
    <w:uiPriority w:val="0"/>
    <w:pPr>
      <w:tabs>
        <w:tab w:val="left" w:pos="432"/>
        <w:tab w:val="left" w:pos="567"/>
      </w:tabs>
      <w:adjustRightInd w:val="0"/>
      <w:snapToGrid w:val="0"/>
      <w:spacing w:beforeLines="50" w:afterLines="50"/>
    </w:pPr>
    <w:rPr>
      <w:rFonts w:ascii="宋体" w:hAnsi="宋体"/>
      <w:b/>
      <w:bCs/>
      <w:kern w:val="44"/>
      <w:sz w:val="36"/>
      <w:szCs w:val="44"/>
    </w:rPr>
  </w:style>
  <w:style w:type="character" w:customStyle="1" w:styleId="185">
    <w:name w:val="Char Char2"/>
    <w:qFormat/>
    <w:uiPriority w:val="0"/>
    <w:rPr>
      <w:rFonts w:ascii="Arial" w:hAnsi="Arial" w:eastAsia="黑体" w:cs="Times New Roman"/>
      <w:b/>
      <w:bCs/>
      <w:color w:val="000000"/>
      <w:sz w:val="32"/>
      <w:szCs w:val="32"/>
      <w:lang w:val="en-US" w:eastAsia="zh-CN" w:bidi="ar-SA"/>
    </w:rPr>
  </w:style>
  <w:style w:type="character" w:customStyle="1" w:styleId="186">
    <w:name w:val="插图 Char Char"/>
    <w:link w:val="187"/>
    <w:qFormat/>
    <w:uiPriority w:val="0"/>
    <w:rPr>
      <w:rFonts w:ascii="宋体" w:hAnsi="宋体" w:eastAsia="Times New Roman" w:cs="宋体"/>
      <w:lang w:val="en-US" w:eastAsia="zh-CN" w:bidi="ar-SA"/>
    </w:rPr>
  </w:style>
  <w:style w:type="paragraph" w:customStyle="1" w:styleId="187">
    <w:name w:val="插图"/>
    <w:link w:val="186"/>
    <w:qFormat/>
    <w:uiPriority w:val="0"/>
    <w:pPr>
      <w:jc w:val="center"/>
    </w:pPr>
    <w:rPr>
      <w:rFonts w:ascii="宋体" w:hAnsi="宋体" w:eastAsia="Times New Roman" w:cs="宋体"/>
      <w:lang w:val="en-US" w:eastAsia="zh-CN" w:bidi="ar-SA"/>
    </w:rPr>
  </w:style>
  <w:style w:type="character" w:customStyle="1" w:styleId="188">
    <w:name w:val="标题 1 Char1"/>
    <w:qFormat/>
    <w:uiPriority w:val="0"/>
    <w:rPr>
      <w:rFonts w:hint="eastAsia" w:ascii="宋体" w:hAnsi="宋体" w:eastAsia="宋体" w:cs="Times New Roman"/>
      <w:b/>
      <w:kern w:val="44"/>
      <w:sz w:val="32"/>
      <w:lang w:val="en-US" w:eastAsia="zh-CN" w:bidi="ar-SA"/>
    </w:rPr>
  </w:style>
  <w:style w:type="character" w:customStyle="1" w:styleId="189">
    <w:name w:val="正文（缩进2汉字） Char"/>
    <w:link w:val="190"/>
    <w:qFormat/>
    <w:uiPriority w:val="0"/>
    <w:rPr>
      <w:rFonts w:ascii="宋体"/>
    </w:rPr>
  </w:style>
  <w:style w:type="paragraph" w:customStyle="1" w:styleId="190">
    <w:name w:val="正文（缩进2汉字）"/>
    <w:basedOn w:val="1"/>
    <w:link w:val="189"/>
    <w:qFormat/>
    <w:uiPriority w:val="0"/>
    <w:pPr>
      <w:widowControl w:val="0"/>
      <w:tabs>
        <w:tab w:val="left" w:pos="525"/>
      </w:tabs>
      <w:spacing w:before="100" w:beforeAutospacing="1" w:after="100" w:afterAutospacing="1"/>
      <w:ind w:left="120" w:leftChars="50" w:firstLine="494" w:firstLineChars="206"/>
      <w:jc w:val="both"/>
    </w:pPr>
    <w:rPr>
      <w:rFonts w:hAnsi="Times New Roman" w:cs="Times New Roman"/>
      <w:sz w:val="20"/>
      <w:szCs w:val="20"/>
    </w:rPr>
  </w:style>
  <w:style w:type="character" w:customStyle="1" w:styleId="191">
    <w:name w:val="表格文字（两侧对齐） Char Char"/>
    <w:link w:val="192"/>
    <w:qFormat/>
    <w:uiPriority w:val="0"/>
  </w:style>
  <w:style w:type="paragraph" w:customStyle="1" w:styleId="192">
    <w:name w:val="表格文字（两侧对齐）"/>
    <w:basedOn w:val="1"/>
    <w:link w:val="191"/>
    <w:qFormat/>
    <w:uiPriority w:val="0"/>
    <w:pPr>
      <w:widowControl w:val="0"/>
      <w:snapToGrid w:val="0"/>
    </w:pPr>
    <w:rPr>
      <w:rFonts w:ascii="Times New Roman" w:hAnsi="Times New Roman" w:cs="Times New Roman"/>
      <w:sz w:val="20"/>
      <w:szCs w:val="20"/>
    </w:rPr>
  </w:style>
  <w:style w:type="character" w:customStyle="1" w:styleId="193">
    <w:name w:val="style21"/>
    <w:qFormat/>
    <w:uiPriority w:val="0"/>
    <w:rPr>
      <w:rFonts w:ascii="Times New Roman" w:hAnsi="Times New Roman" w:eastAsia="宋体" w:cs="Times New Roman"/>
      <w:sz w:val="15"/>
      <w:szCs w:val="15"/>
    </w:rPr>
  </w:style>
  <w:style w:type="character" w:customStyle="1" w:styleId="194">
    <w:name w:val="段 Char"/>
    <w:link w:val="195"/>
    <w:qFormat/>
    <w:uiPriority w:val="0"/>
    <w:rPr>
      <w:rFonts w:ascii="Arial" w:hAnsi="Arial"/>
      <w:kern w:val="2"/>
      <w:sz w:val="21"/>
      <w:lang w:val="en-US" w:eastAsia="zh-CN" w:bidi="ar-SA"/>
    </w:rPr>
  </w:style>
  <w:style w:type="paragraph" w:customStyle="1" w:styleId="195">
    <w:name w:val="段"/>
    <w:link w:val="194"/>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character" w:customStyle="1" w:styleId="196">
    <w:name w:val="图片0 Char Char"/>
    <w:link w:val="197"/>
    <w:qFormat/>
    <w:uiPriority w:val="0"/>
    <w:rPr>
      <w:rFonts w:ascii="宋体" w:hAnsi="宋体"/>
    </w:rPr>
  </w:style>
  <w:style w:type="paragraph" w:customStyle="1" w:styleId="197">
    <w:name w:val="图片0"/>
    <w:basedOn w:val="1"/>
    <w:link w:val="196"/>
    <w:qFormat/>
    <w:uiPriority w:val="0"/>
    <w:pPr>
      <w:spacing w:line="276" w:lineRule="auto"/>
      <w:ind w:left="-324" w:leftChars="-135" w:firstLine="163" w:firstLineChars="68"/>
    </w:pPr>
    <w:rPr>
      <w:rFonts w:cs="Times New Roman"/>
      <w:sz w:val="20"/>
      <w:szCs w:val="20"/>
    </w:rPr>
  </w:style>
  <w:style w:type="character" w:customStyle="1" w:styleId="198">
    <w:name w:val="XHH正文1 Char Char"/>
    <w:link w:val="199"/>
    <w:qFormat/>
    <w:locked/>
    <w:uiPriority w:val="0"/>
    <w:rPr>
      <w:sz w:val="24"/>
      <w:szCs w:val="24"/>
    </w:rPr>
  </w:style>
  <w:style w:type="paragraph" w:customStyle="1" w:styleId="199">
    <w:name w:val="XHH正文1"/>
    <w:basedOn w:val="1"/>
    <w:link w:val="198"/>
    <w:qFormat/>
    <w:uiPriority w:val="0"/>
    <w:pPr>
      <w:widowControl w:val="0"/>
      <w:spacing w:line="360" w:lineRule="auto"/>
      <w:ind w:firstLine="480" w:firstLineChars="200"/>
      <w:jc w:val="both"/>
    </w:pPr>
    <w:rPr>
      <w:rFonts w:ascii="Times New Roman" w:hAnsi="Times New Roman" w:cs="Times New Roman"/>
    </w:rPr>
  </w:style>
  <w:style w:type="character" w:customStyle="1" w:styleId="200">
    <w:name w:val="表格 Char Char"/>
    <w:qFormat/>
    <w:uiPriority w:val="0"/>
    <w:rPr>
      <w:rFonts w:hint="eastAsia" w:ascii="宋体" w:hAnsi="宋体" w:eastAsia="宋体" w:cs="Times New Roman"/>
      <w:lang w:bidi="ar-SA"/>
    </w:rPr>
  </w:style>
  <w:style w:type="character" w:customStyle="1" w:styleId="201">
    <w:name w:val="ant-form-item-children4"/>
    <w:qFormat/>
    <w:uiPriority w:val="0"/>
  </w:style>
  <w:style w:type="character" w:customStyle="1" w:styleId="202">
    <w:name w:val="标准文本 Char Char"/>
    <w:qFormat/>
    <w:uiPriority w:val="0"/>
    <w:rPr>
      <w:rFonts w:ascii="Times New Roman" w:hAnsi="Times New Roman" w:eastAsia="宋体" w:cs="Times New Roman"/>
      <w:sz w:val="24"/>
    </w:rPr>
  </w:style>
  <w:style w:type="character" w:customStyle="1" w:styleId="203">
    <w:name w:val="副标题字符1"/>
    <w:qFormat/>
    <w:uiPriority w:val="11"/>
    <w:rPr>
      <w:rFonts w:ascii="等线 Light" w:hAnsi="等线 Light" w:eastAsia="宋体" w:cs="Times New Roman"/>
      <w:b/>
      <w:bCs/>
      <w:color w:val="000000"/>
      <w:kern w:val="28"/>
      <w:sz w:val="32"/>
      <w:szCs w:val="32"/>
    </w:rPr>
  </w:style>
  <w:style w:type="character" w:customStyle="1" w:styleId="204">
    <w:name w:val="+正文 Char4"/>
    <w:link w:val="205"/>
    <w:qFormat/>
    <w:uiPriority w:val="0"/>
    <w:rPr>
      <w:szCs w:val="28"/>
    </w:rPr>
  </w:style>
  <w:style w:type="paragraph" w:customStyle="1" w:styleId="205">
    <w:name w:val="+正文"/>
    <w:basedOn w:val="1"/>
    <w:link w:val="204"/>
    <w:qFormat/>
    <w:uiPriority w:val="0"/>
    <w:pPr>
      <w:widowControl w:val="0"/>
      <w:adjustRightInd w:val="0"/>
      <w:spacing w:line="360" w:lineRule="auto"/>
      <w:ind w:firstLine="200" w:firstLineChars="200"/>
      <w:jc w:val="both"/>
      <w:textAlignment w:val="baseline"/>
    </w:pPr>
    <w:rPr>
      <w:rFonts w:ascii="Times New Roman" w:hAnsi="Times New Roman" w:cs="Times New Roman"/>
      <w:sz w:val="20"/>
      <w:szCs w:val="28"/>
    </w:rPr>
  </w:style>
  <w:style w:type="character" w:customStyle="1" w:styleId="206">
    <w:name w:val="样式1 Char"/>
    <w:link w:val="207"/>
    <w:qFormat/>
    <w:uiPriority w:val="0"/>
    <w:rPr>
      <w:rFonts w:ascii="宋体" w:hAnsi="宋体" w:cs="宋体"/>
      <w:b/>
      <w:sz w:val="24"/>
    </w:rPr>
  </w:style>
  <w:style w:type="paragraph" w:customStyle="1" w:styleId="207">
    <w:name w:val="样式1"/>
    <w:basedOn w:val="1"/>
    <w:link w:val="206"/>
    <w:qFormat/>
    <w:uiPriority w:val="0"/>
    <w:pPr>
      <w:spacing w:before="120" w:after="120" w:line="300" w:lineRule="auto"/>
    </w:pPr>
    <w:rPr>
      <w:rFonts w:cs="Times New Roman"/>
      <w:b/>
      <w:szCs w:val="20"/>
    </w:rPr>
  </w:style>
  <w:style w:type="character" w:customStyle="1" w:styleId="208">
    <w:name w:val="常规标题 Char"/>
    <w:link w:val="209"/>
    <w:uiPriority w:val="0"/>
    <w:rPr>
      <w:rFonts w:ascii="黑体" w:hAnsi="黑体" w:eastAsia="黑体" w:cs="黑体"/>
      <w:sz w:val="44"/>
      <w:szCs w:val="44"/>
    </w:rPr>
  </w:style>
  <w:style w:type="paragraph" w:customStyle="1" w:styleId="209">
    <w:name w:val="常规标题"/>
    <w:basedOn w:val="1"/>
    <w:next w:val="1"/>
    <w:link w:val="208"/>
    <w:qFormat/>
    <w:uiPriority w:val="0"/>
    <w:pPr>
      <w:widowControl w:val="0"/>
      <w:spacing w:line="480" w:lineRule="auto"/>
      <w:jc w:val="center"/>
    </w:pPr>
    <w:rPr>
      <w:rFonts w:ascii="黑体" w:hAnsi="黑体" w:eastAsia="黑体" w:cs="Times New Roman"/>
      <w:sz w:val="44"/>
      <w:szCs w:val="44"/>
    </w:rPr>
  </w:style>
  <w:style w:type="character" w:customStyle="1" w:styleId="210">
    <w:name w:val="GW-正文 Char"/>
    <w:link w:val="211"/>
    <w:qFormat/>
    <w:uiPriority w:val="0"/>
    <w:rPr>
      <w:rFonts w:eastAsia="仿宋_GB2312"/>
    </w:rPr>
  </w:style>
  <w:style w:type="paragraph" w:customStyle="1" w:styleId="211">
    <w:name w:val="GW-正文"/>
    <w:basedOn w:val="1"/>
    <w:link w:val="210"/>
    <w:qFormat/>
    <w:uiPriority w:val="0"/>
    <w:pPr>
      <w:widowControl w:val="0"/>
      <w:spacing w:line="360" w:lineRule="auto"/>
      <w:ind w:firstLine="200" w:firstLineChars="200"/>
      <w:contextualSpacing/>
      <w:jc w:val="both"/>
    </w:pPr>
    <w:rPr>
      <w:rFonts w:ascii="Times New Roman" w:hAnsi="Times New Roman" w:eastAsia="仿宋_GB2312" w:cs="Times New Roman"/>
      <w:sz w:val="20"/>
      <w:szCs w:val="20"/>
    </w:rPr>
  </w:style>
  <w:style w:type="character" w:customStyle="1" w:styleId="212">
    <w:name w:val="节 Char"/>
    <w:qFormat/>
    <w:uiPriority w:val="0"/>
    <w:rPr>
      <w:rFonts w:ascii="Arial" w:hAnsi="Arial" w:eastAsia="黑体" w:cs="Times New Roman"/>
      <w:b/>
      <w:bCs/>
      <w:kern w:val="2"/>
      <w:sz w:val="32"/>
      <w:szCs w:val="32"/>
      <w:lang w:val="en-US" w:eastAsia="zh-CN" w:bidi="ar-SA"/>
    </w:rPr>
  </w:style>
  <w:style w:type="character" w:customStyle="1" w:styleId="213">
    <w:name w:val="font11"/>
    <w:qFormat/>
    <w:uiPriority w:val="0"/>
    <w:rPr>
      <w:rFonts w:hint="default" w:ascii="Arial" w:hAnsi="Arial" w:eastAsia="宋体" w:cs="Arial"/>
      <w:color w:val="000000"/>
      <w:sz w:val="22"/>
      <w:szCs w:val="22"/>
      <w:u w:val="none"/>
    </w:rPr>
  </w:style>
  <w:style w:type="character" w:customStyle="1" w:styleId="214">
    <w:name w:val="Date Char"/>
    <w:qFormat/>
    <w:uiPriority w:val="0"/>
    <w:rPr>
      <w:rFonts w:ascii="宋体" w:hAnsi="Times New Roman" w:eastAsia="宋体" w:cs="Times New Roman"/>
      <w:sz w:val="21"/>
      <w:lang w:val="zh-CN"/>
    </w:rPr>
  </w:style>
  <w:style w:type="character" w:customStyle="1" w:styleId="215">
    <w:name w:val="16"/>
    <w:qFormat/>
    <w:uiPriority w:val="0"/>
    <w:rPr>
      <w:rFonts w:hint="eastAsia" w:ascii="仿宋" w:hAnsi="仿宋" w:eastAsia="仿宋" w:cs="Times New Roman"/>
      <w:color w:val="000000"/>
      <w:sz w:val="24"/>
      <w:szCs w:val="24"/>
    </w:rPr>
  </w:style>
  <w:style w:type="character" w:customStyle="1" w:styleId="216">
    <w:name w:val="宇视1 Char"/>
    <w:link w:val="217"/>
    <w:uiPriority w:val="0"/>
    <w:rPr>
      <w:rFonts w:ascii="Arial" w:hAnsi="Arial"/>
      <w:b/>
      <w:bCs/>
      <w:kern w:val="44"/>
      <w:sz w:val="32"/>
      <w:szCs w:val="24"/>
    </w:rPr>
  </w:style>
  <w:style w:type="paragraph" w:customStyle="1" w:styleId="217">
    <w:name w:val="宇视1"/>
    <w:basedOn w:val="218"/>
    <w:link w:val="216"/>
    <w:qFormat/>
    <w:uiPriority w:val="0"/>
    <w:pPr>
      <w:spacing w:before="624" w:after="0"/>
    </w:pPr>
  </w:style>
  <w:style w:type="paragraph" w:customStyle="1" w:styleId="218">
    <w:name w:val="标题1"/>
    <w:basedOn w:val="5"/>
    <w:link w:val="219"/>
    <w:qFormat/>
    <w:uiPriority w:val="0"/>
    <w:pPr>
      <w:keepLines/>
      <w:widowControl w:val="0"/>
      <w:spacing w:beforeLines="200" w:after="330" w:line="360" w:lineRule="auto"/>
      <w:ind w:left="420"/>
      <w:jc w:val="left"/>
    </w:pPr>
    <w:rPr>
      <w:rFonts w:ascii="Arial" w:hAnsi="Arial"/>
      <w:b/>
      <w:bCs/>
      <w:kern w:val="44"/>
      <w:sz w:val="32"/>
    </w:rPr>
  </w:style>
  <w:style w:type="character" w:customStyle="1" w:styleId="219">
    <w:name w:val="标题1 Char"/>
    <w:link w:val="218"/>
    <w:qFormat/>
    <w:uiPriority w:val="0"/>
    <w:rPr>
      <w:rFonts w:ascii="Arial" w:hAnsi="Arial"/>
      <w:b/>
      <w:bCs/>
      <w:kern w:val="44"/>
      <w:sz w:val="32"/>
      <w:szCs w:val="24"/>
    </w:rPr>
  </w:style>
  <w:style w:type="character" w:customStyle="1" w:styleId="220">
    <w:name w:val="++标题3 Char"/>
    <w:qFormat/>
    <w:uiPriority w:val="0"/>
    <w:rPr>
      <w:rFonts w:ascii="宋体" w:hAnsi="宋体" w:eastAsia="宋体" w:cs="Arial"/>
      <w:bCs/>
      <w:color w:val="000000"/>
      <w:sz w:val="24"/>
      <w:szCs w:val="24"/>
      <w:lang w:val="en-US" w:eastAsia="zh-CN" w:bidi="ar-SA"/>
    </w:rPr>
  </w:style>
  <w:style w:type="character" w:customStyle="1" w:styleId="221">
    <w:name w:val="Char Char12"/>
    <w:qFormat/>
    <w:uiPriority w:val="0"/>
    <w:rPr>
      <w:rFonts w:hint="eastAsia" w:ascii="宋体" w:hAnsi="宋体" w:eastAsia="宋体" w:cs="Times New Roman"/>
      <w:sz w:val="24"/>
      <w:szCs w:val="24"/>
    </w:rPr>
  </w:style>
  <w:style w:type="character" w:customStyle="1" w:styleId="222">
    <w:name w:val="明显强调1"/>
    <w:qFormat/>
    <w:uiPriority w:val="0"/>
    <w:rPr>
      <w:rFonts w:ascii="Times New Roman" w:hAnsi="Times New Roman" w:eastAsia="宋体" w:cs="Times New Roman"/>
      <w:b/>
      <w:bCs/>
      <w:i/>
      <w:iCs/>
      <w:color w:val="4F81BD"/>
    </w:rPr>
  </w:style>
  <w:style w:type="character" w:customStyle="1" w:styleId="223">
    <w:name w:val="文字 Char"/>
    <w:link w:val="224"/>
    <w:qFormat/>
    <w:uiPriority w:val="0"/>
    <w:rPr>
      <w:rFonts w:ascii="宋体" w:hAnsi="宋体"/>
      <w:sz w:val="28"/>
    </w:rPr>
  </w:style>
  <w:style w:type="paragraph" w:customStyle="1" w:styleId="224">
    <w:name w:val="文字"/>
    <w:basedOn w:val="1"/>
    <w:link w:val="223"/>
    <w:qFormat/>
    <w:uiPriority w:val="0"/>
    <w:pPr>
      <w:widowControl w:val="0"/>
      <w:tabs>
        <w:tab w:val="left" w:pos="8520"/>
      </w:tabs>
      <w:spacing w:line="312" w:lineRule="auto"/>
      <w:ind w:right="-210" w:firstLine="556"/>
      <w:jc w:val="both"/>
    </w:pPr>
    <w:rPr>
      <w:rFonts w:cs="Times New Roman"/>
      <w:sz w:val="28"/>
      <w:szCs w:val="20"/>
    </w:rPr>
  </w:style>
  <w:style w:type="character" w:customStyle="1" w:styleId="225">
    <w:name w:val="10"/>
    <w:qFormat/>
    <w:uiPriority w:val="0"/>
    <w:rPr>
      <w:rFonts w:hint="default" w:ascii="Calibri" w:hAnsi="Calibri" w:eastAsia="宋体" w:cs="Calibri"/>
    </w:rPr>
  </w:style>
  <w:style w:type="character" w:customStyle="1" w:styleId="226">
    <w:name w:val="文档正文 Char"/>
    <w:link w:val="227"/>
    <w:qFormat/>
    <w:uiPriority w:val="0"/>
    <w:rPr>
      <w:rFonts w:ascii="宋体" w:hAnsi="宋体" w:cs="宋体"/>
      <w:sz w:val="24"/>
    </w:rPr>
  </w:style>
  <w:style w:type="paragraph" w:customStyle="1" w:styleId="227">
    <w:name w:val="文档正文"/>
    <w:basedOn w:val="1"/>
    <w:link w:val="226"/>
    <w:qFormat/>
    <w:uiPriority w:val="0"/>
    <w:pPr>
      <w:adjustRightInd w:val="0"/>
      <w:spacing w:line="480" w:lineRule="atLeast"/>
      <w:ind w:firstLine="567"/>
      <w:textAlignment w:val="baseline"/>
    </w:pPr>
    <w:rPr>
      <w:rFonts w:cs="Times New Roman"/>
      <w:szCs w:val="20"/>
    </w:rPr>
  </w:style>
  <w:style w:type="character" w:customStyle="1" w:styleId="228">
    <w:name w:val="font1"/>
    <w:qFormat/>
    <w:uiPriority w:val="0"/>
    <w:rPr>
      <w:rFonts w:ascii="Times New Roman" w:hAnsi="Times New Roman" w:eastAsia="宋体" w:cs="Times New Roman"/>
      <w:color w:val="999999"/>
      <w:sz w:val="18"/>
      <w:szCs w:val="18"/>
      <w:u w:val="none"/>
    </w:rPr>
  </w:style>
  <w:style w:type="character" w:customStyle="1" w:styleId="229">
    <w:name w:val="列表框1 Char Char"/>
    <w:link w:val="230"/>
    <w:qFormat/>
    <w:uiPriority w:val="0"/>
    <w:rPr>
      <w:rFonts w:ascii="宋体" w:hAnsi="宋体"/>
      <w:spacing w:val="4"/>
      <w:sz w:val="28"/>
      <w:szCs w:val="28"/>
    </w:rPr>
  </w:style>
  <w:style w:type="paragraph" w:customStyle="1" w:styleId="230">
    <w:name w:val="列表框1"/>
    <w:basedOn w:val="157"/>
    <w:next w:val="157"/>
    <w:link w:val="229"/>
    <w:qFormat/>
    <w:uiPriority w:val="0"/>
    <w:pPr>
      <w:tabs>
        <w:tab w:val="left" w:pos="420"/>
      </w:tabs>
      <w:snapToGrid w:val="0"/>
      <w:ind w:left="0" w:leftChars="0" w:firstLine="0" w:firstLineChars="0"/>
    </w:pPr>
  </w:style>
  <w:style w:type="character" w:customStyle="1" w:styleId="231">
    <w:name w:val="font51"/>
    <w:qFormat/>
    <w:uiPriority w:val="0"/>
    <w:rPr>
      <w:rFonts w:hint="default" w:ascii="Arial" w:hAnsi="Arial" w:eastAsia="宋体" w:cs="Arial"/>
      <w:color w:val="000000"/>
      <w:sz w:val="16"/>
      <w:szCs w:val="16"/>
      <w:u w:val="none"/>
    </w:rPr>
  </w:style>
  <w:style w:type="character" w:customStyle="1" w:styleId="232">
    <w:name w:val="Subtle Emphasis"/>
    <w:qFormat/>
    <w:uiPriority w:val="0"/>
    <w:rPr>
      <w:i/>
      <w:color w:val="auto"/>
      <w:sz w:val="21"/>
    </w:rPr>
  </w:style>
  <w:style w:type="character" w:customStyle="1" w:styleId="233">
    <w:name w:val="H 4 Char"/>
    <w:link w:val="234"/>
    <w:qFormat/>
    <w:uiPriority w:val="0"/>
    <w:rPr>
      <w:rFonts w:ascii="Calibri" w:hAnsi="Calibri"/>
      <w:sz w:val="21"/>
      <w:szCs w:val="21"/>
    </w:rPr>
  </w:style>
  <w:style w:type="paragraph" w:customStyle="1" w:styleId="234">
    <w:name w:val="H 4"/>
    <w:basedOn w:val="8"/>
    <w:link w:val="233"/>
    <w:qFormat/>
    <w:uiPriority w:val="0"/>
    <w:pPr>
      <w:widowControl w:val="0"/>
      <w:adjustRightInd w:val="0"/>
      <w:snapToGrid w:val="0"/>
      <w:spacing w:before="0" w:after="0" w:line="360" w:lineRule="auto"/>
      <w:ind w:left="426" w:leftChars="-4" w:hanging="436" w:hangingChars="181"/>
      <w:jc w:val="both"/>
    </w:pPr>
    <w:rPr>
      <w:rFonts w:ascii="Calibri" w:hAnsi="Calibri"/>
      <w:b w:val="0"/>
      <w:bCs w:val="0"/>
      <w:kern w:val="0"/>
      <w:sz w:val="21"/>
      <w:szCs w:val="21"/>
    </w:rPr>
  </w:style>
  <w:style w:type="character" w:customStyle="1" w:styleId="235">
    <w:name w:val="para"/>
    <w:qFormat/>
    <w:uiPriority w:val="0"/>
    <w:rPr>
      <w:sz w:val="20"/>
    </w:rPr>
  </w:style>
  <w:style w:type="character" w:customStyle="1" w:styleId="236">
    <w:name w:val="正文缩进 字符"/>
    <w:qFormat/>
    <w:uiPriority w:val="0"/>
    <w:rPr>
      <w:kern w:val="2"/>
      <w:sz w:val="21"/>
      <w:szCs w:val="24"/>
    </w:rPr>
  </w:style>
  <w:style w:type="character" w:customStyle="1" w:styleId="237">
    <w:name w:val="标题 8 Char1"/>
    <w:qFormat/>
    <w:uiPriority w:val="0"/>
    <w:rPr>
      <w:rFonts w:ascii="Arial" w:hAnsi="Arial" w:eastAsia="黑体" w:cs="Times New Roman"/>
      <w:kern w:val="0"/>
      <w:sz w:val="24"/>
      <w:szCs w:val="20"/>
    </w:rPr>
  </w:style>
  <w:style w:type="character" w:customStyle="1" w:styleId="238">
    <w:name w:val="Title Char2"/>
    <w:uiPriority w:val="0"/>
    <w:rPr>
      <w:b/>
      <w:sz w:val="20"/>
    </w:rPr>
  </w:style>
  <w:style w:type="character" w:customStyle="1" w:styleId="239">
    <w:name w:val="批注引用1"/>
    <w:qFormat/>
    <w:uiPriority w:val="0"/>
    <w:rPr>
      <w:rFonts w:ascii="Times New Roman" w:hAnsi="Times New Roman" w:eastAsia="宋体" w:cs="Times New Roman"/>
      <w:sz w:val="21"/>
      <w:szCs w:val="21"/>
    </w:rPr>
  </w:style>
  <w:style w:type="character" w:customStyle="1" w:styleId="240">
    <w:name w:val="Header Char"/>
    <w:qFormat/>
    <w:uiPriority w:val="0"/>
    <w:rPr>
      <w:rFonts w:ascii="Times New Roman" w:hAnsi="Times New Roman" w:eastAsia="宋体" w:cs="Times New Roman"/>
      <w:sz w:val="18"/>
      <w:szCs w:val="18"/>
    </w:rPr>
  </w:style>
  <w:style w:type="character" w:customStyle="1" w:styleId="241">
    <w:name w:val="无间隔 字符1"/>
    <w:link w:val="242"/>
    <w:qFormat/>
    <w:uiPriority w:val="0"/>
    <w:rPr>
      <w:rFonts w:ascii="Calibri" w:hAnsi="Calibri"/>
      <w:kern w:val="2"/>
      <w:sz w:val="21"/>
      <w:szCs w:val="22"/>
      <w:lang w:val="en-US" w:eastAsia="zh-CN" w:bidi="ar-SA"/>
    </w:rPr>
  </w:style>
  <w:style w:type="paragraph" w:styleId="242">
    <w:name w:val="No Spacing"/>
    <w:link w:val="24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43">
    <w:name w:val="info"/>
    <w:qFormat/>
    <w:uiPriority w:val="0"/>
    <w:rPr>
      <w:rFonts w:ascii="Times New Roman" w:hAnsi="Times New Roman" w:eastAsia="宋体" w:cs="Times New Roman"/>
    </w:rPr>
  </w:style>
  <w:style w:type="character" w:customStyle="1" w:styleId="244">
    <w:name w:val="themebody1"/>
    <w:qFormat/>
    <w:uiPriority w:val="0"/>
    <w:rPr>
      <w:color w:val="FFFFFF"/>
      <w:sz w:val="20"/>
    </w:rPr>
  </w:style>
  <w:style w:type="character" w:customStyle="1" w:styleId="245">
    <w:name w:val=" Char Char1"/>
    <w:qFormat/>
    <w:uiPriority w:val="0"/>
    <w:rPr>
      <w:rFonts w:ascii="宋体" w:hAnsi="Courier New" w:eastAsia="宋体"/>
      <w:kern w:val="2"/>
      <w:sz w:val="21"/>
      <w:lang w:val="en-US" w:eastAsia="zh-CN" w:bidi="ar-SA"/>
    </w:rPr>
  </w:style>
  <w:style w:type="character" w:customStyle="1" w:styleId="246">
    <w:name w:val="列表段落 字符"/>
    <w:link w:val="247"/>
    <w:qFormat/>
    <w:uiPriority w:val="34"/>
    <w:rPr>
      <w:rFonts w:ascii="Calibri" w:hAnsi="Calibri"/>
      <w:kern w:val="2"/>
      <w:sz w:val="21"/>
      <w:szCs w:val="22"/>
    </w:rPr>
  </w:style>
  <w:style w:type="paragraph" w:customStyle="1" w:styleId="247">
    <w:name w:val="列表段落"/>
    <w:basedOn w:val="1"/>
    <w:link w:val="246"/>
    <w:qFormat/>
    <w:uiPriority w:val="99"/>
    <w:pPr>
      <w:ind w:firstLine="420" w:firstLineChars="200"/>
    </w:pPr>
    <w:rPr>
      <w:rFonts w:ascii="Calibri" w:hAnsi="Calibri" w:cs="Times New Roman"/>
      <w:kern w:val="2"/>
      <w:sz w:val="21"/>
      <w:szCs w:val="22"/>
    </w:rPr>
  </w:style>
  <w:style w:type="character" w:customStyle="1" w:styleId="248">
    <w:name w:val="宇视2 Char"/>
    <w:link w:val="249"/>
    <w:uiPriority w:val="0"/>
    <w:rPr>
      <w:rFonts w:ascii="Calibri Light" w:hAnsi="Calibri Light" w:eastAsia="等线"/>
      <w:b/>
      <w:bCs/>
      <w:kern w:val="2"/>
      <w:sz w:val="28"/>
      <w:szCs w:val="30"/>
    </w:rPr>
  </w:style>
  <w:style w:type="paragraph" w:customStyle="1" w:styleId="249">
    <w:name w:val="宇视2"/>
    <w:basedOn w:val="6"/>
    <w:link w:val="248"/>
    <w:qFormat/>
    <w:uiPriority w:val="0"/>
    <w:pPr>
      <w:widowControl w:val="0"/>
      <w:tabs>
        <w:tab w:val="left" w:pos="360"/>
        <w:tab w:val="left" w:pos="567"/>
      </w:tabs>
      <w:spacing w:beforeLines="50" w:line="360" w:lineRule="auto"/>
      <w:ind w:left="567"/>
      <w:jc w:val="both"/>
    </w:pPr>
    <w:rPr>
      <w:rFonts w:ascii="Calibri Light" w:hAnsi="Calibri Light" w:eastAsia="等线"/>
      <w:sz w:val="28"/>
      <w:szCs w:val="30"/>
    </w:rPr>
  </w:style>
  <w:style w:type="character" w:customStyle="1" w:styleId="250">
    <w:name w:val="case31"/>
    <w:qFormat/>
    <w:uiPriority w:val="0"/>
    <w:rPr>
      <w:rFonts w:ascii="Times New Roman" w:hAnsi="Times New Roman" w:eastAsia="宋体" w:cs="Times New Roman"/>
      <w:spacing w:val="390"/>
      <w:sz w:val="21"/>
      <w:szCs w:val="21"/>
    </w:rPr>
  </w:style>
  <w:style w:type="character" w:customStyle="1" w:styleId="251">
    <w:name w:val="￥正文 Char"/>
    <w:link w:val="252"/>
    <w:qFormat/>
    <w:uiPriority w:val="0"/>
    <w:rPr>
      <w:rFonts w:ascii="Calibri" w:hAnsi="Calibri"/>
    </w:rPr>
  </w:style>
  <w:style w:type="paragraph" w:customStyle="1" w:styleId="252">
    <w:name w:val="￥正文"/>
    <w:basedOn w:val="1"/>
    <w:link w:val="251"/>
    <w:qFormat/>
    <w:uiPriority w:val="0"/>
    <w:pPr>
      <w:widowControl w:val="0"/>
      <w:spacing w:line="360" w:lineRule="auto"/>
      <w:ind w:firstLine="200" w:firstLineChars="200"/>
      <w:jc w:val="both"/>
    </w:pPr>
    <w:rPr>
      <w:rFonts w:ascii="Calibri" w:hAnsi="Calibri" w:cs="Times New Roman"/>
      <w:sz w:val="20"/>
      <w:szCs w:val="20"/>
    </w:rPr>
  </w:style>
  <w:style w:type="character" w:customStyle="1" w:styleId="253">
    <w:name w:val="content"/>
    <w:qFormat/>
    <w:uiPriority w:val="0"/>
  </w:style>
  <w:style w:type="character" w:customStyle="1" w:styleId="254">
    <w:name w:val="Char Char10"/>
    <w:qFormat/>
    <w:uiPriority w:val="0"/>
    <w:rPr>
      <w:rFonts w:ascii="Times New Roman" w:hAnsi="Times New Roman" w:eastAsia="宋体" w:cs="Times New Roman"/>
      <w:b/>
      <w:kern w:val="2"/>
      <w:sz w:val="28"/>
      <w:szCs w:val="28"/>
    </w:rPr>
  </w:style>
  <w:style w:type="character" w:customStyle="1" w:styleId="255">
    <w:name w:val="zw1 Char"/>
    <w:link w:val="256"/>
    <w:uiPriority w:val="0"/>
    <w:rPr>
      <w:rFonts w:eastAsia="宋体"/>
      <w:kern w:val="2"/>
      <w:sz w:val="28"/>
      <w:lang w:val="en-US" w:eastAsia="zh-CN" w:bidi="ar-SA"/>
    </w:rPr>
  </w:style>
  <w:style w:type="paragraph" w:customStyle="1" w:styleId="256">
    <w:name w:val="zw1"/>
    <w:basedOn w:val="1"/>
    <w:link w:val="255"/>
    <w:uiPriority w:val="0"/>
    <w:pPr>
      <w:spacing w:line="360" w:lineRule="auto"/>
      <w:ind w:firstLine="560" w:firstLineChars="200"/>
    </w:pPr>
    <w:rPr>
      <w:rFonts w:ascii="Times New Roman" w:hAnsi="Times New Roman" w:cs="Times New Roman"/>
      <w:kern w:val="2"/>
      <w:sz w:val="28"/>
      <w:szCs w:val="20"/>
    </w:rPr>
  </w:style>
  <w:style w:type="character" w:customStyle="1" w:styleId="257">
    <w:name w:val="*正文 Char"/>
    <w:link w:val="258"/>
    <w:qFormat/>
    <w:uiPriority w:val="0"/>
    <w:rPr>
      <w:rFonts w:ascii="宋体" w:hAnsi="宋体"/>
      <w:sz w:val="22"/>
      <w:szCs w:val="24"/>
    </w:rPr>
  </w:style>
  <w:style w:type="paragraph" w:customStyle="1" w:styleId="258">
    <w:name w:val="*正文"/>
    <w:basedOn w:val="1"/>
    <w:link w:val="257"/>
    <w:qFormat/>
    <w:uiPriority w:val="0"/>
    <w:pPr>
      <w:widowControl w:val="0"/>
      <w:spacing w:line="360" w:lineRule="auto"/>
      <w:ind w:firstLine="200" w:firstLineChars="200"/>
      <w:jc w:val="both"/>
    </w:pPr>
    <w:rPr>
      <w:rFonts w:cs="Times New Roman"/>
      <w:sz w:val="22"/>
    </w:rPr>
  </w:style>
  <w:style w:type="character" w:customStyle="1" w:styleId="259">
    <w:name w:val="标题 6 Char1"/>
    <w:qFormat/>
    <w:uiPriority w:val="0"/>
    <w:rPr>
      <w:rFonts w:ascii="Cambria" w:hAnsi="Cambria" w:eastAsia="宋体" w:cs="Times New Roman"/>
      <w:b/>
      <w:bCs/>
      <w:kern w:val="2"/>
      <w:sz w:val="24"/>
      <w:szCs w:val="24"/>
    </w:rPr>
  </w:style>
  <w:style w:type="character" w:customStyle="1" w:styleId="260">
    <w:name w:val="Char Char13"/>
    <w:qFormat/>
    <w:uiPriority w:val="0"/>
    <w:rPr>
      <w:rFonts w:ascii="Times New Roman" w:hAnsi="Times New Roman" w:eastAsia="宋体" w:cs="Times New Roman"/>
      <w:kern w:val="2"/>
      <w:sz w:val="18"/>
      <w:szCs w:val="18"/>
      <w:lang w:val="en-US" w:eastAsia="zh-CN" w:bidi="ar-SA"/>
    </w:rPr>
  </w:style>
  <w:style w:type="character" w:customStyle="1" w:styleId="261">
    <w:name w:val="Normal Indent Char"/>
    <w:qFormat/>
    <w:uiPriority w:val="0"/>
    <w:rPr>
      <w:rFonts w:ascii="宋体" w:hAnsi="Times New Roman" w:eastAsia="宋体" w:cs="Times New Roman"/>
      <w:snapToGrid/>
      <w:color w:val="000000"/>
      <w:kern w:val="28"/>
      <w:sz w:val="28"/>
    </w:rPr>
  </w:style>
  <w:style w:type="character" w:customStyle="1" w:styleId="262">
    <w:name w:val="样式 标题 1 + Arial Char"/>
    <w:link w:val="263"/>
    <w:qFormat/>
    <w:uiPriority w:val="0"/>
    <w:rPr>
      <w:rFonts w:ascii="Arial" w:hAnsi="Arial"/>
      <w:b/>
      <w:bCs/>
      <w:sz w:val="32"/>
      <w:szCs w:val="44"/>
    </w:rPr>
  </w:style>
  <w:style w:type="paragraph" w:customStyle="1" w:styleId="263">
    <w:name w:val="样式 标题 1 + Arial"/>
    <w:basedOn w:val="5"/>
    <w:link w:val="262"/>
    <w:qFormat/>
    <w:uiPriority w:val="0"/>
    <w:pPr>
      <w:keepLines/>
      <w:widowControl w:val="0"/>
      <w:tabs>
        <w:tab w:val="left" w:pos="432"/>
      </w:tabs>
      <w:snapToGrid w:val="0"/>
      <w:spacing w:line="360" w:lineRule="auto"/>
    </w:pPr>
    <w:rPr>
      <w:rFonts w:ascii="Arial" w:hAnsi="Arial"/>
      <w:b/>
      <w:bCs/>
      <w:kern w:val="0"/>
      <w:sz w:val="32"/>
      <w:szCs w:val="44"/>
    </w:rPr>
  </w:style>
  <w:style w:type="character" w:customStyle="1" w:styleId="264">
    <w:name w:val="Subtle Reference"/>
    <w:qFormat/>
    <w:uiPriority w:val="0"/>
    <w:rPr>
      <w:color w:val="auto"/>
      <w:sz w:val="21"/>
    </w:rPr>
  </w:style>
  <w:style w:type="character" w:customStyle="1" w:styleId="265">
    <w:name w:val="style11"/>
    <w:qFormat/>
    <w:uiPriority w:val="0"/>
    <w:rPr>
      <w:rFonts w:ascii="Times New Roman" w:hAnsi="Times New Roman" w:eastAsia="宋体" w:cs="Times New Roman"/>
      <w:b/>
      <w:bCs/>
      <w:color w:val="FF0000"/>
    </w:rPr>
  </w:style>
  <w:style w:type="character" w:customStyle="1" w:styleId="266">
    <w:name w:val="h Char"/>
    <w:qFormat/>
    <w:uiPriority w:val="0"/>
    <w:rPr>
      <w:rFonts w:eastAsia="楷体_GB2312"/>
      <w:sz w:val="21"/>
      <w:lang w:val="en-US" w:eastAsia="zh-CN" w:bidi="ar-SA"/>
    </w:rPr>
  </w:style>
  <w:style w:type="character" w:customStyle="1" w:styleId="267">
    <w:name w:val="正文文本 2 Char1"/>
    <w:qFormat/>
    <w:uiPriority w:val="0"/>
    <w:rPr>
      <w:rFonts w:hint="eastAsia" w:ascii="宋体" w:hAnsi="宋体" w:eastAsia="宋体" w:cs="宋体"/>
      <w:kern w:val="2"/>
      <w:sz w:val="24"/>
      <w:szCs w:val="24"/>
    </w:rPr>
  </w:style>
  <w:style w:type="character" w:customStyle="1" w:styleId="268">
    <w:name w:val="unnamed11"/>
    <w:qFormat/>
    <w:uiPriority w:val="0"/>
    <w:rPr>
      <w:sz w:val="20"/>
    </w:rPr>
  </w:style>
  <w:style w:type="character" w:customStyle="1" w:styleId="269">
    <w:name w:val="批注文字字符1"/>
    <w:semiHidden/>
    <w:qFormat/>
    <w:uiPriority w:val="99"/>
    <w:rPr>
      <w:rFonts w:ascii="仿宋_GB2312" w:hAnsi="宋体" w:eastAsia="仿宋_GB2312" w:cs="宋体"/>
      <w:b/>
      <w:bCs/>
      <w:color w:val="000000"/>
      <w:kern w:val="0"/>
      <w:sz w:val="21"/>
      <w:szCs w:val="21"/>
    </w:rPr>
  </w:style>
  <w:style w:type="character" w:customStyle="1" w:styleId="270">
    <w:name w:val="font21"/>
    <w:qFormat/>
    <w:uiPriority w:val="0"/>
    <w:rPr>
      <w:rFonts w:hint="eastAsia" w:ascii="宋体" w:hAnsi="宋体" w:eastAsia="宋体" w:cs="宋体"/>
      <w:b/>
      <w:color w:val="000000"/>
      <w:sz w:val="22"/>
      <w:szCs w:val="22"/>
      <w:u w:val="none"/>
    </w:rPr>
  </w:style>
  <w:style w:type="character" w:customStyle="1" w:styleId="271">
    <w:name w:val="标题3 Char"/>
    <w:link w:val="272"/>
    <w:qFormat/>
    <w:uiPriority w:val="0"/>
    <w:rPr>
      <w:rFonts w:ascii="Calibri" w:hAnsi="Calibri"/>
      <w:sz w:val="21"/>
      <w:szCs w:val="21"/>
    </w:rPr>
  </w:style>
  <w:style w:type="paragraph" w:customStyle="1" w:styleId="272">
    <w:name w:val="标题3"/>
    <w:basedOn w:val="7"/>
    <w:link w:val="271"/>
    <w:qFormat/>
    <w:uiPriority w:val="0"/>
    <w:pPr>
      <w:keepNext w:val="0"/>
      <w:keepLines w:val="0"/>
      <w:tabs>
        <w:tab w:val="left" w:pos="432"/>
      </w:tabs>
      <w:adjustRightInd w:val="0"/>
      <w:snapToGrid w:val="0"/>
      <w:spacing w:before="0" w:after="0" w:line="360" w:lineRule="auto"/>
      <w:ind w:left="840" w:hanging="420"/>
    </w:pPr>
    <w:rPr>
      <w:b w:val="0"/>
      <w:bCs w:val="0"/>
      <w:kern w:val="0"/>
      <w:sz w:val="21"/>
      <w:szCs w:val="21"/>
    </w:rPr>
  </w:style>
  <w:style w:type="character" w:customStyle="1" w:styleId="273">
    <w:name w:val="Intense Emphasis"/>
    <w:qFormat/>
    <w:uiPriority w:val="0"/>
    <w:rPr>
      <w:i/>
      <w:color w:val="auto"/>
      <w:sz w:val="21"/>
    </w:rPr>
  </w:style>
  <w:style w:type="character" w:customStyle="1" w:styleId="274">
    <w:name w:val="正文标准 Char"/>
    <w:link w:val="275"/>
    <w:qFormat/>
    <w:uiPriority w:val="0"/>
    <w:rPr>
      <w:rFonts w:ascii="宋体" w:hAnsi="宋体"/>
      <w:sz w:val="28"/>
      <w:szCs w:val="22"/>
    </w:rPr>
  </w:style>
  <w:style w:type="paragraph" w:customStyle="1" w:styleId="275">
    <w:name w:val="正文标准"/>
    <w:basedOn w:val="1"/>
    <w:link w:val="274"/>
    <w:qFormat/>
    <w:uiPriority w:val="0"/>
    <w:pPr>
      <w:widowControl w:val="0"/>
      <w:spacing w:line="360" w:lineRule="auto"/>
      <w:ind w:firstLine="200" w:firstLineChars="200"/>
      <w:jc w:val="both"/>
    </w:pPr>
    <w:rPr>
      <w:rFonts w:cs="Times New Roman"/>
      <w:sz w:val="28"/>
      <w:szCs w:val="22"/>
    </w:rPr>
  </w:style>
  <w:style w:type="character" w:customStyle="1" w:styleId="276">
    <w:name w:val="正文，段落，小四，22磅行距 Char"/>
    <w:link w:val="277"/>
    <w:qFormat/>
    <w:uiPriority w:val="0"/>
    <w:rPr>
      <w:rFonts w:ascii="Calibri" w:hAnsi="Calibri"/>
      <w:sz w:val="24"/>
      <w:szCs w:val="24"/>
    </w:rPr>
  </w:style>
  <w:style w:type="paragraph" w:customStyle="1" w:styleId="277">
    <w:name w:val="正文，段落，小四，22磅行距"/>
    <w:basedOn w:val="1"/>
    <w:link w:val="276"/>
    <w:qFormat/>
    <w:uiPriority w:val="0"/>
    <w:pPr>
      <w:widowControl w:val="0"/>
      <w:spacing w:line="440" w:lineRule="exact"/>
      <w:ind w:firstLine="420"/>
      <w:jc w:val="both"/>
    </w:pPr>
    <w:rPr>
      <w:rFonts w:ascii="Calibri" w:hAnsi="Calibri" w:cs="Times New Roman"/>
    </w:rPr>
  </w:style>
  <w:style w:type="character" w:customStyle="1" w:styleId="278">
    <w:name w:val="方案正文 字符"/>
    <w:link w:val="279"/>
    <w:qFormat/>
    <w:uiPriority w:val="0"/>
    <w:rPr>
      <w:rFonts w:ascii="宋体" w:hAnsi="宋体" w:eastAsia="仿宋" w:cs="仿宋_GB2312"/>
      <w:sz w:val="24"/>
      <w:szCs w:val="24"/>
    </w:rPr>
  </w:style>
  <w:style w:type="paragraph" w:customStyle="1" w:styleId="279">
    <w:name w:val="方案正文"/>
    <w:basedOn w:val="11"/>
    <w:link w:val="278"/>
    <w:qFormat/>
    <w:uiPriority w:val="0"/>
    <w:pPr>
      <w:widowControl w:val="0"/>
      <w:adjustRightInd w:val="0"/>
      <w:spacing w:line="360" w:lineRule="auto"/>
      <w:ind w:firstLine="480"/>
      <w:jc w:val="both"/>
      <w:textAlignment w:val="baseline"/>
    </w:pPr>
    <w:rPr>
      <w:rFonts w:ascii="宋体" w:hAnsi="宋体" w:eastAsia="仿宋"/>
      <w:kern w:val="0"/>
      <w:sz w:val="24"/>
    </w:rPr>
  </w:style>
  <w:style w:type="character" w:customStyle="1" w:styleId="280">
    <w:name w:val="正文文本 3 Char1"/>
    <w:qFormat/>
    <w:uiPriority w:val="0"/>
    <w:rPr>
      <w:rFonts w:hint="eastAsia" w:ascii="宋体" w:hAnsi="宋体" w:eastAsia="宋体" w:cs="宋体"/>
      <w:kern w:val="2"/>
      <w:sz w:val="16"/>
      <w:szCs w:val="16"/>
    </w:rPr>
  </w:style>
  <w:style w:type="character" w:customStyle="1" w:styleId="281">
    <w:name w:val="正文文本缩进 3 Char1"/>
    <w:qFormat/>
    <w:uiPriority w:val="0"/>
    <w:rPr>
      <w:rFonts w:hint="eastAsia" w:ascii="宋体" w:hAnsi="宋体" w:eastAsia="宋体" w:cs="宋体"/>
      <w:kern w:val="2"/>
      <w:sz w:val="16"/>
      <w:szCs w:val="16"/>
    </w:rPr>
  </w:style>
  <w:style w:type="character" w:customStyle="1" w:styleId="282">
    <w:name w:val="txt"/>
    <w:qFormat/>
    <w:uiPriority w:val="0"/>
    <w:rPr>
      <w:rFonts w:ascii="Times New Roman" w:hAnsi="Times New Roman" w:eastAsia="宋体" w:cs="Times New Roman"/>
    </w:rPr>
  </w:style>
  <w:style w:type="character" w:customStyle="1" w:styleId="283">
    <w:name w:val="正文首行缩进 2 Char"/>
    <w:link w:val="284"/>
    <w:qFormat/>
    <w:uiPriority w:val="0"/>
    <w:rPr>
      <w:rFonts w:ascii="宋体" w:hAnsi="宋体" w:cs="宋体"/>
      <w:kern w:val="2"/>
      <w:sz w:val="24"/>
      <w:szCs w:val="24"/>
    </w:rPr>
  </w:style>
  <w:style w:type="paragraph" w:customStyle="1" w:styleId="284">
    <w:name w:val="正文首行缩进 21"/>
    <w:basedOn w:val="285"/>
    <w:link w:val="283"/>
    <w:qFormat/>
    <w:uiPriority w:val="0"/>
    <w:pPr>
      <w:snapToGrid w:val="0"/>
      <w:spacing w:line="360" w:lineRule="auto"/>
      <w:ind w:left="0" w:leftChars="0" w:firstLine="200" w:firstLineChars="200"/>
      <w:jc w:val="center"/>
    </w:pPr>
    <w:rPr>
      <w:rFonts w:ascii="宋体" w:hAnsi="宋体"/>
      <w:kern w:val="2"/>
      <w:sz w:val="24"/>
      <w:szCs w:val="24"/>
    </w:rPr>
  </w:style>
  <w:style w:type="paragraph" w:customStyle="1" w:styleId="285">
    <w:name w:val="正文文本缩进1"/>
    <w:basedOn w:val="1"/>
    <w:qFormat/>
    <w:uiPriority w:val="0"/>
    <w:pPr>
      <w:widowControl w:val="0"/>
      <w:spacing w:after="120"/>
      <w:ind w:left="420" w:leftChars="200"/>
      <w:jc w:val="both"/>
    </w:pPr>
    <w:rPr>
      <w:rFonts w:ascii="Times New Roman" w:hAnsi="Times New Roman" w:cs="Times New Roman"/>
      <w:sz w:val="20"/>
      <w:szCs w:val="21"/>
    </w:rPr>
  </w:style>
  <w:style w:type="character" w:customStyle="1" w:styleId="286">
    <w:name w:val="tpc_content1"/>
    <w:qFormat/>
    <w:uiPriority w:val="0"/>
    <w:rPr>
      <w:rFonts w:ascii="Times New Roman" w:hAnsi="Times New Roman" w:eastAsia="宋体" w:cs="Times New Roman"/>
      <w:sz w:val="20"/>
      <w:szCs w:val="20"/>
    </w:rPr>
  </w:style>
  <w:style w:type="character" w:customStyle="1" w:styleId="287">
    <w:name w:val="bigtitle1"/>
    <w:qFormat/>
    <w:uiPriority w:val="0"/>
    <w:rPr>
      <w:rFonts w:ascii="Times New Roman" w:hAnsi="Times New Roman" w:eastAsia="宋体" w:cs="Times New Roman"/>
      <w:sz w:val="28"/>
      <w:szCs w:val="28"/>
    </w:rPr>
  </w:style>
  <w:style w:type="character" w:customStyle="1" w:styleId="288">
    <w:name w:val="Table Text Char1"/>
    <w:link w:val="289"/>
    <w:qFormat/>
    <w:uiPriority w:val="0"/>
    <w:rPr>
      <w:rFonts w:ascii="Arial" w:hAnsi="Arial" w:cs="Arial"/>
      <w:kern w:val="2"/>
      <w:sz w:val="18"/>
      <w:szCs w:val="18"/>
      <w:lang w:val="en-US" w:eastAsia="zh-CN" w:bidi="ar-SA"/>
    </w:rPr>
  </w:style>
  <w:style w:type="paragraph" w:customStyle="1" w:styleId="289">
    <w:name w:val="Table Text"/>
    <w:link w:val="288"/>
    <w:qFormat/>
    <w:uiPriority w:val="0"/>
    <w:pPr>
      <w:snapToGrid w:val="0"/>
      <w:spacing w:before="80" w:after="80"/>
    </w:pPr>
    <w:rPr>
      <w:rFonts w:ascii="Arial" w:hAnsi="Arial" w:eastAsia="宋体" w:cs="Arial"/>
      <w:kern w:val="2"/>
      <w:sz w:val="18"/>
      <w:szCs w:val="18"/>
      <w:lang w:val="en-US" w:eastAsia="zh-CN" w:bidi="ar-SA"/>
    </w:rPr>
  </w:style>
  <w:style w:type="character" w:customStyle="1" w:styleId="290">
    <w:name w:val="标题 7 Char1"/>
    <w:qFormat/>
    <w:uiPriority w:val="0"/>
    <w:rPr>
      <w:rFonts w:ascii="宋体" w:hAnsi="宋体" w:eastAsia="宋体" w:cs="宋体"/>
      <w:b/>
      <w:bCs/>
      <w:kern w:val="2"/>
      <w:sz w:val="24"/>
      <w:szCs w:val="24"/>
    </w:rPr>
  </w:style>
  <w:style w:type="character" w:customStyle="1" w:styleId="291">
    <w:name w:val="l2 Char"/>
    <w:uiPriority w:val="0"/>
    <w:rPr>
      <w:rFonts w:ascii="Arial" w:hAnsi="Arial" w:eastAsia="楷体_GB2312" w:cs="Arial"/>
      <w:b/>
      <w:sz w:val="24"/>
      <w:lang w:val="en-US" w:eastAsia="zh-CN" w:bidi="ar-SA"/>
    </w:rPr>
  </w:style>
  <w:style w:type="character" w:customStyle="1" w:styleId="292">
    <w:name w:val="1.1.1类表 Char Char"/>
    <w:link w:val="293"/>
    <w:qFormat/>
    <w:uiPriority w:val="0"/>
    <w:rPr>
      <w:rFonts w:ascii="宋体" w:hAnsi="宋体"/>
      <w:b/>
      <w:bCs/>
      <w:sz w:val="28"/>
      <w:szCs w:val="28"/>
    </w:rPr>
  </w:style>
  <w:style w:type="paragraph" w:customStyle="1" w:styleId="293">
    <w:name w:val="1.1.1类表"/>
    <w:basedOn w:val="1"/>
    <w:link w:val="292"/>
    <w:qFormat/>
    <w:uiPriority w:val="0"/>
    <w:pPr>
      <w:keepNext/>
      <w:keepLines/>
      <w:widowControl w:val="0"/>
      <w:tabs>
        <w:tab w:val="left" w:pos="1430"/>
      </w:tabs>
      <w:snapToGrid w:val="0"/>
      <w:spacing w:before="120" w:after="120" w:line="360" w:lineRule="auto"/>
      <w:ind w:left="1430" w:hanging="720" w:firstLineChars="200"/>
      <w:jc w:val="both"/>
      <w:outlineLvl w:val="2"/>
    </w:pPr>
    <w:rPr>
      <w:rFonts w:cs="Times New Roman"/>
      <w:b/>
      <w:bCs/>
      <w:sz w:val="28"/>
      <w:szCs w:val="28"/>
    </w:rPr>
  </w:style>
  <w:style w:type="character" w:customStyle="1" w:styleId="294">
    <w:name w:val="正文缩进2字符 Char Char"/>
    <w:link w:val="295"/>
    <w:qFormat/>
    <w:uiPriority w:val="0"/>
    <w:rPr>
      <w:rFonts w:cs="宋体"/>
    </w:rPr>
  </w:style>
  <w:style w:type="paragraph" w:customStyle="1" w:styleId="295">
    <w:name w:val="正文缩进2字符"/>
    <w:basedOn w:val="1"/>
    <w:link w:val="294"/>
    <w:qFormat/>
    <w:uiPriority w:val="0"/>
    <w:pPr>
      <w:widowControl w:val="0"/>
      <w:spacing w:line="360" w:lineRule="auto"/>
      <w:ind w:firstLine="480" w:firstLineChars="200"/>
      <w:jc w:val="both"/>
    </w:pPr>
    <w:rPr>
      <w:rFonts w:ascii="Times New Roman" w:hAnsi="Times New Roman" w:cs="Times New Roman"/>
      <w:sz w:val="20"/>
      <w:szCs w:val="20"/>
    </w:rPr>
  </w:style>
  <w:style w:type="character" w:customStyle="1" w:styleId="296">
    <w:name w:val="标题 4 Char1"/>
    <w:qFormat/>
    <w:uiPriority w:val="0"/>
    <w:rPr>
      <w:rFonts w:ascii="Cambria" w:hAnsi="Cambria" w:eastAsia="宋体" w:cs="Times New Roman"/>
      <w:b/>
      <w:bCs/>
      <w:kern w:val="2"/>
      <w:sz w:val="28"/>
      <w:szCs w:val="28"/>
    </w:rPr>
  </w:style>
  <w:style w:type="character" w:customStyle="1" w:styleId="297">
    <w:name w:val="正文01 Char"/>
    <w:link w:val="298"/>
    <w:qFormat/>
    <w:uiPriority w:val="0"/>
    <w:rPr>
      <w:rFonts w:ascii="Arial" w:hAnsi="Arial"/>
      <w:color w:val="000000"/>
    </w:rPr>
  </w:style>
  <w:style w:type="paragraph" w:customStyle="1" w:styleId="298">
    <w:name w:val="正文01"/>
    <w:basedOn w:val="1"/>
    <w:link w:val="297"/>
    <w:qFormat/>
    <w:uiPriority w:val="0"/>
    <w:pPr>
      <w:widowControl w:val="0"/>
      <w:spacing w:before="60" w:line="460" w:lineRule="exact"/>
      <w:ind w:firstLine="200" w:firstLineChars="200"/>
      <w:jc w:val="both"/>
    </w:pPr>
    <w:rPr>
      <w:rFonts w:ascii="Arial" w:hAnsi="Arial" w:cs="Times New Roman"/>
      <w:color w:val="000000"/>
      <w:sz w:val="20"/>
      <w:szCs w:val="20"/>
    </w:rPr>
  </w:style>
  <w:style w:type="character" w:customStyle="1" w:styleId="299">
    <w:name w:val="批注框文本 Char1"/>
    <w:qFormat/>
    <w:uiPriority w:val="99"/>
    <w:rPr>
      <w:rFonts w:hint="eastAsia" w:ascii="宋体" w:hAnsi="宋体" w:eastAsia="宋体" w:cs="宋体"/>
      <w:kern w:val="2"/>
      <w:sz w:val="18"/>
      <w:szCs w:val="18"/>
    </w:rPr>
  </w:style>
  <w:style w:type="character" w:customStyle="1" w:styleId="300">
    <w:name w:val="正文文本字符"/>
    <w:qFormat/>
    <w:uiPriority w:val="0"/>
    <w:rPr>
      <w:rFonts w:ascii="Times New Roman" w:hAnsi="Times New Roman" w:eastAsia="宋体" w:cs="Times New Roman"/>
      <w:kern w:val="2"/>
      <w:sz w:val="21"/>
      <w:szCs w:val="24"/>
    </w:rPr>
  </w:style>
  <w:style w:type="character" w:customStyle="1" w:styleId="301">
    <w:name w:val="正文无缩进 Char"/>
    <w:link w:val="302"/>
    <w:qFormat/>
    <w:uiPriority w:val="0"/>
    <w:rPr>
      <w:rFonts w:ascii="宋体"/>
      <w:color w:val="000000"/>
    </w:rPr>
  </w:style>
  <w:style w:type="paragraph" w:customStyle="1" w:styleId="302">
    <w:name w:val="正文无缩进"/>
    <w:basedOn w:val="1"/>
    <w:link w:val="301"/>
    <w:qFormat/>
    <w:uiPriority w:val="0"/>
    <w:pPr>
      <w:widowControl w:val="0"/>
      <w:spacing w:line="360" w:lineRule="auto"/>
      <w:jc w:val="both"/>
    </w:pPr>
    <w:rPr>
      <w:rFonts w:hAnsi="Times New Roman" w:cs="Times New Roman"/>
      <w:color w:val="000000"/>
      <w:sz w:val="20"/>
      <w:szCs w:val="20"/>
    </w:rPr>
  </w:style>
  <w:style w:type="character" w:customStyle="1" w:styleId="303">
    <w:name w:val="文档结构图 Char1"/>
    <w:qFormat/>
    <w:uiPriority w:val="99"/>
    <w:rPr>
      <w:rFonts w:ascii="Times New Roman" w:hAnsi="Times New Roman" w:eastAsia="宋体" w:cs="Times New Roman"/>
      <w:kern w:val="0"/>
      <w:sz w:val="20"/>
      <w:szCs w:val="21"/>
      <w:shd w:val="clear" w:color="auto" w:fill="000080"/>
    </w:rPr>
  </w:style>
  <w:style w:type="character" w:customStyle="1" w:styleId="304">
    <w:name w:val="sub_title s0"/>
    <w:uiPriority w:val="0"/>
  </w:style>
  <w:style w:type="character" w:customStyle="1" w:styleId="305">
    <w:name w:val="正文文本缩进 2 Char1"/>
    <w:qFormat/>
    <w:uiPriority w:val="0"/>
    <w:rPr>
      <w:rFonts w:hint="eastAsia" w:ascii="宋体" w:hAnsi="宋体" w:eastAsia="宋体" w:cs="宋体"/>
      <w:kern w:val="2"/>
      <w:sz w:val="24"/>
      <w:szCs w:val="24"/>
    </w:rPr>
  </w:style>
  <w:style w:type="character" w:customStyle="1" w:styleId="306">
    <w:name w:val="图片 Char Char"/>
    <w:link w:val="307"/>
    <w:qFormat/>
    <w:uiPriority w:val="0"/>
    <w:rPr>
      <w:rFonts w:ascii="宋体" w:hAnsi="宋体" w:cs="宋体"/>
      <w:sz w:val="24"/>
    </w:rPr>
  </w:style>
  <w:style w:type="paragraph" w:customStyle="1" w:styleId="307">
    <w:name w:val="图片"/>
    <w:basedOn w:val="1"/>
    <w:link w:val="306"/>
    <w:qFormat/>
    <w:uiPriority w:val="0"/>
    <w:pPr>
      <w:spacing w:line="360" w:lineRule="auto"/>
      <w:jc w:val="center"/>
    </w:pPr>
    <w:rPr>
      <w:rFonts w:cs="Times New Roman"/>
      <w:szCs w:val="20"/>
    </w:rPr>
  </w:style>
  <w:style w:type="character" w:customStyle="1" w:styleId="308">
    <w:name w:val="表格 Char"/>
    <w:link w:val="309"/>
    <w:qFormat/>
    <w:uiPriority w:val="0"/>
    <w:rPr>
      <w:rFonts w:ascii="宋体" w:hAnsi="等线" w:cs="宋体"/>
      <w:color w:val="000000"/>
      <w:sz w:val="21"/>
      <w:szCs w:val="21"/>
    </w:rPr>
  </w:style>
  <w:style w:type="paragraph" w:customStyle="1" w:styleId="309">
    <w:name w:val="表格"/>
    <w:basedOn w:val="1"/>
    <w:link w:val="308"/>
    <w:qFormat/>
    <w:uiPriority w:val="0"/>
    <w:pPr>
      <w:jc w:val="center"/>
    </w:pPr>
    <w:rPr>
      <w:rFonts w:hAnsi="等线" w:cs="Times New Roman"/>
      <w:color w:val="000000"/>
      <w:sz w:val="21"/>
      <w:szCs w:val="21"/>
    </w:rPr>
  </w:style>
  <w:style w:type="character" w:customStyle="1" w:styleId="310">
    <w:name w:val="标题字符1"/>
    <w:qFormat/>
    <w:uiPriority w:val="10"/>
    <w:rPr>
      <w:rFonts w:ascii="等线 Light" w:hAnsi="等线 Light" w:eastAsia="宋体" w:cs="Times New Roman"/>
      <w:b/>
      <w:bCs/>
      <w:color w:val="000000"/>
      <w:kern w:val="0"/>
      <w:sz w:val="32"/>
      <w:szCs w:val="32"/>
    </w:rPr>
  </w:style>
  <w:style w:type="character" w:customStyle="1" w:styleId="311">
    <w:name w:val="标题 5 Char1"/>
    <w:qFormat/>
    <w:uiPriority w:val="0"/>
    <w:rPr>
      <w:rFonts w:ascii="宋体" w:hAnsi="宋体" w:eastAsia="宋体" w:cs="宋体"/>
      <w:b/>
      <w:bCs/>
      <w:kern w:val="2"/>
      <w:sz w:val="28"/>
      <w:szCs w:val="28"/>
    </w:rPr>
  </w:style>
  <w:style w:type="character" w:customStyle="1" w:styleId="312">
    <w:name w:val="样式 首行缩进:  2 字符 Char1"/>
    <w:link w:val="313"/>
    <w:qFormat/>
    <w:uiPriority w:val="0"/>
    <w:rPr>
      <w:rFonts w:ascii="宋体" w:hAnsi="宋体" w:cs="宋体"/>
    </w:rPr>
  </w:style>
  <w:style w:type="paragraph" w:customStyle="1" w:styleId="313">
    <w:name w:val="样式 首行缩进:  2 字符"/>
    <w:basedOn w:val="1"/>
    <w:link w:val="312"/>
    <w:qFormat/>
    <w:uiPriority w:val="0"/>
    <w:pPr>
      <w:widowControl w:val="0"/>
      <w:spacing w:line="400" w:lineRule="exact"/>
      <w:ind w:firstLine="200" w:firstLineChars="200"/>
      <w:jc w:val="both"/>
    </w:pPr>
    <w:rPr>
      <w:rFonts w:cs="Times New Roman"/>
      <w:sz w:val="20"/>
      <w:szCs w:val="20"/>
    </w:rPr>
  </w:style>
  <w:style w:type="character" w:customStyle="1" w:styleId="314">
    <w:name w:val="超级链接"/>
    <w:qFormat/>
    <w:uiPriority w:val="0"/>
    <w:rPr>
      <w:rFonts w:hint="default" w:ascii="Times New Roman" w:hAnsi="Times New Roman" w:eastAsia="宋体" w:cs="Times New Roman"/>
      <w:color w:val="0000FF"/>
      <w:sz w:val="21"/>
      <w:u w:val="single" w:color="0000FF"/>
      <w:vertAlign w:val="baseline"/>
      <w:lang w:val="en-US" w:eastAsia="zh-CN"/>
    </w:rPr>
  </w:style>
  <w:style w:type="character" w:customStyle="1" w:styleId="315">
    <w:name w:val="表格用 Char"/>
    <w:qFormat/>
    <w:uiPriority w:val="0"/>
    <w:rPr>
      <w:rFonts w:hint="default" w:ascii="Arial" w:hAnsi="Arial" w:eastAsia="宋体" w:cs="Arial"/>
      <w:color w:val="000000"/>
      <w:kern w:val="2"/>
      <w:sz w:val="24"/>
    </w:rPr>
  </w:style>
  <w:style w:type="character" w:customStyle="1" w:styleId="316">
    <w:name w:val="Char Char8"/>
    <w:qFormat/>
    <w:uiPriority w:val="0"/>
    <w:rPr>
      <w:rFonts w:ascii="宋体" w:hAnsi="Times New Roman" w:eastAsia="宋体" w:cs="Times New Roman"/>
      <w:kern w:val="2"/>
      <w:sz w:val="28"/>
      <w:lang w:val="en-US" w:eastAsia="zh-CN" w:bidi="ar-SA"/>
    </w:rPr>
  </w:style>
  <w:style w:type="character" w:customStyle="1" w:styleId="317">
    <w:name w:val="正文（首行缩进 2 字符） Char Char"/>
    <w:link w:val="318"/>
    <w:qFormat/>
    <w:uiPriority w:val="0"/>
    <w:rPr>
      <w:szCs w:val="28"/>
    </w:rPr>
  </w:style>
  <w:style w:type="paragraph" w:customStyle="1" w:styleId="318">
    <w:name w:val="正文（首行缩进 2 字符）"/>
    <w:basedOn w:val="313"/>
    <w:link w:val="317"/>
    <w:qFormat/>
    <w:uiPriority w:val="0"/>
    <w:pPr>
      <w:snapToGrid w:val="0"/>
      <w:spacing w:line="300" w:lineRule="auto"/>
      <w:ind w:firstLine="480"/>
      <w:jc w:val="center"/>
    </w:pPr>
    <w:rPr>
      <w:rFonts w:ascii="Times New Roman" w:hAnsi="Times New Roman"/>
      <w:szCs w:val="28"/>
    </w:rPr>
  </w:style>
  <w:style w:type="character" w:customStyle="1" w:styleId="319">
    <w:name w:val="Char Char9"/>
    <w:qFormat/>
    <w:uiPriority w:val="0"/>
    <w:rPr>
      <w:rFonts w:ascii="Times New Roman" w:hAnsi="Times New Roman" w:eastAsia="宋体" w:cs="Times New Roman"/>
      <w:b/>
      <w:kern w:val="2"/>
      <w:sz w:val="24"/>
      <w:szCs w:val="24"/>
    </w:rPr>
  </w:style>
  <w:style w:type="character" w:customStyle="1" w:styleId="320">
    <w:name w:val="ca-11"/>
    <w:qFormat/>
    <w:uiPriority w:val="0"/>
    <w:rPr>
      <w:rFonts w:hint="eastAsia" w:ascii="宋体" w:hAnsi="宋体" w:eastAsia="宋体" w:cs="Times New Roman"/>
      <w:sz w:val="18"/>
      <w:szCs w:val="18"/>
    </w:rPr>
  </w:style>
  <w:style w:type="character" w:customStyle="1" w:styleId="321">
    <w:name w:val="标题 9 Char1"/>
    <w:qFormat/>
    <w:uiPriority w:val="0"/>
    <w:rPr>
      <w:rFonts w:ascii="Arial" w:hAnsi="Arial" w:eastAsia="黑体" w:cs="Times New Roman"/>
      <w:kern w:val="0"/>
      <w:sz w:val="24"/>
      <w:szCs w:val="20"/>
    </w:rPr>
  </w:style>
  <w:style w:type="character" w:customStyle="1" w:styleId="322">
    <w:name w:val="批注文字 Char1"/>
    <w:qFormat/>
    <w:uiPriority w:val="0"/>
    <w:rPr>
      <w:rFonts w:ascii="Times New Roman" w:hAnsi="Times New Roman" w:eastAsia="宋体" w:cs="Times New Roman"/>
      <w:kern w:val="2"/>
      <w:sz w:val="21"/>
      <w:szCs w:val="24"/>
    </w:rPr>
  </w:style>
  <w:style w:type="character" w:customStyle="1" w:styleId="323">
    <w:name w:val="正文（宋体，小四，1.5倍行距） Char"/>
    <w:link w:val="324"/>
    <w:qFormat/>
    <w:uiPriority w:val="0"/>
    <w:rPr>
      <w:rFonts w:ascii="宋体" w:hAnsi="宋体"/>
    </w:rPr>
  </w:style>
  <w:style w:type="paragraph" w:customStyle="1" w:styleId="324">
    <w:name w:val="正文（宋体，小四，1.5倍行距）"/>
    <w:basedOn w:val="1"/>
    <w:link w:val="323"/>
    <w:qFormat/>
    <w:uiPriority w:val="0"/>
    <w:pPr>
      <w:widowControl w:val="0"/>
      <w:spacing w:line="360" w:lineRule="auto"/>
      <w:ind w:firstLine="480" w:firstLineChars="200"/>
      <w:jc w:val="both"/>
    </w:pPr>
    <w:rPr>
      <w:rFonts w:cs="Times New Roman"/>
      <w:sz w:val="20"/>
      <w:szCs w:val="20"/>
    </w:rPr>
  </w:style>
  <w:style w:type="character" w:customStyle="1" w:styleId="325">
    <w:name w:val="Comment Text Char"/>
    <w:qFormat/>
    <w:uiPriority w:val="0"/>
    <w:rPr>
      <w:rFonts w:ascii="Times New Roman" w:hAnsi="Times New Roman" w:eastAsia="宋体" w:cs="Times New Roman"/>
      <w:kern w:val="0"/>
      <w:sz w:val="24"/>
      <w:szCs w:val="24"/>
      <w:lang w:val="zh-CN" w:eastAsia="zh-CN"/>
    </w:rPr>
  </w:style>
  <w:style w:type="character" w:customStyle="1" w:styleId="326">
    <w:name w:val="项目符0 Char"/>
    <w:link w:val="327"/>
    <w:qFormat/>
    <w:uiPriority w:val="0"/>
    <w:rPr>
      <w:rFonts w:ascii="Arial" w:hAnsi="Arial"/>
      <w:sz w:val="21"/>
      <w:szCs w:val="21"/>
    </w:rPr>
  </w:style>
  <w:style w:type="paragraph" w:customStyle="1" w:styleId="327">
    <w:name w:val="项目符0"/>
    <w:basedOn w:val="1"/>
    <w:link w:val="326"/>
    <w:qFormat/>
    <w:uiPriority w:val="0"/>
    <w:pPr>
      <w:widowControl w:val="0"/>
      <w:numPr>
        <w:ilvl w:val="0"/>
        <w:numId w:val="2"/>
      </w:numPr>
      <w:spacing w:beforeLines="25" w:afterLines="25" w:line="300" w:lineRule="auto"/>
      <w:ind w:left="100" w:leftChars="100" w:right="57" w:rightChars="27" w:firstLine="200" w:firstLineChars="200"/>
      <w:jc w:val="both"/>
    </w:pPr>
    <w:rPr>
      <w:rFonts w:ascii="Arial" w:hAnsi="Arial" w:cs="Times New Roman"/>
      <w:sz w:val="21"/>
      <w:szCs w:val="21"/>
    </w:rPr>
  </w:style>
  <w:style w:type="character" w:customStyle="1" w:styleId="328">
    <w:name w:val="正文缩进 Char1"/>
    <w:qFormat/>
    <w:uiPriority w:val="0"/>
    <w:rPr>
      <w:rFonts w:ascii="Times New Roman" w:hAnsi="Times New Roman" w:eastAsia="宋体" w:cs="Times New Roman"/>
      <w:szCs w:val="24"/>
    </w:rPr>
  </w:style>
  <w:style w:type="character" w:customStyle="1" w:styleId="329">
    <w:name w:val="正文首行缩进 Char1"/>
    <w:qFormat/>
    <w:uiPriority w:val="99"/>
    <w:rPr>
      <w:rFonts w:ascii="宋体" w:hAnsi="宋体" w:eastAsia="宋体" w:cs="Times New Roman"/>
      <w:sz w:val="24"/>
      <w:szCs w:val="24"/>
    </w:rPr>
  </w:style>
  <w:style w:type="character" w:customStyle="1" w:styleId="330">
    <w:name w:val="ant-form-item-children1"/>
    <w:qFormat/>
    <w:uiPriority w:val="0"/>
  </w:style>
  <w:style w:type="character" w:customStyle="1" w:styleId="331">
    <w:name w:val="图注 Char Char"/>
    <w:link w:val="332"/>
    <w:qFormat/>
    <w:uiPriority w:val="0"/>
    <w:rPr>
      <w:rFonts w:ascii="宋体" w:hAnsi="宋体" w:cs="Arial"/>
    </w:rPr>
  </w:style>
  <w:style w:type="paragraph" w:customStyle="1" w:styleId="332">
    <w:name w:val="图注"/>
    <w:basedOn w:val="19"/>
    <w:link w:val="331"/>
    <w:qFormat/>
    <w:uiPriority w:val="0"/>
    <w:pPr>
      <w:widowControl/>
      <w:snapToGrid w:val="0"/>
      <w:spacing w:afterLines="20"/>
      <w:ind w:firstLine="360" w:firstLineChars="200"/>
      <w:jc w:val="center"/>
    </w:pPr>
    <w:rPr>
      <w:rFonts w:ascii="宋体" w:hAnsi="宋体" w:eastAsia="宋体"/>
      <w:kern w:val="0"/>
      <w:sz w:val="20"/>
      <w:szCs w:val="20"/>
    </w:rPr>
  </w:style>
  <w:style w:type="character" w:customStyle="1" w:styleId="333">
    <w:name w:val="apple-style-span"/>
    <w:qFormat/>
    <w:uiPriority w:val="0"/>
    <w:rPr>
      <w:rFonts w:ascii="Times New Roman" w:hAnsi="Times New Roman" w:eastAsia="宋体" w:cs="Times New Roman"/>
    </w:rPr>
  </w:style>
  <w:style w:type="character" w:customStyle="1" w:styleId="334">
    <w:name w:val="Char Char1"/>
    <w:qFormat/>
    <w:uiPriority w:val="0"/>
    <w:rPr>
      <w:rFonts w:ascii="宋体" w:hAnsi="Courier New" w:eastAsia="仿宋_GB2312" w:cs="宋体"/>
      <w:b/>
      <w:bCs/>
      <w:color w:val="000000"/>
      <w:sz w:val="21"/>
      <w:lang w:val="en-US" w:eastAsia="zh-CN" w:bidi="ar-SA"/>
    </w:rPr>
  </w:style>
  <w:style w:type="character" w:customStyle="1" w:styleId="335">
    <w:name w:val="apple-converted-space"/>
    <w:qFormat/>
    <w:uiPriority w:val="0"/>
  </w:style>
  <w:style w:type="character" w:customStyle="1" w:styleId="336">
    <w:name w:val="金保标题2 Char"/>
    <w:link w:val="337"/>
    <w:qFormat/>
    <w:uiPriority w:val="0"/>
    <w:rPr>
      <w:rFonts w:eastAsia="黑体"/>
      <w:b/>
      <w:bCs/>
      <w:kern w:val="2"/>
      <w:sz w:val="28"/>
      <w:szCs w:val="28"/>
      <w:lang w:val="en-US" w:eastAsia="zh-CN" w:bidi="ar-SA"/>
    </w:rPr>
  </w:style>
  <w:style w:type="paragraph" w:customStyle="1" w:styleId="337">
    <w:name w:val="金保标题2"/>
    <w:basedOn w:val="6"/>
    <w:next w:val="1"/>
    <w:link w:val="336"/>
    <w:qFormat/>
    <w:uiPriority w:val="0"/>
    <w:pPr>
      <w:tabs>
        <w:tab w:val="left" w:pos="576"/>
      </w:tabs>
      <w:spacing w:line="360" w:lineRule="auto"/>
      <w:ind w:left="576" w:hanging="576"/>
    </w:pPr>
    <w:rPr>
      <w:rFonts w:ascii="Times New Roman" w:hAnsi="Times New Roman"/>
      <w:sz w:val="28"/>
      <w:szCs w:val="28"/>
    </w:rPr>
  </w:style>
  <w:style w:type="character" w:customStyle="1" w:styleId="338">
    <w:name w:val="标书正文 Char"/>
    <w:link w:val="339"/>
    <w:qFormat/>
    <w:uiPriority w:val="0"/>
    <w:rPr>
      <w:spacing w:val="1"/>
      <w:sz w:val="21"/>
      <w:szCs w:val="21"/>
    </w:rPr>
  </w:style>
  <w:style w:type="paragraph" w:customStyle="1" w:styleId="339">
    <w:name w:val="标书正文"/>
    <w:basedOn w:val="1"/>
    <w:link w:val="338"/>
    <w:qFormat/>
    <w:uiPriority w:val="0"/>
    <w:pPr>
      <w:widowControl w:val="0"/>
      <w:spacing w:line="360" w:lineRule="auto"/>
      <w:ind w:left="240" w:leftChars="100" w:right="100" w:rightChars="100" w:firstLine="200" w:firstLineChars="200"/>
      <w:jc w:val="both"/>
    </w:pPr>
    <w:rPr>
      <w:rFonts w:ascii="Times New Roman" w:hAnsi="Times New Roman" w:cs="Times New Roman"/>
      <w:spacing w:val="1"/>
      <w:sz w:val="21"/>
      <w:szCs w:val="21"/>
    </w:rPr>
  </w:style>
  <w:style w:type="character" w:customStyle="1" w:styleId="340">
    <w:name w:val="页脚 Char1"/>
    <w:qFormat/>
    <w:uiPriority w:val="99"/>
    <w:rPr>
      <w:rFonts w:ascii="宋体" w:hAnsi="宋体" w:eastAsia="宋体" w:cs="宋体"/>
      <w:sz w:val="18"/>
      <w:szCs w:val="18"/>
    </w:rPr>
  </w:style>
  <w:style w:type="character" w:customStyle="1" w:styleId="341">
    <w:name w:val="汇视源正文 Char"/>
    <w:link w:val="342"/>
    <w:qFormat/>
    <w:uiPriority w:val="0"/>
    <w:rPr>
      <w:rFonts w:cs="宋体"/>
      <w:lang w:val="en-US" w:eastAsia="zh-CN" w:bidi="ar-SA"/>
    </w:rPr>
  </w:style>
  <w:style w:type="paragraph" w:customStyle="1" w:styleId="342">
    <w:name w:val="汇视源正文"/>
    <w:link w:val="341"/>
    <w:qFormat/>
    <w:uiPriority w:val="0"/>
    <w:pPr>
      <w:widowControl w:val="0"/>
      <w:spacing w:beforeLines="50" w:line="360" w:lineRule="auto"/>
      <w:ind w:firstLine="480" w:firstLineChars="200"/>
      <w:jc w:val="both"/>
    </w:pPr>
    <w:rPr>
      <w:rFonts w:ascii="Times New Roman" w:hAnsi="Times New Roman" w:eastAsia="宋体" w:cs="宋体"/>
      <w:lang w:val="en-US" w:eastAsia="zh-CN" w:bidi="ar-SA"/>
    </w:rPr>
  </w:style>
  <w:style w:type="character" w:customStyle="1" w:styleId="343">
    <w:name w:val="标题 Char1"/>
    <w:qFormat/>
    <w:uiPriority w:val="10"/>
    <w:rPr>
      <w:rFonts w:ascii="Cambria" w:hAnsi="Cambria" w:eastAsia="宋体" w:cs="Times New Roman"/>
      <w:b/>
      <w:bCs/>
      <w:sz w:val="32"/>
      <w:szCs w:val="32"/>
    </w:rPr>
  </w:style>
  <w:style w:type="character" w:customStyle="1" w:styleId="344">
    <w:name w:val="062"/>
    <w:qFormat/>
    <w:uiPriority w:val="0"/>
    <w:rPr>
      <w:rFonts w:hint="eastAsia" w:ascii="宋体" w:hAnsi="宋体" w:eastAsia="宋体" w:cs="Times New Roman"/>
      <w:b/>
      <w:bCs/>
      <w:sz w:val="32"/>
    </w:rPr>
  </w:style>
  <w:style w:type="character" w:customStyle="1" w:styleId="345">
    <w:name w:val="正文-2字符首行缩进 Char"/>
    <w:link w:val="346"/>
    <w:qFormat/>
    <w:uiPriority w:val="0"/>
    <w:rPr>
      <w:rFonts w:ascii="仿宋_GB2312" w:eastAsia="仿宋"/>
      <w:sz w:val="24"/>
    </w:rPr>
  </w:style>
  <w:style w:type="paragraph" w:customStyle="1" w:styleId="346">
    <w:name w:val="正文-2字符首行缩进"/>
    <w:basedOn w:val="1"/>
    <w:link w:val="345"/>
    <w:qFormat/>
    <w:uiPriority w:val="0"/>
    <w:pPr>
      <w:widowControl w:val="0"/>
      <w:spacing w:line="360" w:lineRule="auto"/>
      <w:jc w:val="both"/>
    </w:pPr>
    <w:rPr>
      <w:rFonts w:ascii="仿宋_GB2312" w:hAnsi="Times New Roman" w:eastAsia="仿宋" w:cs="Times New Roman"/>
      <w:szCs w:val="20"/>
    </w:rPr>
  </w:style>
  <w:style w:type="character" w:customStyle="1" w:styleId="347">
    <w:name w:val="标书正文格式 Char"/>
    <w:link w:val="348"/>
    <w:qFormat/>
    <w:locked/>
    <w:uiPriority w:val="0"/>
    <w:rPr>
      <w:rFonts w:ascii="华文中宋" w:hAnsi="华文中宋" w:eastAsia="华文中宋"/>
      <w:sz w:val="18"/>
      <w:szCs w:val="18"/>
      <w:lang w:val="en-US" w:eastAsia="zh-CN" w:bidi="ar-SA"/>
    </w:rPr>
  </w:style>
  <w:style w:type="paragraph" w:customStyle="1" w:styleId="348">
    <w:name w:val="标书正文格式"/>
    <w:link w:val="347"/>
    <w:qFormat/>
    <w:uiPriority w:val="0"/>
    <w:pPr>
      <w:spacing w:line="360" w:lineRule="auto"/>
      <w:ind w:firstLine="360" w:firstLineChars="200"/>
      <w:jc w:val="center"/>
    </w:pPr>
    <w:rPr>
      <w:rFonts w:ascii="华文中宋" w:hAnsi="华文中宋" w:eastAsia="华文中宋" w:cs="Times New Roman"/>
      <w:sz w:val="18"/>
      <w:szCs w:val="18"/>
      <w:lang w:val="en-US" w:eastAsia="zh-CN" w:bidi="ar-SA"/>
    </w:rPr>
  </w:style>
  <w:style w:type="character" w:customStyle="1" w:styleId="349">
    <w:name w:val="Table Heading Char"/>
    <w:link w:val="350"/>
    <w:qFormat/>
    <w:locked/>
    <w:uiPriority w:val="0"/>
    <w:rPr>
      <w:rFonts w:ascii="Arial" w:hAnsi="Arial" w:eastAsia="微软雅黑" w:cs="Arial Narrow"/>
      <w:bCs/>
      <w:sz w:val="18"/>
      <w:lang w:val="en-US" w:eastAsia="zh-CN" w:bidi="ar-SA"/>
    </w:rPr>
  </w:style>
  <w:style w:type="paragraph" w:customStyle="1" w:styleId="350">
    <w:name w:val="Table Heading"/>
    <w:link w:val="349"/>
    <w:qFormat/>
    <w:uiPriority w:val="0"/>
    <w:pPr>
      <w:keepNext/>
      <w:spacing w:before="80" w:after="80" w:line="240" w:lineRule="exact"/>
      <w:jc w:val="center"/>
    </w:pPr>
    <w:rPr>
      <w:rFonts w:ascii="Arial" w:hAnsi="Arial" w:eastAsia="微软雅黑" w:cs="Arial Narrow"/>
      <w:bCs/>
      <w:sz w:val="18"/>
      <w:lang w:val="en-US" w:eastAsia="zh-CN" w:bidi="ar-SA"/>
    </w:rPr>
  </w:style>
  <w:style w:type="character" w:customStyle="1" w:styleId="351">
    <w:name w:val="4级标题 Char"/>
    <w:link w:val="352"/>
    <w:qFormat/>
    <w:uiPriority w:val="0"/>
    <w:rPr>
      <w:rFonts w:ascii="Calibri Light" w:hAnsi="Calibri Light"/>
      <w:b/>
      <w:bCs/>
      <w:sz w:val="28"/>
      <w:szCs w:val="30"/>
    </w:rPr>
  </w:style>
  <w:style w:type="paragraph" w:customStyle="1" w:styleId="352">
    <w:name w:val="4级标题"/>
    <w:basedOn w:val="6"/>
    <w:link w:val="351"/>
    <w:qFormat/>
    <w:uiPriority w:val="0"/>
    <w:pPr>
      <w:widowControl w:val="0"/>
      <w:numPr>
        <w:ilvl w:val="1"/>
        <w:numId w:val="3"/>
      </w:numPr>
      <w:spacing w:beforeLines="50" w:line="360" w:lineRule="auto"/>
      <w:jc w:val="both"/>
    </w:pPr>
    <w:rPr>
      <w:rFonts w:ascii="Calibri Light" w:hAnsi="Calibri Light" w:eastAsia="宋体"/>
      <w:kern w:val="0"/>
      <w:sz w:val="28"/>
      <w:szCs w:val="30"/>
    </w:rPr>
  </w:style>
  <w:style w:type="character" w:customStyle="1" w:styleId="353">
    <w:name w:val="纯文本 Char2"/>
    <w:uiPriority w:val="0"/>
    <w:rPr>
      <w:rFonts w:hAnsi="Courier New" w:cs="Times New Roman"/>
      <w:kern w:val="2"/>
      <w:sz w:val="21"/>
    </w:rPr>
  </w:style>
  <w:style w:type="character" w:customStyle="1" w:styleId="354">
    <w:name w:val="Intense Reference"/>
    <w:qFormat/>
    <w:uiPriority w:val="0"/>
    <w:rPr>
      <w:b/>
      <w:color w:val="auto"/>
      <w:sz w:val="21"/>
    </w:rPr>
  </w:style>
  <w:style w:type="character" w:customStyle="1" w:styleId="355">
    <w:name w:val="small"/>
    <w:qFormat/>
    <w:uiPriority w:val="0"/>
    <w:rPr>
      <w:sz w:val="20"/>
    </w:rPr>
  </w:style>
  <w:style w:type="character" w:customStyle="1" w:styleId="356">
    <w:name w:val="Title Char"/>
    <w:qFormat/>
    <w:uiPriority w:val="0"/>
    <w:rPr>
      <w:b/>
      <w:sz w:val="20"/>
    </w:rPr>
  </w:style>
  <w:style w:type="character" w:customStyle="1" w:styleId="357">
    <w:name w:val="biaoti-red"/>
    <w:qFormat/>
    <w:uiPriority w:val="0"/>
    <w:rPr>
      <w:sz w:val="20"/>
    </w:rPr>
  </w:style>
  <w:style w:type="character" w:customStyle="1" w:styleId="358">
    <w:name w:val="Book Title"/>
    <w:qFormat/>
    <w:uiPriority w:val="0"/>
    <w:rPr>
      <w:b/>
      <w:i/>
      <w:sz w:val="21"/>
    </w:rPr>
  </w:style>
  <w:style w:type="character" w:customStyle="1" w:styleId="359">
    <w:name w:val="ft"/>
    <w:uiPriority w:val="0"/>
    <w:rPr>
      <w:sz w:val="20"/>
    </w:rPr>
  </w:style>
  <w:style w:type="character" w:customStyle="1" w:styleId="360">
    <w:name w:val="BZ_正文 Char"/>
    <w:qFormat/>
    <w:uiPriority w:val="0"/>
    <w:rPr>
      <w:sz w:val="20"/>
    </w:rPr>
  </w:style>
  <w:style w:type="character" w:customStyle="1" w:styleId="361">
    <w:name w:val="Default 1"/>
    <w:qFormat/>
    <w:uiPriority w:val="0"/>
    <w:rPr>
      <w:sz w:val="20"/>
    </w:rPr>
  </w:style>
  <w:style w:type="character" w:customStyle="1" w:styleId="362">
    <w:name w:val="v151"/>
    <w:qFormat/>
    <w:uiPriority w:val="0"/>
    <w:rPr>
      <w:sz w:val="20"/>
    </w:rPr>
  </w:style>
  <w:style w:type="character" w:customStyle="1" w:styleId="363">
    <w:name w:val="bookmark-item"/>
    <w:qFormat/>
    <w:uiPriority w:val="0"/>
  </w:style>
  <w:style w:type="character" w:customStyle="1" w:styleId="364">
    <w:name w:val="font71"/>
    <w:qFormat/>
    <w:uiPriority w:val="0"/>
    <w:rPr>
      <w:rFonts w:hint="eastAsia" w:ascii="宋体" w:hAnsi="宋体" w:eastAsia="宋体" w:cs="宋体"/>
      <w:color w:val="000000"/>
      <w:sz w:val="20"/>
      <w:szCs w:val="20"/>
      <w:u w:val="none"/>
    </w:rPr>
  </w:style>
  <w:style w:type="character" w:customStyle="1" w:styleId="365">
    <w:name w:val="font81"/>
    <w:qFormat/>
    <w:uiPriority w:val="0"/>
    <w:rPr>
      <w:rFonts w:hint="eastAsia" w:ascii="宋体" w:hAnsi="宋体" w:eastAsia="宋体" w:cs="宋体"/>
      <w:color w:val="000000"/>
      <w:sz w:val="20"/>
      <w:szCs w:val="20"/>
      <w:u w:val="none"/>
      <w:vertAlign w:val="superscript"/>
    </w:rPr>
  </w:style>
  <w:style w:type="character" w:customStyle="1" w:styleId="366">
    <w:name w:val="font101"/>
    <w:qFormat/>
    <w:uiPriority w:val="0"/>
    <w:rPr>
      <w:rFonts w:ascii="Wingdings 2" w:hAnsi="Wingdings 2" w:eastAsia="Wingdings 2" w:cs="Wingdings 2"/>
      <w:color w:val="000000"/>
      <w:sz w:val="20"/>
      <w:szCs w:val="20"/>
      <w:u w:val="none"/>
    </w:rPr>
  </w:style>
  <w:style w:type="paragraph" w:customStyle="1" w:styleId="367">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rPr>
  </w:style>
  <w:style w:type="paragraph" w:customStyle="1" w:styleId="368">
    <w:name w:val="XHH标题3"/>
    <w:basedOn w:val="369"/>
    <w:next w:val="199"/>
    <w:qFormat/>
    <w:uiPriority w:val="0"/>
    <w:pPr>
      <w:ind w:left="1418"/>
      <w:outlineLvl w:val="2"/>
    </w:pPr>
    <w:rPr>
      <w:sz w:val="28"/>
    </w:rPr>
  </w:style>
  <w:style w:type="paragraph" w:customStyle="1" w:styleId="369">
    <w:name w:val="XHH标题2"/>
    <w:next w:val="199"/>
    <w:qFormat/>
    <w:uiPriority w:val="0"/>
    <w:pPr>
      <w:widowControl w:val="0"/>
      <w:spacing w:before="120" w:after="120" w:line="360" w:lineRule="auto"/>
      <w:ind w:left="992" w:hanging="567"/>
      <w:outlineLvl w:val="1"/>
    </w:pPr>
    <w:rPr>
      <w:rFonts w:ascii="黑体" w:hAnsi="宋体" w:eastAsia="黑体" w:cs="Times New Roman"/>
      <w:b/>
      <w:color w:val="000000"/>
      <w:kern w:val="2"/>
      <w:sz w:val="30"/>
      <w:szCs w:val="30"/>
      <w:lang w:val="en-US" w:eastAsia="zh-CN" w:bidi="ar-SA"/>
    </w:rPr>
  </w:style>
  <w:style w:type="paragraph" w:customStyle="1" w:styleId="370">
    <w:name w:val="xl1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rPr>
  </w:style>
  <w:style w:type="paragraph" w:customStyle="1" w:styleId="371">
    <w:name w:val="Char11"/>
    <w:basedOn w:val="1"/>
    <w:qFormat/>
    <w:uiPriority w:val="0"/>
    <w:pPr>
      <w:widowControl w:val="0"/>
      <w:jc w:val="both"/>
    </w:pPr>
    <w:rPr>
      <w:rFonts w:ascii="Times New Roman" w:hAnsi="Times New Roman" w:cs="Times New Roman"/>
      <w:b/>
      <w:kern w:val="2"/>
      <w:sz w:val="32"/>
      <w:szCs w:val="32"/>
    </w:rPr>
  </w:style>
  <w:style w:type="paragraph" w:customStyle="1" w:styleId="372">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rPr>
  </w:style>
  <w:style w:type="paragraph" w:customStyle="1" w:styleId="373">
    <w:name w:val="xl115"/>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hAnsi="Times New Roman" w:cs="Times New Roman"/>
      <w:b/>
      <w:bCs/>
    </w:rPr>
  </w:style>
  <w:style w:type="paragraph" w:customStyle="1" w:styleId="374">
    <w:name w:val="4"/>
    <w:basedOn w:val="1"/>
    <w:next w:val="37"/>
    <w:qFormat/>
    <w:uiPriority w:val="0"/>
    <w:pPr>
      <w:widowControl w:val="0"/>
      <w:spacing w:line="420" w:lineRule="exact"/>
      <w:ind w:firstLine="409" w:firstLineChars="195"/>
      <w:jc w:val="both"/>
    </w:pPr>
    <w:rPr>
      <w:rFonts w:ascii="Times New Roman" w:hAnsi="Times New Roman" w:cs="Times New Roman"/>
      <w:kern w:val="2"/>
      <w:sz w:val="21"/>
      <w:szCs w:val="21"/>
    </w:rPr>
  </w:style>
  <w:style w:type="paragraph" w:customStyle="1" w:styleId="375">
    <w:name w:val="Bullets"/>
    <w:basedOn w:val="1"/>
    <w:qFormat/>
    <w:uiPriority w:val="0"/>
    <w:pPr>
      <w:tabs>
        <w:tab w:val="left" w:pos="360"/>
        <w:tab w:val="left" w:pos="720"/>
      </w:tabs>
      <w:spacing w:after="160" w:line="320" w:lineRule="atLeast"/>
      <w:ind w:left="720" w:hanging="360"/>
    </w:pPr>
    <w:rPr>
      <w:rFonts w:ascii="High Tower Text" w:hAnsi="High Tower Text" w:eastAsia="Times New Roman" w:cs="Times New Roman"/>
      <w:szCs w:val="20"/>
      <w:lang w:eastAsia="en-US"/>
    </w:rPr>
  </w:style>
  <w:style w:type="paragraph" w:customStyle="1" w:styleId="376">
    <w:name w:val="条文レベル3-個条書き"/>
    <w:basedOn w:val="377"/>
    <w:qFormat/>
    <w:uiPriority w:val="0"/>
    <w:pPr>
      <w:tabs>
        <w:tab w:val="left" w:pos="2187"/>
        <w:tab w:val="left" w:pos="5954"/>
      </w:tabs>
      <w:outlineLvl w:val="6"/>
    </w:pPr>
  </w:style>
  <w:style w:type="paragraph" w:customStyle="1" w:styleId="377">
    <w:name w:val="条文レベル2"/>
    <w:basedOn w:val="378"/>
    <w:qFormat/>
    <w:uiPriority w:val="0"/>
    <w:pPr>
      <w:tabs>
        <w:tab w:val="left" w:pos="2187"/>
      </w:tabs>
      <w:outlineLvl w:val="5"/>
    </w:pPr>
    <w:rPr>
      <w:rFonts w:ascii="Times New Roman" w:hAnsi="Times New Roman" w:eastAsia="宋体"/>
    </w:rPr>
  </w:style>
  <w:style w:type="paragraph" w:customStyle="1" w:styleId="378">
    <w:name w:val="条文レベル1"/>
    <w:next w:val="1"/>
    <w:qFormat/>
    <w:uiPriority w:val="0"/>
    <w:pPr>
      <w:tabs>
        <w:tab w:val="left" w:pos="2187"/>
      </w:tabs>
      <w:spacing w:before="60" w:line="280" w:lineRule="exact"/>
      <w:ind w:left="2187" w:right="1276" w:hanging="567"/>
      <w:outlineLvl w:val="4"/>
    </w:pPr>
    <w:rPr>
      <w:rFonts w:ascii="MS Mincho" w:hAnsi="Century" w:eastAsia="MS Mincho" w:cs="Times New Roman"/>
      <w:lang w:val="en-US" w:eastAsia="ja-JP" w:bidi="ar-SA"/>
    </w:rPr>
  </w:style>
  <w:style w:type="paragraph" w:customStyle="1" w:styleId="379">
    <w:name w:val="font5"/>
    <w:basedOn w:val="1"/>
    <w:qFormat/>
    <w:uiPriority w:val="0"/>
    <w:pPr>
      <w:spacing w:before="100" w:beforeAutospacing="1" w:after="100" w:afterAutospacing="1"/>
    </w:pPr>
    <w:rPr>
      <w:rFonts w:ascii="Times New Roman" w:hAnsi="Times New Roman" w:cs="Times New Roman"/>
      <w:color w:val="000000"/>
      <w:sz w:val="20"/>
      <w:szCs w:val="20"/>
    </w:rPr>
  </w:style>
  <w:style w:type="paragraph" w:customStyle="1" w:styleId="380">
    <w:name w:val="xl2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szCs w:val="20"/>
    </w:rPr>
  </w:style>
  <w:style w:type="paragraph" w:customStyle="1" w:styleId="381">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3" w:lineRule="atLeast"/>
    </w:pPr>
    <w:rPr>
      <w:rFonts w:ascii="Courier New" w:hAnsi="Courier New" w:cs="Courier New"/>
      <w:kern w:val="2"/>
      <w:sz w:val="20"/>
      <w:szCs w:val="20"/>
    </w:rPr>
  </w:style>
  <w:style w:type="paragraph" w:customStyle="1" w:styleId="382">
    <w:name w:val="Blockquote"/>
    <w:basedOn w:val="1"/>
    <w:qFormat/>
    <w:uiPriority w:val="0"/>
    <w:pPr>
      <w:widowControl w:val="0"/>
      <w:autoSpaceDE w:val="0"/>
      <w:autoSpaceDN w:val="0"/>
      <w:adjustRightInd w:val="0"/>
      <w:spacing w:before="100" w:after="100"/>
      <w:ind w:left="360" w:right="360"/>
    </w:pPr>
    <w:rPr>
      <w:rFonts w:ascii="Times New Roman" w:hAnsi="Times New Roman" w:cs="Times New Roman"/>
      <w:szCs w:val="20"/>
    </w:rPr>
  </w:style>
  <w:style w:type="paragraph" w:customStyle="1" w:styleId="383">
    <w:name w:val="Char Char Char Char Char Char1 Char Char Char1 Char Char Char Char Char Char Char Char Char Char Char Char Char Char Char Char Char Char"/>
    <w:basedOn w:val="1"/>
    <w:qFormat/>
    <w:uiPriority w:val="0"/>
    <w:pPr>
      <w:widowControl w:val="0"/>
      <w:jc w:val="both"/>
    </w:pPr>
    <w:rPr>
      <w:rFonts w:ascii="Tahoma" w:hAnsi="Tahoma" w:cs="Times New Roman"/>
      <w:kern w:val="2"/>
      <w:sz w:val="21"/>
      <w:szCs w:val="20"/>
    </w:rPr>
  </w:style>
  <w:style w:type="paragraph" w:customStyle="1" w:styleId="384">
    <w:name w:val="需求文档正文样式"/>
    <w:basedOn w:val="1"/>
    <w:qFormat/>
    <w:uiPriority w:val="0"/>
    <w:pPr>
      <w:widowControl w:val="0"/>
      <w:spacing w:line="360" w:lineRule="auto"/>
      <w:ind w:firstLine="437"/>
      <w:jc w:val="both"/>
    </w:pPr>
    <w:rPr>
      <w:rFonts w:ascii="Times New Roman" w:hAnsi="Times New Roman" w:cs="Times New Roman"/>
      <w:kern w:val="2"/>
      <w:sz w:val="21"/>
      <w:szCs w:val="21"/>
    </w:rPr>
  </w:style>
  <w:style w:type="paragraph" w:customStyle="1" w:styleId="385">
    <w:name w:val="font16"/>
    <w:basedOn w:val="1"/>
    <w:qFormat/>
    <w:uiPriority w:val="0"/>
    <w:pPr>
      <w:spacing w:before="100" w:beforeAutospacing="1" w:after="100" w:afterAutospacing="1"/>
    </w:pPr>
    <w:rPr>
      <w:rFonts w:hAnsi="Times New Roman" w:cs="Times New Roman"/>
      <w:sz w:val="22"/>
      <w:szCs w:val="21"/>
    </w:rPr>
  </w:style>
  <w:style w:type="paragraph" w:customStyle="1" w:styleId="386">
    <w:name w:val="XHH标题9"/>
    <w:qFormat/>
    <w:uiPriority w:val="0"/>
    <w:pPr>
      <w:ind w:left="5102" w:hanging="1700"/>
    </w:pPr>
    <w:rPr>
      <w:rFonts w:ascii="黑体" w:hAnsi="黑体" w:eastAsia="黑体" w:cs="宋体"/>
      <w:kern w:val="2"/>
      <w:sz w:val="28"/>
      <w:szCs w:val="28"/>
      <w:lang w:val="en-US" w:eastAsia="zh-CN" w:bidi="ar-SA"/>
    </w:rPr>
  </w:style>
  <w:style w:type="paragraph" w:customStyle="1" w:styleId="387">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b/>
      <w:bCs/>
      <w:u w:val="single"/>
    </w:rPr>
  </w:style>
  <w:style w:type="paragraph" w:customStyle="1" w:styleId="388">
    <w:name w:val="Char21"/>
    <w:basedOn w:val="1"/>
    <w:qFormat/>
    <w:uiPriority w:val="0"/>
    <w:pPr>
      <w:widowControl w:val="0"/>
      <w:jc w:val="both"/>
    </w:pPr>
    <w:rPr>
      <w:rFonts w:ascii="仿宋_GB2312" w:hAnsi="Times New Roman" w:eastAsia="仿宋_GB2312" w:cs="Times New Roman"/>
      <w:bCs/>
      <w:color w:val="000000"/>
      <w:sz w:val="32"/>
      <w:szCs w:val="32"/>
    </w:rPr>
  </w:style>
  <w:style w:type="paragraph" w:customStyle="1" w:styleId="389">
    <w:name w:val="reader-word-layer reader-word-s1-8"/>
    <w:basedOn w:val="1"/>
    <w:qFormat/>
    <w:uiPriority w:val="0"/>
    <w:pPr>
      <w:spacing w:before="100" w:beforeAutospacing="1" w:after="100" w:afterAutospacing="1"/>
    </w:pPr>
    <w:rPr>
      <w:rFonts w:hAnsi="Times New Roman" w:cs="Times New Roman"/>
    </w:rPr>
  </w:style>
  <w:style w:type="paragraph" w:customStyle="1" w:styleId="390">
    <w:name w:val="++标题1"/>
    <w:basedOn w:val="5"/>
    <w:qFormat/>
    <w:uiPriority w:val="0"/>
    <w:pPr>
      <w:keepLines/>
      <w:widowControl w:val="0"/>
      <w:tabs>
        <w:tab w:val="left" w:pos="432"/>
      </w:tabs>
      <w:spacing w:beforeLines="100" w:afterLines="100" w:line="360" w:lineRule="auto"/>
      <w:outlineLvl w:val="1"/>
    </w:pPr>
    <w:rPr>
      <w:b/>
      <w:bCs/>
      <w:kern w:val="44"/>
      <w:sz w:val="32"/>
      <w:szCs w:val="32"/>
    </w:rPr>
  </w:style>
  <w:style w:type="paragraph" w:customStyle="1" w:styleId="391">
    <w:name w:val="Char Char1 Char Char Char Char1 Char Char Char"/>
    <w:basedOn w:val="1"/>
    <w:qFormat/>
    <w:uiPriority w:val="0"/>
    <w:pPr>
      <w:widowControl w:val="0"/>
      <w:adjustRightInd w:val="0"/>
      <w:spacing w:line="360" w:lineRule="atLeast"/>
      <w:jc w:val="both"/>
    </w:pPr>
    <w:rPr>
      <w:rFonts w:ascii="Tahoma" w:hAnsi="Tahoma" w:cs="Times New Roman"/>
      <w:kern w:val="2"/>
      <w:szCs w:val="20"/>
    </w:rPr>
  </w:style>
  <w:style w:type="paragraph" w:customStyle="1" w:styleId="392">
    <w:name w:val="xl30"/>
    <w:basedOn w:val="1"/>
    <w:qFormat/>
    <w:uiPriority w:val="0"/>
    <w:pPr>
      <w:spacing w:before="100" w:beforeAutospacing="1" w:after="100" w:afterAutospacing="1"/>
      <w:textAlignment w:val="center"/>
    </w:pPr>
    <w:rPr>
      <w:rFonts w:ascii="Arial Unicode MS" w:hAnsi="Arial Unicode MS" w:cs="Times New Roman"/>
      <w:sz w:val="18"/>
      <w:szCs w:val="18"/>
    </w:rPr>
  </w:style>
  <w:style w:type="paragraph" w:customStyle="1" w:styleId="393">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sz w:val="20"/>
      <w:szCs w:val="20"/>
    </w:rPr>
  </w:style>
  <w:style w:type="paragraph" w:customStyle="1" w:styleId="394">
    <w:name w:val="图1"/>
    <w:basedOn w:val="1"/>
    <w:next w:val="1"/>
    <w:qFormat/>
    <w:uiPriority w:val="0"/>
    <w:pPr>
      <w:tabs>
        <w:tab w:val="left" w:pos="425"/>
      </w:tabs>
      <w:spacing w:beforeLines="50" w:afterLines="100" w:line="360" w:lineRule="auto"/>
      <w:ind w:left="1105" w:hanging="748" w:firstLineChars="200"/>
      <w:jc w:val="center"/>
    </w:pPr>
    <w:rPr>
      <w:rFonts w:ascii="Times New Roman" w:hAnsi="Times New Roman" w:cs="Times New Roman"/>
      <w:sz w:val="21"/>
      <w:szCs w:val="21"/>
    </w:rPr>
  </w:style>
  <w:style w:type="paragraph" w:customStyle="1" w:styleId="395">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b/>
      <w:bCs/>
      <w:color w:val="FF0000"/>
      <w:sz w:val="20"/>
      <w:szCs w:val="20"/>
    </w:rPr>
  </w:style>
  <w:style w:type="paragraph" w:customStyle="1" w:styleId="396">
    <w:name w:val="tabletext"/>
    <w:basedOn w:val="1"/>
    <w:qFormat/>
    <w:uiPriority w:val="0"/>
    <w:pPr>
      <w:spacing w:before="100" w:beforeAutospacing="1" w:after="100" w:afterAutospacing="1"/>
    </w:pPr>
  </w:style>
  <w:style w:type="paragraph" w:customStyle="1" w:styleId="397">
    <w:name w:val="2-2ji"/>
    <w:basedOn w:val="6"/>
    <w:qFormat/>
    <w:uiPriority w:val="0"/>
    <w:pPr>
      <w:widowControl w:val="0"/>
      <w:tabs>
        <w:tab w:val="left" w:pos="432"/>
      </w:tabs>
      <w:adjustRightInd w:val="0"/>
      <w:snapToGrid w:val="0"/>
      <w:spacing w:before="0" w:after="0" w:line="360" w:lineRule="auto"/>
      <w:jc w:val="center"/>
    </w:pPr>
    <w:rPr>
      <w:rFonts w:ascii="Calibri" w:hAnsi="Calibri" w:eastAsia="宋体"/>
      <w:b w:val="0"/>
      <w:bCs w:val="0"/>
      <w:kern w:val="0"/>
      <w:sz w:val="36"/>
      <w:lang w:val="zh-CN"/>
    </w:rPr>
  </w:style>
  <w:style w:type="paragraph" w:customStyle="1" w:styleId="398">
    <w:name w:val="正文文字"/>
    <w:basedOn w:val="3"/>
    <w:qFormat/>
    <w:uiPriority w:val="0"/>
    <w:pPr>
      <w:widowControl w:val="0"/>
      <w:spacing w:after="120"/>
      <w:ind w:firstLine="480"/>
      <w:jc w:val="both"/>
    </w:pPr>
    <w:rPr>
      <w:rFonts w:ascii="Times New Roman" w:hAnsi="Times New Roman"/>
      <w:bCs w:val="0"/>
      <w:sz w:val="21"/>
    </w:rPr>
  </w:style>
  <w:style w:type="paragraph" w:customStyle="1" w:styleId="399">
    <w:name w:val="_Style 3"/>
    <w:qFormat/>
    <w:uiPriority w:val="34"/>
    <w:pPr>
      <w:widowControl w:val="0"/>
      <w:jc w:val="both"/>
    </w:pPr>
    <w:rPr>
      <w:rFonts w:ascii="Times New Roman" w:hAnsi="Times New Roman" w:eastAsia="宋体" w:cs="Times New Roman"/>
      <w:kern w:val="2"/>
      <w:sz w:val="21"/>
      <w:szCs w:val="24"/>
      <w:lang w:val="en-US" w:eastAsia="zh-CN" w:bidi="ar-SA"/>
    </w:rPr>
  </w:style>
  <w:style w:type="paragraph" w:customStyle="1" w:styleId="400">
    <w:name w:val="此正文"/>
    <w:basedOn w:val="1"/>
    <w:qFormat/>
    <w:uiPriority w:val="0"/>
    <w:pPr>
      <w:spacing w:line="360" w:lineRule="auto"/>
      <w:ind w:firstLine="200" w:firstLineChars="200"/>
    </w:pPr>
  </w:style>
  <w:style w:type="paragraph" w:customStyle="1" w:styleId="401">
    <w:name w:val="0正文"/>
    <w:basedOn w:val="1"/>
    <w:qFormat/>
    <w:uiPriority w:val="0"/>
    <w:pPr>
      <w:widowControl w:val="0"/>
      <w:adjustRightInd w:val="0"/>
      <w:spacing w:line="360" w:lineRule="auto"/>
      <w:ind w:left="50" w:leftChars="50" w:right="50" w:rightChars="50" w:firstLine="200" w:firstLineChars="200"/>
      <w:jc w:val="both"/>
      <w:textAlignment w:val="baseline"/>
    </w:pPr>
    <w:rPr>
      <w:rFonts w:ascii="Verdana" w:hAnsi="Verdana" w:cs="Verdana"/>
      <w:color w:val="000080"/>
      <w:kern w:val="2"/>
      <w:sz w:val="21"/>
      <w:szCs w:val="21"/>
    </w:rPr>
  </w:style>
  <w:style w:type="paragraph" w:customStyle="1" w:styleId="402">
    <w:name w:val="正文—缩进"/>
    <w:basedOn w:val="1"/>
    <w:qFormat/>
    <w:uiPriority w:val="0"/>
    <w:pPr>
      <w:widowControl w:val="0"/>
      <w:spacing w:line="360" w:lineRule="auto"/>
      <w:jc w:val="both"/>
    </w:pPr>
    <w:rPr>
      <w:rFonts w:ascii="等线" w:hAnsi="等线" w:cs="Times New Roman"/>
      <w:kern w:val="2"/>
      <w:szCs w:val="22"/>
    </w:rPr>
  </w:style>
  <w:style w:type="paragraph" w:customStyle="1" w:styleId="403">
    <w:name w:val="样式 小四 行距: 1.5 倍行距 首行缩进:  2 字符"/>
    <w:basedOn w:val="1"/>
    <w:qFormat/>
    <w:uiPriority w:val="0"/>
    <w:pPr>
      <w:widowControl w:val="0"/>
      <w:spacing w:line="360" w:lineRule="auto"/>
      <w:ind w:firstLine="480" w:firstLineChars="200"/>
      <w:jc w:val="both"/>
    </w:pPr>
    <w:rPr>
      <w:rFonts w:ascii="Times New Roman" w:hAnsi="Times New Roman" w:cs="Times New Roman"/>
      <w:kern w:val="2"/>
      <w:sz w:val="21"/>
      <w:szCs w:val="20"/>
    </w:rPr>
  </w:style>
  <w:style w:type="paragraph" w:customStyle="1" w:styleId="404">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rPr>
  </w:style>
  <w:style w:type="paragraph" w:customStyle="1" w:styleId="405">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b/>
      <w:bCs/>
    </w:rPr>
  </w:style>
  <w:style w:type="paragraph" w:customStyle="1" w:styleId="406">
    <w:name w:val="xl2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407">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Arial Unicode MS" w:cs="Times New Roman"/>
    </w:rPr>
  </w:style>
  <w:style w:type="paragraph" w:customStyle="1" w:styleId="408">
    <w:name w:val="三号 居中"/>
    <w:basedOn w:val="1"/>
    <w:qFormat/>
    <w:uiPriority w:val="0"/>
    <w:pPr>
      <w:widowControl w:val="0"/>
      <w:snapToGrid w:val="0"/>
      <w:spacing w:line="360" w:lineRule="auto"/>
      <w:jc w:val="center"/>
    </w:pPr>
    <w:rPr>
      <w:rFonts w:ascii="黑体" w:hAnsi="Calibri" w:eastAsia="黑体" w:cs="Times New Roman"/>
      <w:b/>
      <w:spacing w:val="1"/>
      <w:sz w:val="32"/>
      <w:szCs w:val="20"/>
    </w:rPr>
  </w:style>
  <w:style w:type="paragraph" w:customStyle="1" w:styleId="409">
    <w:name w:val="样式 目录 3 + 左侧:  2 字符1"/>
    <w:basedOn w:val="32"/>
    <w:qFormat/>
    <w:uiPriority w:val="0"/>
    <w:pPr>
      <w:widowControl w:val="0"/>
      <w:tabs>
        <w:tab w:val="left" w:pos="1560"/>
        <w:tab w:val="left" w:pos="1701"/>
        <w:tab w:val="right" w:leader="dot" w:pos="8296"/>
      </w:tabs>
      <w:snapToGrid w:val="0"/>
      <w:spacing w:line="360" w:lineRule="auto"/>
      <w:ind w:left="960" w:leftChars="0"/>
    </w:pPr>
    <w:rPr>
      <w:rFonts w:ascii="Calibri" w:hAnsi="Calibri" w:cs="Calibri"/>
      <w:b/>
      <w:i/>
      <w:iCs/>
      <w:kern w:val="2"/>
      <w:sz w:val="20"/>
    </w:rPr>
  </w:style>
  <w:style w:type="paragraph" w:customStyle="1" w:styleId="410">
    <w:name w:val="xl55"/>
    <w:basedOn w:val="1"/>
    <w:qFormat/>
    <w:uiPriority w:val="0"/>
    <w:pPr>
      <w:spacing w:before="100" w:beforeAutospacing="1" w:after="100" w:afterAutospacing="1"/>
      <w:jc w:val="center"/>
      <w:textAlignment w:val="center"/>
    </w:pPr>
    <w:rPr>
      <w:rFonts w:ascii="Arial Unicode MS" w:hAnsi="Arial Unicode MS"/>
    </w:rPr>
  </w:style>
  <w:style w:type="paragraph" w:customStyle="1" w:styleId="411">
    <w:name w:val="Char Char8 Char Char Char Char"/>
    <w:basedOn w:val="1"/>
    <w:qFormat/>
    <w:uiPriority w:val="0"/>
    <w:pPr>
      <w:widowControl w:val="0"/>
      <w:jc w:val="both"/>
    </w:pPr>
    <w:rPr>
      <w:rFonts w:ascii="Times New Roman" w:hAnsi="Times New Roman" w:cs="Times New Roman"/>
      <w:b/>
      <w:bCs/>
      <w:color w:val="000000"/>
      <w:sz w:val="21"/>
      <w:szCs w:val="21"/>
    </w:rPr>
  </w:style>
  <w:style w:type="paragraph" w:customStyle="1" w:styleId="412">
    <w:name w:val="缺省文本"/>
    <w:basedOn w:val="1"/>
    <w:qFormat/>
    <w:uiPriority w:val="0"/>
    <w:pPr>
      <w:widowControl w:val="0"/>
      <w:autoSpaceDE w:val="0"/>
      <w:autoSpaceDN w:val="0"/>
      <w:adjustRightInd w:val="0"/>
    </w:pPr>
    <w:rPr>
      <w:rFonts w:ascii="Times New Roman" w:hAnsi="Times New Roman" w:cs="Times New Roman"/>
      <w:szCs w:val="20"/>
    </w:rPr>
  </w:style>
  <w:style w:type="paragraph" w:customStyle="1" w:styleId="413">
    <w:name w:val="タイトル-L4-目"/>
    <w:basedOn w:val="1"/>
    <w:qFormat/>
    <w:uiPriority w:val="0"/>
    <w:pPr>
      <w:keepNext/>
      <w:keepLines/>
      <w:spacing w:before="480" w:after="10"/>
      <w:ind w:left="720" w:right="1276" w:hanging="663"/>
      <w:outlineLvl w:val="3"/>
    </w:pPr>
    <w:rPr>
      <w:rFonts w:ascii="Arial" w:hAnsi="Arial" w:eastAsia="MS Gothic" w:cs="Times New Roman"/>
      <w:bCs/>
      <w:kern w:val="2"/>
    </w:rPr>
  </w:style>
  <w:style w:type="paragraph" w:customStyle="1" w:styleId="414">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rPr>
  </w:style>
  <w:style w:type="paragraph" w:customStyle="1" w:styleId="415">
    <w:name w:val="2ji"/>
    <w:basedOn w:val="6"/>
    <w:qFormat/>
    <w:uiPriority w:val="0"/>
    <w:pPr>
      <w:widowControl w:val="0"/>
      <w:tabs>
        <w:tab w:val="left" w:pos="432"/>
      </w:tabs>
      <w:adjustRightInd w:val="0"/>
      <w:snapToGrid w:val="0"/>
      <w:spacing w:before="0" w:after="0" w:line="360" w:lineRule="auto"/>
      <w:jc w:val="both"/>
    </w:pPr>
    <w:rPr>
      <w:rFonts w:ascii="Calibri" w:hAnsi="Calibri" w:eastAsia="宋体"/>
      <w:b w:val="0"/>
      <w:kern w:val="0"/>
      <w:sz w:val="21"/>
      <w:szCs w:val="21"/>
      <w:lang w:val="zh-CN"/>
    </w:rPr>
  </w:style>
  <w:style w:type="paragraph" w:customStyle="1" w:styleId="416">
    <w:name w:val="样式 加粗 居中2"/>
    <w:basedOn w:val="1"/>
    <w:next w:val="417"/>
    <w:qFormat/>
    <w:uiPriority w:val="0"/>
    <w:pPr>
      <w:widowControl w:val="0"/>
      <w:snapToGrid w:val="0"/>
      <w:spacing w:line="360" w:lineRule="auto"/>
      <w:jc w:val="center"/>
    </w:pPr>
    <w:rPr>
      <w:rFonts w:ascii="Calibri" w:hAnsi="Calibri" w:cs="Times New Roman"/>
      <w:b/>
      <w:bCs/>
      <w:spacing w:val="1"/>
      <w:sz w:val="32"/>
      <w:szCs w:val="20"/>
    </w:rPr>
  </w:style>
  <w:style w:type="paragraph" w:customStyle="1" w:styleId="417">
    <w:name w:val="样式 加粗 居中"/>
    <w:basedOn w:val="1"/>
    <w:qFormat/>
    <w:uiPriority w:val="0"/>
    <w:pPr>
      <w:widowControl w:val="0"/>
      <w:snapToGrid w:val="0"/>
      <w:spacing w:line="360" w:lineRule="auto"/>
      <w:jc w:val="center"/>
    </w:pPr>
    <w:rPr>
      <w:rFonts w:ascii="Calibri" w:hAnsi="Calibri" w:cs="Times New Roman"/>
      <w:b/>
      <w:bCs/>
      <w:spacing w:val="1"/>
      <w:sz w:val="32"/>
      <w:szCs w:val="20"/>
    </w:rPr>
  </w:style>
  <w:style w:type="paragraph" w:customStyle="1" w:styleId="418">
    <w:name w:val="xl31"/>
    <w:basedOn w:val="1"/>
    <w:qFormat/>
    <w:uiPriority w:val="0"/>
    <w:pPr>
      <w:spacing w:before="100" w:beforeAutospacing="1" w:after="100" w:afterAutospacing="1"/>
      <w:textAlignment w:val="center"/>
    </w:pPr>
    <w:rPr>
      <w:rFonts w:ascii="Arial Unicode MS" w:hAnsi="Arial Unicode MS" w:cs="Times New Roman"/>
    </w:rPr>
  </w:style>
  <w:style w:type="paragraph" w:customStyle="1" w:styleId="419">
    <w:name w:val="样式 正文缩进特点表正文正文非缩进正文（首行缩进两字） + Tahoma 两端对齐"/>
    <w:basedOn w:val="11"/>
    <w:qFormat/>
    <w:uiPriority w:val="0"/>
    <w:pPr>
      <w:widowControl w:val="0"/>
      <w:spacing w:line="360" w:lineRule="auto"/>
      <w:ind w:firstLine="510" w:firstLineChars="0"/>
      <w:jc w:val="both"/>
    </w:pPr>
    <w:rPr>
      <w:rFonts w:ascii="Tahoma" w:hAnsi="Tahoma"/>
      <w:b/>
      <w:bCs/>
      <w:sz w:val="24"/>
    </w:rPr>
  </w:style>
  <w:style w:type="paragraph" w:customStyle="1" w:styleId="420">
    <w:name w:val="xl1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hAnsi="Times New Roman" w:cs="Times New Roman"/>
      <w:b/>
      <w:bCs/>
    </w:rPr>
  </w:style>
  <w:style w:type="paragraph" w:customStyle="1" w:styleId="421">
    <w:name w:val="引文目录1"/>
    <w:basedOn w:val="1"/>
    <w:next w:val="1"/>
    <w:qFormat/>
    <w:uiPriority w:val="0"/>
    <w:pPr>
      <w:widowControl w:val="0"/>
      <w:snapToGrid w:val="0"/>
      <w:spacing w:line="360" w:lineRule="auto"/>
      <w:ind w:left="420" w:leftChars="200"/>
      <w:jc w:val="center"/>
    </w:pPr>
    <w:rPr>
      <w:rFonts w:ascii="Calibri" w:hAnsi="Calibri" w:cs="Times New Roman"/>
      <w:b/>
      <w:kern w:val="2"/>
      <w:sz w:val="32"/>
      <w:szCs w:val="32"/>
    </w:rPr>
  </w:style>
  <w:style w:type="paragraph" w:customStyle="1" w:styleId="422">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eastAsia="Arial Unicode MS" w:cs="Times New Roman"/>
    </w:rPr>
  </w:style>
  <w:style w:type="paragraph" w:customStyle="1" w:styleId="423">
    <w:name w:val="正文缩进2"/>
    <w:basedOn w:val="1"/>
    <w:qFormat/>
    <w:uiPriority w:val="0"/>
    <w:pPr>
      <w:widowControl w:val="0"/>
      <w:spacing w:before="60"/>
      <w:ind w:firstLine="476"/>
      <w:jc w:val="both"/>
    </w:pPr>
    <w:rPr>
      <w:rFonts w:ascii="Times New Roman" w:hAnsi="Times New Roman" w:cs="Times New Roman"/>
      <w:kern w:val="2"/>
      <w:szCs w:val="20"/>
    </w:rPr>
  </w:style>
  <w:style w:type="paragraph" w:customStyle="1" w:styleId="424">
    <w:name w:val="正文符号1"/>
    <w:basedOn w:val="1"/>
    <w:qFormat/>
    <w:uiPriority w:val="0"/>
    <w:pPr>
      <w:widowControl w:val="0"/>
      <w:tabs>
        <w:tab w:val="left" w:pos="987"/>
      </w:tabs>
      <w:ind w:left="987" w:hanging="420"/>
      <w:jc w:val="both"/>
    </w:pPr>
    <w:rPr>
      <w:rFonts w:ascii="Times New Roman" w:hAnsi="Times New Roman" w:eastAsia="楷体_GB2312" w:cs="Times New Roman"/>
      <w:sz w:val="28"/>
      <w:szCs w:val="21"/>
    </w:rPr>
  </w:style>
  <w:style w:type="paragraph" w:customStyle="1" w:styleId="425">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color w:val="FF0000"/>
      <w:sz w:val="20"/>
      <w:szCs w:val="20"/>
    </w:rPr>
  </w:style>
  <w:style w:type="paragraph" w:customStyle="1" w:styleId="426">
    <w:name w:val="四级条标题"/>
    <w:basedOn w:val="427"/>
    <w:next w:val="195"/>
    <w:qFormat/>
    <w:uiPriority w:val="0"/>
    <w:pPr>
      <w:tabs>
        <w:tab w:val="left" w:pos="360"/>
      </w:tabs>
      <w:ind w:left="0"/>
      <w:outlineLvl w:val="5"/>
    </w:pPr>
  </w:style>
  <w:style w:type="paragraph" w:customStyle="1" w:styleId="427">
    <w:name w:val="三级条标题"/>
    <w:basedOn w:val="428"/>
    <w:next w:val="195"/>
    <w:uiPriority w:val="0"/>
    <w:pPr>
      <w:ind w:left="720"/>
      <w:outlineLvl w:val="4"/>
    </w:pPr>
  </w:style>
  <w:style w:type="paragraph" w:customStyle="1" w:styleId="428">
    <w:name w:val="二级条标题"/>
    <w:basedOn w:val="429"/>
    <w:next w:val="195"/>
    <w:qFormat/>
    <w:uiPriority w:val="0"/>
    <w:pPr>
      <w:ind w:left="540"/>
      <w:outlineLvl w:val="3"/>
    </w:pPr>
  </w:style>
  <w:style w:type="paragraph" w:customStyle="1" w:styleId="429">
    <w:name w:val="一级条标题"/>
    <w:basedOn w:val="5"/>
    <w:next w:val="195"/>
    <w:qFormat/>
    <w:uiPriority w:val="0"/>
    <w:pPr>
      <w:keepNext w:val="0"/>
      <w:jc w:val="both"/>
      <w:outlineLvl w:val="2"/>
    </w:pPr>
    <w:rPr>
      <w:rFonts w:ascii="黑体" w:eastAsia="黑体"/>
      <w:kern w:val="0"/>
      <w:sz w:val="21"/>
      <w:szCs w:val="20"/>
    </w:rPr>
  </w:style>
  <w:style w:type="paragraph" w:customStyle="1" w:styleId="430">
    <w:name w:val="Item List in Table"/>
    <w:basedOn w:val="1"/>
    <w:qFormat/>
    <w:uiPriority w:val="0"/>
    <w:pPr>
      <w:topLinePunct/>
      <w:adjustRightInd w:val="0"/>
      <w:snapToGrid w:val="0"/>
      <w:spacing w:before="80" w:after="80" w:line="240" w:lineRule="atLeast"/>
      <w:ind w:left="284" w:hanging="284"/>
    </w:pPr>
    <w:rPr>
      <w:rFonts w:ascii="Times New Roman" w:hAnsi="Times New Roman" w:cs="Arial"/>
      <w:sz w:val="21"/>
      <w:szCs w:val="21"/>
    </w:rPr>
  </w:style>
  <w:style w:type="paragraph" w:customStyle="1" w:styleId="431">
    <w:name w:val="Char Char1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2">
    <w:name w:val="列表编号 31"/>
    <w:basedOn w:val="1"/>
    <w:qFormat/>
    <w:uiPriority w:val="0"/>
    <w:pPr>
      <w:widowControl w:val="0"/>
      <w:tabs>
        <w:tab w:val="left" w:pos="1200"/>
      </w:tabs>
      <w:snapToGrid w:val="0"/>
      <w:spacing w:line="360" w:lineRule="auto"/>
      <w:ind w:left="1200" w:leftChars="400" w:hanging="360" w:hangingChars="200"/>
    </w:pPr>
    <w:rPr>
      <w:rFonts w:ascii="Calibri" w:hAnsi="Calibri" w:cs="Times New Roman"/>
      <w:b/>
      <w:kern w:val="2"/>
      <w:sz w:val="32"/>
      <w:szCs w:val="20"/>
    </w:rPr>
  </w:style>
  <w:style w:type="paragraph" w:customStyle="1" w:styleId="433">
    <w:name w:val="xl2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color w:val="000000"/>
      <w:sz w:val="20"/>
      <w:szCs w:val="20"/>
    </w:rPr>
  </w:style>
  <w:style w:type="paragraph" w:customStyle="1" w:styleId="434">
    <w:name w:val="正常"/>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5">
    <w:name w:val="xl2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436">
    <w:name w:val="Cnv-2:cell"/>
    <w:qFormat/>
    <w:uiPriority w:val="0"/>
    <w:pPr>
      <w:tabs>
        <w:tab w:val="left" w:pos="0"/>
        <w:tab w:val="left" w:pos="720"/>
        <w:tab w:val="left" w:pos="1440"/>
        <w:tab w:val="left" w:pos="2160"/>
      </w:tabs>
      <w:autoSpaceDE w:val="0"/>
      <w:autoSpaceDN w:val="0"/>
      <w:adjustRightInd w:val="0"/>
      <w:spacing w:line="222" w:lineRule="atLeast"/>
      <w:jc w:val="both"/>
    </w:pPr>
    <w:rPr>
      <w:rFonts w:ascii="Times" w:hAnsi="Times" w:eastAsia="宋体" w:cs="Times New Roman"/>
      <w:lang w:val="en-US" w:eastAsia="en-US" w:bidi="ar-SA"/>
    </w:rPr>
  </w:style>
  <w:style w:type="paragraph" w:customStyle="1" w:styleId="43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38">
    <w:name w:val=" Char Char1 Char Char Char Char1 Char Char Char"/>
    <w:basedOn w:val="1"/>
    <w:qFormat/>
    <w:uiPriority w:val="0"/>
    <w:pPr>
      <w:adjustRightInd w:val="0"/>
      <w:spacing w:line="360" w:lineRule="atLeast"/>
      <w:textAlignment w:val="baseline"/>
    </w:pPr>
    <w:rPr>
      <w:rFonts w:ascii="Tahoma" w:hAnsi="Tahoma"/>
      <w:szCs w:val="20"/>
    </w:rPr>
  </w:style>
  <w:style w:type="paragraph" w:customStyle="1" w:styleId="439">
    <w:name w:val="msonormal"/>
    <w:basedOn w:val="1"/>
    <w:qFormat/>
    <w:uiPriority w:val="0"/>
    <w:pPr>
      <w:spacing w:before="100" w:beforeAutospacing="1" w:after="100" w:afterAutospacing="1"/>
    </w:pPr>
    <w:rPr>
      <w:rFonts w:hAnsi="Times New Roman" w:cs="Times New Roman"/>
    </w:rPr>
  </w:style>
  <w:style w:type="paragraph" w:customStyle="1" w:styleId="440">
    <w:name w:val="2"/>
    <w:basedOn w:val="1"/>
    <w:qFormat/>
    <w:uiPriority w:val="0"/>
    <w:pPr>
      <w:spacing w:before="100" w:beforeAutospacing="1" w:after="100" w:afterAutospacing="1"/>
    </w:pPr>
  </w:style>
  <w:style w:type="paragraph" w:customStyle="1" w:styleId="441">
    <w:name w:val="p21"/>
    <w:basedOn w:val="1"/>
    <w:qFormat/>
    <w:uiPriority w:val="3"/>
    <w:pPr>
      <w:spacing w:line="600" w:lineRule="atLeast"/>
      <w:ind w:firstLine="420"/>
    </w:pPr>
    <w:rPr>
      <w:rFonts w:hint="eastAsia" w:ascii="仿宋" w:hAnsi="仿宋" w:eastAsia="仿宋" w:cs="Arial Unicode MS"/>
      <w:sz w:val="28"/>
      <w:szCs w:val="28"/>
    </w:rPr>
  </w:style>
  <w:style w:type="paragraph" w:customStyle="1" w:styleId="442">
    <w:name w:val="!我的正文 Ctr+Q"/>
    <w:basedOn w:val="1"/>
    <w:qFormat/>
    <w:uiPriority w:val="0"/>
    <w:pPr>
      <w:widowControl w:val="0"/>
      <w:adjustRightInd w:val="0"/>
      <w:snapToGrid w:val="0"/>
      <w:spacing w:beforeLines="50" w:afterLines="50" w:line="360" w:lineRule="auto"/>
      <w:ind w:firstLine="200" w:firstLineChars="200"/>
    </w:pPr>
    <w:rPr>
      <w:rFonts w:hAnsi="Times New Roman" w:cs="Times New Roman"/>
      <w:kern w:val="2"/>
      <w:szCs w:val="21"/>
    </w:rPr>
  </w:style>
  <w:style w:type="paragraph" w:customStyle="1" w:styleId="443">
    <w:name w:val="Body Text(ch)"/>
    <w:basedOn w:val="1"/>
    <w:next w:val="3"/>
    <w:qFormat/>
    <w:uiPriority w:val="0"/>
    <w:pPr>
      <w:spacing w:line="500" w:lineRule="exact"/>
      <w:jc w:val="center"/>
    </w:pPr>
  </w:style>
  <w:style w:type="paragraph" w:customStyle="1" w:styleId="444">
    <w:name w:val="xl1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b/>
      <w:bCs/>
    </w:rPr>
  </w:style>
  <w:style w:type="paragraph" w:customStyle="1" w:styleId="445">
    <w:name w:val="1级列表"/>
    <w:basedOn w:val="1"/>
    <w:qFormat/>
    <w:uiPriority w:val="0"/>
    <w:pPr>
      <w:widowControl w:val="0"/>
      <w:adjustRightInd w:val="0"/>
      <w:snapToGrid w:val="0"/>
      <w:spacing w:line="360" w:lineRule="auto"/>
      <w:jc w:val="both"/>
    </w:pPr>
    <w:rPr>
      <w:rFonts w:ascii="Calibri" w:hAnsi="Calibri" w:cs="Times New Roman"/>
      <w:kern w:val="2"/>
      <w:szCs w:val="21"/>
    </w:rPr>
  </w:style>
  <w:style w:type="paragraph" w:customStyle="1" w:styleId="446">
    <w:name w:val="页脚右端（绿盟科技）"/>
    <w:basedOn w:val="40"/>
    <w:qFormat/>
    <w:uiPriority w:val="0"/>
    <w:pPr>
      <w:widowControl w:val="0"/>
      <w:pBdr>
        <w:top w:val="single" w:color="auto" w:sz="4" w:space="4"/>
      </w:pBdr>
      <w:autoSpaceDE w:val="0"/>
      <w:autoSpaceDN w:val="0"/>
      <w:adjustRightInd w:val="0"/>
      <w:spacing w:before="100" w:beforeAutospacing="1"/>
    </w:pPr>
    <w:rPr>
      <w:rFonts w:cs="宋体"/>
      <w:b/>
      <w:bCs/>
      <w:color w:val="000000"/>
      <w:szCs w:val="20"/>
    </w:rPr>
  </w:style>
  <w:style w:type="paragraph" w:customStyle="1" w:styleId="447">
    <w:name w:val="Char3"/>
    <w:basedOn w:val="1"/>
    <w:qFormat/>
    <w:uiPriority w:val="0"/>
    <w:pPr>
      <w:widowControl w:val="0"/>
      <w:jc w:val="both"/>
    </w:pPr>
    <w:rPr>
      <w:rFonts w:ascii="Times New Roman" w:hAnsi="Times New Roman" w:cs="Times New Roman"/>
      <w:kern w:val="2"/>
      <w:sz w:val="21"/>
    </w:rPr>
  </w:style>
  <w:style w:type="paragraph" w:customStyle="1" w:styleId="448">
    <w:name w:val="附录项目"/>
    <w:basedOn w:val="9"/>
    <w:uiPriority w:val="0"/>
    <w:pPr>
      <w:keepNext w:val="0"/>
      <w:keepLines w:val="0"/>
      <w:snapToGrid w:val="0"/>
      <w:spacing w:before="0" w:after="0" w:line="240" w:lineRule="auto"/>
      <w:outlineLvl w:val="9"/>
    </w:pPr>
    <w:rPr>
      <w:b w:val="0"/>
      <w:bCs w:val="0"/>
      <w:snapToGrid w:val="0"/>
      <w:sz w:val="21"/>
      <w:szCs w:val="20"/>
    </w:rPr>
  </w:style>
  <w:style w:type="paragraph" w:customStyle="1" w:styleId="449">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b/>
      <w:bCs/>
      <w:color w:val="000000"/>
    </w:rPr>
  </w:style>
  <w:style w:type="paragraph" w:customStyle="1" w:styleId="450">
    <w:name w:val="小点说明"/>
    <w:basedOn w:val="1"/>
    <w:qFormat/>
    <w:uiPriority w:val="0"/>
    <w:pPr>
      <w:adjustRightInd w:val="0"/>
      <w:snapToGrid w:val="0"/>
    </w:pPr>
    <w:rPr>
      <w:rFonts w:ascii="仿宋_GB2312" w:eastAsia="仿宋_GB2312"/>
      <w:color w:val="000000"/>
      <w:szCs w:val="18"/>
    </w:rPr>
  </w:style>
  <w:style w:type="paragraph" w:customStyle="1" w:styleId="451">
    <w:name w:val="表格标题"/>
    <w:basedOn w:val="1"/>
    <w:next w:val="1"/>
    <w:uiPriority w:val="0"/>
    <w:pPr>
      <w:jc w:val="center"/>
    </w:pPr>
    <w:rPr>
      <w:b/>
      <w:bCs/>
      <w:szCs w:val="20"/>
    </w:rPr>
  </w:style>
  <w:style w:type="paragraph" w:customStyle="1" w:styleId="452">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Ansi="Times New Roman" w:cs="Times New Roman"/>
      <w:b/>
      <w:bCs/>
    </w:rPr>
  </w:style>
  <w:style w:type="paragraph" w:customStyle="1" w:styleId="453">
    <w:name w:val="索引 81"/>
    <w:basedOn w:val="1"/>
    <w:next w:val="1"/>
    <w:qFormat/>
    <w:uiPriority w:val="0"/>
    <w:pPr>
      <w:widowControl w:val="0"/>
      <w:snapToGrid w:val="0"/>
      <w:spacing w:line="360" w:lineRule="auto"/>
      <w:ind w:left="1400" w:leftChars="1400"/>
      <w:jc w:val="center"/>
    </w:pPr>
    <w:rPr>
      <w:rFonts w:ascii="Calibri" w:hAnsi="Calibri" w:cs="Times New Roman"/>
      <w:b/>
      <w:kern w:val="2"/>
      <w:sz w:val="32"/>
      <w:szCs w:val="32"/>
    </w:rPr>
  </w:style>
  <w:style w:type="paragraph" w:customStyle="1" w:styleId="454">
    <w:name w:val="Char Char Char Char1"/>
    <w:basedOn w:val="1"/>
    <w:qFormat/>
    <w:uiPriority w:val="0"/>
    <w:pPr>
      <w:widowControl w:val="0"/>
      <w:jc w:val="both"/>
    </w:pPr>
    <w:rPr>
      <w:rFonts w:ascii="Tahoma" w:hAnsi="Tahoma" w:cs="Times New Roman"/>
      <w:kern w:val="2"/>
      <w:szCs w:val="20"/>
    </w:rPr>
  </w:style>
  <w:style w:type="paragraph" w:customStyle="1" w:styleId="455">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sz w:val="20"/>
      <w:szCs w:val="20"/>
    </w:rPr>
  </w:style>
  <w:style w:type="paragraph" w:customStyle="1" w:styleId="456">
    <w:name w:val="正文－恩普"/>
    <w:basedOn w:val="11"/>
    <w:qFormat/>
    <w:uiPriority w:val="0"/>
    <w:pPr>
      <w:framePr w:wrap="around" w:vAnchor="text" w:hAnchor="text" w:y="1"/>
      <w:spacing w:line="360" w:lineRule="auto"/>
      <w:ind w:firstLine="200"/>
    </w:pPr>
    <w:rPr>
      <w:sz w:val="24"/>
    </w:rPr>
  </w:style>
  <w:style w:type="paragraph" w:customStyle="1" w:styleId="457">
    <w:name w:val="小节标题"/>
    <w:basedOn w:val="1"/>
    <w:next w:val="1"/>
    <w:qFormat/>
    <w:uiPriority w:val="0"/>
    <w:pPr>
      <w:spacing w:before="175" w:after="102" w:line="351" w:lineRule="atLeast"/>
      <w:jc w:val="both"/>
    </w:pPr>
    <w:rPr>
      <w:rFonts w:ascii="Times New Roman" w:hAnsi="Times New Roman" w:eastAsia="黑体" w:cs="Times New Roman"/>
      <w:color w:val="000000"/>
      <w:sz w:val="21"/>
      <w:szCs w:val="20"/>
      <w:u w:color="000000"/>
    </w:rPr>
  </w:style>
  <w:style w:type="paragraph" w:customStyle="1" w:styleId="45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rPr>
  </w:style>
  <w:style w:type="paragraph" w:customStyle="1" w:styleId="459">
    <w:name w:val="WW-正文文字缩进 2"/>
    <w:basedOn w:val="1"/>
    <w:qFormat/>
    <w:uiPriority w:val="0"/>
    <w:pPr>
      <w:widowControl w:val="0"/>
      <w:suppressAutoHyphens/>
      <w:ind w:firstLine="420"/>
      <w:jc w:val="both"/>
    </w:pPr>
    <w:rPr>
      <w:rFonts w:ascii="Times New Roman" w:hAnsi="Times New Roman" w:cs="Times New Roman"/>
      <w:kern w:val="1"/>
      <w:sz w:val="21"/>
      <w:szCs w:val="20"/>
    </w:rPr>
  </w:style>
  <w:style w:type="paragraph" w:customStyle="1" w:styleId="460">
    <w:name w:val="_Style 561"/>
    <w:basedOn w:val="21"/>
    <w:qFormat/>
    <w:uiPriority w:val="0"/>
    <w:pPr>
      <w:widowControl w:val="0"/>
      <w:shd w:val="clear" w:color="auto" w:fill="000080"/>
      <w:jc w:val="both"/>
    </w:pPr>
    <w:rPr>
      <w:rFonts w:ascii="Times New Roman" w:hAnsi="Times New Roman"/>
      <w:sz w:val="21"/>
      <w:szCs w:val="24"/>
    </w:rPr>
  </w:style>
  <w:style w:type="paragraph" w:customStyle="1" w:styleId="461">
    <w:name w:val="标题3def"/>
    <w:basedOn w:val="7"/>
    <w:next w:val="1"/>
    <w:qFormat/>
    <w:uiPriority w:val="0"/>
    <w:pPr>
      <w:widowControl w:val="0"/>
      <w:tabs>
        <w:tab w:val="left" w:pos="432"/>
        <w:tab w:val="left" w:pos="1200"/>
      </w:tabs>
      <w:adjustRightInd w:val="0"/>
      <w:snapToGrid w:val="0"/>
      <w:spacing w:before="80" w:after="160" w:line="400" w:lineRule="exact"/>
      <w:jc w:val="both"/>
    </w:pPr>
    <w:rPr>
      <w:rFonts w:ascii="仿宋_GB2312" w:hAnsi="宋体" w:eastAsia="仿宋_GB2312"/>
      <w:bCs w:val="0"/>
      <w:sz w:val="24"/>
      <w:szCs w:val="20"/>
    </w:rPr>
  </w:style>
  <w:style w:type="paragraph" w:customStyle="1" w:styleId="462">
    <w:name w:val="タイトル-L2-節"/>
    <w:basedOn w:val="1"/>
    <w:next w:val="3"/>
    <w:qFormat/>
    <w:uiPriority w:val="0"/>
    <w:pPr>
      <w:keepNext/>
      <w:keepLines/>
      <w:tabs>
        <w:tab w:val="left" w:pos="720"/>
      </w:tabs>
      <w:spacing w:before="480" w:after="10" w:line="360" w:lineRule="atLeast"/>
      <w:ind w:right="1276"/>
      <w:outlineLvl w:val="1"/>
    </w:pPr>
    <w:rPr>
      <w:rFonts w:ascii="Arial" w:hAnsi="Arial" w:eastAsia="MS Gothic" w:cs="Times New Roman"/>
      <w:color w:val="000000"/>
      <w:kern w:val="2"/>
      <w:sz w:val="32"/>
    </w:rPr>
  </w:style>
  <w:style w:type="paragraph" w:customStyle="1" w:styleId="463">
    <w:name w:val="Char Char Char Char Char Char1 Char Char Char1 Char Char Char Char Char Char Char Char Char Char Char Char Char Char Char Char"/>
    <w:basedOn w:val="1"/>
    <w:qFormat/>
    <w:uiPriority w:val="0"/>
    <w:pPr>
      <w:widowControl w:val="0"/>
      <w:jc w:val="both"/>
    </w:pPr>
    <w:rPr>
      <w:rFonts w:ascii="Tahoma" w:hAnsi="Tahoma" w:cs="Times New Roman"/>
      <w:kern w:val="2"/>
      <w:sz w:val="21"/>
      <w:szCs w:val="20"/>
    </w:rPr>
  </w:style>
  <w:style w:type="paragraph" w:customStyle="1" w:styleId="464">
    <w:name w:val="xl2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color w:val="000000"/>
      <w:sz w:val="20"/>
      <w:szCs w:val="20"/>
    </w:rPr>
  </w:style>
  <w:style w:type="paragraph" w:customStyle="1" w:styleId="465">
    <w:name w:val="xl2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szCs w:val="20"/>
    </w:rPr>
  </w:style>
  <w:style w:type="paragraph" w:customStyle="1" w:styleId="466">
    <w:name w:val="xl44"/>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hAnsi="Times New Roman" w:eastAsia="Arial Unicode MS" w:cs="Times New Roman"/>
    </w:rPr>
  </w:style>
  <w:style w:type="paragraph" w:customStyle="1" w:styleId="467">
    <w:name w:val="Char1 Char Char Char Char Char Char"/>
    <w:basedOn w:val="1"/>
    <w:qFormat/>
    <w:uiPriority w:val="0"/>
    <w:pPr>
      <w:widowControl w:val="0"/>
      <w:jc w:val="both"/>
    </w:pPr>
    <w:rPr>
      <w:rFonts w:ascii="Tahoma" w:hAnsi="Tahoma" w:cs="Times New Roman"/>
      <w:kern w:val="2"/>
      <w:szCs w:val="20"/>
    </w:rPr>
  </w:style>
  <w:style w:type="paragraph" w:customStyle="1" w:styleId="468">
    <w:name w:val="Char Char Char Char Char Char1"/>
    <w:basedOn w:val="1"/>
    <w:qFormat/>
    <w:uiPriority w:val="0"/>
    <w:pPr>
      <w:widowControl w:val="0"/>
      <w:jc w:val="both"/>
    </w:pPr>
    <w:rPr>
      <w:rFonts w:ascii="Tahoma" w:hAnsi="Tahoma" w:cs="Times New Roman"/>
      <w:kern w:val="2"/>
      <w:sz w:val="21"/>
      <w:szCs w:val="20"/>
    </w:rPr>
  </w:style>
  <w:style w:type="paragraph" w:customStyle="1" w:styleId="469">
    <w:name w:val="目录1"/>
    <w:basedOn w:val="1"/>
    <w:next w:val="1"/>
    <w:qFormat/>
    <w:uiPriority w:val="0"/>
    <w:pPr>
      <w:tabs>
        <w:tab w:val="left" w:leader="dot" w:pos="8503"/>
      </w:tabs>
      <w:spacing w:after="136" w:line="289" w:lineRule="atLeast"/>
    </w:pPr>
    <w:rPr>
      <w:rFonts w:ascii="Arial" w:hAnsi="Times New Roman" w:eastAsia="黑体" w:cs="Times New Roman"/>
      <w:color w:val="000000"/>
      <w:sz w:val="28"/>
      <w:szCs w:val="20"/>
      <w:u w:color="000000"/>
    </w:rPr>
  </w:style>
  <w:style w:type="paragraph" w:customStyle="1" w:styleId="470">
    <w:name w:val="5"/>
    <w:basedOn w:val="1"/>
    <w:next w:val="33"/>
    <w:qFormat/>
    <w:uiPriority w:val="0"/>
    <w:pPr>
      <w:widowControl w:val="0"/>
      <w:snapToGrid w:val="0"/>
      <w:jc w:val="both"/>
    </w:pPr>
    <w:rPr>
      <w:rFonts w:hAnsi="Courier New" w:cs="Times New Roman"/>
      <w:kern w:val="2"/>
      <w:sz w:val="21"/>
      <w:szCs w:val="20"/>
    </w:rPr>
  </w:style>
  <w:style w:type="paragraph" w:customStyle="1" w:styleId="471">
    <w:name w:val="页脚 Char Char"/>
    <w:basedOn w:val="1"/>
    <w:qFormat/>
    <w:uiPriority w:val="0"/>
    <w:pPr>
      <w:widowControl w:val="0"/>
      <w:suppressLineNumbers/>
      <w:tabs>
        <w:tab w:val="center" w:pos="4153"/>
        <w:tab w:val="right" w:pos="8306"/>
      </w:tabs>
      <w:suppressAutoHyphens/>
      <w:overflowPunct w:val="0"/>
    </w:pPr>
    <w:rPr>
      <w:rFonts w:ascii="Times New Roman" w:hAnsi="Times New Roman" w:cs="Times New Roman"/>
      <w:color w:val="00000A"/>
      <w:sz w:val="18"/>
      <w:szCs w:val="21"/>
    </w:rPr>
  </w:style>
  <w:style w:type="paragraph" w:customStyle="1" w:styleId="472">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both"/>
    </w:pPr>
    <w:rPr>
      <w:rFonts w:ascii="Calibri" w:hAnsi="Calibri" w:cs="Times New Roman"/>
      <w:color w:val="000000"/>
      <w:sz w:val="18"/>
      <w:szCs w:val="18"/>
    </w:rPr>
  </w:style>
  <w:style w:type="paragraph" w:customStyle="1" w:styleId="473">
    <w:name w:val="样式 正文首行缩进 + 首行缩进:  2 字符5"/>
    <w:basedOn w:val="2"/>
    <w:qFormat/>
    <w:uiPriority w:val="0"/>
    <w:pPr>
      <w:widowControl w:val="0"/>
      <w:spacing w:after="0" w:line="300" w:lineRule="auto"/>
      <w:ind w:firstLine="200" w:firstLineChars="200"/>
      <w:jc w:val="both"/>
    </w:pPr>
    <w:rPr>
      <w:rFonts w:ascii="Times New Roman" w:hAnsi="Times New Roman" w:cs="宋体"/>
      <w:bCs w:val="0"/>
      <w:sz w:val="24"/>
      <w:szCs w:val="20"/>
    </w:rPr>
  </w:style>
  <w:style w:type="paragraph" w:customStyle="1" w:styleId="474">
    <w:name w:val="xl22"/>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Times New Roman" w:hAnsi="Times New Roman" w:cs="Times New Roman"/>
      <w:color w:val="000000"/>
      <w:sz w:val="18"/>
      <w:szCs w:val="18"/>
    </w:rPr>
  </w:style>
  <w:style w:type="paragraph" w:customStyle="1" w:styleId="475">
    <w:name w:val="Char Char9 Char Char"/>
    <w:basedOn w:val="11"/>
    <w:qFormat/>
    <w:uiPriority w:val="0"/>
    <w:pPr>
      <w:spacing w:line="360" w:lineRule="auto"/>
      <w:ind w:firstLine="480"/>
    </w:pPr>
    <w:rPr>
      <w:b/>
      <w:bCs/>
      <w:sz w:val="24"/>
      <w:szCs w:val="20"/>
    </w:rPr>
  </w:style>
  <w:style w:type="paragraph" w:customStyle="1" w:styleId="476">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rPr>
  </w:style>
  <w:style w:type="paragraph" w:customStyle="1" w:styleId="477">
    <w:name w:val="Char1 Char Char Char"/>
    <w:basedOn w:val="1"/>
    <w:qFormat/>
    <w:uiPriority w:val="0"/>
    <w:pPr>
      <w:snapToGrid w:val="0"/>
      <w:spacing w:before="120" w:after="160" w:line="360" w:lineRule="auto"/>
      <w:ind w:right="-360"/>
    </w:pPr>
    <w:rPr>
      <w:rFonts w:ascii="Arial" w:hAnsi="Arial"/>
      <w:lang w:eastAsia="en-US"/>
    </w:rPr>
  </w:style>
  <w:style w:type="paragraph" w:customStyle="1" w:styleId="478">
    <w:name w:val="前言、引言标题"/>
    <w:next w:val="1"/>
    <w:uiPriority w:val="0"/>
    <w:pPr>
      <w:shd w:val="clear" w:color="FFFFFF" w:fill="FFFFFF"/>
      <w:spacing w:before="640" w:after="560"/>
      <w:ind w:left="360" w:hanging="360"/>
      <w:jc w:val="center"/>
      <w:outlineLvl w:val="0"/>
    </w:pPr>
    <w:rPr>
      <w:rFonts w:ascii="黑体" w:hAnsi="Times New Roman" w:eastAsia="黑体" w:cs="Times New Roman"/>
      <w:sz w:val="32"/>
      <w:lang w:val="en-US" w:eastAsia="zh-CN" w:bidi="ar-SA"/>
    </w:rPr>
  </w:style>
  <w:style w:type="paragraph" w:customStyle="1" w:styleId="479">
    <w:name w:val="Char Char1 Char Char Char Char Char Char Char Char Char Char1"/>
    <w:basedOn w:val="1"/>
    <w:qFormat/>
    <w:uiPriority w:val="0"/>
    <w:pPr>
      <w:spacing w:after="160" w:line="240" w:lineRule="exact"/>
    </w:pPr>
    <w:rPr>
      <w:rFonts w:ascii="Verdana" w:hAnsi="Verdana" w:cs="Times New Roman"/>
      <w:szCs w:val="20"/>
      <w:lang w:eastAsia="en-US"/>
    </w:rPr>
  </w:style>
  <w:style w:type="paragraph" w:customStyle="1" w:styleId="480">
    <w:name w:val="样式 正文首行缩进 + 首行缩进:  1 字符"/>
    <w:basedOn w:val="1"/>
    <w:next w:val="481"/>
    <w:uiPriority w:val="0"/>
    <w:pPr>
      <w:spacing w:line="360" w:lineRule="auto"/>
      <w:ind w:firstLine="200" w:firstLineChars="200"/>
    </w:pPr>
    <w:rPr>
      <w:szCs w:val="20"/>
    </w:rPr>
  </w:style>
  <w:style w:type="paragraph" w:customStyle="1" w:styleId="481">
    <w:name w:val="Char"/>
    <w:basedOn w:val="1"/>
    <w:qFormat/>
    <w:uiPriority w:val="0"/>
    <w:pPr>
      <w:spacing w:after="160" w:line="240" w:lineRule="exact"/>
    </w:pPr>
    <w:rPr>
      <w:rFonts w:ascii="Verdana" w:hAnsi="Verdana" w:eastAsia="楷体_GB2312"/>
      <w:b/>
      <w:i/>
      <w:iCs/>
      <w:color w:val="000000"/>
      <w:sz w:val="20"/>
      <w:szCs w:val="20"/>
      <w:lang w:eastAsia="en-US"/>
    </w:rPr>
  </w:style>
  <w:style w:type="paragraph" w:customStyle="1" w:styleId="482">
    <w:name w:val="xl207"/>
    <w:basedOn w:val="1"/>
    <w:qFormat/>
    <w:uiPriority w:val="0"/>
    <w:pPr>
      <w:spacing w:before="100" w:beforeAutospacing="1" w:after="100" w:afterAutospacing="1"/>
      <w:jc w:val="center"/>
    </w:pPr>
    <w:rPr>
      <w:rFonts w:hAnsi="Times New Roman" w:cs="Times New Roman"/>
    </w:rPr>
  </w:style>
  <w:style w:type="paragraph" w:customStyle="1" w:styleId="483">
    <w:name w:val="操作ステップ"/>
    <w:basedOn w:val="1"/>
    <w:next w:val="484"/>
    <w:qFormat/>
    <w:uiPriority w:val="0"/>
    <w:pPr>
      <w:widowControl w:val="0"/>
      <w:tabs>
        <w:tab w:val="left" w:pos="1984"/>
      </w:tabs>
      <w:spacing w:line="340" w:lineRule="exact"/>
      <w:ind w:left="1984" w:right="-62" w:hanging="283"/>
      <w:outlineLvl w:val="7"/>
    </w:pPr>
    <w:rPr>
      <w:rFonts w:ascii="Century" w:hAnsi="Century" w:cs="Times New Roman"/>
      <w:color w:val="000000"/>
      <w:kern w:val="2"/>
      <w:sz w:val="20"/>
    </w:rPr>
  </w:style>
  <w:style w:type="paragraph" w:customStyle="1" w:styleId="484">
    <w:name w:val="操作ステップ説明"/>
    <w:basedOn w:val="1"/>
    <w:qFormat/>
    <w:uiPriority w:val="0"/>
    <w:pPr>
      <w:spacing w:line="340" w:lineRule="exact"/>
      <w:ind w:left="1559" w:right="-57"/>
    </w:pPr>
    <w:rPr>
      <w:rFonts w:ascii="Century" w:hAnsi="Century" w:cs="Times New Roman"/>
      <w:kern w:val="2"/>
      <w:sz w:val="20"/>
    </w:rPr>
  </w:style>
  <w:style w:type="paragraph" w:customStyle="1" w:styleId="485">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sz w:val="18"/>
      <w:szCs w:val="18"/>
    </w:rPr>
  </w:style>
  <w:style w:type="paragraph" w:customStyle="1" w:styleId="486">
    <w:name w:val="索引 31"/>
    <w:basedOn w:val="1"/>
    <w:next w:val="1"/>
    <w:qFormat/>
    <w:uiPriority w:val="0"/>
    <w:pPr>
      <w:widowControl w:val="0"/>
      <w:snapToGrid w:val="0"/>
      <w:spacing w:line="360" w:lineRule="auto"/>
      <w:ind w:left="400" w:leftChars="400"/>
      <w:jc w:val="center"/>
    </w:pPr>
    <w:rPr>
      <w:rFonts w:ascii="Calibri" w:hAnsi="Calibri" w:cs="Times New Roman"/>
      <w:b/>
      <w:kern w:val="2"/>
      <w:sz w:val="32"/>
      <w:szCs w:val="32"/>
    </w:rPr>
  </w:style>
  <w:style w:type="paragraph" w:customStyle="1" w:styleId="487">
    <w:name w:val="xl8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rPr>
  </w:style>
  <w:style w:type="paragraph" w:customStyle="1" w:styleId="488">
    <w:name w:val="Char Char Char Char Char Char Char"/>
    <w:basedOn w:val="1"/>
    <w:qFormat/>
    <w:uiPriority w:val="0"/>
    <w:pPr>
      <w:widowControl w:val="0"/>
      <w:snapToGrid w:val="0"/>
      <w:spacing w:line="360" w:lineRule="auto"/>
      <w:ind w:firstLine="200" w:firstLineChars="200"/>
      <w:jc w:val="both"/>
    </w:pPr>
    <w:rPr>
      <w:rFonts w:ascii="Times New Roman" w:hAnsi="Times New Roman" w:cs="Times New Roman"/>
      <w:kern w:val="2"/>
      <w:sz w:val="21"/>
      <w:szCs w:val="21"/>
    </w:rPr>
  </w:style>
  <w:style w:type="paragraph" w:customStyle="1" w:styleId="489">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b/>
      <w:bCs/>
      <w:color w:val="000000"/>
    </w:rPr>
  </w:style>
  <w:style w:type="paragraph" w:customStyle="1" w:styleId="490">
    <w:name w:val="font15"/>
    <w:basedOn w:val="1"/>
    <w:qFormat/>
    <w:uiPriority w:val="0"/>
    <w:pPr>
      <w:spacing w:before="100" w:beforeAutospacing="1" w:after="100" w:afterAutospacing="1"/>
    </w:pPr>
    <w:rPr>
      <w:rFonts w:hAnsi="Times New Roman" w:cs="Times New Roman"/>
      <w:color w:val="000000"/>
      <w:sz w:val="20"/>
      <w:szCs w:val="20"/>
    </w:rPr>
  </w:style>
  <w:style w:type="paragraph" w:customStyle="1" w:styleId="491">
    <w:name w:val="正表格内容"/>
    <w:basedOn w:val="1"/>
    <w:uiPriority w:val="0"/>
    <w:pPr>
      <w:tabs>
        <w:tab w:val="left" w:pos="480"/>
      </w:tabs>
      <w:autoSpaceDE w:val="0"/>
      <w:autoSpaceDN w:val="0"/>
      <w:adjustRightInd w:val="0"/>
      <w:jc w:val="center"/>
      <w:textAlignment w:val="bottom"/>
    </w:pPr>
    <w:rPr>
      <w:sz w:val="18"/>
      <w:szCs w:val="20"/>
    </w:rPr>
  </w:style>
  <w:style w:type="paragraph" w:customStyle="1" w:styleId="492">
    <w:name w:val="xl2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493">
    <w:name w:val="页脚左端（绿盟科技）"/>
    <w:basedOn w:val="446"/>
    <w:qFormat/>
    <w:uiPriority w:val="0"/>
    <w:pPr>
      <w:tabs>
        <w:tab w:val="clear" w:pos="4153"/>
        <w:tab w:val="clear" w:pos="8306"/>
      </w:tabs>
    </w:pPr>
  </w:style>
  <w:style w:type="paragraph" w:customStyle="1" w:styleId="494">
    <w:name w:val="默认段落字体 Para Char Char Char Char Char Char Char Char Char1 Char"/>
    <w:basedOn w:val="1"/>
    <w:uiPriority w:val="0"/>
    <w:rPr>
      <w:rFonts w:ascii="Tahoma" w:hAnsi="Tahoma"/>
      <w:szCs w:val="20"/>
    </w:rPr>
  </w:style>
  <w:style w:type="paragraph" w:customStyle="1" w:styleId="495">
    <w:name w:val="xl2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color w:val="000000"/>
      <w:sz w:val="20"/>
      <w:szCs w:val="20"/>
    </w:rPr>
  </w:style>
  <w:style w:type="paragraph" w:customStyle="1" w:styleId="496">
    <w:name w:val=" Char Char Char Char Char Char Char Char Char Char Char1 Char"/>
    <w:basedOn w:val="1"/>
    <w:uiPriority w:val="0"/>
  </w:style>
  <w:style w:type="paragraph" w:customStyle="1" w:styleId="497">
    <w:name w:val="xl2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hAnsi="Times New Roman" w:cs="Times New Roman"/>
      <w:color w:val="000000"/>
      <w:sz w:val="20"/>
      <w:szCs w:val="20"/>
    </w:rPr>
  </w:style>
  <w:style w:type="paragraph" w:customStyle="1" w:styleId="498">
    <w:name w:val="索引标题1"/>
    <w:basedOn w:val="1"/>
    <w:next w:val="499"/>
    <w:qFormat/>
    <w:uiPriority w:val="0"/>
    <w:pPr>
      <w:widowControl w:val="0"/>
      <w:snapToGrid w:val="0"/>
      <w:spacing w:line="360" w:lineRule="auto"/>
      <w:jc w:val="center"/>
    </w:pPr>
    <w:rPr>
      <w:rFonts w:ascii="Arial" w:hAnsi="Arial" w:cs="Arial"/>
      <w:b/>
      <w:bCs/>
      <w:kern w:val="2"/>
      <w:sz w:val="32"/>
      <w:szCs w:val="32"/>
    </w:rPr>
  </w:style>
  <w:style w:type="paragraph" w:customStyle="1" w:styleId="499">
    <w:name w:val="索引 11"/>
    <w:basedOn w:val="1"/>
    <w:next w:val="1"/>
    <w:qFormat/>
    <w:uiPriority w:val="0"/>
    <w:pPr>
      <w:widowControl w:val="0"/>
      <w:jc w:val="both"/>
    </w:pPr>
    <w:rPr>
      <w:rFonts w:ascii="Times New Roman" w:hAnsi="Times New Roman" w:cs="Times New Roman"/>
      <w:kern w:val="2"/>
      <w:sz w:val="21"/>
      <w:szCs w:val="21"/>
    </w:rPr>
  </w:style>
  <w:style w:type="paragraph" w:customStyle="1" w:styleId="500">
    <w:name w:val="Tabelle Wartung"/>
    <w:qFormat/>
    <w:uiPriority w:val="0"/>
    <w:pPr>
      <w:tabs>
        <w:tab w:val="left" w:pos="4536"/>
      </w:tabs>
      <w:spacing w:before="120"/>
      <w:ind w:left="4536" w:hanging="3969"/>
    </w:pPr>
    <w:rPr>
      <w:rFonts w:ascii="Helvetica" w:hAnsi="Helvetica" w:eastAsia="宋体" w:cs="Times New Roman"/>
      <w:sz w:val="22"/>
      <w:lang w:val="de-DE" w:eastAsia="zh-CN" w:bidi="ar-SA"/>
    </w:rPr>
  </w:style>
  <w:style w:type="paragraph" w:customStyle="1" w:styleId="501">
    <w:name w:val="自定义表格文字"/>
    <w:basedOn w:val="1"/>
    <w:qFormat/>
    <w:uiPriority w:val="0"/>
    <w:pPr>
      <w:widowControl w:val="0"/>
      <w:spacing w:before="60" w:after="60" w:line="320" w:lineRule="exact"/>
    </w:pPr>
    <w:rPr>
      <w:rFonts w:hAnsi="Times New Roman" w:eastAsia="楷体_GB2312" w:cs="Times New Roman"/>
      <w:kern w:val="2"/>
      <w:sz w:val="21"/>
    </w:rPr>
  </w:style>
  <w:style w:type="paragraph" w:customStyle="1" w:styleId="502">
    <w:name w:val="默认段落字体 Para Char Char Char Char"/>
    <w:basedOn w:val="1"/>
    <w:qFormat/>
    <w:uiPriority w:val="0"/>
  </w:style>
  <w:style w:type="paragraph" w:customStyle="1" w:styleId="503">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4">
    <w:name w:val="font9"/>
    <w:basedOn w:val="1"/>
    <w:qFormat/>
    <w:uiPriority w:val="0"/>
    <w:pPr>
      <w:spacing w:before="100" w:beforeAutospacing="1" w:after="100" w:afterAutospacing="1"/>
    </w:pPr>
    <w:rPr>
      <w:rFonts w:ascii="Arial" w:hAnsi="Arial" w:cs="Arial"/>
      <w:color w:val="000000"/>
      <w:sz w:val="20"/>
      <w:szCs w:val="20"/>
    </w:rPr>
  </w:style>
  <w:style w:type="paragraph" w:customStyle="1" w:styleId="505">
    <w:name w:val="普通(网站)1"/>
    <w:basedOn w:val="1"/>
    <w:qFormat/>
    <w:uiPriority w:val="0"/>
    <w:pPr>
      <w:spacing w:before="100" w:beforeAutospacing="1" w:after="100" w:afterAutospacing="1"/>
      <w:ind w:firstLine="200" w:firstLineChars="200"/>
    </w:pPr>
    <w:rPr>
      <w:rFonts w:ascii="Calibri" w:hAnsi="Calibri" w:cs="Times New Roman"/>
      <w:sz w:val="21"/>
      <w:szCs w:val="21"/>
    </w:rPr>
  </w:style>
  <w:style w:type="paragraph" w:customStyle="1" w:styleId="506">
    <w:name w:val="xl2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507">
    <w:name w:val="Default Paragraph Font Para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508">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b/>
      <w:bCs/>
      <w:color w:val="000000"/>
    </w:rPr>
  </w:style>
  <w:style w:type="paragraph" w:customStyle="1" w:styleId="509">
    <w:name w:val="xl28"/>
    <w:basedOn w:val="1"/>
    <w:qFormat/>
    <w:uiPriority w:val="0"/>
    <w:pPr>
      <w:spacing w:before="100" w:beforeAutospacing="1" w:after="100" w:afterAutospacing="1"/>
      <w:jc w:val="center"/>
      <w:textAlignment w:val="center"/>
    </w:pPr>
    <w:rPr>
      <w:rFonts w:hint="eastAsia" w:ascii="黑体" w:hAnsi="Arial Unicode MS" w:eastAsia="黑体" w:cs="Times New Roman"/>
      <w:sz w:val="32"/>
      <w:szCs w:val="32"/>
    </w:rPr>
  </w:style>
  <w:style w:type="paragraph" w:customStyle="1" w:styleId="510">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color w:val="000000"/>
    </w:rPr>
  </w:style>
  <w:style w:type="paragraph" w:customStyle="1" w:styleId="511">
    <w:name w:val="xl38"/>
    <w:basedOn w:val="1"/>
    <w:qFormat/>
    <w:uiPriority w:val="0"/>
    <w:pPr>
      <w:spacing w:before="100" w:beforeAutospacing="1" w:after="100" w:afterAutospacing="1"/>
      <w:jc w:val="center"/>
    </w:pPr>
    <w:rPr>
      <w:rFonts w:ascii="Arial Unicode MS" w:hAnsi="Arial Unicode MS" w:eastAsia="Arial Unicode MS" w:cs="Arial Unicode MS"/>
    </w:rPr>
  </w:style>
  <w:style w:type="paragraph" w:customStyle="1" w:styleId="512">
    <w:name w:val="Char Char Char Char Char Char1 Char Char Char1 Char Char Char Char Char Char"/>
    <w:basedOn w:val="1"/>
    <w:qFormat/>
    <w:uiPriority w:val="0"/>
    <w:pPr>
      <w:widowControl w:val="0"/>
      <w:jc w:val="both"/>
    </w:pPr>
    <w:rPr>
      <w:rFonts w:ascii="Tahoma" w:hAnsi="Tahoma" w:cs="Times New Roman"/>
      <w:kern w:val="2"/>
      <w:sz w:val="21"/>
      <w:szCs w:val="20"/>
    </w:rPr>
  </w:style>
  <w:style w:type="paragraph" w:customStyle="1" w:styleId="513">
    <w:name w:val="节标题"/>
    <w:basedOn w:val="1"/>
    <w:next w:val="457"/>
    <w:qFormat/>
    <w:uiPriority w:val="0"/>
    <w:pPr>
      <w:spacing w:line="289" w:lineRule="atLeast"/>
      <w:jc w:val="center"/>
    </w:pPr>
    <w:rPr>
      <w:rFonts w:ascii="Times New Roman" w:hAnsi="Times New Roman" w:cs="Times New Roman"/>
      <w:color w:val="000000"/>
      <w:sz w:val="28"/>
      <w:szCs w:val="20"/>
      <w:u w:color="000000"/>
    </w:rPr>
  </w:style>
  <w:style w:type="paragraph" w:customStyle="1" w:styleId="514">
    <w:name w:val="_Style 4"/>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5">
    <w:name w:val="Char Char Char Char Char Char1 Char Char Char Char Char Char"/>
    <w:basedOn w:val="1"/>
    <w:qFormat/>
    <w:uiPriority w:val="0"/>
    <w:pPr>
      <w:widowControl w:val="0"/>
      <w:jc w:val="both"/>
    </w:pPr>
    <w:rPr>
      <w:rFonts w:ascii="Tahoma" w:hAnsi="Tahoma" w:cs="Times New Roman"/>
      <w:kern w:val="2"/>
      <w:sz w:val="21"/>
      <w:szCs w:val="20"/>
    </w:rPr>
  </w:style>
  <w:style w:type="paragraph" w:customStyle="1" w:styleId="516">
    <w:name w:val="五级条标题"/>
    <w:basedOn w:val="426"/>
    <w:next w:val="195"/>
    <w:uiPriority w:val="0"/>
    <w:pPr>
      <w:tabs>
        <w:tab w:val="left" w:pos="0"/>
        <w:tab w:val="clear" w:pos="360"/>
      </w:tabs>
      <w:outlineLvl w:val="6"/>
    </w:pPr>
  </w:style>
  <w:style w:type="paragraph" w:customStyle="1" w:styleId="517">
    <w:name w:val="正文 1.5 倍行距"/>
    <w:basedOn w:val="1"/>
    <w:qFormat/>
    <w:uiPriority w:val="0"/>
    <w:pPr>
      <w:widowControl w:val="0"/>
      <w:autoSpaceDE w:val="0"/>
      <w:autoSpaceDN w:val="0"/>
      <w:adjustRightInd w:val="0"/>
      <w:spacing w:line="360" w:lineRule="auto"/>
      <w:ind w:firstLine="480" w:firstLineChars="200"/>
      <w:jc w:val="both"/>
      <w:textAlignment w:val="baseline"/>
    </w:pPr>
    <w:rPr>
      <w:rFonts w:ascii="Times New Roman" w:hAnsi="Times New Roman" w:cs="Times New Roman"/>
      <w:szCs w:val="20"/>
    </w:rPr>
  </w:style>
  <w:style w:type="paragraph" w:customStyle="1" w:styleId="518">
    <w:name w:val="xl117"/>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hAnsi="Times New Roman" w:cs="Times New Roman"/>
      <w:b/>
      <w:bCs/>
    </w:rPr>
  </w:style>
  <w:style w:type="paragraph" w:customStyle="1" w:styleId="519">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20">
    <w:name w:val="1"/>
    <w:basedOn w:val="1"/>
    <w:next w:val="33"/>
    <w:qFormat/>
    <w:uiPriority w:val="99"/>
    <w:pPr>
      <w:widowControl w:val="0"/>
      <w:jc w:val="both"/>
    </w:pPr>
    <w:rPr>
      <w:rFonts w:ascii="Calibri" w:hAnsi="Courier New" w:cs="Times New Roman"/>
      <w:kern w:val="2"/>
      <w:sz w:val="21"/>
      <w:szCs w:val="20"/>
    </w:rPr>
  </w:style>
  <w:style w:type="paragraph" w:customStyle="1" w:styleId="521">
    <w:name w:val="font13"/>
    <w:basedOn w:val="1"/>
    <w:qFormat/>
    <w:uiPriority w:val="0"/>
    <w:pPr>
      <w:spacing w:before="100" w:beforeAutospacing="1" w:after="100" w:afterAutospacing="1"/>
    </w:pPr>
    <w:rPr>
      <w:rFonts w:hAnsi="Times New Roman" w:cs="Times New Roman"/>
      <w:b/>
      <w:bCs/>
      <w:color w:val="000000"/>
    </w:rPr>
  </w:style>
  <w:style w:type="paragraph" w:customStyle="1" w:styleId="522">
    <w:name w:val="模板普通正文"/>
    <w:basedOn w:val="26"/>
    <w:qFormat/>
    <w:uiPriority w:val="0"/>
    <w:pPr>
      <w:widowControl w:val="0"/>
      <w:spacing w:beforeLines="50" w:after="10" w:line="360" w:lineRule="auto"/>
      <w:ind w:left="0" w:leftChars="0" w:firstLine="175" w:firstLineChars="175"/>
    </w:pPr>
    <w:rPr>
      <w:sz w:val="24"/>
    </w:rPr>
  </w:style>
  <w:style w:type="paragraph" w:customStyle="1" w:styleId="523">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color w:val="000000"/>
    </w:rPr>
  </w:style>
  <w:style w:type="paragraph" w:customStyle="1" w:styleId="524">
    <w:name w:val="Char Char Char Char Char Char1 Char Char Char1 Char Char Char"/>
    <w:basedOn w:val="1"/>
    <w:qFormat/>
    <w:uiPriority w:val="0"/>
    <w:pPr>
      <w:widowControl w:val="0"/>
      <w:jc w:val="both"/>
    </w:pPr>
    <w:rPr>
      <w:rFonts w:ascii="Tahoma" w:hAnsi="Tahoma" w:cs="Times New Roman"/>
      <w:kern w:val="2"/>
      <w:sz w:val="21"/>
      <w:szCs w:val="20"/>
    </w:rPr>
  </w:style>
  <w:style w:type="paragraph" w:customStyle="1" w:styleId="525">
    <w:name w:val="Char1 Char Char Char1"/>
    <w:basedOn w:val="1"/>
    <w:qFormat/>
    <w:uiPriority w:val="0"/>
    <w:pPr>
      <w:widowControl w:val="0"/>
      <w:jc w:val="both"/>
    </w:pPr>
    <w:rPr>
      <w:rFonts w:ascii="Times New Roman" w:hAnsi="Times New Roman" w:cs="Times New Roman"/>
      <w:b/>
      <w:kern w:val="2"/>
      <w:sz w:val="32"/>
      <w:szCs w:val="32"/>
    </w:rPr>
  </w:style>
  <w:style w:type="paragraph" w:customStyle="1" w:styleId="526">
    <w:name w:val="No Spacing1"/>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527">
    <w:name w:val="Char Char3"/>
    <w:basedOn w:val="1"/>
    <w:qFormat/>
    <w:uiPriority w:val="0"/>
    <w:pPr>
      <w:widowControl w:val="0"/>
      <w:jc w:val="both"/>
    </w:pPr>
    <w:rPr>
      <w:rFonts w:ascii="Times New Roman" w:hAnsi="Times New Roman" w:cs="Times New Roman"/>
      <w:kern w:val="2"/>
      <w:sz w:val="21"/>
    </w:rPr>
  </w:style>
  <w:style w:type="paragraph" w:customStyle="1" w:styleId="528">
    <w:name w:val="Char Char Char1 Char"/>
    <w:basedOn w:val="1"/>
    <w:qFormat/>
    <w:uiPriority w:val="0"/>
    <w:pPr>
      <w:spacing w:after="160" w:line="240" w:lineRule="exact"/>
    </w:pPr>
    <w:rPr>
      <w:rFonts w:ascii="Verdana" w:hAnsi="Verdana" w:cs="Times New Roman"/>
      <w:szCs w:val="20"/>
      <w:lang w:eastAsia="en-US"/>
    </w:rPr>
  </w:style>
  <w:style w:type="paragraph" w:customStyle="1" w:styleId="529">
    <w:name w:val="样式 左侧:  1 厘米"/>
    <w:basedOn w:val="1"/>
    <w:uiPriority w:val="0"/>
    <w:pPr>
      <w:spacing w:line="360" w:lineRule="auto"/>
      <w:ind w:left="567"/>
    </w:pPr>
    <w:rPr>
      <w:color w:val="000000"/>
    </w:rPr>
  </w:style>
  <w:style w:type="paragraph" w:customStyle="1" w:styleId="530">
    <w:name w:val="Char1 Char Char Char Char Char"/>
    <w:basedOn w:val="1"/>
    <w:qFormat/>
    <w:uiPriority w:val="0"/>
    <w:pPr>
      <w:widowControl w:val="0"/>
      <w:jc w:val="both"/>
    </w:pPr>
    <w:rPr>
      <w:rFonts w:ascii="Times New Roman" w:hAnsi="Times New Roman" w:cs="Times New Roman"/>
      <w:sz w:val="21"/>
      <w:szCs w:val="20"/>
    </w:rPr>
  </w:style>
  <w:style w:type="paragraph" w:customStyle="1" w:styleId="531">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532">
    <w:name w:val="msolistparagraph"/>
    <w:basedOn w:val="1"/>
    <w:qFormat/>
    <w:uiPriority w:val="0"/>
    <w:pPr>
      <w:widowControl w:val="0"/>
      <w:ind w:firstLine="420" w:firstLineChars="200"/>
      <w:jc w:val="both"/>
    </w:pPr>
    <w:rPr>
      <w:rFonts w:ascii="Times New Roman" w:hAnsi="Times New Roman" w:cs="Times New Roman"/>
      <w:kern w:val="2"/>
      <w:sz w:val="21"/>
      <w:szCs w:val="21"/>
    </w:rPr>
  </w:style>
  <w:style w:type="paragraph" w:customStyle="1" w:styleId="533">
    <w:name w:val="Body Text First Indent"/>
    <w:basedOn w:val="1"/>
    <w:qFormat/>
    <w:uiPriority w:val="0"/>
    <w:pPr>
      <w:autoSpaceDE w:val="0"/>
      <w:autoSpaceDN w:val="0"/>
      <w:adjustRightInd w:val="0"/>
      <w:spacing w:beforeLines="30" w:line="360" w:lineRule="auto"/>
      <w:ind w:firstLine="200" w:firstLineChars="200"/>
    </w:pPr>
    <w:rPr>
      <w:rFonts w:ascii="Times New Roman" w:hAnsi="Times New Roman" w:cs="Times New Roman"/>
      <w:szCs w:val="20"/>
      <w:lang w:val="zh-CN"/>
    </w:rPr>
  </w:style>
  <w:style w:type="paragraph" w:customStyle="1" w:styleId="534">
    <w:name w:val="正文文本 31"/>
    <w:basedOn w:val="1"/>
    <w:qFormat/>
    <w:uiPriority w:val="0"/>
    <w:pPr>
      <w:widowControl w:val="0"/>
      <w:snapToGrid w:val="0"/>
      <w:spacing w:after="120" w:line="360" w:lineRule="auto"/>
      <w:jc w:val="center"/>
    </w:pPr>
    <w:rPr>
      <w:rFonts w:ascii="Times New Roman" w:hAnsi="Times New Roman" w:cs="Times New Roman"/>
      <w:sz w:val="16"/>
      <w:szCs w:val="16"/>
    </w:rPr>
  </w:style>
  <w:style w:type="paragraph" w:customStyle="1" w:styleId="535">
    <w:name w:val="xl2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536">
    <w:name w:val=" Char"/>
    <w:basedOn w:val="1"/>
    <w:uiPriority w:val="0"/>
    <w:rPr>
      <w:rFonts w:ascii="仿宋_GB2312" w:eastAsia="仿宋_GB2312"/>
      <w:b/>
      <w:sz w:val="32"/>
      <w:szCs w:val="32"/>
    </w:rPr>
  </w:style>
  <w:style w:type="paragraph" w:customStyle="1" w:styleId="537">
    <w:name w:val="Char Char Char1"/>
    <w:basedOn w:val="1"/>
    <w:qFormat/>
    <w:uiPriority w:val="0"/>
    <w:pPr>
      <w:widowControl w:val="0"/>
      <w:jc w:val="both"/>
    </w:pPr>
    <w:rPr>
      <w:rFonts w:ascii="Times New Roman" w:hAnsi="Times New Roman" w:cs="Times New Roman"/>
      <w:kern w:val="2"/>
      <w:sz w:val="21"/>
      <w:szCs w:val="20"/>
    </w:rPr>
  </w:style>
  <w:style w:type="paragraph" w:customStyle="1" w:styleId="538">
    <w:name w:val="样式 标题 1 + 黑色 行距: 1.5 倍行距"/>
    <w:basedOn w:val="5"/>
    <w:uiPriority w:val="0"/>
    <w:pPr>
      <w:keepNext w:val="0"/>
      <w:numPr>
        <w:ilvl w:val="0"/>
        <w:numId w:val="4"/>
      </w:numPr>
      <w:adjustRightInd w:val="0"/>
      <w:snapToGrid w:val="0"/>
      <w:spacing w:beforeLines="30" w:line="360" w:lineRule="auto"/>
      <w:ind w:right="680"/>
      <w:textAlignment w:val="baseline"/>
    </w:pPr>
    <w:rPr>
      <w:rFonts w:ascii="Arial" w:hAnsi="Arial" w:eastAsia="楷体_GB2312"/>
      <w:b/>
      <w:bCs/>
      <w:color w:val="000000"/>
      <w:kern w:val="0"/>
      <w:szCs w:val="20"/>
    </w:rPr>
  </w:style>
  <w:style w:type="paragraph" w:customStyle="1" w:styleId="539">
    <w:name w:val="タイトル-L3-項"/>
    <w:basedOn w:val="1"/>
    <w:next w:val="3"/>
    <w:qFormat/>
    <w:uiPriority w:val="0"/>
    <w:pPr>
      <w:keepNext/>
      <w:keepLines/>
      <w:tabs>
        <w:tab w:val="left" w:pos="948"/>
      </w:tabs>
      <w:spacing w:before="120" w:after="10"/>
      <w:ind w:left="948" w:right="85" w:hanging="720"/>
      <w:outlineLvl w:val="2"/>
    </w:pPr>
    <w:rPr>
      <w:rFonts w:ascii="Arial" w:hAnsi="Arial" w:eastAsia="MS Gothic" w:cs="Times New Roman"/>
      <w:kern w:val="2"/>
      <w:sz w:val="28"/>
    </w:rPr>
  </w:style>
  <w:style w:type="paragraph" w:customStyle="1" w:styleId="540">
    <w:name w:val="正文符号4"/>
    <w:basedOn w:val="1"/>
    <w:qFormat/>
    <w:uiPriority w:val="0"/>
    <w:pPr>
      <w:widowControl w:val="0"/>
      <w:tabs>
        <w:tab w:val="left" w:pos="360"/>
      </w:tabs>
      <w:jc w:val="both"/>
    </w:pPr>
    <w:rPr>
      <w:rFonts w:ascii="Times New Roman" w:hAnsi="Times New Roman" w:eastAsia="楷体_GB2312" w:cs="Times New Roman"/>
      <w:sz w:val="28"/>
      <w:szCs w:val="21"/>
    </w:rPr>
  </w:style>
  <w:style w:type="paragraph" w:customStyle="1" w:styleId="541">
    <w:name w:val="样式 宋体 行距: 多倍行距 1.25 字行"/>
    <w:basedOn w:val="1"/>
    <w:uiPriority w:val="0"/>
    <w:pPr>
      <w:spacing w:line="300" w:lineRule="auto"/>
    </w:pPr>
    <w:rPr>
      <w:szCs w:val="20"/>
    </w:rPr>
  </w:style>
  <w:style w:type="paragraph" w:customStyle="1" w:styleId="542">
    <w:name w:val="xl2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Times New Roman" w:cs="Times New Roman"/>
      <w:sz w:val="20"/>
      <w:szCs w:val="20"/>
    </w:rPr>
  </w:style>
  <w:style w:type="paragraph" w:customStyle="1" w:styleId="543">
    <w:name w:val="项目符1"/>
    <w:basedOn w:val="1"/>
    <w:qFormat/>
    <w:uiPriority w:val="0"/>
    <w:pPr>
      <w:widowControl w:val="0"/>
      <w:numPr>
        <w:ilvl w:val="0"/>
        <w:numId w:val="5"/>
      </w:numPr>
      <w:tabs>
        <w:tab w:val="left" w:pos="1365"/>
      </w:tabs>
      <w:spacing w:before="78" w:after="78" w:line="300" w:lineRule="auto"/>
      <w:ind w:left="1365" w:leftChars="100" w:right="100" w:rightChars="100" w:hanging="344" w:firstLineChars="200"/>
      <w:jc w:val="both"/>
    </w:pPr>
    <w:rPr>
      <w:rFonts w:ascii="Arial" w:hAnsi="Arial" w:cs="Times New Roman"/>
      <w:kern w:val="2"/>
      <w:sz w:val="21"/>
      <w:szCs w:val="21"/>
    </w:rPr>
  </w:style>
  <w:style w:type="paragraph" w:customStyle="1" w:styleId="544">
    <w:name w:val="列出段落2"/>
    <w:basedOn w:val="1"/>
    <w:qFormat/>
    <w:uiPriority w:val="0"/>
    <w:pPr>
      <w:widowControl w:val="0"/>
      <w:ind w:firstLine="420" w:firstLineChars="200"/>
      <w:jc w:val="both"/>
    </w:pPr>
    <w:rPr>
      <w:rFonts w:ascii="Calibri" w:hAnsi="Calibri" w:cs="Times New Roman"/>
      <w:kern w:val="2"/>
      <w:sz w:val="21"/>
      <w:szCs w:val="21"/>
    </w:rPr>
  </w:style>
  <w:style w:type="paragraph" w:customStyle="1" w:styleId="545">
    <w:name w:val="Char Char Char Char Char Char Char Char Char Char Char Char Char Char Char Char"/>
    <w:basedOn w:val="1"/>
    <w:qFormat/>
    <w:uiPriority w:val="0"/>
    <w:pPr>
      <w:widowControl w:val="0"/>
      <w:tabs>
        <w:tab w:val="left" w:pos="360"/>
      </w:tabs>
      <w:spacing w:line="360" w:lineRule="auto"/>
      <w:ind w:left="482" w:firstLine="200" w:firstLineChars="200"/>
      <w:jc w:val="both"/>
    </w:pPr>
    <w:rPr>
      <w:rFonts w:ascii="Calibri" w:hAnsi="Times New Roman" w:cs="Times New Roman"/>
      <w:kern w:val="2"/>
      <w:sz w:val="21"/>
      <w:szCs w:val="21"/>
    </w:rPr>
  </w:style>
  <w:style w:type="paragraph" w:customStyle="1" w:styleId="546">
    <w:name w:val="Char Char Char11"/>
    <w:basedOn w:val="1"/>
    <w:qFormat/>
    <w:uiPriority w:val="0"/>
    <w:pPr>
      <w:widowControl w:val="0"/>
      <w:jc w:val="both"/>
    </w:pPr>
    <w:rPr>
      <w:rFonts w:ascii="Times New Roman" w:hAnsi="Times New Roman" w:cs="Times New Roman"/>
      <w:kern w:val="2"/>
      <w:sz w:val="21"/>
    </w:rPr>
  </w:style>
  <w:style w:type="paragraph" w:customStyle="1" w:styleId="547">
    <w:name w:val="xl2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548">
    <w:name w:val="目录标题1"/>
    <w:basedOn w:val="5"/>
    <w:next w:val="1"/>
    <w:qFormat/>
    <w:uiPriority w:val="0"/>
    <w:pPr>
      <w:keepLines/>
      <w:tabs>
        <w:tab w:val="left" w:pos="432"/>
      </w:tabs>
      <w:spacing w:before="480" w:line="276" w:lineRule="auto"/>
      <w:jc w:val="left"/>
      <w:outlineLvl w:val="9"/>
    </w:pPr>
    <w:rPr>
      <w:rFonts w:ascii="Cambria" w:hAnsi="Cambria"/>
      <w:b/>
      <w:bCs/>
      <w:color w:val="365F91"/>
      <w:kern w:val="0"/>
      <w:szCs w:val="28"/>
    </w:rPr>
  </w:style>
  <w:style w:type="paragraph" w:customStyle="1" w:styleId="549">
    <w:name w:val="文章附标题"/>
    <w:basedOn w:val="1"/>
    <w:next w:val="5"/>
    <w:qFormat/>
    <w:uiPriority w:val="0"/>
    <w:pPr>
      <w:spacing w:before="187" w:after="175" w:line="374" w:lineRule="atLeast"/>
      <w:jc w:val="center"/>
    </w:pPr>
    <w:rPr>
      <w:rFonts w:ascii="Times New Roman" w:hAnsi="Times New Roman" w:cs="Times New Roman"/>
      <w:color w:val="000000"/>
      <w:sz w:val="36"/>
      <w:szCs w:val="20"/>
      <w:u w:color="000000"/>
    </w:rPr>
  </w:style>
  <w:style w:type="paragraph" w:customStyle="1" w:styleId="550">
    <w:name w:val="xl27"/>
    <w:basedOn w:val="1"/>
    <w:qFormat/>
    <w:uiPriority w:val="0"/>
    <w:pPr>
      <w:spacing w:before="100" w:beforeAutospacing="1" w:after="100" w:afterAutospacing="1"/>
      <w:jc w:val="center"/>
      <w:textAlignment w:val="center"/>
    </w:pPr>
    <w:rPr>
      <w:rFonts w:hint="eastAsia" w:ascii="黑体" w:hAnsi="Arial Unicode MS" w:eastAsia="黑体" w:cs="Times New Roman"/>
      <w:sz w:val="36"/>
      <w:szCs w:val="36"/>
    </w:rPr>
  </w:style>
  <w:style w:type="paragraph" w:customStyle="1" w:styleId="551">
    <w:name w:val="项目1"/>
    <w:basedOn w:val="1"/>
    <w:qFormat/>
    <w:uiPriority w:val="0"/>
    <w:pPr>
      <w:widowControl w:val="0"/>
      <w:tabs>
        <w:tab w:val="left" w:pos="840"/>
      </w:tabs>
      <w:spacing w:after="60"/>
      <w:ind w:left="840" w:hanging="420"/>
      <w:jc w:val="both"/>
    </w:pPr>
    <w:rPr>
      <w:rFonts w:hAnsi="Times New Roman" w:cs="Times New Roman"/>
      <w:spacing w:val="4"/>
      <w:kern w:val="2"/>
      <w:sz w:val="21"/>
      <w:szCs w:val="20"/>
    </w:rPr>
  </w:style>
  <w:style w:type="paragraph" w:customStyle="1" w:styleId="552">
    <w:name w:val="List Paragraph"/>
    <w:basedOn w:val="1"/>
    <w:uiPriority w:val="0"/>
    <w:pPr>
      <w:ind w:firstLine="420" w:firstLineChars="200"/>
    </w:pPr>
    <w:rPr>
      <w:rFonts w:cs="Arial"/>
    </w:rPr>
  </w:style>
  <w:style w:type="paragraph" w:customStyle="1" w:styleId="553">
    <w:name w:val="Char4"/>
    <w:basedOn w:val="1"/>
    <w:qFormat/>
    <w:uiPriority w:val="0"/>
    <w:pPr>
      <w:spacing w:after="160" w:line="240" w:lineRule="exact"/>
    </w:pPr>
    <w:rPr>
      <w:rFonts w:ascii="Verdana" w:hAnsi="Verdana" w:cs="Times New Roman"/>
      <w:szCs w:val="20"/>
      <w:lang w:eastAsia="en-US"/>
    </w:rPr>
  </w:style>
  <w:style w:type="paragraph" w:customStyle="1" w:styleId="554">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color w:val="000000"/>
      <w:sz w:val="20"/>
      <w:szCs w:val="20"/>
    </w:rPr>
  </w:style>
  <w:style w:type="paragraph" w:customStyle="1" w:styleId="555">
    <w:name w:val="索引 71"/>
    <w:basedOn w:val="1"/>
    <w:next w:val="1"/>
    <w:qFormat/>
    <w:uiPriority w:val="0"/>
    <w:pPr>
      <w:widowControl w:val="0"/>
      <w:snapToGrid w:val="0"/>
      <w:spacing w:line="360" w:lineRule="auto"/>
      <w:ind w:left="1200" w:leftChars="1200"/>
      <w:jc w:val="center"/>
    </w:pPr>
    <w:rPr>
      <w:rFonts w:ascii="Calibri" w:hAnsi="Calibri" w:cs="Times New Roman"/>
      <w:b/>
      <w:kern w:val="2"/>
      <w:sz w:val="32"/>
      <w:szCs w:val="32"/>
    </w:rPr>
  </w:style>
  <w:style w:type="paragraph" w:customStyle="1" w:styleId="55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b/>
      <w:bCs/>
      <w:sz w:val="20"/>
      <w:szCs w:val="20"/>
    </w:rPr>
  </w:style>
  <w:style w:type="paragraph" w:customStyle="1" w:styleId="557">
    <w:name w:val="正文 New New New New New New New New New New New New New New New New New New New New New New New New New"/>
    <w:qFormat/>
    <w:uiPriority w:val="0"/>
    <w:pPr>
      <w:widowControl w:val="0"/>
      <w:spacing w:line="440" w:lineRule="exact"/>
      <w:jc w:val="both"/>
    </w:pPr>
    <w:rPr>
      <w:rFonts w:ascii="Times New Roman" w:hAnsi="Times New Roman" w:eastAsia="宋体" w:cs="Times New Roman"/>
      <w:kern w:val="2"/>
      <w:sz w:val="28"/>
      <w:szCs w:val="24"/>
      <w:lang w:val="en-US" w:eastAsia="zh-CN" w:bidi="ar-SA"/>
    </w:rPr>
  </w:style>
  <w:style w:type="paragraph" w:customStyle="1" w:styleId="558">
    <w:name w:val="font7"/>
    <w:basedOn w:val="1"/>
    <w:qFormat/>
    <w:uiPriority w:val="0"/>
    <w:pPr>
      <w:spacing w:before="100" w:beforeAutospacing="1" w:after="100" w:afterAutospacing="1"/>
    </w:pPr>
    <w:rPr>
      <w:rFonts w:hAnsi="Times New Roman" w:cs="Times New Roman"/>
      <w:color w:val="000000"/>
      <w:sz w:val="22"/>
      <w:szCs w:val="22"/>
    </w:rPr>
  </w:style>
  <w:style w:type="paragraph" w:customStyle="1" w:styleId="559">
    <w:name w:val=" Char Char Char"/>
    <w:basedOn w:val="1"/>
    <w:uiPriority w:val="0"/>
    <w:pPr>
      <w:keepNext/>
      <w:keepLines/>
      <w:pageBreakBefore/>
      <w:tabs>
        <w:tab w:val="left" w:pos="432"/>
      </w:tabs>
      <w:adjustRightInd w:val="0"/>
      <w:ind w:left="432" w:hanging="432"/>
      <w:textAlignment w:val="baseline"/>
    </w:pPr>
    <w:rPr>
      <w:sz w:val="22"/>
    </w:rPr>
  </w:style>
  <w:style w:type="paragraph" w:customStyle="1" w:styleId="560">
    <w:name w:val="批注主题1"/>
    <w:basedOn w:val="23"/>
    <w:next w:val="23"/>
    <w:qFormat/>
    <w:uiPriority w:val="0"/>
    <w:pPr>
      <w:spacing w:line="360" w:lineRule="auto"/>
      <w:ind w:firstLine="200" w:firstLineChars="200"/>
    </w:pPr>
    <w:rPr>
      <w:b/>
      <w:bCs/>
      <w:szCs w:val="21"/>
    </w:rPr>
  </w:style>
  <w:style w:type="paragraph" w:customStyle="1" w:styleId="561">
    <w:name w:val="Char Char Char Char"/>
    <w:basedOn w:val="1"/>
    <w:qFormat/>
    <w:uiPriority w:val="0"/>
    <w:pPr>
      <w:widowControl w:val="0"/>
      <w:jc w:val="both"/>
    </w:pPr>
    <w:rPr>
      <w:rFonts w:ascii="Tahoma" w:hAnsi="Tahoma" w:cs="Times New Roman"/>
      <w:kern w:val="2"/>
      <w:sz w:val="21"/>
      <w:szCs w:val="20"/>
    </w:rPr>
  </w:style>
  <w:style w:type="paragraph" w:customStyle="1" w:styleId="562">
    <w:name w:val="样式 标题 3 + (西文) Arial (中文) 楷体_GB2312 加粗 非倾斜 段前: 0 磅 段后: 0.2 ..."/>
    <w:basedOn w:val="7"/>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563">
    <w:name w:val="正文缩进1"/>
    <w:basedOn w:val="1"/>
    <w:qFormat/>
    <w:uiPriority w:val="0"/>
    <w:pPr>
      <w:widowControl w:val="0"/>
      <w:spacing w:line="360" w:lineRule="auto"/>
      <w:ind w:firstLine="454"/>
    </w:pPr>
    <w:rPr>
      <w:rFonts w:ascii="Times New Roman" w:hAnsi="Times New Roman" w:cs="Times New Roman"/>
      <w:kern w:val="2"/>
    </w:rPr>
  </w:style>
  <w:style w:type="paragraph" w:customStyle="1" w:styleId="564">
    <w:name w:val="xl2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565">
    <w:name w:val="Char Char"/>
    <w:basedOn w:val="1"/>
    <w:qFormat/>
    <w:uiPriority w:val="0"/>
    <w:rPr>
      <w:rFonts w:ascii="仿宋_GB2312" w:eastAsia="仿宋_GB2312"/>
      <w:b/>
      <w:sz w:val="32"/>
      <w:szCs w:val="32"/>
    </w:rPr>
  </w:style>
  <w:style w:type="paragraph" w:customStyle="1" w:styleId="566">
    <w:name w:val="索引 21"/>
    <w:basedOn w:val="1"/>
    <w:next w:val="1"/>
    <w:qFormat/>
    <w:uiPriority w:val="0"/>
    <w:pPr>
      <w:widowControl w:val="0"/>
      <w:snapToGrid w:val="0"/>
      <w:spacing w:line="360" w:lineRule="auto"/>
      <w:ind w:left="200" w:leftChars="200"/>
      <w:jc w:val="center"/>
    </w:pPr>
    <w:rPr>
      <w:rFonts w:ascii="Calibri" w:hAnsi="Calibri" w:cs="Times New Roman"/>
      <w:b/>
      <w:kern w:val="2"/>
      <w:sz w:val="32"/>
      <w:szCs w:val="32"/>
    </w:rPr>
  </w:style>
  <w:style w:type="paragraph" w:customStyle="1" w:styleId="567">
    <w:name w:val="reader-word-layer"/>
    <w:basedOn w:val="1"/>
    <w:qFormat/>
    <w:uiPriority w:val="0"/>
    <w:pPr>
      <w:spacing w:before="100" w:beforeAutospacing="1" w:after="100" w:afterAutospacing="1"/>
    </w:pPr>
    <w:rPr>
      <w:rFonts w:hAnsi="Times New Roman" w:cs="Times New Roman"/>
    </w:rPr>
  </w:style>
  <w:style w:type="paragraph" w:customStyle="1" w:styleId="568">
    <w:name w:val="xl2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szCs w:val="20"/>
    </w:rPr>
  </w:style>
  <w:style w:type="paragraph" w:customStyle="1" w:styleId="569">
    <w:name w:val="pic"/>
    <w:basedOn w:val="1"/>
    <w:next w:val="1"/>
    <w:uiPriority w:val="0"/>
    <w:pPr>
      <w:spacing w:line="360" w:lineRule="auto"/>
      <w:jc w:val="center"/>
    </w:pPr>
    <w:rPr>
      <w:rFonts w:ascii="仿宋_GB2312" w:hAnsi="Calibri"/>
      <w:szCs w:val="20"/>
    </w:rPr>
  </w:style>
  <w:style w:type="paragraph" w:customStyle="1" w:styleId="570">
    <w:name w:val="++标题3"/>
    <w:basedOn w:val="7"/>
    <w:qFormat/>
    <w:uiPriority w:val="0"/>
    <w:pPr>
      <w:keepLines w:val="0"/>
      <w:widowControl w:val="0"/>
      <w:tabs>
        <w:tab w:val="left" w:pos="432"/>
      </w:tabs>
      <w:spacing w:before="0" w:after="0" w:line="360" w:lineRule="auto"/>
      <w:jc w:val="both"/>
    </w:pPr>
    <w:rPr>
      <w:rFonts w:ascii="宋体" w:hAnsi="宋体" w:cs="Arial"/>
      <w:b w:val="0"/>
      <w:color w:val="000000"/>
      <w:kern w:val="0"/>
      <w:sz w:val="24"/>
      <w:szCs w:val="24"/>
    </w:rPr>
  </w:style>
  <w:style w:type="paragraph" w:customStyle="1" w:styleId="571">
    <w:name w:val="font12"/>
    <w:basedOn w:val="1"/>
    <w:qFormat/>
    <w:uiPriority w:val="0"/>
    <w:pPr>
      <w:spacing w:before="100" w:beforeAutospacing="1" w:after="100" w:afterAutospacing="1"/>
    </w:pPr>
    <w:rPr>
      <w:rFonts w:hAnsi="Times New Roman" w:cs="Times New Roman"/>
      <w:sz w:val="18"/>
      <w:szCs w:val="18"/>
    </w:rPr>
  </w:style>
  <w:style w:type="paragraph" w:customStyle="1" w:styleId="572">
    <w:name w:val="作表９ポ"/>
    <w:basedOn w:val="1"/>
    <w:qFormat/>
    <w:uiPriority w:val="0"/>
    <w:pPr>
      <w:widowControl w:val="0"/>
      <w:adjustRightInd w:val="0"/>
      <w:spacing w:line="260" w:lineRule="exact"/>
      <w:jc w:val="both"/>
      <w:textAlignment w:val="center"/>
    </w:pPr>
    <w:rPr>
      <w:rFonts w:ascii="MS PMincho" w:hAnsi="Century" w:eastAsia="MS Mincho" w:cs="Times New Roman"/>
      <w:sz w:val="18"/>
      <w:szCs w:val="20"/>
      <w:lang w:eastAsia="ja-JP"/>
    </w:rPr>
  </w:style>
  <w:style w:type="paragraph" w:customStyle="1" w:styleId="573">
    <w:name w:val="图表目录1"/>
    <w:basedOn w:val="1"/>
    <w:next w:val="1"/>
    <w:qFormat/>
    <w:uiPriority w:val="0"/>
    <w:pPr>
      <w:widowControl w:val="0"/>
      <w:snapToGrid w:val="0"/>
      <w:spacing w:line="360" w:lineRule="auto"/>
      <w:ind w:left="200" w:leftChars="200" w:hanging="200" w:hangingChars="200"/>
      <w:jc w:val="center"/>
    </w:pPr>
    <w:rPr>
      <w:rFonts w:ascii="Calibri" w:hAnsi="Calibri" w:cs="Times New Roman"/>
      <w:b/>
      <w:kern w:val="2"/>
      <w:sz w:val="32"/>
      <w:szCs w:val="32"/>
    </w:rPr>
  </w:style>
  <w:style w:type="paragraph" w:customStyle="1" w:styleId="574">
    <w:name w:val="a0"/>
    <w:basedOn w:val="1"/>
    <w:uiPriority w:val="0"/>
    <w:pPr>
      <w:spacing w:before="100" w:beforeAutospacing="1" w:after="100" w:afterAutospacing="1"/>
    </w:pPr>
  </w:style>
  <w:style w:type="paragraph" w:customStyle="1" w:styleId="575">
    <w:name w:val="xl4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Times New Roman" w:hAnsi="Times New Roman" w:eastAsia="Arial Unicode MS" w:cs="Times New Roman"/>
    </w:rPr>
  </w:style>
  <w:style w:type="paragraph" w:customStyle="1" w:styleId="576">
    <w:name w:val="正文文本缩进_0"/>
    <w:basedOn w:val="503"/>
    <w:qFormat/>
    <w:uiPriority w:val="0"/>
    <w:pPr>
      <w:autoSpaceDE w:val="0"/>
      <w:autoSpaceDN w:val="0"/>
      <w:spacing w:line="360" w:lineRule="auto"/>
      <w:ind w:left="181" w:firstLine="539"/>
    </w:pPr>
    <w:rPr>
      <w:rFonts w:ascii="Times New Roman" w:hAnsi="Times New Roman"/>
      <w:sz w:val="24"/>
      <w:szCs w:val="20"/>
      <w:lang w:val="zh-CN"/>
    </w:rPr>
  </w:style>
  <w:style w:type="paragraph" w:customStyle="1" w:styleId="577">
    <w:name w:val="标题2def"/>
    <w:basedOn w:val="56"/>
    <w:qFormat/>
    <w:uiPriority w:val="0"/>
    <w:pPr>
      <w:overflowPunct w:val="0"/>
      <w:autoSpaceDE w:val="0"/>
      <w:autoSpaceDN w:val="0"/>
      <w:adjustRightInd w:val="0"/>
      <w:snapToGrid w:val="0"/>
      <w:spacing w:before="160" w:after="200" w:line="360" w:lineRule="auto"/>
      <w:textAlignment w:val="baseline"/>
    </w:pPr>
    <w:rPr>
      <w:rFonts w:ascii="Times New Roman" w:hAnsi="宋体" w:eastAsia="仿宋_GB2312" w:cs="Arial"/>
      <w:bCs/>
      <w:spacing w:val="0"/>
      <w:kern w:val="2"/>
      <w:lang w:val="en-GB"/>
    </w:rPr>
  </w:style>
  <w:style w:type="paragraph" w:customStyle="1" w:styleId="578">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b/>
      <w:bCs/>
    </w:rPr>
  </w:style>
  <w:style w:type="paragraph" w:customStyle="1" w:styleId="579">
    <w:name w:val="正文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80">
    <w:name w:val="xl23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color w:val="000000"/>
      <w:sz w:val="20"/>
      <w:szCs w:val="20"/>
    </w:rPr>
  </w:style>
  <w:style w:type="paragraph" w:customStyle="1" w:styleId="581">
    <w:name w:val="列出段落1"/>
    <w:basedOn w:val="1"/>
    <w:qFormat/>
    <w:uiPriority w:val="99"/>
    <w:pPr>
      <w:ind w:firstLine="420" w:firstLineChars="200"/>
    </w:pPr>
  </w:style>
  <w:style w:type="paragraph" w:customStyle="1" w:styleId="582">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Calibri" w:hAnsi="Calibri" w:cs="Times New Roman"/>
      <w:sz w:val="20"/>
      <w:szCs w:val="20"/>
    </w:rPr>
  </w:style>
  <w:style w:type="paragraph" w:customStyle="1" w:styleId="583">
    <w:name w:val=" Char Char Char Char Char Char Char Char Char Char Char Char1 Char Char"/>
    <w:basedOn w:val="1"/>
    <w:uiPriority w:val="0"/>
    <w:rPr>
      <w:rFonts w:ascii="Tahoma" w:hAnsi="Tahoma"/>
      <w:szCs w:val="20"/>
    </w:rPr>
  </w:style>
  <w:style w:type="paragraph" w:customStyle="1" w:styleId="584">
    <w:name w:val=" Char Char Char Char Char Char Char Char Char Char"/>
    <w:basedOn w:val="21"/>
    <w:uiPriority w:val="0"/>
    <w:pPr>
      <w:shd w:val="clear" w:color="auto" w:fill="000080"/>
    </w:pPr>
    <w:rPr>
      <w:rFonts w:ascii="Tahoma" w:hAnsi="Tahoma"/>
      <w:sz w:val="24"/>
      <w:szCs w:val="24"/>
    </w:rPr>
  </w:style>
  <w:style w:type="paragraph" w:customStyle="1" w:styleId="585">
    <w:name w:val="_Style 32"/>
    <w:basedOn w:val="1"/>
    <w:uiPriority w:val="0"/>
    <w:rPr>
      <w:szCs w:val="20"/>
    </w:rPr>
  </w:style>
  <w:style w:type="paragraph" w:customStyle="1" w:styleId="586">
    <w:name w:val="样式 Arial 小四 首行缩进:  0.85 厘米"/>
    <w:basedOn w:val="1"/>
    <w:uiPriority w:val="0"/>
    <w:pPr>
      <w:spacing w:line="400" w:lineRule="exact"/>
      <w:ind w:firstLine="440" w:firstLineChars="200"/>
    </w:pPr>
    <w:rPr>
      <w:rFonts w:cs="仿宋_GB2312"/>
      <w:sz w:val="22"/>
      <w:szCs w:val="22"/>
      <w:lang w:val="zh-CN"/>
    </w:rPr>
  </w:style>
  <w:style w:type="paragraph" w:customStyle="1" w:styleId="587">
    <w:name w:val="正文文本 22"/>
    <w:basedOn w:val="1"/>
    <w:qFormat/>
    <w:uiPriority w:val="0"/>
    <w:pPr>
      <w:spacing w:after="120" w:line="360" w:lineRule="auto"/>
      <w:ind w:firstLine="510"/>
    </w:pPr>
    <w:rPr>
      <w:rFonts w:ascii="Times New Roman" w:hAnsi="Times New Roman" w:cs="Times New Roman"/>
    </w:rPr>
  </w:style>
  <w:style w:type="paragraph" w:customStyle="1" w:styleId="588">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589">
    <w:name w:val="样式 加粗 居中11"/>
    <w:basedOn w:val="1"/>
    <w:next w:val="590"/>
    <w:qFormat/>
    <w:uiPriority w:val="0"/>
    <w:pPr>
      <w:widowControl w:val="0"/>
      <w:snapToGrid w:val="0"/>
      <w:spacing w:line="360" w:lineRule="auto"/>
      <w:jc w:val="center"/>
    </w:pPr>
    <w:rPr>
      <w:rFonts w:ascii="Calibri" w:hAnsi="Calibri" w:cs="Times New Roman"/>
      <w:b/>
      <w:bCs/>
      <w:spacing w:val="1"/>
      <w:sz w:val="32"/>
      <w:szCs w:val="20"/>
    </w:rPr>
  </w:style>
  <w:style w:type="paragraph" w:customStyle="1" w:styleId="590">
    <w:name w:val="样式 加粗 居中1"/>
    <w:next w:val="591"/>
    <w:qFormat/>
    <w:uiPriority w:val="0"/>
    <w:pPr>
      <w:jc w:val="center"/>
    </w:pPr>
    <w:rPr>
      <w:rFonts w:ascii="Times New Roman" w:hAnsi="Times New Roman" w:eastAsia="宋体" w:cs="宋体"/>
      <w:b/>
      <w:bCs/>
      <w:spacing w:val="1"/>
      <w:sz w:val="32"/>
      <w:lang w:val="en-US" w:eastAsia="zh-CN" w:bidi="ar-SA"/>
    </w:rPr>
  </w:style>
  <w:style w:type="paragraph" w:customStyle="1" w:styleId="591">
    <w:name w:val="加粗（居中）"/>
    <w:qFormat/>
    <w:uiPriority w:val="0"/>
    <w:rPr>
      <w:rFonts w:ascii="Times New Roman" w:hAnsi="Times New Roman" w:eastAsia="宋体" w:cs="Times New Roman"/>
      <w:b/>
      <w:bCs/>
      <w:spacing w:val="1"/>
      <w:sz w:val="32"/>
      <w:szCs w:val="24"/>
      <w:lang w:val="en-US" w:eastAsia="zh-CN" w:bidi="ar-SA"/>
    </w:rPr>
  </w:style>
  <w:style w:type="paragraph" w:customStyle="1" w:styleId="592">
    <w:name w:val="Fließtext"/>
    <w:basedOn w:val="1"/>
    <w:qFormat/>
    <w:uiPriority w:val="0"/>
    <w:pPr>
      <w:widowControl w:val="0"/>
      <w:overflowPunct w:val="0"/>
      <w:autoSpaceDE w:val="0"/>
      <w:autoSpaceDN w:val="0"/>
      <w:adjustRightInd w:val="0"/>
      <w:jc w:val="both"/>
      <w:textAlignment w:val="baseline"/>
    </w:pPr>
    <w:rPr>
      <w:rFonts w:ascii="Times New Roman" w:hAnsi="Times New Roman" w:cs="Times New Roman"/>
      <w:kern w:val="28"/>
      <w:sz w:val="21"/>
      <w:szCs w:val="20"/>
    </w:rPr>
  </w:style>
  <w:style w:type="paragraph" w:customStyle="1" w:styleId="593">
    <w:name w:val="Char1"/>
    <w:basedOn w:val="1"/>
    <w:qFormat/>
    <w:uiPriority w:val="0"/>
    <w:pPr>
      <w:widowControl w:val="0"/>
      <w:jc w:val="both"/>
    </w:pPr>
    <w:rPr>
      <w:rFonts w:ascii="Tahoma" w:hAnsi="Tahoma" w:cs="Times New Roman"/>
      <w:kern w:val="2"/>
      <w:szCs w:val="20"/>
    </w:rPr>
  </w:style>
  <w:style w:type="paragraph" w:customStyle="1" w:styleId="594">
    <w:name w:val="样式 标题 1 + 黑体 (符号) 宋体 三号 段前: 7.8 磅 段后: 7.8 磅 行距: 1.5 倍行距"/>
    <w:basedOn w:val="5"/>
    <w:qFormat/>
    <w:uiPriority w:val="0"/>
    <w:pPr>
      <w:keepLines/>
      <w:tabs>
        <w:tab w:val="left" w:pos="567"/>
      </w:tabs>
      <w:adjustRightInd w:val="0"/>
      <w:snapToGrid w:val="0"/>
      <w:spacing w:beforeLines="50" w:afterLines="50" w:line="360" w:lineRule="auto"/>
      <w:ind w:left="431" w:hanging="431"/>
      <w:jc w:val="left"/>
    </w:pPr>
    <w:rPr>
      <w:rFonts w:ascii="Calibri" w:hAnsi="Calibri"/>
      <w:b/>
      <w:bCs/>
      <w:kern w:val="44"/>
      <w:sz w:val="24"/>
      <w:szCs w:val="21"/>
      <w:lang w:val="zh-CN"/>
    </w:rPr>
  </w:style>
  <w:style w:type="paragraph" w:customStyle="1" w:styleId="595">
    <w:name w:val="列出段落111"/>
    <w:basedOn w:val="1"/>
    <w:qFormat/>
    <w:uiPriority w:val="0"/>
    <w:pPr>
      <w:widowControl w:val="0"/>
      <w:ind w:firstLine="420" w:firstLineChars="200"/>
      <w:jc w:val="both"/>
    </w:pPr>
    <w:rPr>
      <w:rFonts w:ascii="Calibri" w:hAnsi="Calibri" w:cs="Times New Roman"/>
      <w:kern w:val="2"/>
      <w:sz w:val="21"/>
      <w:szCs w:val="21"/>
    </w:rPr>
  </w:style>
  <w:style w:type="paragraph" w:customStyle="1" w:styleId="596">
    <w:name w:val="xl1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b/>
      <w:bCs/>
      <w:color w:val="000000"/>
    </w:rPr>
  </w:style>
  <w:style w:type="paragraph" w:customStyle="1" w:styleId="597">
    <w:name w:val="样式 标题 3 + (中文) 黑体 小四 非加粗 段前: 7.8 磅 段后: 0 磅 行距: 固定值 20 磅"/>
    <w:basedOn w:val="7"/>
    <w:qFormat/>
    <w:uiPriority w:val="0"/>
    <w:pPr>
      <w:keepNext w:val="0"/>
      <w:keepLines w:val="0"/>
      <w:widowControl w:val="0"/>
      <w:tabs>
        <w:tab w:val="left" w:pos="432"/>
      </w:tabs>
      <w:adjustRightInd w:val="0"/>
      <w:snapToGrid w:val="0"/>
      <w:spacing w:before="0" w:after="0" w:line="400" w:lineRule="exact"/>
      <w:jc w:val="both"/>
    </w:pPr>
    <w:rPr>
      <w:rFonts w:ascii="Times New Roman" w:hAnsi="Times New Roman"/>
      <w:bCs w:val="0"/>
      <w:sz w:val="24"/>
      <w:szCs w:val="20"/>
      <w:lang w:val="zh-CN"/>
    </w:rPr>
  </w:style>
  <w:style w:type="paragraph" w:customStyle="1" w:styleId="598">
    <w:name w:val="++标题2"/>
    <w:basedOn w:val="6"/>
    <w:qFormat/>
    <w:uiPriority w:val="0"/>
    <w:pPr>
      <w:keepLines w:val="0"/>
      <w:widowControl w:val="0"/>
      <w:tabs>
        <w:tab w:val="left" w:pos="432"/>
      </w:tabs>
      <w:spacing w:beforeLines="50" w:after="0" w:line="240" w:lineRule="auto"/>
      <w:jc w:val="both"/>
    </w:pPr>
    <w:rPr>
      <w:rFonts w:ascii="宋体" w:hAnsi="宋体" w:eastAsia="宋体" w:cs="Arial"/>
      <w:b w:val="0"/>
      <w:kern w:val="0"/>
      <w:sz w:val="24"/>
      <w:szCs w:val="24"/>
    </w:rPr>
  </w:style>
  <w:style w:type="paragraph" w:customStyle="1" w:styleId="599">
    <w:name w:val="默认段落字体 Para Char Char Char Char Char Char Char Char Char1 Char Char Char Char"/>
    <w:basedOn w:val="1"/>
    <w:qFormat/>
    <w:uiPriority w:val="0"/>
    <w:pPr>
      <w:widowControl w:val="0"/>
      <w:jc w:val="both"/>
    </w:pPr>
    <w:rPr>
      <w:rFonts w:ascii="Tahoma" w:hAnsi="Tahoma" w:eastAsia="仿宋_GB2312"/>
      <w:b/>
      <w:bCs/>
      <w:color w:val="000000"/>
      <w:szCs w:val="20"/>
    </w:rPr>
  </w:style>
  <w:style w:type="paragraph" w:customStyle="1" w:styleId="600">
    <w:name w:val="样式 标题 2 + (西文) 宋体 非加粗 居中"/>
    <w:basedOn w:val="6"/>
    <w:qFormat/>
    <w:uiPriority w:val="0"/>
    <w:pPr>
      <w:widowControl w:val="0"/>
      <w:tabs>
        <w:tab w:val="left" w:pos="432"/>
      </w:tabs>
      <w:adjustRightInd w:val="0"/>
      <w:snapToGrid w:val="0"/>
      <w:spacing w:line="412" w:lineRule="auto"/>
      <w:jc w:val="center"/>
    </w:pPr>
    <w:rPr>
      <w:rFonts w:ascii="Calibri" w:hAnsi="Calibri" w:eastAsia="宋体"/>
      <w:bCs w:val="0"/>
      <w:spacing w:val="2"/>
      <w:sz w:val="24"/>
      <w:szCs w:val="20"/>
      <w:lang w:val="zh-CN"/>
    </w:rPr>
  </w:style>
  <w:style w:type="paragraph" w:customStyle="1" w:styleId="6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cs="Times New Roman"/>
      <w:sz w:val="18"/>
      <w:szCs w:val="18"/>
    </w:rPr>
  </w:style>
  <w:style w:type="paragraph" w:customStyle="1" w:styleId="602">
    <w:name w:val="列出段落11"/>
    <w:basedOn w:val="1"/>
    <w:qFormat/>
    <w:uiPriority w:val="0"/>
    <w:pPr>
      <w:widowControl w:val="0"/>
      <w:ind w:firstLine="420" w:firstLineChars="200"/>
      <w:jc w:val="both"/>
    </w:pPr>
    <w:rPr>
      <w:rFonts w:ascii="Calibri" w:hAnsi="Calibri" w:cs="Times New Roman"/>
      <w:kern w:val="2"/>
      <w:sz w:val="21"/>
      <w:szCs w:val="21"/>
    </w:rPr>
  </w:style>
  <w:style w:type="paragraph" w:customStyle="1" w:styleId="603">
    <w:name w:val="indent 5"/>
    <w:basedOn w:val="437"/>
    <w:next w:val="437"/>
    <w:qFormat/>
    <w:uiPriority w:val="0"/>
    <w:pPr>
      <w:spacing w:before="60" w:after="60"/>
    </w:pPr>
    <w:rPr>
      <w:color w:val="auto"/>
    </w:rPr>
  </w:style>
  <w:style w:type="paragraph" w:customStyle="1" w:styleId="604">
    <w:name w:val="Body"/>
    <w:qFormat/>
    <w:uiPriority w:val="0"/>
    <w:pPr>
      <w:spacing w:after="60"/>
      <w:ind w:left="567" w:right="2835"/>
    </w:pPr>
    <w:rPr>
      <w:rFonts w:ascii="Helvetica" w:hAnsi="Helvetica" w:eastAsia="宋体" w:cs="Times New Roman"/>
      <w:kern w:val="2"/>
      <w:sz w:val="21"/>
      <w:szCs w:val="24"/>
      <w:lang w:val="en-US" w:eastAsia="de-CH" w:bidi="ar-SA"/>
    </w:rPr>
  </w:style>
  <w:style w:type="paragraph" w:customStyle="1" w:styleId="605">
    <w:name w:val="列表编号 41"/>
    <w:basedOn w:val="1"/>
    <w:qFormat/>
    <w:uiPriority w:val="0"/>
    <w:pPr>
      <w:widowControl w:val="0"/>
      <w:tabs>
        <w:tab w:val="left" w:pos="1620"/>
      </w:tabs>
      <w:snapToGrid w:val="0"/>
      <w:spacing w:line="360" w:lineRule="auto"/>
      <w:ind w:left="1620" w:leftChars="600" w:hanging="360" w:hangingChars="200"/>
    </w:pPr>
    <w:rPr>
      <w:rFonts w:ascii="Calibri" w:hAnsi="Calibri" w:cs="Times New Roman"/>
      <w:b/>
      <w:kern w:val="2"/>
      <w:sz w:val="32"/>
      <w:szCs w:val="20"/>
    </w:rPr>
  </w:style>
  <w:style w:type="paragraph" w:customStyle="1" w:styleId="606">
    <w:name w:val=" Char Char Char Char"/>
    <w:basedOn w:val="1"/>
    <w:uiPriority w:val="0"/>
    <w:rPr>
      <w:rFonts w:ascii="Tahoma" w:hAnsi="Tahoma"/>
      <w:szCs w:val="20"/>
    </w:rPr>
  </w:style>
  <w:style w:type="paragraph" w:customStyle="1" w:styleId="607">
    <w:name w:val="xl2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color w:val="000000"/>
      <w:sz w:val="20"/>
      <w:szCs w:val="20"/>
    </w:rPr>
  </w:style>
  <w:style w:type="paragraph" w:customStyle="1" w:styleId="608">
    <w:name w:val="图表"/>
    <w:basedOn w:val="1"/>
    <w:qFormat/>
    <w:uiPriority w:val="0"/>
    <w:pPr>
      <w:widowControl w:val="0"/>
      <w:jc w:val="center"/>
    </w:pPr>
    <w:rPr>
      <w:rFonts w:ascii="Calibri" w:hAnsi="Calibri" w:cs="Times New Roman"/>
      <w:bCs/>
      <w:smallCaps/>
      <w:kern w:val="2"/>
      <w:sz w:val="21"/>
      <w:szCs w:val="36"/>
    </w:rPr>
  </w:style>
  <w:style w:type="paragraph" w:customStyle="1" w:styleId="609">
    <w:name w:val="font17"/>
    <w:basedOn w:val="1"/>
    <w:qFormat/>
    <w:uiPriority w:val="0"/>
    <w:pPr>
      <w:spacing w:before="100" w:beforeAutospacing="1" w:after="100" w:afterAutospacing="1"/>
    </w:pPr>
    <w:rPr>
      <w:rFonts w:hAnsi="Times New Roman" w:cs="Times New Roman"/>
      <w:sz w:val="19"/>
      <w:szCs w:val="19"/>
    </w:rPr>
  </w:style>
  <w:style w:type="paragraph" w:customStyle="1" w:styleId="610">
    <w:name w:val="xl2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611">
    <w:name w:val="xl2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szCs w:val="20"/>
    </w:rPr>
  </w:style>
  <w:style w:type="paragraph" w:customStyle="1" w:styleId="612">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Ansi="Times New Roman" w:cs="Times New Roman"/>
      <w:b/>
      <w:bCs/>
      <w:color w:val="000000"/>
    </w:rPr>
  </w:style>
  <w:style w:type="paragraph" w:customStyle="1" w:styleId="613">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614">
    <w:name w:val="GP标题2"/>
    <w:basedOn w:val="1"/>
    <w:next w:val="615"/>
    <w:qFormat/>
    <w:uiPriority w:val="0"/>
    <w:pPr>
      <w:widowControl w:val="0"/>
      <w:numPr>
        <w:ilvl w:val="1"/>
        <w:numId w:val="6"/>
      </w:numPr>
      <w:tabs>
        <w:tab w:val="left" w:pos="840"/>
        <w:tab w:val="clear" w:pos="567"/>
      </w:tabs>
      <w:spacing w:beforeLines="50" w:afterLines="50" w:line="360" w:lineRule="auto"/>
      <w:outlineLvl w:val="1"/>
    </w:pPr>
    <w:rPr>
      <w:rFonts w:ascii="华文细黑" w:hAnsi="华文细黑" w:eastAsia="华文细黑" w:cs="Times New Roman"/>
      <w:b/>
      <w:sz w:val="32"/>
      <w:szCs w:val="20"/>
    </w:rPr>
  </w:style>
  <w:style w:type="paragraph" w:customStyle="1" w:styleId="615">
    <w:name w:val="GP正文(首行缩进)"/>
    <w:basedOn w:val="1"/>
    <w:qFormat/>
    <w:uiPriority w:val="0"/>
    <w:pPr>
      <w:widowControl w:val="0"/>
      <w:spacing w:line="360" w:lineRule="auto"/>
      <w:ind w:firstLine="200" w:firstLineChars="200"/>
    </w:pPr>
    <w:rPr>
      <w:rFonts w:ascii="Times New Roman" w:hAnsi="Times New Roman" w:cs="Times New Roman"/>
      <w:szCs w:val="20"/>
    </w:rPr>
  </w:style>
  <w:style w:type="paragraph" w:customStyle="1" w:styleId="616">
    <w:name w:val="xl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both"/>
    </w:pPr>
    <w:rPr>
      <w:rFonts w:ascii="Times New Roman" w:hAnsi="Times New Roman" w:cs="Times New Roman"/>
      <w:color w:val="000000"/>
      <w:sz w:val="18"/>
      <w:szCs w:val="18"/>
    </w:rPr>
  </w:style>
  <w:style w:type="paragraph" w:customStyle="1" w:styleId="617">
    <w:name w:val="表格文字（居中）"/>
    <w:basedOn w:val="1"/>
    <w:qFormat/>
    <w:uiPriority w:val="0"/>
    <w:pPr>
      <w:widowControl w:val="0"/>
      <w:snapToGrid w:val="0"/>
      <w:spacing w:line="360" w:lineRule="auto"/>
      <w:jc w:val="center"/>
    </w:pPr>
    <w:rPr>
      <w:rFonts w:ascii="Calibri" w:hAnsi="Calibri" w:cs="Times New Roman"/>
      <w:b/>
      <w:sz w:val="21"/>
      <w:szCs w:val="32"/>
    </w:rPr>
  </w:style>
  <w:style w:type="paragraph" w:customStyle="1" w:styleId="618">
    <w:name w:val="xl2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619">
    <w:name w:val="日期1"/>
    <w:basedOn w:val="1"/>
    <w:next w:val="1"/>
    <w:qFormat/>
    <w:uiPriority w:val="0"/>
    <w:pPr>
      <w:widowControl w:val="0"/>
      <w:ind w:left="100" w:leftChars="2500"/>
      <w:jc w:val="both"/>
    </w:pPr>
    <w:rPr>
      <w:rFonts w:ascii="Times New Roman" w:hAnsi="Calibri" w:cs="Times New Roman"/>
      <w:color w:val="000000"/>
      <w:sz w:val="21"/>
      <w:szCs w:val="21"/>
    </w:rPr>
  </w:style>
  <w:style w:type="paragraph" w:customStyle="1" w:styleId="620">
    <w:name w:val="Char Char7 Char"/>
    <w:basedOn w:val="1"/>
    <w:qFormat/>
    <w:uiPriority w:val="0"/>
    <w:pPr>
      <w:widowControl w:val="0"/>
      <w:tabs>
        <w:tab w:val="left" w:pos="425"/>
      </w:tabs>
      <w:ind w:left="420" w:leftChars="200" w:firstLine="270" w:firstLineChars="150"/>
      <w:jc w:val="both"/>
    </w:pPr>
    <w:rPr>
      <w:rFonts w:hAnsi="Times New Roman" w:cs="Arial"/>
      <w:color w:val="5E5E5E"/>
      <w:sz w:val="21"/>
      <w:szCs w:val="21"/>
    </w:rPr>
  </w:style>
  <w:style w:type="paragraph" w:customStyle="1" w:styleId="621">
    <w:name w:val="正文【标】"/>
    <w:basedOn w:val="1"/>
    <w:next w:val="1"/>
    <w:qFormat/>
    <w:uiPriority w:val="0"/>
    <w:pPr>
      <w:ind w:firstLine="480" w:firstLineChars="200"/>
    </w:pPr>
    <w:rPr>
      <w:szCs w:val="21"/>
    </w:rPr>
  </w:style>
  <w:style w:type="paragraph" w:customStyle="1" w:styleId="622">
    <w:name w:val="编10号"/>
    <w:basedOn w:val="1"/>
    <w:qFormat/>
    <w:uiPriority w:val="0"/>
    <w:pPr>
      <w:widowControl w:val="0"/>
      <w:tabs>
        <w:tab w:val="left" w:pos="1620"/>
      </w:tabs>
      <w:ind w:left="1620" w:hanging="360"/>
      <w:jc w:val="both"/>
    </w:pPr>
    <w:rPr>
      <w:rFonts w:ascii="Times New Roman" w:hAnsi="Times New Roman" w:cs="Times New Roman"/>
      <w:kern w:val="2"/>
      <w:sz w:val="21"/>
    </w:rPr>
  </w:style>
  <w:style w:type="paragraph" w:customStyle="1" w:styleId="623">
    <w:name w:val="xl2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624">
    <w:name w:val="Default Text"/>
    <w:basedOn w:val="1"/>
    <w:qFormat/>
    <w:uiPriority w:val="0"/>
    <w:pPr>
      <w:overflowPunct w:val="0"/>
      <w:autoSpaceDE w:val="0"/>
      <w:autoSpaceDN w:val="0"/>
      <w:adjustRightInd w:val="0"/>
    </w:pPr>
    <w:rPr>
      <w:rFonts w:ascii="Calibri" w:hAnsi="Calibri" w:cs="Calibri"/>
      <w:color w:val="000000"/>
      <w:sz w:val="21"/>
      <w:szCs w:val="21"/>
    </w:rPr>
  </w:style>
  <w:style w:type="paragraph" w:customStyle="1" w:styleId="625">
    <w:name w:val="表格文字"/>
    <w:basedOn w:val="192"/>
    <w:qFormat/>
    <w:uiPriority w:val="0"/>
  </w:style>
  <w:style w:type="paragraph" w:customStyle="1" w:styleId="626">
    <w:name w:val="部分1"/>
    <w:basedOn w:val="1"/>
    <w:qFormat/>
    <w:uiPriority w:val="0"/>
    <w:pPr>
      <w:keepNext/>
      <w:pageBreakBefore/>
      <w:widowControl w:val="0"/>
      <w:tabs>
        <w:tab w:val="left" w:pos="720"/>
      </w:tabs>
      <w:spacing w:line="360" w:lineRule="auto"/>
      <w:jc w:val="center"/>
      <w:outlineLvl w:val="0"/>
    </w:pPr>
    <w:rPr>
      <w:rFonts w:ascii="Times New Roman" w:hAnsi="Times New Roman" w:eastAsia="黑体" w:cs="Times New Roman"/>
      <w:b/>
      <w:kern w:val="44"/>
      <w:sz w:val="36"/>
      <w:szCs w:val="20"/>
    </w:rPr>
  </w:style>
  <w:style w:type="paragraph" w:customStyle="1" w:styleId="627">
    <w:name w:val="+标题2"/>
    <w:basedOn w:val="6"/>
    <w:qFormat/>
    <w:uiPriority w:val="0"/>
    <w:pPr>
      <w:widowControl w:val="0"/>
      <w:tabs>
        <w:tab w:val="left" w:pos="432"/>
      </w:tabs>
      <w:spacing w:before="120" w:after="120" w:line="360" w:lineRule="auto"/>
      <w:jc w:val="both"/>
    </w:pPr>
    <w:rPr>
      <w:rFonts w:ascii="Times New Roman" w:hAnsi="Times New Roman" w:eastAsia="宋体"/>
      <w:sz w:val="24"/>
      <w:szCs w:val="28"/>
    </w:rPr>
  </w:style>
  <w:style w:type="paragraph" w:customStyle="1" w:styleId="628">
    <w:name w:val="XHH标题6"/>
    <w:qFormat/>
    <w:uiPriority w:val="0"/>
    <w:pPr>
      <w:ind w:left="3260" w:hanging="1134"/>
    </w:pPr>
    <w:rPr>
      <w:rFonts w:ascii="黑体" w:hAnsi="黑体" w:eastAsia="黑体" w:cs="宋体"/>
      <w:kern w:val="2"/>
      <w:sz w:val="28"/>
      <w:szCs w:val="28"/>
      <w:lang w:val="en-US" w:eastAsia="zh-CN" w:bidi="ar-SA"/>
    </w:rPr>
  </w:style>
  <w:style w:type="paragraph" w:customStyle="1" w:styleId="629">
    <w:name w:val="xl2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630">
    <w:name w:val="xl22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sz w:val="20"/>
      <w:szCs w:val="20"/>
    </w:rPr>
  </w:style>
  <w:style w:type="paragraph" w:customStyle="1" w:styleId="631">
    <w:name w:val="xl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Times New Roman" w:hAnsi="Times New Roman" w:cs="Times New Roman"/>
      <w:color w:val="000000"/>
      <w:sz w:val="18"/>
      <w:szCs w:val="18"/>
    </w:rPr>
  </w:style>
  <w:style w:type="paragraph" w:customStyle="1" w:styleId="632">
    <w:name w:val="Char Char1 Char Char Char Char Char Char Char Char Char Char"/>
    <w:basedOn w:val="1"/>
    <w:qFormat/>
    <w:uiPriority w:val="0"/>
    <w:pPr>
      <w:widowControl w:val="0"/>
      <w:jc w:val="both"/>
    </w:pPr>
    <w:rPr>
      <w:rFonts w:ascii="Tahoma" w:hAnsi="Tahoma" w:cs="Times New Roman"/>
      <w:b/>
      <w:bCs/>
      <w:color w:val="000000"/>
      <w:szCs w:val="20"/>
    </w:rPr>
  </w:style>
  <w:style w:type="paragraph" w:customStyle="1" w:styleId="633">
    <w:name w:val="正文文本缩进 21"/>
    <w:basedOn w:val="1"/>
    <w:qFormat/>
    <w:uiPriority w:val="0"/>
    <w:pPr>
      <w:widowControl w:val="0"/>
      <w:ind w:firstLine="480" w:firstLineChars="200"/>
      <w:jc w:val="both"/>
    </w:pPr>
    <w:rPr>
      <w:rFonts w:ascii="Times New Roman" w:hAnsi="Times New Roman" w:cs="Times New Roman"/>
      <w:sz w:val="21"/>
      <w:szCs w:val="21"/>
    </w:rPr>
  </w:style>
  <w:style w:type="paragraph" w:customStyle="1" w:styleId="634">
    <w:name w:val="引文目录标题1"/>
    <w:basedOn w:val="1"/>
    <w:next w:val="1"/>
    <w:qFormat/>
    <w:uiPriority w:val="0"/>
    <w:pPr>
      <w:widowControl w:val="0"/>
      <w:snapToGrid w:val="0"/>
      <w:spacing w:before="120" w:line="360" w:lineRule="auto"/>
      <w:jc w:val="center"/>
    </w:pPr>
    <w:rPr>
      <w:rFonts w:ascii="Arial" w:hAnsi="Arial" w:cs="Arial"/>
      <w:b/>
      <w:kern w:val="2"/>
      <w:sz w:val="32"/>
      <w:szCs w:val="32"/>
    </w:rPr>
  </w:style>
  <w:style w:type="paragraph" w:customStyle="1" w:styleId="635">
    <w:name w:val="表内文字"/>
    <w:basedOn w:val="1"/>
    <w:qFormat/>
    <w:uiPriority w:val="0"/>
    <w:pPr>
      <w:spacing w:line="500" w:lineRule="atLeast"/>
      <w:jc w:val="center"/>
    </w:pPr>
    <w:rPr>
      <w:rFonts w:ascii="Arial" w:hAnsi="Arial" w:eastAsia="楷体_GB2312" w:cs="Arial"/>
      <w:sz w:val="28"/>
    </w:rPr>
  </w:style>
  <w:style w:type="paragraph" w:customStyle="1" w:styleId="636">
    <w:name w:val="xl2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hAnsi="Times New Roman" w:cs="Times New Roman"/>
      <w:sz w:val="20"/>
      <w:szCs w:val="20"/>
    </w:rPr>
  </w:style>
  <w:style w:type="paragraph" w:customStyle="1" w:styleId="637">
    <w:name w:val="xl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b/>
      <w:bCs/>
      <w:color w:val="000000"/>
    </w:rPr>
  </w:style>
  <w:style w:type="paragraph" w:customStyle="1" w:styleId="638">
    <w:name w:val="dkk表組"/>
    <w:basedOn w:val="1"/>
    <w:qFormat/>
    <w:uiPriority w:val="0"/>
    <w:pPr>
      <w:widowControl w:val="0"/>
      <w:spacing w:after="40" w:line="320" w:lineRule="exact"/>
      <w:jc w:val="both"/>
      <w:textAlignment w:val="baseline"/>
    </w:pPr>
    <w:rPr>
      <w:rFonts w:ascii="Times New Roman" w:hAnsi="Century" w:cs="Times New Roman"/>
      <w:kern w:val="2"/>
      <w:sz w:val="18"/>
    </w:rPr>
  </w:style>
  <w:style w:type="paragraph" w:customStyle="1" w:styleId="639">
    <w:name w:val="金保首页2"/>
    <w:basedOn w:val="1"/>
    <w:next w:val="1"/>
    <w:uiPriority w:val="0"/>
    <w:pPr>
      <w:jc w:val="center"/>
    </w:pPr>
    <w:rPr>
      <w:rFonts w:ascii="Tahoma" w:hAnsi="Tahoma" w:eastAsia="黑体"/>
      <w:b/>
      <w:bCs/>
      <w:sz w:val="72"/>
      <w:szCs w:val="72"/>
    </w:rPr>
  </w:style>
  <w:style w:type="paragraph" w:customStyle="1" w:styleId="640">
    <w:name w:val="a1"/>
    <w:basedOn w:val="1"/>
    <w:uiPriority w:val="0"/>
    <w:pPr>
      <w:spacing w:before="100" w:beforeAutospacing="1" w:after="100" w:afterAutospacing="1"/>
    </w:pPr>
  </w:style>
  <w:style w:type="paragraph" w:customStyle="1" w:styleId="641">
    <w:name w:val="Char Char Char Char2"/>
    <w:basedOn w:val="1"/>
    <w:qFormat/>
    <w:uiPriority w:val="0"/>
    <w:pPr>
      <w:spacing w:after="160" w:line="240" w:lineRule="exact"/>
    </w:pPr>
    <w:rPr>
      <w:rFonts w:ascii="Verdana" w:hAnsi="Verdana" w:cs="Times New Roman"/>
      <w:sz w:val="20"/>
      <w:szCs w:val="20"/>
      <w:lang w:eastAsia="en-US"/>
    </w:rPr>
  </w:style>
  <w:style w:type="paragraph" w:customStyle="1" w:styleId="642">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sz w:val="20"/>
      <w:szCs w:val="20"/>
    </w:rPr>
  </w:style>
  <w:style w:type="paragraph" w:customStyle="1" w:styleId="643">
    <w:name w:val=" Char1 Char Char Char Char Char Char"/>
    <w:basedOn w:val="1"/>
    <w:uiPriority w:val="0"/>
    <w:rPr>
      <w:rFonts w:ascii="Tahoma" w:hAnsi="Tahoma"/>
      <w:szCs w:val="20"/>
    </w:rPr>
  </w:style>
  <w:style w:type="paragraph" w:customStyle="1" w:styleId="644">
    <w:name w:val="blue"/>
    <w:basedOn w:val="1"/>
    <w:qFormat/>
    <w:uiPriority w:val="0"/>
    <w:pPr>
      <w:spacing w:before="100" w:beforeAutospacing="1" w:after="100" w:afterAutospacing="1"/>
    </w:pPr>
    <w:rPr>
      <w:rFonts w:ascii="Arial Unicode MS" w:hAnsi="Arial Unicode MS" w:eastAsia="Arial Unicode MS" w:cs="Times New Roman"/>
      <w:szCs w:val="20"/>
    </w:rPr>
  </w:style>
  <w:style w:type="paragraph" w:customStyle="1" w:styleId="645">
    <w:name w:val="font6"/>
    <w:basedOn w:val="1"/>
    <w:qFormat/>
    <w:uiPriority w:val="0"/>
    <w:pPr>
      <w:spacing w:before="100" w:beforeAutospacing="1" w:after="100" w:afterAutospacing="1"/>
    </w:pPr>
    <w:rPr>
      <w:rFonts w:eastAsia="Arial Unicode MS"/>
      <w:szCs w:val="21"/>
      <w:lang w:eastAsia="en-US"/>
    </w:rPr>
  </w:style>
  <w:style w:type="paragraph" w:customStyle="1" w:styleId="646">
    <w:name w:val="正文缩进 New"/>
    <w:basedOn w:val="1"/>
    <w:qFormat/>
    <w:uiPriority w:val="0"/>
    <w:pPr>
      <w:widowControl w:val="0"/>
      <w:ind w:firstLine="420" w:firstLineChars="200"/>
      <w:jc w:val="both"/>
    </w:pPr>
    <w:rPr>
      <w:rFonts w:ascii="Times New Roman" w:hAnsi="Times New Roman" w:cs="Times New Roman"/>
      <w:kern w:val="2"/>
      <w:sz w:val="21"/>
      <w:szCs w:val="20"/>
    </w:rPr>
  </w:style>
  <w:style w:type="paragraph" w:customStyle="1" w:styleId="647">
    <w:name w:val="font0"/>
    <w:basedOn w:val="1"/>
    <w:qFormat/>
    <w:uiPriority w:val="0"/>
    <w:pPr>
      <w:spacing w:before="100" w:beforeAutospacing="1" w:after="100" w:afterAutospacing="1"/>
    </w:pPr>
    <w:rPr>
      <w:rFonts w:ascii="Arial" w:hAnsi="Arial" w:eastAsia="Arial Unicode MS" w:cs="Arial"/>
      <w:sz w:val="20"/>
      <w:szCs w:val="20"/>
    </w:rPr>
  </w:style>
  <w:style w:type="paragraph" w:customStyle="1" w:styleId="648">
    <w:name w:val="xl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color w:val="FF0000"/>
    </w:rPr>
  </w:style>
  <w:style w:type="paragraph" w:customStyle="1" w:styleId="649">
    <w:name w:val="List Paragraph1"/>
    <w:basedOn w:val="1"/>
    <w:qFormat/>
    <w:uiPriority w:val="0"/>
    <w:pPr>
      <w:spacing w:line="300" w:lineRule="auto"/>
      <w:ind w:firstLine="420" w:firstLineChars="200"/>
      <w:jc w:val="both"/>
    </w:pPr>
    <w:rPr>
      <w:rFonts w:ascii="Arial" w:hAnsi="Arial" w:cs="Times New Roman"/>
      <w:sz w:val="18"/>
      <w:szCs w:val="20"/>
    </w:rPr>
  </w:style>
  <w:style w:type="paragraph" w:customStyle="1" w:styleId="650">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651">
    <w:name w:val="Char Char Char"/>
    <w:basedOn w:val="1"/>
    <w:uiPriority w:val="0"/>
    <w:rPr>
      <w:b/>
      <w:bCs/>
      <w:color w:val="000000"/>
      <w:sz w:val="22"/>
      <w:szCs w:val="22"/>
    </w:rPr>
  </w:style>
  <w:style w:type="paragraph" w:customStyle="1" w:styleId="652">
    <w:name w:val="正文文本 21"/>
    <w:basedOn w:val="1"/>
    <w:qFormat/>
    <w:uiPriority w:val="0"/>
    <w:pPr>
      <w:widowControl w:val="0"/>
      <w:adjustRightInd w:val="0"/>
      <w:spacing w:line="360" w:lineRule="atLeast"/>
      <w:ind w:firstLine="525"/>
      <w:jc w:val="both"/>
      <w:textAlignment w:val="baseline"/>
    </w:pPr>
    <w:rPr>
      <w:rFonts w:hAnsi="Times New Roman" w:cs="Times New Roman"/>
      <w:sz w:val="28"/>
      <w:szCs w:val="20"/>
    </w:rPr>
  </w:style>
  <w:style w:type="paragraph" w:customStyle="1" w:styleId="653">
    <w:name w:val="默认段落字体 Para Char Char Char Char Char Char Char"/>
    <w:basedOn w:val="1"/>
    <w:qFormat/>
    <w:uiPriority w:val="0"/>
    <w:rPr>
      <w:rFonts w:ascii="Tahoma" w:hAnsi="Tahoma"/>
      <w:szCs w:val="20"/>
    </w:rPr>
  </w:style>
  <w:style w:type="paragraph" w:customStyle="1" w:styleId="654">
    <w:name w:val="Normal Paragraph"/>
    <w:qFormat/>
    <w:uiPriority w:val="0"/>
    <w:pPr>
      <w:overflowPunct w:val="0"/>
      <w:autoSpaceDE w:val="0"/>
      <w:autoSpaceDN w:val="0"/>
      <w:adjustRightInd w:val="0"/>
      <w:spacing w:before="120"/>
      <w:ind w:left="1800"/>
      <w:textAlignment w:val="baseline"/>
    </w:pPr>
    <w:rPr>
      <w:rFonts w:ascii="宋体" w:hAnsi="Times New Roman" w:eastAsia="宋体" w:cs="Times New Roman"/>
      <w:color w:val="000000"/>
      <w:lang w:val="en-US" w:eastAsia="zh-CN" w:bidi="ar-SA"/>
    </w:rPr>
  </w:style>
  <w:style w:type="paragraph" w:customStyle="1" w:styleId="655">
    <w:name w:val="xl4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Arial Unicode MS" w:hAnsi="Arial Unicode MS" w:eastAsia="Arial Unicode MS" w:cs="Arial Unicode MS"/>
    </w:rPr>
  </w:style>
  <w:style w:type="paragraph" w:customStyle="1" w:styleId="656">
    <w:name w:val="xl35"/>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rPr>
  </w:style>
  <w:style w:type="paragraph" w:customStyle="1" w:styleId="657">
    <w:name w:val="xl29"/>
    <w:basedOn w:val="1"/>
    <w:qFormat/>
    <w:uiPriority w:val="0"/>
    <w:pPr>
      <w:spacing w:before="100" w:beforeAutospacing="1" w:after="100" w:afterAutospacing="1"/>
      <w:textAlignment w:val="center"/>
    </w:pPr>
    <w:rPr>
      <w:rFonts w:ascii="Arial Unicode MS" w:hAnsi="Arial Unicode MS" w:cs="Times New Roman"/>
      <w:sz w:val="18"/>
      <w:szCs w:val="18"/>
    </w:rPr>
  </w:style>
  <w:style w:type="paragraph" w:customStyle="1" w:styleId="658">
    <w:name w:val=" Char1 Char Char Char"/>
    <w:basedOn w:val="1"/>
    <w:uiPriority w:val="0"/>
    <w:rPr>
      <w:rFonts w:ascii="Tahoma" w:hAnsi="Tahoma"/>
      <w:szCs w:val="20"/>
    </w:rPr>
  </w:style>
  <w:style w:type="paragraph" w:customStyle="1" w:styleId="659">
    <w:name w:val="Body Text 2"/>
    <w:basedOn w:val="1"/>
    <w:uiPriority w:val="0"/>
    <w:pPr>
      <w:tabs>
        <w:tab w:val="left" w:pos="1260"/>
        <w:tab w:val="left" w:pos="2160"/>
        <w:tab w:val="left" w:pos="7920"/>
      </w:tabs>
      <w:overflowPunct w:val="0"/>
      <w:autoSpaceDE w:val="0"/>
      <w:autoSpaceDN w:val="0"/>
      <w:adjustRightInd w:val="0"/>
      <w:ind w:left="720"/>
      <w:textAlignment w:val="baseline"/>
    </w:pPr>
    <w:rPr>
      <w:szCs w:val="20"/>
    </w:rPr>
  </w:style>
  <w:style w:type="paragraph" w:customStyle="1" w:styleId="660">
    <w:name w:val="索引 41"/>
    <w:basedOn w:val="1"/>
    <w:next w:val="1"/>
    <w:qFormat/>
    <w:uiPriority w:val="0"/>
    <w:pPr>
      <w:widowControl w:val="0"/>
      <w:snapToGrid w:val="0"/>
      <w:spacing w:line="360" w:lineRule="auto"/>
      <w:ind w:left="600" w:leftChars="600"/>
      <w:jc w:val="center"/>
    </w:pPr>
    <w:rPr>
      <w:rFonts w:ascii="Calibri" w:hAnsi="Calibri" w:cs="Times New Roman"/>
      <w:b/>
      <w:kern w:val="2"/>
      <w:sz w:val="32"/>
      <w:szCs w:val="32"/>
    </w:rPr>
  </w:style>
  <w:style w:type="paragraph" w:customStyle="1" w:styleId="661">
    <w:name w:val="标题 2h2sect"/>
    <w:next w:val="1"/>
    <w:qFormat/>
    <w:uiPriority w:val="0"/>
    <w:pPr>
      <w:tabs>
        <w:tab w:val="left" w:pos="425"/>
      </w:tabs>
      <w:spacing w:before="120" w:after="120" w:line="360" w:lineRule="auto"/>
      <w:ind w:left="425" w:hanging="425"/>
    </w:pPr>
    <w:rPr>
      <w:rFonts w:ascii="Times New Roman" w:hAnsi="宋体" w:eastAsia="宋体" w:cs="宋体"/>
      <w:b/>
      <w:bCs/>
      <w:color w:val="000000"/>
      <w:kern w:val="2"/>
      <w:sz w:val="30"/>
      <w:szCs w:val="30"/>
      <w:lang w:val="en-US" w:eastAsia="zh-CN" w:bidi="ar-SA"/>
    </w:rPr>
  </w:style>
  <w:style w:type="paragraph" w:customStyle="1" w:styleId="662">
    <w:name w:val="GP标题3"/>
    <w:basedOn w:val="1"/>
    <w:next w:val="615"/>
    <w:qFormat/>
    <w:uiPriority w:val="0"/>
    <w:pPr>
      <w:widowControl w:val="0"/>
      <w:numPr>
        <w:ilvl w:val="2"/>
        <w:numId w:val="6"/>
      </w:numPr>
      <w:tabs>
        <w:tab w:val="left" w:pos="1260"/>
        <w:tab w:val="clear" w:pos="720"/>
      </w:tabs>
      <w:spacing w:beforeLines="50" w:afterLines="50" w:line="360" w:lineRule="auto"/>
      <w:outlineLvl w:val="2"/>
    </w:pPr>
    <w:rPr>
      <w:rFonts w:ascii="华文细黑" w:hAnsi="华文细黑" w:eastAsia="华文细黑" w:cs="Times New Roman"/>
      <w:b/>
      <w:sz w:val="30"/>
      <w:szCs w:val="20"/>
    </w:rPr>
  </w:style>
  <w:style w:type="paragraph" w:customStyle="1" w:styleId="663">
    <w:name w:val="Char Char5 Char1"/>
    <w:basedOn w:val="1"/>
    <w:qFormat/>
    <w:uiPriority w:val="0"/>
    <w:pPr>
      <w:widowControl w:val="0"/>
      <w:jc w:val="both"/>
    </w:pPr>
    <w:rPr>
      <w:rFonts w:ascii="Times New Roman" w:hAnsi="Times New Roman" w:cs="Times New Roman"/>
      <w:kern w:val="2"/>
      <w:sz w:val="21"/>
      <w:szCs w:val="20"/>
    </w:rPr>
  </w:style>
  <w:style w:type="paragraph" w:customStyle="1" w:styleId="664">
    <w:name w:val="Char14 Char Char Char"/>
    <w:basedOn w:val="1"/>
    <w:qFormat/>
    <w:uiPriority w:val="0"/>
    <w:pPr>
      <w:widowControl w:val="0"/>
      <w:jc w:val="both"/>
    </w:pPr>
    <w:rPr>
      <w:rFonts w:ascii="Times New Roman" w:hAnsi="Times New Roman" w:cs="Times New Roman"/>
      <w:kern w:val="2"/>
      <w:sz w:val="21"/>
      <w:szCs w:val="20"/>
    </w:rPr>
  </w:style>
  <w:style w:type="paragraph" w:customStyle="1" w:styleId="665">
    <w:name w:val="正文 A"/>
    <w:qFormat/>
    <w:uiPriority w:val="0"/>
    <w:pPr>
      <w:widowControl w:val="0"/>
      <w:jc w:val="both"/>
    </w:pPr>
    <w:rPr>
      <w:rFonts w:hint="eastAsia" w:ascii="Arial Unicode MS" w:hAnsi="Arial Unicode MS" w:eastAsia="Arial Unicode MS" w:cs="Arial Unicode MS"/>
      <w:color w:val="000000"/>
      <w:kern w:val="2"/>
      <w:sz w:val="21"/>
      <w:szCs w:val="21"/>
      <w:u w:color="000000"/>
      <w:lang w:val="zh-TW" w:eastAsia="zh-TW" w:bidi="ar-SA"/>
    </w:rPr>
  </w:style>
  <w:style w:type="paragraph" w:customStyle="1" w:styleId="666">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b/>
      <w:bCs/>
      <w:sz w:val="20"/>
      <w:szCs w:val="20"/>
    </w:rPr>
  </w:style>
  <w:style w:type="paragraph" w:customStyle="1" w:styleId="667">
    <w:name w:val="样式 标题 3h3H3sect1.2.3HeadCHeading 3 - oldMapH31Level 3 To..."/>
    <w:basedOn w:val="7"/>
    <w:next w:val="419"/>
    <w:qFormat/>
    <w:uiPriority w:val="0"/>
    <w:pPr>
      <w:tabs>
        <w:tab w:val="left" w:pos="432"/>
        <w:tab w:val="left" w:pos="851"/>
      </w:tabs>
      <w:spacing w:before="120" w:after="120" w:line="360" w:lineRule="auto"/>
    </w:pPr>
    <w:rPr>
      <w:rFonts w:ascii="Tahoma" w:hAnsi="Tahoma"/>
      <w:kern w:val="0"/>
      <w:sz w:val="24"/>
      <w:szCs w:val="24"/>
    </w:rPr>
  </w:style>
  <w:style w:type="paragraph" w:customStyle="1" w:styleId="668">
    <w:name w:val="0"/>
    <w:basedOn w:val="1"/>
    <w:qFormat/>
    <w:uiPriority w:val="0"/>
    <w:pPr>
      <w:snapToGrid w:val="0"/>
      <w:spacing w:line="360" w:lineRule="auto"/>
      <w:ind w:hanging="1" w:firstLineChars="200"/>
      <w:jc w:val="both"/>
    </w:pPr>
    <w:rPr>
      <w:rFonts w:ascii="Times New Roman" w:hAnsi="Times New Roman" w:cs="Times New Roman"/>
      <w:sz w:val="21"/>
      <w:szCs w:val="21"/>
    </w:rPr>
  </w:style>
  <w:style w:type="paragraph" w:customStyle="1" w:styleId="669">
    <w:name w:val="招标文件》"/>
    <w:basedOn w:val="1"/>
    <w:qFormat/>
    <w:uiPriority w:val="0"/>
    <w:pPr>
      <w:tabs>
        <w:tab w:val="left" w:pos="560"/>
      </w:tabs>
      <w:spacing w:before="120" w:after="120" w:line="300" w:lineRule="auto"/>
      <w:ind w:left="420" w:hanging="420"/>
    </w:pPr>
    <w:rPr>
      <w:rFonts w:ascii="Calibri" w:hAnsi="Times New Roman" w:cs="Times New Roman"/>
      <w:spacing w:val="10"/>
      <w:w w:val="95"/>
      <w:sz w:val="21"/>
      <w:szCs w:val="20"/>
    </w:rPr>
  </w:style>
  <w:style w:type="paragraph" w:customStyle="1" w:styleId="670">
    <w:name w:val="xl68"/>
    <w:basedOn w:val="1"/>
    <w:qFormat/>
    <w:uiPriority w:val="0"/>
    <w:pPr>
      <w:spacing w:before="100" w:beforeAutospacing="1" w:after="100" w:afterAutospacing="1"/>
      <w:textAlignment w:val="center"/>
    </w:pPr>
    <w:rPr>
      <w:rFonts w:ascii="仿宋" w:hAnsi="仿宋" w:eastAsia="仿宋" w:cs="Times New Roman"/>
    </w:rPr>
  </w:style>
  <w:style w:type="paragraph" w:customStyle="1" w:styleId="67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rPr>
  </w:style>
  <w:style w:type="paragraph" w:customStyle="1" w:styleId="672">
    <w:name w:val="xl7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sz w:val="28"/>
      <w:szCs w:val="28"/>
    </w:rPr>
  </w:style>
  <w:style w:type="paragraph" w:customStyle="1" w:styleId="673">
    <w:name w:val="样式 宋体 行距: 多倍行距 1.25 字行1"/>
    <w:basedOn w:val="1"/>
    <w:uiPriority w:val="0"/>
    <w:pPr>
      <w:spacing w:line="300" w:lineRule="auto"/>
    </w:pPr>
    <w:rPr>
      <w:szCs w:val="20"/>
    </w:rPr>
  </w:style>
  <w:style w:type="paragraph" w:customStyle="1" w:styleId="674">
    <w:name w:val="xl2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szCs w:val="20"/>
    </w:rPr>
  </w:style>
  <w:style w:type="paragraph" w:customStyle="1" w:styleId="675">
    <w:name w:val=" Char Char7 Char"/>
    <w:basedOn w:val="1"/>
    <w:uiPriority w:val="0"/>
    <w:pPr>
      <w:tabs>
        <w:tab w:val="left" w:pos="425"/>
      </w:tabs>
      <w:ind w:left="420" w:leftChars="200" w:firstLine="270" w:firstLineChars="150"/>
    </w:pPr>
    <w:rPr>
      <w:rFonts w:cs="Arial"/>
      <w:color w:val="5E5E5E"/>
      <w:szCs w:val="21"/>
    </w:rPr>
  </w:style>
  <w:style w:type="paragraph" w:customStyle="1" w:styleId="676">
    <w:name w:val="xl1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b/>
      <w:bCs/>
      <w:color w:val="000000"/>
    </w:rPr>
  </w:style>
  <w:style w:type="paragraph" w:customStyle="1" w:styleId="677">
    <w:name w:val="标书标题2"/>
    <w:basedOn w:val="6"/>
    <w:uiPriority w:val="0"/>
    <w:pPr>
      <w:keepLines w:val="0"/>
      <w:numPr>
        <w:ilvl w:val="0"/>
        <w:numId w:val="7"/>
      </w:numPr>
      <w:tabs>
        <w:tab w:val="left" w:pos="567"/>
        <w:tab w:val="clear" w:pos="780"/>
      </w:tabs>
      <w:adjustRightInd w:val="0"/>
      <w:snapToGrid w:val="0"/>
      <w:spacing w:beforeLines="50" w:after="60" w:line="300" w:lineRule="auto"/>
      <w:ind w:left="567" w:hanging="567"/>
    </w:pPr>
    <w:rPr>
      <w:rFonts w:ascii="Arial Narrow" w:hAnsi="Arial Narrow" w:eastAsia="仿宋_GB2312"/>
      <w:bCs w:val="0"/>
      <w:kern w:val="0"/>
      <w:sz w:val="28"/>
      <w:szCs w:val="20"/>
    </w:rPr>
  </w:style>
  <w:style w:type="paragraph" w:customStyle="1" w:styleId="678">
    <w:name w:val="Char Char2 Char Char Char Char"/>
    <w:basedOn w:val="21"/>
    <w:qFormat/>
    <w:uiPriority w:val="0"/>
    <w:pPr>
      <w:widowControl w:val="0"/>
      <w:shd w:val="clear" w:color="auto" w:fill="000080"/>
      <w:jc w:val="both"/>
    </w:pPr>
    <w:rPr>
      <w:rFonts w:ascii="Tahoma" w:hAnsi="Tahoma"/>
      <w:sz w:val="24"/>
      <w:szCs w:val="24"/>
    </w:rPr>
  </w:style>
  <w:style w:type="paragraph" w:customStyle="1" w:styleId="679">
    <w:name w:val="列出段落3"/>
    <w:basedOn w:val="1"/>
    <w:qFormat/>
    <w:uiPriority w:val="0"/>
    <w:pPr>
      <w:widowControl w:val="0"/>
      <w:ind w:firstLine="420" w:firstLineChars="200"/>
      <w:jc w:val="both"/>
    </w:pPr>
    <w:rPr>
      <w:rFonts w:ascii="Times New Roman" w:hAnsi="Times New Roman" w:cs="Times New Roman"/>
      <w:kern w:val="2"/>
      <w:sz w:val="21"/>
      <w:szCs w:val="21"/>
    </w:rPr>
  </w:style>
  <w:style w:type="paragraph" w:customStyle="1" w:styleId="680">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681">
    <w:name w:val="xl66"/>
    <w:basedOn w:val="1"/>
    <w:qFormat/>
    <w:uiPriority w:val="0"/>
    <w:pPr>
      <w:spacing w:before="100" w:beforeAutospacing="1" w:after="100" w:afterAutospacing="1"/>
      <w:jc w:val="center"/>
      <w:textAlignment w:val="center"/>
    </w:pPr>
    <w:rPr>
      <w:rFonts w:ascii="仿宋" w:hAnsi="仿宋" w:eastAsia="仿宋" w:cs="Times New Roman"/>
    </w:rPr>
  </w:style>
  <w:style w:type="paragraph" w:customStyle="1" w:styleId="682">
    <w:name w:val="xl2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683">
    <w:name w:val="样式 标题 3 + 行距: 1.5 倍行距"/>
    <w:basedOn w:val="7"/>
    <w:qFormat/>
    <w:uiPriority w:val="0"/>
    <w:pPr>
      <w:keepNext w:val="0"/>
      <w:keepLines w:val="0"/>
      <w:widowControl w:val="0"/>
      <w:tabs>
        <w:tab w:val="left" w:pos="432"/>
      </w:tabs>
      <w:adjustRightInd w:val="0"/>
      <w:snapToGrid w:val="0"/>
      <w:spacing w:before="0" w:after="0" w:line="360" w:lineRule="auto"/>
      <w:ind w:firstLine="200" w:firstLineChars="200"/>
      <w:jc w:val="both"/>
    </w:pPr>
    <w:rPr>
      <w:b w:val="0"/>
      <w:sz w:val="28"/>
      <w:szCs w:val="20"/>
      <w:lang w:val="zh-CN"/>
    </w:rPr>
  </w:style>
  <w:style w:type="paragraph" w:customStyle="1" w:styleId="684">
    <w:name w:val="正文首行缩进两字符"/>
    <w:basedOn w:val="1"/>
    <w:qFormat/>
    <w:uiPriority w:val="0"/>
    <w:pPr>
      <w:widowControl w:val="0"/>
      <w:spacing w:line="360" w:lineRule="auto"/>
      <w:ind w:firstLine="200" w:firstLineChars="200"/>
      <w:jc w:val="both"/>
    </w:pPr>
    <w:rPr>
      <w:rFonts w:ascii="Times New Roman" w:hAnsi="Times New Roman" w:cs="Times New Roman"/>
      <w:kern w:val="2"/>
      <w:sz w:val="21"/>
      <w:szCs w:val="21"/>
    </w:rPr>
  </w:style>
  <w:style w:type="paragraph" w:customStyle="1" w:styleId="685">
    <w:name w:val="Char Char5 Char"/>
    <w:basedOn w:val="1"/>
    <w:qFormat/>
    <w:uiPriority w:val="0"/>
    <w:pPr>
      <w:widowControl w:val="0"/>
      <w:jc w:val="both"/>
    </w:pPr>
    <w:rPr>
      <w:rFonts w:ascii="Times New Roman" w:hAnsi="Times New Roman" w:cs="Times New Roman"/>
      <w:kern w:val="2"/>
      <w:sz w:val="21"/>
      <w:szCs w:val="20"/>
    </w:rPr>
  </w:style>
  <w:style w:type="paragraph" w:customStyle="1" w:styleId="686">
    <w:name w:val="xl79"/>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sz w:val="20"/>
      <w:szCs w:val="20"/>
    </w:rPr>
  </w:style>
  <w:style w:type="paragraph" w:customStyle="1" w:styleId="687">
    <w:name w:val="GP标题1"/>
    <w:basedOn w:val="1"/>
    <w:next w:val="615"/>
    <w:qFormat/>
    <w:uiPriority w:val="0"/>
    <w:pPr>
      <w:widowControl w:val="0"/>
      <w:numPr>
        <w:ilvl w:val="0"/>
        <w:numId w:val="6"/>
      </w:numPr>
      <w:tabs>
        <w:tab w:val="left" w:pos="397"/>
        <w:tab w:val="clear" w:pos="567"/>
      </w:tabs>
      <w:spacing w:beforeLines="100" w:afterLines="100" w:line="360" w:lineRule="auto"/>
      <w:jc w:val="center"/>
      <w:outlineLvl w:val="0"/>
    </w:pPr>
    <w:rPr>
      <w:rFonts w:ascii="黑体" w:hAnsi="黑体" w:eastAsia="黑体" w:cs="Times New Roman"/>
      <w:b/>
      <w:sz w:val="36"/>
      <w:szCs w:val="20"/>
    </w:rPr>
  </w:style>
  <w:style w:type="paragraph" w:customStyle="1" w:styleId="688">
    <w:name w:val="xl2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689">
    <w:name w:val="xl9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color w:val="000000"/>
    </w:rPr>
  </w:style>
  <w:style w:type="paragraph" w:customStyle="1" w:styleId="690">
    <w:name w:val="Char Char Char 字元 字元"/>
    <w:basedOn w:val="1"/>
    <w:qFormat/>
    <w:uiPriority w:val="0"/>
    <w:pPr>
      <w:widowControl w:val="0"/>
      <w:spacing w:line="360" w:lineRule="auto"/>
      <w:ind w:firstLine="200" w:firstLineChars="200"/>
      <w:jc w:val="both"/>
    </w:pPr>
    <w:rPr>
      <w:rFonts w:ascii="Times New Roman" w:hAnsi="Times New Roman" w:cs="Times New Roman"/>
      <w:kern w:val="2"/>
      <w:sz w:val="21"/>
      <w:szCs w:val="20"/>
    </w:rPr>
  </w:style>
  <w:style w:type="paragraph" w:customStyle="1" w:styleId="691">
    <w:name w:val="Char2"/>
    <w:basedOn w:val="1"/>
    <w:qFormat/>
    <w:uiPriority w:val="0"/>
    <w:pPr>
      <w:widowControl w:val="0"/>
      <w:jc w:val="both"/>
    </w:pPr>
    <w:rPr>
      <w:rFonts w:ascii="Times New Roman" w:hAnsi="Times New Roman" w:cs="Times New Roman"/>
      <w:b/>
      <w:kern w:val="2"/>
      <w:sz w:val="32"/>
      <w:szCs w:val="32"/>
    </w:rPr>
  </w:style>
  <w:style w:type="paragraph" w:customStyle="1" w:styleId="692">
    <w:name w:val="xl1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hAnsi="Times New Roman" w:cs="Times New Roman"/>
      <w:sz w:val="22"/>
      <w:szCs w:val="21"/>
    </w:rPr>
  </w:style>
  <w:style w:type="paragraph" w:customStyle="1" w:styleId="693">
    <w:name w:val="Char Char Char Char Char Char Char Char Char Char"/>
    <w:basedOn w:val="1"/>
    <w:qFormat/>
    <w:uiPriority w:val="0"/>
    <w:pPr>
      <w:widowControl w:val="0"/>
      <w:jc w:val="both"/>
    </w:pPr>
    <w:rPr>
      <w:rFonts w:ascii="Tahoma" w:hAnsi="Tahoma" w:cs="Times New Roman"/>
      <w:kern w:val="2"/>
      <w:szCs w:val="20"/>
    </w:rPr>
  </w:style>
  <w:style w:type="paragraph" w:customStyle="1" w:styleId="694">
    <w:name w:val="xl2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695">
    <w:name w:val="Text Body"/>
    <w:basedOn w:val="1"/>
    <w:qFormat/>
    <w:uiPriority w:val="0"/>
    <w:pPr>
      <w:widowControl w:val="0"/>
      <w:suppressAutoHyphens/>
      <w:overflowPunct w:val="0"/>
      <w:spacing w:after="120"/>
    </w:pPr>
    <w:rPr>
      <w:rFonts w:ascii="Times New Roman" w:hAnsi="Times New Roman" w:cs="Times New Roman"/>
      <w:color w:val="00000A"/>
      <w:sz w:val="21"/>
      <w:szCs w:val="21"/>
    </w:rPr>
  </w:style>
  <w:style w:type="paragraph" w:customStyle="1" w:styleId="696">
    <w:name w:val="Pa0"/>
    <w:basedOn w:val="1"/>
    <w:next w:val="1"/>
    <w:qFormat/>
    <w:uiPriority w:val="0"/>
    <w:pPr>
      <w:widowControl w:val="0"/>
      <w:autoSpaceDE w:val="0"/>
      <w:autoSpaceDN w:val="0"/>
      <w:adjustRightInd w:val="0"/>
      <w:spacing w:line="241" w:lineRule="atLeast"/>
    </w:pPr>
    <w:rPr>
      <w:rFonts w:ascii="HPFutura Light" w:hAnsi="Times New Roman" w:eastAsia="Times New Roman" w:cs="Times New Roman"/>
      <w:sz w:val="21"/>
      <w:szCs w:val="21"/>
    </w:rPr>
  </w:style>
  <w:style w:type="paragraph" w:customStyle="1" w:styleId="697">
    <w:name w:val="xl2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698">
    <w:name w:val="Char Char Char Char Char Char Char Char Char Char Char Char Char Char Char"/>
    <w:basedOn w:val="1"/>
    <w:qFormat/>
    <w:uiPriority w:val="0"/>
    <w:pPr>
      <w:spacing w:line="400" w:lineRule="exact"/>
      <w:jc w:val="center"/>
    </w:pPr>
    <w:rPr>
      <w:rFonts w:ascii="Verdana" w:hAnsi="Verdana" w:cs="Times New Roman"/>
      <w:sz w:val="21"/>
      <w:szCs w:val="20"/>
      <w:lang w:eastAsia="en-US"/>
    </w:rPr>
  </w:style>
  <w:style w:type="paragraph" w:customStyle="1" w:styleId="699">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rPr>
  </w:style>
  <w:style w:type="paragraph" w:customStyle="1" w:styleId="70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01">
    <w:name w:val="itemstepintable"/>
    <w:basedOn w:val="1"/>
    <w:qFormat/>
    <w:uiPriority w:val="0"/>
    <w:pPr>
      <w:spacing w:before="100" w:beforeAutospacing="1" w:after="100" w:afterAutospacing="1"/>
    </w:pPr>
    <w:rPr>
      <w:rFonts w:hAnsi="Times New Roman" w:cs="Times New Roman"/>
    </w:rPr>
  </w:style>
  <w:style w:type="paragraph" w:customStyle="1" w:styleId="702">
    <w:name w:val="正文1"/>
    <w:basedOn w:val="1"/>
    <w:qFormat/>
    <w:uiPriority w:val="0"/>
    <w:pPr>
      <w:widowControl w:val="0"/>
      <w:adjustRightInd w:val="0"/>
      <w:spacing w:line="360" w:lineRule="atLeast"/>
      <w:textAlignment w:val="baseline"/>
    </w:pPr>
    <w:rPr>
      <w:rFonts w:hAnsi="Times New Roman" w:cs="Times New Roman"/>
      <w:color w:val="000000"/>
      <w:szCs w:val="20"/>
    </w:rPr>
  </w:style>
  <w:style w:type="paragraph" w:customStyle="1" w:styleId="703">
    <w:name w:val="Char Char27"/>
    <w:basedOn w:val="1"/>
    <w:qFormat/>
    <w:uiPriority w:val="0"/>
    <w:pPr>
      <w:widowControl w:val="0"/>
      <w:snapToGrid w:val="0"/>
      <w:spacing w:line="360" w:lineRule="auto"/>
      <w:jc w:val="both"/>
    </w:pPr>
    <w:rPr>
      <w:rFonts w:ascii="Arial" w:hAnsi="Arial" w:eastAsia="黑体" w:cs="Times New Roman"/>
      <w:snapToGrid w:val="0"/>
      <w:sz w:val="20"/>
      <w:szCs w:val="21"/>
    </w:rPr>
  </w:style>
  <w:style w:type="paragraph" w:customStyle="1" w:styleId="704">
    <w:name w:val="p0"/>
    <w:basedOn w:val="1"/>
    <w:qFormat/>
    <w:uiPriority w:val="0"/>
    <w:pPr>
      <w:jc w:val="both"/>
    </w:pPr>
    <w:rPr>
      <w:rFonts w:ascii="Times New Roman" w:hAnsi="Times New Roman" w:cs="Times New Roman"/>
      <w:b/>
      <w:bCs/>
      <w:color w:val="000000"/>
      <w:sz w:val="21"/>
      <w:szCs w:val="21"/>
    </w:rPr>
  </w:style>
  <w:style w:type="paragraph" w:customStyle="1" w:styleId="705">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color w:val="FF0000"/>
      <w:sz w:val="20"/>
      <w:szCs w:val="20"/>
    </w:rPr>
  </w:style>
  <w:style w:type="paragraph" w:customStyle="1" w:styleId="706">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color w:val="FF0000"/>
      <w:sz w:val="20"/>
      <w:szCs w:val="20"/>
    </w:rPr>
  </w:style>
  <w:style w:type="paragraph" w:customStyle="1" w:styleId="707">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b/>
      <w:bCs/>
      <w:color w:val="000000"/>
    </w:rPr>
  </w:style>
  <w:style w:type="paragraph" w:customStyle="1" w:styleId="708">
    <w:name w:val="Char1 Char Char"/>
    <w:basedOn w:val="1"/>
    <w:qFormat/>
    <w:uiPriority w:val="0"/>
    <w:pPr>
      <w:widowControl w:val="0"/>
      <w:jc w:val="both"/>
    </w:pPr>
    <w:rPr>
      <w:rFonts w:ascii="Tahoma" w:hAnsi="Tahoma" w:cs="Times New Roman"/>
      <w:kern w:val="2"/>
      <w:sz w:val="21"/>
      <w:szCs w:val="20"/>
    </w:rPr>
  </w:style>
  <w:style w:type="paragraph" w:customStyle="1" w:styleId="709">
    <w:name w:val="无间隔1"/>
    <w:link w:val="710"/>
    <w:qFormat/>
    <w:uiPriority w:val="0"/>
    <w:pPr>
      <w:widowControl w:val="0"/>
      <w:spacing w:line="300" w:lineRule="auto"/>
    </w:pPr>
    <w:rPr>
      <w:rFonts w:ascii="楷体_GB2312" w:hAnsi="宋体" w:eastAsia="楷体_GB2312" w:cs="Times New Roman"/>
      <w:bCs/>
      <w:kern w:val="2"/>
      <w:sz w:val="24"/>
      <w:szCs w:val="24"/>
      <w:u w:val="single"/>
      <w:lang w:val="en-US" w:eastAsia="zh-CN" w:bidi="ar-SA"/>
    </w:rPr>
  </w:style>
  <w:style w:type="character" w:customStyle="1" w:styleId="710">
    <w:name w:val="无间隔 字符"/>
    <w:link w:val="709"/>
    <w:qFormat/>
    <w:uiPriority w:val="0"/>
    <w:rPr>
      <w:rFonts w:ascii="楷体_GB2312" w:hAnsi="宋体" w:eastAsia="楷体_GB2312"/>
      <w:bCs/>
      <w:kern w:val="2"/>
      <w:sz w:val="24"/>
      <w:szCs w:val="24"/>
      <w:u w:val="single"/>
      <w:lang w:bidi="ar-SA"/>
    </w:rPr>
  </w:style>
  <w:style w:type="paragraph" w:customStyle="1" w:styleId="711">
    <w:name w:val="XHH标题7"/>
    <w:qFormat/>
    <w:uiPriority w:val="0"/>
    <w:pPr>
      <w:ind w:left="3827" w:hanging="1276"/>
    </w:pPr>
    <w:rPr>
      <w:rFonts w:ascii="黑体" w:hAnsi="黑体" w:eastAsia="黑体" w:cs="宋体"/>
      <w:kern w:val="2"/>
      <w:sz w:val="28"/>
      <w:szCs w:val="28"/>
      <w:lang w:val="en-US" w:eastAsia="zh-CN" w:bidi="ar-SA"/>
    </w:rPr>
  </w:style>
  <w:style w:type="paragraph" w:customStyle="1" w:styleId="712">
    <w:name w:val="style16"/>
    <w:basedOn w:val="1"/>
    <w:qFormat/>
    <w:uiPriority w:val="0"/>
    <w:pPr>
      <w:spacing w:before="100" w:beforeAutospacing="1" w:after="100" w:afterAutospacing="1"/>
    </w:pPr>
    <w:rPr>
      <w:rFonts w:ascii="Calibri" w:hAnsi="Calibri" w:cs="Times New Roman"/>
      <w:sz w:val="21"/>
      <w:szCs w:val="21"/>
    </w:rPr>
  </w:style>
  <w:style w:type="paragraph" w:customStyle="1" w:styleId="713">
    <w:name w:val="表格标题(居中)"/>
    <w:basedOn w:val="1"/>
    <w:uiPriority w:val="0"/>
    <w:pPr>
      <w:snapToGrid w:val="0"/>
      <w:jc w:val="center"/>
    </w:pPr>
    <w:rPr>
      <w:rFonts w:eastAsia="黑体"/>
    </w:rPr>
  </w:style>
  <w:style w:type="paragraph" w:customStyle="1" w:styleId="714">
    <w:name w:val="WPS Plain"/>
    <w:qFormat/>
    <w:uiPriority w:val="0"/>
    <w:rPr>
      <w:rFonts w:ascii="Calibri" w:hAnsi="Calibri" w:eastAsia="宋体" w:cs="Times New Roman"/>
      <w:kern w:val="2"/>
      <w:sz w:val="21"/>
      <w:szCs w:val="22"/>
      <w:lang w:val="en-US" w:eastAsia="zh-CN" w:bidi="ar-SA"/>
    </w:rPr>
  </w:style>
  <w:style w:type="paragraph" w:customStyle="1" w:styleId="715">
    <w:name w:val="文章总标题"/>
    <w:basedOn w:val="1"/>
    <w:next w:val="549"/>
    <w:qFormat/>
    <w:uiPriority w:val="0"/>
    <w:pPr>
      <w:spacing w:before="566" w:after="544" w:line="566" w:lineRule="atLeast"/>
      <w:jc w:val="center"/>
    </w:pPr>
    <w:rPr>
      <w:rFonts w:ascii="Arial" w:hAnsi="Times New Roman" w:eastAsia="黑体" w:cs="Times New Roman"/>
      <w:color w:val="000000"/>
      <w:sz w:val="54"/>
      <w:szCs w:val="20"/>
      <w:u w:color="000000"/>
    </w:rPr>
  </w:style>
  <w:style w:type="paragraph" w:customStyle="1" w:styleId="716">
    <w:name w:val="xl116"/>
    <w:basedOn w:val="1"/>
    <w:qFormat/>
    <w:uiPriority w:val="0"/>
    <w:pPr>
      <w:pBdr>
        <w:top w:val="single" w:color="auto" w:sz="4" w:space="0"/>
        <w:bottom w:val="single" w:color="auto" w:sz="4" w:space="0"/>
      </w:pBdr>
      <w:spacing w:before="100" w:beforeAutospacing="1" w:after="100" w:afterAutospacing="1"/>
      <w:jc w:val="center"/>
    </w:pPr>
    <w:rPr>
      <w:rFonts w:hAnsi="Times New Roman" w:cs="Times New Roman"/>
      <w:b/>
      <w:bCs/>
    </w:rPr>
  </w:style>
  <w:style w:type="paragraph" w:customStyle="1" w:styleId="717">
    <w:name w:val="样式 目录 3 + 左侧:  2 字符"/>
    <w:basedOn w:val="32"/>
    <w:qFormat/>
    <w:uiPriority w:val="0"/>
    <w:pPr>
      <w:widowControl w:val="0"/>
      <w:tabs>
        <w:tab w:val="left" w:pos="1560"/>
        <w:tab w:val="left" w:pos="1701"/>
        <w:tab w:val="right" w:leader="dot" w:pos="8296"/>
      </w:tabs>
      <w:snapToGrid w:val="0"/>
      <w:spacing w:line="360" w:lineRule="auto"/>
      <w:ind w:left="400" w:leftChars="0"/>
    </w:pPr>
    <w:rPr>
      <w:rFonts w:ascii="Calibri" w:hAnsi="Calibri" w:cs="Calibri"/>
      <w:b/>
      <w:i/>
      <w:iCs/>
      <w:kern w:val="2"/>
      <w:sz w:val="20"/>
    </w:rPr>
  </w:style>
  <w:style w:type="paragraph" w:customStyle="1" w:styleId="718">
    <w:name w:val="正文-缩进"/>
    <w:basedOn w:val="1"/>
    <w:qFormat/>
    <w:uiPriority w:val="0"/>
    <w:pPr>
      <w:widowControl w:val="0"/>
      <w:spacing w:line="360" w:lineRule="auto"/>
      <w:ind w:firstLine="420" w:firstLineChars="200"/>
      <w:jc w:val="both"/>
    </w:pPr>
    <w:rPr>
      <w:rFonts w:hAnsi="Calibri" w:cs="Times New Roman"/>
      <w:bCs/>
      <w:kern w:val="2"/>
      <w:szCs w:val="22"/>
    </w:rPr>
  </w:style>
  <w:style w:type="paragraph" w:customStyle="1" w:styleId="719">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 w:hAnsi="仿宋" w:eastAsia="仿宋" w:cs="Times New Roman"/>
      <w:sz w:val="20"/>
      <w:szCs w:val="20"/>
    </w:rPr>
  </w:style>
  <w:style w:type="paragraph" w:customStyle="1" w:styleId="720">
    <w:name w:val="标题6"/>
    <w:basedOn w:val="1"/>
    <w:next w:val="5"/>
    <w:qFormat/>
    <w:uiPriority w:val="0"/>
    <w:pPr>
      <w:snapToGrid w:val="0"/>
      <w:spacing w:beforeLines="50" w:afterLines="50" w:line="520" w:lineRule="atLeast"/>
      <w:ind w:firstLine="200" w:firstLineChars="200"/>
    </w:pPr>
    <w:rPr>
      <w:rFonts w:cs="Arial"/>
      <w:b/>
    </w:rPr>
  </w:style>
  <w:style w:type="paragraph" w:customStyle="1" w:styleId="721">
    <w:name w:val="xl2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szCs w:val="20"/>
    </w:rPr>
  </w:style>
  <w:style w:type="paragraph" w:customStyle="1" w:styleId="722">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b/>
      <w:bCs/>
      <w:color w:val="000000"/>
    </w:rPr>
  </w:style>
  <w:style w:type="paragraph" w:customStyle="1" w:styleId="723">
    <w:name w:val="索引 51"/>
    <w:basedOn w:val="1"/>
    <w:next w:val="1"/>
    <w:qFormat/>
    <w:uiPriority w:val="0"/>
    <w:pPr>
      <w:widowControl w:val="0"/>
      <w:snapToGrid w:val="0"/>
      <w:spacing w:line="360" w:lineRule="auto"/>
      <w:ind w:left="800" w:leftChars="800"/>
      <w:jc w:val="center"/>
    </w:pPr>
    <w:rPr>
      <w:rFonts w:ascii="Calibri" w:hAnsi="Calibri" w:cs="Times New Roman"/>
      <w:b/>
      <w:kern w:val="2"/>
      <w:sz w:val="32"/>
      <w:szCs w:val="32"/>
    </w:rPr>
  </w:style>
  <w:style w:type="paragraph" w:customStyle="1" w:styleId="724">
    <w:name w:val="xl1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b/>
      <w:bCs/>
      <w:color w:val="000000"/>
    </w:rPr>
  </w:style>
  <w:style w:type="paragraph" w:customStyle="1" w:styleId="725">
    <w:name w:val="111"/>
    <w:basedOn w:val="695"/>
    <w:qFormat/>
    <w:uiPriority w:val="0"/>
    <w:pPr>
      <w:spacing w:after="0" w:line="440" w:lineRule="exact"/>
      <w:ind w:firstLine="480"/>
    </w:pPr>
  </w:style>
  <w:style w:type="paragraph" w:customStyle="1" w:styleId="726">
    <w:name w:val="文档结构图1"/>
    <w:basedOn w:val="1"/>
    <w:qFormat/>
    <w:uiPriority w:val="0"/>
    <w:pPr>
      <w:spacing w:line="360" w:lineRule="auto"/>
      <w:ind w:firstLine="200" w:firstLineChars="200"/>
    </w:pPr>
    <w:rPr>
      <w:rFonts w:hAnsi="Times New Roman" w:cs="Times New Roman"/>
      <w:kern w:val="2"/>
      <w:sz w:val="18"/>
      <w:szCs w:val="18"/>
    </w:rPr>
  </w:style>
  <w:style w:type="paragraph" w:customStyle="1" w:styleId="727">
    <w:name w:val="页脚页码（绿盟科技）"/>
    <w:basedOn w:val="40"/>
    <w:qFormat/>
    <w:uiPriority w:val="0"/>
    <w:pPr>
      <w:widowControl w:val="0"/>
      <w:autoSpaceDE w:val="0"/>
      <w:autoSpaceDN w:val="0"/>
      <w:adjustRightInd w:val="0"/>
      <w:jc w:val="center"/>
    </w:pPr>
    <w:rPr>
      <w:rFonts w:cs="宋体"/>
      <w:b/>
      <w:bCs/>
      <w:szCs w:val="20"/>
    </w:rPr>
  </w:style>
  <w:style w:type="paragraph" w:customStyle="1" w:styleId="728">
    <w:name w:val="444"/>
    <w:basedOn w:val="1"/>
    <w:qFormat/>
    <w:uiPriority w:val="0"/>
    <w:pPr>
      <w:widowControl w:val="0"/>
      <w:adjustRightInd w:val="0"/>
      <w:spacing w:line="312" w:lineRule="atLeast"/>
      <w:jc w:val="center"/>
    </w:pPr>
    <w:rPr>
      <w:rFonts w:ascii="Times New Roman" w:hAnsi="Times New Roman" w:cs="Times New Roman"/>
      <w:b/>
      <w:sz w:val="36"/>
      <w:szCs w:val="36"/>
    </w:rPr>
  </w:style>
  <w:style w:type="paragraph" w:customStyle="1" w:styleId="729">
    <w:name w:val="Char Char Char Char Char Char1 Char Char Char Char Char Char1 Char Char Char"/>
    <w:basedOn w:val="1"/>
    <w:qFormat/>
    <w:uiPriority w:val="0"/>
    <w:pPr>
      <w:widowControl w:val="0"/>
      <w:jc w:val="both"/>
    </w:pPr>
    <w:rPr>
      <w:rFonts w:ascii="Tahoma" w:hAnsi="Tahoma" w:cs="Times New Roman"/>
      <w:kern w:val="2"/>
      <w:sz w:val="21"/>
      <w:szCs w:val="20"/>
    </w:rPr>
  </w:style>
  <w:style w:type="paragraph" w:customStyle="1" w:styleId="730">
    <w:name w:val="Char Char Char Char Char Char1 Char Char Char Char Char Char1 Char Char Char Char Char Char Char Char Char"/>
    <w:basedOn w:val="1"/>
    <w:qFormat/>
    <w:uiPriority w:val="0"/>
    <w:pPr>
      <w:widowControl w:val="0"/>
      <w:jc w:val="both"/>
    </w:pPr>
    <w:rPr>
      <w:rFonts w:ascii="Tahoma" w:hAnsi="Tahoma" w:cs="Times New Roman"/>
      <w:kern w:val="2"/>
      <w:sz w:val="21"/>
      <w:szCs w:val="20"/>
    </w:rPr>
  </w:style>
  <w:style w:type="paragraph" w:customStyle="1" w:styleId="731">
    <w:name w:val="Char Char Char Char Char Char1 Char Char Char Char Char Char1 Char Char Char1"/>
    <w:basedOn w:val="1"/>
    <w:qFormat/>
    <w:uiPriority w:val="0"/>
    <w:pPr>
      <w:widowControl w:val="0"/>
      <w:jc w:val="both"/>
    </w:pPr>
    <w:rPr>
      <w:rFonts w:ascii="Tahoma" w:hAnsi="Tahoma" w:cs="Times New Roman"/>
      <w:kern w:val="2"/>
      <w:sz w:val="21"/>
      <w:szCs w:val="20"/>
    </w:rPr>
  </w:style>
  <w:style w:type="paragraph" w:customStyle="1" w:styleId="732">
    <w:name w:val="Style Heading 1H1Heading 0R1H11h1Level 1 Topic HeadingSectio..."/>
    <w:basedOn w:val="5"/>
    <w:next w:val="419"/>
    <w:qFormat/>
    <w:uiPriority w:val="0"/>
    <w:pPr>
      <w:keepLines/>
      <w:pageBreakBefore/>
      <w:numPr>
        <w:ilvl w:val="0"/>
        <w:numId w:val="8"/>
      </w:numPr>
      <w:tabs>
        <w:tab w:val="left" w:pos="432"/>
      </w:tabs>
      <w:spacing w:before="120" w:after="120" w:line="360" w:lineRule="auto"/>
      <w:jc w:val="left"/>
    </w:pPr>
    <w:rPr>
      <w:rFonts w:ascii="宋体" w:hAnsi="宋体"/>
      <w:b/>
      <w:sz w:val="32"/>
      <w:szCs w:val="32"/>
    </w:rPr>
  </w:style>
  <w:style w:type="paragraph" w:customStyle="1" w:styleId="733">
    <w:name w:val="索引 91"/>
    <w:basedOn w:val="1"/>
    <w:next w:val="1"/>
    <w:qFormat/>
    <w:uiPriority w:val="0"/>
    <w:pPr>
      <w:widowControl w:val="0"/>
      <w:snapToGrid w:val="0"/>
      <w:spacing w:line="360" w:lineRule="auto"/>
      <w:ind w:left="1600" w:leftChars="1600"/>
      <w:jc w:val="center"/>
    </w:pPr>
    <w:rPr>
      <w:rFonts w:ascii="Calibri" w:hAnsi="Calibri" w:cs="Times New Roman"/>
      <w:b/>
      <w:kern w:val="2"/>
      <w:sz w:val="32"/>
      <w:szCs w:val="32"/>
    </w:rPr>
  </w:style>
  <w:style w:type="paragraph" w:customStyle="1" w:styleId="734">
    <w:name w:val="xl1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Ansi="Times New Roman" w:cs="Times New Roman"/>
      <w:b/>
      <w:bCs/>
    </w:rPr>
  </w:style>
  <w:style w:type="paragraph" w:customStyle="1" w:styleId="735">
    <w:name w:val="正文首行缩进1"/>
    <w:basedOn w:val="3"/>
    <w:qFormat/>
    <w:uiPriority w:val="0"/>
    <w:pPr>
      <w:spacing w:after="120" w:line="360" w:lineRule="auto"/>
      <w:ind w:firstLine="420" w:firstLineChars="100"/>
    </w:pPr>
    <w:rPr>
      <w:rFonts w:ascii="宋体" w:hAnsi="宋体" w:cs="宋体"/>
      <w:bCs w:val="0"/>
      <w:sz w:val="22"/>
    </w:rPr>
  </w:style>
  <w:style w:type="paragraph" w:customStyle="1" w:styleId="736">
    <w:name w:val=" Char Char8"/>
    <w:basedOn w:val="1"/>
    <w:qFormat/>
    <w:uiPriority w:val="0"/>
    <w:rPr>
      <w:rFonts w:ascii="Tahoma" w:hAnsi="Tahoma"/>
      <w:szCs w:val="20"/>
    </w:rPr>
  </w:style>
  <w:style w:type="paragraph" w:customStyle="1" w:styleId="737">
    <w:name w:val="ul"/>
    <w:basedOn w:val="1"/>
    <w:qFormat/>
    <w:uiPriority w:val="0"/>
    <w:pPr>
      <w:numPr>
        <w:ilvl w:val="0"/>
        <w:numId w:val="9"/>
      </w:numPr>
      <w:spacing w:line="360" w:lineRule="auto"/>
      <w:ind w:left="0"/>
      <w:jc w:val="both"/>
    </w:pPr>
    <w:rPr>
      <w:rFonts w:ascii="Times New Roman" w:hAnsi="Times New Roman" w:cs="Times New Roman"/>
    </w:rPr>
  </w:style>
  <w:style w:type="paragraph" w:customStyle="1" w:styleId="738">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739">
    <w:name w:val="Char Char Char Char Char Char1 Char Char Char Char Char Char1 Char Char Char Char Char Char Char"/>
    <w:basedOn w:val="1"/>
    <w:qFormat/>
    <w:uiPriority w:val="0"/>
    <w:pPr>
      <w:widowControl w:val="0"/>
      <w:jc w:val="both"/>
    </w:pPr>
    <w:rPr>
      <w:rFonts w:ascii="Tahoma" w:hAnsi="Tahoma" w:cs="Times New Roman"/>
      <w:kern w:val="2"/>
      <w:sz w:val="21"/>
      <w:szCs w:val="20"/>
    </w:rPr>
  </w:style>
  <w:style w:type="paragraph" w:customStyle="1" w:styleId="740">
    <w:name w:val=" Char Char Char Char Char Char Char"/>
    <w:basedOn w:val="1"/>
    <w:qFormat/>
    <w:uiPriority w:val="0"/>
    <w:rPr>
      <w:rFonts w:ascii="仿宋_GB2312" w:eastAsia="仿宋_GB2312"/>
      <w:b/>
      <w:sz w:val="32"/>
      <w:szCs w:val="32"/>
    </w:rPr>
  </w:style>
  <w:style w:type="paragraph" w:customStyle="1" w:styleId="741">
    <w:name w:val="PM_Tabelle Text Ende"/>
    <w:basedOn w:val="1"/>
    <w:next w:val="1"/>
    <w:qFormat/>
    <w:uiPriority w:val="0"/>
    <w:pPr>
      <w:widowControl w:val="0"/>
      <w:autoSpaceDE w:val="0"/>
      <w:autoSpaceDN w:val="0"/>
      <w:adjustRightInd w:val="0"/>
    </w:pPr>
    <w:rPr>
      <w:rFonts w:ascii="Arial" w:hAnsi="Arial" w:cs="Times New Roman"/>
    </w:rPr>
  </w:style>
  <w:style w:type="paragraph" w:customStyle="1" w:styleId="742">
    <w:name w:val="xl2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743">
    <w:name w:val="南通方案正文"/>
    <w:basedOn w:val="1"/>
    <w:qFormat/>
    <w:uiPriority w:val="0"/>
    <w:pPr>
      <w:widowControl w:val="0"/>
      <w:spacing w:line="360" w:lineRule="auto"/>
      <w:ind w:firstLine="480" w:firstLineChars="200"/>
      <w:jc w:val="both"/>
    </w:pPr>
    <w:rPr>
      <w:rFonts w:ascii="Times New Roman" w:hAnsi="Times New Roman" w:cs="Times New Roman"/>
      <w:kern w:val="2"/>
      <w:szCs w:val="20"/>
    </w:rPr>
  </w:style>
  <w:style w:type="paragraph" w:customStyle="1" w:styleId="744">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b/>
      <w:bCs/>
      <w:color w:val="000000"/>
    </w:rPr>
  </w:style>
  <w:style w:type="paragraph" w:customStyle="1" w:styleId="745">
    <w:name w:val="font8"/>
    <w:basedOn w:val="1"/>
    <w:qFormat/>
    <w:uiPriority w:val="0"/>
    <w:pPr>
      <w:spacing w:before="100" w:beforeAutospacing="1" w:after="100" w:afterAutospacing="1"/>
    </w:pPr>
    <w:rPr>
      <w:rFonts w:ascii="Arial" w:hAnsi="Arial" w:cs="Arial"/>
      <w:sz w:val="20"/>
      <w:szCs w:val="20"/>
    </w:rPr>
  </w:style>
  <w:style w:type="paragraph" w:customStyle="1" w:styleId="746">
    <w:name w:val="宇视4"/>
    <w:basedOn w:val="8"/>
    <w:qFormat/>
    <w:uiPriority w:val="0"/>
    <w:pPr>
      <w:keepLines w:val="0"/>
      <w:tabs>
        <w:tab w:val="left" w:pos="851"/>
      </w:tabs>
      <w:adjustRightInd w:val="0"/>
      <w:spacing w:before="0" w:line="240" w:lineRule="auto"/>
      <w:ind w:left="851"/>
    </w:pPr>
    <w:rPr>
      <w:rFonts w:ascii="Calibri" w:hAnsi="Calibri"/>
      <w:sz w:val="24"/>
      <w:szCs w:val="24"/>
      <w:lang w:val="zh-CN"/>
    </w:rPr>
  </w:style>
  <w:style w:type="paragraph" w:customStyle="1" w:styleId="747">
    <w:name w:val="目录3"/>
    <w:basedOn w:val="1"/>
    <w:next w:val="1"/>
    <w:qFormat/>
    <w:uiPriority w:val="0"/>
    <w:pPr>
      <w:tabs>
        <w:tab w:val="left" w:leader="dot" w:pos="8503"/>
      </w:tabs>
      <w:spacing w:line="317" w:lineRule="atLeast"/>
      <w:ind w:firstLine="419"/>
      <w:jc w:val="both"/>
    </w:pPr>
    <w:rPr>
      <w:rFonts w:ascii="Times New Roman" w:hAnsi="Times New Roman" w:cs="Times New Roman"/>
      <w:color w:val="000000"/>
      <w:sz w:val="21"/>
      <w:szCs w:val="20"/>
      <w:u w:color="000000"/>
    </w:rPr>
  </w:style>
  <w:style w:type="paragraph" w:customStyle="1" w:styleId="748">
    <w:name w:val=" Char Char Char Char Char Char Char Char Char Char Char Char Char"/>
    <w:basedOn w:val="1"/>
    <w:uiPriority w:val="0"/>
    <w:rPr>
      <w:rFonts w:ascii="Tahoma" w:hAnsi="Tahoma"/>
      <w:szCs w:val="20"/>
    </w:rPr>
  </w:style>
  <w:style w:type="paragraph" w:customStyle="1" w:styleId="749">
    <w:name w:val="xl2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750">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rPr>
  </w:style>
  <w:style w:type="paragraph" w:customStyle="1" w:styleId="751">
    <w:name w:val="表格(五号)"/>
    <w:basedOn w:val="1"/>
    <w:qFormat/>
    <w:uiPriority w:val="0"/>
    <w:pPr>
      <w:adjustRightInd w:val="0"/>
      <w:snapToGrid w:val="0"/>
      <w:spacing w:before="60" w:after="60"/>
      <w:ind w:left="11"/>
      <w:jc w:val="center"/>
    </w:pPr>
    <w:rPr>
      <w:szCs w:val="20"/>
      <w:lang w:val="en-US" w:eastAsia="zh-CN"/>
    </w:rPr>
  </w:style>
  <w:style w:type="paragraph" w:customStyle="1" w:styleId="752">
    <w:name w:val="pa-2"/>
    <w:basedOn w:val="1"/>
    <w:qFormat/>
    <w:uiPriority w:val="0"/>
    <w:pPr>
      <w:spacing w:line="240" w:lineRule="atLeast"/>
      <w:ind w:firstLine="440"/>
      <w:jc w:val="both"/>
    </w:pPr>
    <w:rPr>
      <w:rFonts w:hAnsi="Times New Roman" w:cs="Times New Roman"/>
    </w:rPr>
  </w:style>
  <w:style w:type="paragraph" w:customStyle="1" w:styleId="753">
    <w:name w:val="列表编号 21"/>
    <w:basedOn w:val="1"/>
    <w:qFormat/>
    <w:uiPriority w:val="0"/>
    <w:pPr>
      <w:widowControl w:val="0"/>
      <w:snapToGrid w:val="0"/>
      <w:spacing w:line="360" w:lineRule="auto"/>
    </w:pPr>
    <w:rPr>
      <w:rFonts w:ascii="Calibri" w:hAnsi="Calibri" w:cs="Times New Roman"/>
      <w:b/>
      <w:kern w:val="2"/>
      <w:sz w:val="32"/>
      <w:szCs w:val="20"/>
    </w:rPr>
  </w:style>
  <w:style w:type="paragraph" w:customStyle="1" w:styleId="754">
    <w:name w:val="列表段落1"/>
    <w:basedOn w:val="1"/>
    <w:qFormat/>
    <w:uiPriority w:val="34"/>
    <w:pPr>
      <w:widowControl w:val="0"/>
      <w:ind w:firstLine="420" w:firstLineChars="200"/>
      <w:jc w:val="both"/>
    </w:pPr>
    <w:rPr>
      <w:rFonts w:ascii="等线" w:hAnsi="等线" w:eastAsia="等线" w:cs="Times New Roman"/>
      <w:kern w:val="2"/>
      <w:sz w:val="21"/>
      <w:szCs w:val="22"/>
    </w:rPr>
  </w:style>
  <w:style w:type="paragraph" w:customStyle="1" w:styleId="755">
    <w:name w:val="Char Char2 Char Char"/>
    <w:basedOn w:val="1"/>
    <w:qFormat/>
    <w:uiPriority w:val="0"/>
    <w:pPr>
      <w:spacing w:line="400" w:lineRule="exact"/>
      <w:jc w:val="center"/>
    </w:pPr>
    <w:rPr>
      <w:rFonts w:ascii="Verdana" w:hAnsi="Verdana" w:cs="Times New Roman"/>
      <w:sz w:val="21"/>
      <w:szCs w:val="20"/>
      <w:lang w:eastAsia="en-US"/>
    </w:rPr>
  </w:style>
  <w:style w:type="paragraph" w:customStyle="1" w:styleId="756">
    <w:name w:val="paragraph"/>
    <w:basedOn w:val="1"/>
    <w:qFormat/>
    <w:uiPriority w:val="0"/>
    <w:pPr>
      <w:spacing w:before="60" w:after="60"/>
    </w:pPr>
    <w:rPr>
      <w:rFonts w:ascii="Times New Roman" w:hAnsi="Times New Roman" w:cs="Times New Roman"/>
      <w:szCs w:val="20"/>
      <w:lang w:eastAsia="en-US"/>
    </w:rPr>
  </w:style>
  <w:style w:type="paragraph" w:customStyle="1" w:styleId="757">
    <w:name w:val="Char Char Char Char Char Char1 Char Char Char1 Char"/>
    <w:basedOn w:val="1"/>
    <w:qFormat/>
    <w:uiPriority w:val="0"/>
    <w:pPr>
      <w:widowControl w:val="0"/>
      <w:jc w:val="both"/>
    </w:pPr>
    <w:rPr>
      <w:rFonts w:ascii="Tahoma" w:hAnsi="Tahoma" w:cs="Times New Roman"/>
      <w:kern w:val="2"/>
      <w:sz w:val="21"/>
      <w:szCs w:val="20"/>
    </w:rPr>
  </w:style>
  <w:style w:type="paragraph" w:customStyle="1" w:styleId="758">
    <w:name w:val="表格正文"/>
    <w:basedOn w:val="1"/>
    <w:qFormat/>
    <w:uiPriority w:val="0"/>
    <w:pPr>
      <w:widowControl w:val="0"/>
      <w:adjustRightInd w:val="0"/>
      <w:snapToGrid w:val="0"/>
      <w:spacing w:before="60" w:after="60"/>
      <w:jc w:val="center"/>
      <w:textAlignment w:val="baseline"/>
    </w:pPr>
    <w:rPr>
      <w:rFonts w:ascii="Times New Roman" w:hAnsi="Times New Roman" w:cs="Times New Roman"/>
      <w:szCs w:val="20"/>
    </w:rPr>
  </w:style>
  <w:style w:type="paragraph" w:customStyle="1" w:styleId="759">
    <w:name w:val="Char Char Char Char Char Char1 Char Char Char1 Char Char Char Char Char Char Char Char Char Char Char Char Char Char Char"/>
    <w:basedOn w:val="1"/>
    <w:qFormat/>
    <w:uiPriority w:val="0"/>
    <w:pPr>
      <w:widowControl w:val="0"/>
      <w:jc w:val="both"/>
    </w:pPr>
    <w:rPr>
      <w:rFonts w:ascii="Tahoma" w:hAnsi="Tahoma" w:cs="Times New Roman"/>
      <w:kern w:val="2"/>
      <w:sz w:val="21"/>
      <w:szCs w:val="20"/>
    </w:rPr>
  </w:style>
  <w:style w:type="paragraph" w:customStyle="1" w:styleId="760">
    <w:name w:val="Char Char2 Char"/>
    <w:basedOn w:val="1"/>
    <w:qFormat/>
    <w:uiPriority w:val="0"/>
    <w:pPr>
      <w:keepNext/>
      <w:keepLines/>
      <w:pageBreakBefore/>
      <w:widowControl w:val="0"/>
      <w:tabs>
        <w:tab w:val="left" w:pos="845"/>
      </w:tabs>
      <w:ind w:left="845" w:hanging="420"/>
      <w:jc w:val="both"/>
    </w:pPr>
    <w:rPr>
      <w:rFonts w:ascii="Tahoma" w:hAnsi="Tahoma" w:cs="Times New Roman"/>
      <w:kern w:val="2"/>
      <w:szCs w:val="20"/>
    </w:rPr>
  </w:style>
  <w:style w:type="paragraph" w:customStyle="1" w:styleId="761">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sz w:val="18"/>
      <w:szCs w:val="18"/>
    </w:rPr>
  </w:style>
  <w:style w:type="paragraph" w:customStyle="1" w:styleId="762">
    <w:name w:val="xl2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color w:val="000000"/>
    </w:rPr>
  </w:style>
  <w:style w:type="paragraph" w:customStyle="1" w:styleId="763">
    <w:name w:val="CM5"/>
    <w:basedOn w:val="1"/>
    <w:next w:val="1"/>
    <w:qFormat/>
    <w:uiPriority w:val="0"/>
    <w:pPr>
      <w:widowControl w:val="0"/>
      <w:autoSpaceDE w:val="0"/>
      <w:autoSpaceDN w:val="0"/>
      <w:adjustRightInd w:val="0"/>
      <w:spacing w:line="400" w:lineRule="atLeast"/>
      <w:ind w:firstLine="200" w:firstLineChars="200"/>
    </w:pPr>
    <w:rPr>
      <w:rFonts w:ascii="Times New Roman" w:hAnsi="Times New Roman" w:cs="Times New Roman"/>
      <w:sz w:val="21"/>
      <w:szCs w:val="21"/>
    </w:rPr>
  </w:style>
  <w:style w:type="paragraph" w:customStyle="1" w:styleId="764">
    <w:name w:val="Char Char Char Char Char Char1 Char Char Char Char Char Char Char Char Char Char"/>
    <w:basedOn w:val="1"/>
    <w:qFormat/>
    <w:uiPriority w:val="0"/>
    <w:pPr>
      <w:widowControl w:val="0"/>
      <w:jc w:val="both"/>
    </w:pPr>
    <w:rPr>
      <w:rFonts w:ascii="Tahoma" w:hAnsi="Tahoma" w:cs="Times New Roman"/>
      <w:kern w:val="2"/>
      <w:sz w:val="21"/>
      <w:szCs w:val="20"/>
    </w:rPr>
  </w:style>
  <w:style w:type="paragraph" w:customStyle="1" w:styleId="765">
    <w:name w:val="修订1"/>
    <w:qFormat/>
    <w:uiPriority w:val="0"/>
    <w:rPr>
      <w:rFonts w:ascii="Times New Roman" w:hAnsi="Times New Roman" w:eastAsia="宋体" w:cs="Times New Roman"/>
      <w:kern w:val="2"/>
      <w:sz w:val="21"/>
      <w:szCs w:val="24"/>
      <w:lang w:val="en-US" w:eastAsia="zh-CN" w:bidi="ar-SA"/>
    </w:rPr>
  </w:style>
  <w:style w:type="paragraph" w:customStyle="1" w:styleId="766">
    <w:name w:val="Char Char Char Char Char Char Char Char"/>
    <w:basedOn w:val="726"/>
    <w:qFormat/>
    <w:uiPriority w:val="0"/>
    <w:pPr>
      <w:widowControl w:val="0"/>
      <w:shd w:val="clear" w:color="auto" w:fill="000080"/>
      <w:spacing w:line="240" w:lineRule="auto"/>
      <w:ind w:firstLine="0" w:firstLineChars="0"/>
      <w:jc w:val="both"/>
    </w:pPr>
    <w:rPr>
      <w:rFonts w:ascii="Tahoma" w:hAnsi="Tahoma"/>
      <w:sz w:val="24"/>
    </w:rPr>
  </w:style>
  <w:style w:type="paragraph" w:customStyle="1" w:styleId="767">
    <w:name w:val="目录2"/>
    <w:basedOn w:val="1"/>
    <w:next w:val="1"/>
    <w:qFormat/>
    <w:uiPriority w:val="0"/>
    <w:pPr>
      <w:tabs>
        <w:tab w:val="left" w:leader="dot" w:pos="8503"/>
      </w:tabs>
      <w:spacing w:line="317" w:lineRule="atLeast"/>
      <w:ind w:firstLine="209"/>
      <w:jc w:val="both"/>
    </w:pPr>
    <w:rPr>
      <w:rFonts w:ascii="Times New Roman" w:hAnsi="Times New Roman" w:cs="Times New Roman"/>
      <w:color w:val="000000"/>
      <w:sz w:val="21"/>
      <w:szCs w:val="20"/>
      <w:u w:color="000000"/>
    </w:rPr>
  </w:style>
  <w:style w:type="paragraph" w:customStyle="1" w:styleId="768">
    <w:name w:val="样式 标题 1 + 段前: 16 磅 段后: 16 磅"/>
    <w:basedOn w:val="5"/>
    <w:qFormat/>
    <w:uiPriority w:val="0"/>
    <w:pPr>
      <w:keepNext w:val="0"/>
      <w:widowControl w:val="0"/>
      <w:tabs>
        <w:tab w:val="left" w:pos="0"/>
        <w:tab w:val="left" w:pos="432"/>
        <w:tab w:val="left" w:pos="567"/>
      </w:tabs>
      <w:adjustRightInd w:val="0"/>
      <w:snapToGrid w:val="0"/>
      <w:spacing w:beforeLines="50" w:afterLines="50" w:line="360" w:lineRule="auto"/>
      <w:ind w:left="-288" w:firstLine="288"/>
    </w:pPr>
    <w:rPr>
      <w:rFonts w:ascii="Calibri" w:hAnsi="Calibri"/>
      <w:kern w:val="44"/>
      <w:sz w:val="24"/>
      <w:szCs w:val="20"/>
      <w:lang w:val="zh-CN"/>
    </w:rPr>
  </w:style>
  <w:style w:type="paragraph" w:customStyle="1" w:styleId="769">
    <w:name w:val="xl2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20"/>
      <w:szCs w:val="20"/>
    </w:rPr>
  </w:style>
  <w:style w:type="paragraph" w:customStyle="1" w:styleId="770">
    <w:name w:val="1正文"/>
    <w:basedOn w:val="1"/>
    <w:qFormat/>
    <w:uiPriority w:val="0"/>
    <w:pPr>
      <w:widowControl w:val="0"/>
      <w:adjustRightInd w:val="0"/>
      <w:spacing w:line="300" w:lineRule="auto"/>
      <w:ind w:firstLine="480"/>
      <w:jc w:val="both"/>
    </w:pPr>
    <w:rPr>
      <w:rFonts w:ascii="Times New Roman" w:hAnsi="Times New Roman" w:cs="Times New Roman"/>
      <w:sz w:val="21"/>
      <w:szCs w:val="20"/>
    </w:rPr>
  </w:style>
  <w:style w:type="paragraph" w:customStyle="1" w:styleId="771">
    <w:name w:val="附录章标题"/>
    <w:next w:val="1"/>
    <w:qFormat/>
    <w:uiPriority w:val="0"/>
    <w:pPr>
      <w:numPr>
        <w:ilvl w:val="1"/>
        <w:numId w:val="10"/>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772">
    <w:name w:val="表格文字（4号居中）"/>
    <w:basedOn w:val="617"/>
    <w:qFormat/>
    <w:uiPriority w:val="0"/>
    <w:pPr>
      <w:spacing w:beforeLines="50" w:line="240" w:lineRule="auto"/>
    </w:pPr>
    <w:rPr>
      <w:rFonts w:ascii="Times New Roman" w:hAnsi="Times New Roman"/>
      <w:sz w:val="24"/>
    </w:rPr>
  </w:style>
  <w:style w:type="paragraph" w:customStyle="1" w:styleId="773">
    <w:name w:val="纯文本1"/>
    <w:basedOn w:val="1"/>
    <w:qFormat/>
    <w:uiPriority w:val="0"/>
    <w:rPr>
      <w:rFonts w:ascii="Calibri" w:hAnsi="Courier New" w:cs="Courier New"/>
      <w:kern w:val="2"/>
      <w:sz w:val="21"/>
      <w:szCs w:val="21"/>
    </w:rPr>
  </w:style>
  <w:style w:type="paragraph" w:customStyle="1" w:styleId="774">
    <w:name w:val="样式 列表编号 + 段后: 0.5 行"/>
    <w:basedOn w:val="18"/>
    <w:qFormat/>
    <w:uiPriority w:val="0"/>
    <w:pPr>
      <w:tabs>
        <w:tab w:val="clear" w:pos="720"/>
      </w:tabs>
      <w:spacing w:afterLines="0"/>
      <w:ind w:left="425" w:hanging="425"/>
    </w:pPr>
    <w:rPr>
      <w:rFonts w:cs="宋体"/>
      <w:sz w:val="24"/>
    </w:rPr>
  </w:style>
  <w:style w:type="paragraph" w:customStyle="1" w:styleId="775">
    <w:name w:val="px12l140"/>
    <w:basedOn w:val="1"/>
    <w:qFormat/>
    <w:uiPriority w:val="0"/>
    <w:pPr>
      <w:spacing w:before="100" w:beforeAutospacing="1" w:after="100" w:afterAutospacing="1" w:line="336" w:lineRule="auto"/>
    </w:pPr>
    <w:rPr>
      <w:sz w:val="20"/>
      <w:szCs w:val="20"/>
    </w:rPr>
  </w:style>
  <w:style w:type="paragraph" w:customStyle="1" w:styleId="776">
    <w:name w:val="段落正文"/>
    <w:basedOn w:val="3"/>
    <w:qFormat/>
    <w:uiPriority w:val="0"/>
    <w:pPr>
      <w:suppressAutoHyphens/>
      <w:spacing w:line="360" w:lineRule="auto"/>
      <w:jc w:val="center"/>
    </w:pPr>
    <w:rPr>
      <w:rFonts w:ascii="Calibri" w:hAnsi="Calibri"/>
      <w:b/>
      <w:bCs w:val="0"/>
      <w:sz w:val="32"/>
      <w:szCs w:val="32"/>
    </w:rPr>
  </w:style>
  <w:style w:type="paragraph" w:customStyle="1" w:styleId="777">
    <w:name w:val="样式 标题 3 + (西文) 黑体 (中文) 黑体 (符号) 宋体 小四 段前: 5 磅 段后: 5 磅 行距: 1..."/>
    <w:basedOn w:val="7"/>
    <w:qFormat/>
    <w:uiPriority w:val="0"/>
    <w:pPr>
      <w:keepNext w:val="0"/>
      <w:keepLines w:val="0"/>
      <w:tabs>
        <w:tab w:val="left" w:pos="432"/>
        <w:tab w:val="left" w:pos="567"/>
      </w:tabs>
      <w:adjustRightInd w:val="0"/>
      <w:snapToGrid w:val="0"/>
      <w:spacing w:before="100" w:after="100" w:line="360" w:lineRule="auto"/>
      <w:ind w:left="840" w:hanging="420"/>
    </w:pPr>
    <w:rPr>
      <w:b w:val="0"/>
      <w:sz w:val="21"/>
      <w:szCs w:val="21"/>
      <w:lang w:val="zh-CN"/>
    </w:rPr>
  </w:style>
  <w:style w:type="paragraph" w:customStyle="1" w:styleId="778">
    <w:name w:val="font14"/>
    <w:basedOn w:val="1"/>
    <w:qFormat/>
    <w:uiPriority w:val="0"/>
    <w:pPr>
      <w:spacing w:before="100" w:beforeAutospacing="1" w:after="100" w:afterAutospacing="1"/>
    </w:pPr>
    <w:rPr>
      <w:rFonts w:hAnsi="Times New Roman" w:cs="Times New Roman"/>
      <w:sz w:val="20"/>
      <w:szCs w:val="20"/>
    </w:rPr>
  </w:style>
  <w:style w:type="paragraph" w:customStyle="1" w:styleId="779">
    <w:name w:val="列表框2"/>
    <w:basedOn w:val="230"/>
    <w:qFormat/>
    <w:uiPriority w:val="0"/>
    <w:pPr>
      <w:numPr>
        <w:ilvl w:val="0"/>
        <w:numId w:val="11"/>
      </w:numPr>
      <w:tabs>
        <w:tab w:val="left" w:pos="360"/>
        <w:tab w:val="left" w:pos="567"/>
      </w:tabs>
      <w:ind w:left="0" w:leftChars="700" w:firstLine="0"/>
    </w:pPr>
    <w:rPr>
      <w:rFonts w:ascii="Times New Roman" w:hAnsi="Times New Roman"/>
    </w:rPr>
  </w:style>
  <w:style w:type="paragraph" w:customStyle="1" w:styleId="780">
    <w:name w:val="xl85"/>
    <w:basedOn w:val="1"/>
    <w:qFormat/>
    <w:uiPriority w:val="0"/>
    <w:pPr>
      <w:spacing w:before="100" w:beforeAutospacing="1" w:after="100" w:afterAutospacing="1"/>
      <w:jc w:val="center"/>
      <w:textAlignment w:val="center"/>
    </w:pPr>
    <w:rPr>
      <w:rFonts w:ascii="仿宋" w:hAnsi="仿宋" w:eastAsia="仿宋" w:cs="Times New Roman"/>
      <w:b/>
      <w:bCs/>
      <w:sz w:val="20"/>
      <w:szCs w:val="20"/>
    </w:rPr>
  </w:style>
  <w:style w:type="paragraph" w:customStyle="1" w:styleId="781">
    <w:name w:val="正文缩近"/>
    <w:basedOn w:val="1"/>
    <w:qFormat/>
    <w:uiPriority w:val="0"/>
    <w:pPr>
      <w:widowControl w:val="0"/>
      <w:adjustRightInd w:val="0"/>
      <w:snapToGrid w:val="0"/>
      <w:spacing w:line="540" w:lineRule="atLeast"/>
      <w:ind w:firstLine="608"/>
      <w:jc w:val="both"/>
      <w:textAlignment w:val="baseline"/>
    </w:pPr>
    <w:rPr>
      <w:rFonts w:ascii="Times New Roman" w:hAnsi="Times New Roman" w:cs="Times New Roman"/>
      <w:sz w:val="30"/>
      <w:szCs w:val="20"/>
    </w:rPr>
  </w:style>
  <w:style w:type="paragraph" w:customStyle="1" w:styleId="782">
    <w:name w:val="font10"/>
    <w:basedOn w:val="1"/>
    <w:qFormat/>
    <w:uiPriority w:val="0"/>
    <w:pPr>
      <w:spacing w:before="100" w:beforeAutospacing="1" w:after="100" w:afterAutospacing="1"/>
    </w:pPr>
    <w:rPr>
      <w:rFonts w:ascii="Arial" w:hAnsi="Arial" w:cs="Arial"/>
      <w:color w:val="000000"/>
      <w:sz w:val="20"/>
      <w:szCs w:val="20"/>
    </w:rPr>
  </w:style>
  <w:style w:type="paragraph" w:customStyle="1" w:styleId="783">
    <w:name w:val="Char Char16 Char Char"/>
    <w:basedOn w:val="1"/>
    <w:qFormat/>
    <w:uiPriority w:val="0"/>
    <w:pPr>
      <w:widowControl w:val="0"/>
      <w:jc w:val="both"/>
    </w:pPr>
    <w:rPr>
      <w:rFonts w:ascii="Times New Roman" w:hAnsi="Times New Roman" w:cs="Times New Roman"/>
      <w:kern w:val="2"/>
      <w:sz w:val="21"/>
      <w:szCs w:val="21"/>
    </w:rPr>
  </w:style>
  <w:style w:type="paragraph" w:customStyle="1" w:styleId="784">
    <w:name w:val="标书_正文"/>
    <w:basedOn w:val="1"/>
    <w:qFormat/>
    <w:uiPriority w:val="0"/>
    <w:pPr>
      <w:widowControl w:val="0"/>
      <w:spacing w:line="360" w:lineRule="auto"/>
      <w:ind w:firstLine="420"/>
      <w:jc w:val="both"/>
    </w:pPr>
    <w:rPr>
      <w:rFonts w:ascii="Calibri" w:hAnsi="Calibri" w:cs="Times New Roman"/>
      <w:bCs/>
      <w:sz w:val="21"/>
      <w:szCs w:val="20"/>
    </w:rPr>
  </w:style>
  <w:style w:type="paragraph" w:customStyle="1" w:styleId="785">
    <w:name w:val="xl2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rPr>
  </w:style>
  <w:style w:type="paragraph" w:customStyle="1" w:styleId="786">
    <w:name w:val="金保标题1"/>
    <w:basedOn w:val="5"/>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787">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Times New Roman"/>
      <w:b/>
      <w:bCs/>
      <w:u w:val="single"/>
    </w:rPr>
  </w:style>
  <w:style w:type="paragraph" w:customStyle="1" w:styleId="788">
    <w:name w:val="列出段落12"/>
    <w:basedOn w:val="1"/>
    <w:qFormat/>
    <w:uiPriority w:val="0"/>
    <w:pPr>
      <w:widowControl w:val="0"/>
      <w:ind w:firstLine="420" w:firstLineChars="200"/>
      <w:jc w:val="both"/>
    </w:pPr>
    <w:rPr>
      <w:rFonts w:ascii="Calibri" w:hAnsi="Calibri" w:cs="Times New Roman"/>
      <w:kern w:val="2"/>
      <w:sz w:val="21"/>
      <w:szCs w:val="22"/>
    </w:rPr>
  </w:style>
  <w:style w:type="paragraph" w:customStyle="1" w:styleId="789">
    <w:name w:val="正文文本缩进 31"/>
    <w:basedOn w:val="1"/>
    <w:qFormat/>
    <w:uiPriority w:val="0"/>
    <w:pPr>
      <w:widowControl w:val="0"/>
      <w:autoSpaceDE w:val="0"/>
      <w:autoSpaceDN w:val="0"/>
      <w:adjustRightInd w:val="0"/>
      <w:spacing w:before="120" w:line="22" w:lineRule="atLeast"/>
      <w:ind w:left="720" w:firstLine="480"/>
    </w:pPr>
    <w:rPr>
      <w:rFonts w:ascii="Calibri" w:hAnsi="Times New Roman" w:cs="Times New Roman"/>
      <w:sz w:val="21"/>
      <w:szCs w:val="20"/>
    </w:rPr>
  </w:style>
  <w:style w:type="paragraph" w:customStyle="1" w:styleId="790">
    <w:name w:val="xl2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791">
    <w:name w:val="xl136"/>
    <w:basedOn w:val="1"/>
    <w:qFormat/>
    <w:uiPriority w:val="0"/>
    <w:pPr>
      <w:spacing w:before="100" w:beforeAutospacing="1" w:after="100" w:afterAutospacing="1"/>
      <w:jc w:val="center"/>
      <w:textAlignment w:val="bottom"/>
    </w:pPr>
  </w:style>
  <w:style w:type="paragraph" w:customStyle="1" w:styleId="792">
    <w:name w:val="Char Char1 Char Char Char Char Char Char1"/>
    <w:basedOn w:val="1"/>
    <w:qFormat/>
    <w:uiPriority w:val="0"/>
    <w:pPr>
      <w:spacing w:after="160" w:line="240" w:lineRule="exact"/>
    </w:pPr>
    <w:rPr>
      <w:rFonts w:ascii="Verdana" w:hAnsi="Verdana" w:cs="Times New Roman"/>
      <w:szCs w:val="20"/>
      <w:lang w:eastAsia="en-US"/>
    </w:rPr>
  </w:style>
  <w:style w:type="paragraph" w:customStyle="1" w:styleId="793">
    <w:name w:val="索引 61"/>
    <w:basedOn w:val="1"/>
    <w:next w:val="1"/>
    <w:qFormat/>
    <w:uiPriority w:val="0"/>
    <w:pPr>
      <w:widowControl w:val="0"/>
      <w:snapToGrid w:val="0"/>
      <w:spacing w:line="360" w:lineRule="auto"/>
      <w:ind w:left="1000" w:leftChars="1000"/>
      <w:jc w:val="center"/>
    </w:pPr>
    <w:rPr>
      <w:rFonts w:ascii="Calibri" w:hAnsi="Calibri" w:cs="Times New Roman"/>
      <w:b/>
      <w:kern w:val="2"/>
      <w:sz w:val="32"/>
      <w:szCs w:val="32"/>
    </w:rPr>
  </w:style>
  <w:style w:type="paragraph" w:customStyle="1" w:styleId="794">
    <w:name w:val="样式 标题 2 + Times New Roman 四号 非加粗 段前: 5 磅 段后: 0 磅 行距: 固定值 20..."/>
    <w:basedOn w:val="6"/>
    <w:qFormat/>
    <w:uiPriority w:val="0"/>
    <w:pPr>
      <w:widowControl w:val="0"/>
      <w:tabs>
        <w:tab w:val="left" w:pos="432"/>
      </w:tabs>
      <w:adjustRightInd w:val="0"/>
      <w:snapToGrid w:val="0"/>
      <w:spacing w:before="100" w:after="0" w:line="400" w:lineRule="exact"/>
      <w:jc w:val="both"/>
    </w:pPr>
    <w:rPr>
      <w:rFonts w:ascii="Times New Roman" w:hAnsi="Times New Roman" w:eastAsia="宋体"/>
      <w:bCs w:val="0"/>
      <w:sz w:val="24"/>
      <w:szCs w:val="20"/>
      <w:lang w:val="zh-CN"/>
    </w:rPr>
  </w:style>
  <w:style w:type="paragraph" w:customStyle="1" w:styleId="795">
    <w:name w:val="样式 四号 行距: 1.5 倍行距"/>
    <w:basedOn w:val="1"/>
    <w:qFormat/>
    <w:uiPriority w:val="0"/>
    <w:pPr>
      <w:widowControl w:val="0"/>
      <w:spacing w:line="312" w:lineRule="auto"/>
      <w:ind w:firstLine="202" w:firstLineChars="202"/>
      <w:jc w:val="both"/>
    </w:pPr>
    <w:rPr>
      <w:rFonts w:ascii="Times New Roman" w:hAnsi="Times New Roman" w:cs="Times New Roman"/>
      <w:kern w:val="2"/>
      <w:szCs w:val="20"/>
    </w:rPr>
  </w:style>
  <w:style w:type="paragraph" w:customStyle="1" w:styleId="796">
    <w:name w:val="Char Char Char1 Char Char Char1 Char Char Char Char"/>
    <w:basedOn w:val="1"/>
    <w:qFormat/>
    <w:uiPriority w:val="0"/>
    <w:pPr>
      <w:widowControl w:val="0"/>
      <w:jc w:val="both"/>
    </w:pPr>
    <w:rPr>
      <w:rFonts w:ascii="Times New Roman" w:hAnsi="Times New Roman" w:cs="Times New Roman"/>
      <w:kern w:val="2"/>
      <w:sz w:val="21"/>
    </w:rPr>
  </w:style>
  <w:style w:type="paragraph" w:customStyle="1" w:styleId="797">
    <w:name w:val="Char Char3 Char Char"/>
    <w:basedOn w:val="1"/>
    <w:qFormat/>
    <w:uiPriority w:val="0"/>
    <w:pPr>
      <w:widowControl w:val="0"/>
      <w:jc w:val="both"/>
    </w:pPr>
    <w:rPr>
      <w:rFonts w:ascii="Times New Roman" w:hAnsi="Times New Roman" w:cs="Times New Roman"/>
      <w:kern w:val="2"/>
      <w:sz w:val="21"/>
    </w:rPr>
  </w:style>
  <w:style w:type="paragraph" w:customStyle="1" w:styleId="798">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99">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rPr>
  </w:style>
  <w:style w:type="paragraph" w:customStyle="1" w:styleId="800">
    <w:name w:val="タイトル-L1‐章"/>
    <w:basedOn w:val="1"/>
    <w:next w:val="462"/>
    <w:qFormat/>
    <w:uiPriority w:val="0"/>
    <w:pPr>
      <w:keepNext/>
      <w:pageBreakBefore/>
      <w:numPr>
        <w:ilvl w:val="1"/>
        <w:numId w:val="12"/>
      </w:numPr>
      <w:pBdr>
        <w:top w:val="single" w:color="auto" w:sz="2" w:space="4"/>
        <w:left w:val="single" w:color="auto" w:sz="2" w:space="0"/>
        <w:bottom w:val="single" w:color="auto" w:sz="2" w:space="0"/>
        <w:right w:val="single" w:color="auto" w:sz="2" w:space="0"/>
      </w:pBdr>
      <w:spacing w:line="520" w:lineRule="exact"/>
      <w:jc w:val="center"/>
      <w:outlineLvl w:val="0"/>
    </w:pPr>
    <w:rPr>
      <w:rFonts w:ascii="MS Gothic" w:hAnsi="Century" w:eastAsia="MS Gothic" w:cs="Times New Roman"/>
      <w:b/>
      <w:kern w:val="2"/>
      <w:sz w:val="40"/>
    </w:rPr>
  </w:style>
  <w:style w:type="paragraph" w:customStyle="1" w:styleId="801">
    <w:name w:val="xl2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color w:val="000000"/>
      <w:sz w:val="20"/>
      <w:szCs w:val="20"/>
    </w:rPr>
  </w:style>
  <w:style w:type="paragraph" w:customStyle="1" w:styleId="802">
    <w:name w:val="Char Char8 Char Char"/>
    <w:basedOn w:val="1"/>
    <w:qFormat/>
    <w:uiPriority w:val="0"/>
    <w:pPr>
      <w:widowControl w:val="0"/>
      <w:jc w:val="both"/>
    </w:pPr>
    <w:rPr>
      <w:rFonts w:ascii="Times New Roman" w:hAnsi="Times New Roman" w:cs="Times New Roman"/>
      <w:b/>
      <w:bCs/>
      <w:color w:val="000000"/>
      <w:sz w:val="21"/>
      <w:szCs w:val="21"/>
    </w:rPr>
  </w:style>
  <w:style w:type="paragraph" w:customStyle="1" w:styleId="803">
    <w:name w:val="Char Char Char2 Char Char Char2 Char"/>
    <w:basedOn w:val="1"/>
    <w:qFormat/>
    <w:uiPriority w:val="0"/>
    <w:pPr>
      <w:spacing w:after="160" w:line="240" w:lineRule="exact"/>
      <w:ind w:firstLine="560" w:firstLineChars="200"/>
    </w:pPr>
    <w:rPr>
      <w:rFonts w:ascii="Times New Roman" w:hAnsi="Times New Roman" w:cs="Times New Roman"/>
      <w:kern w:val="2"/>
      <w:sz w:val="21"/>
      <w:szCs w:val="21"/>
    </w:rPr>
  </w:style>
  <w:style w:type="paragraph" w:customStyle="1" w:styleId="804">
    <w:name w:val="xl2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20"/>
      <w:szCs w:val="20"/>
    </w:rPr>
  </w:style>
  <w:style w:type="paragraph" w:customStyle="1" w:styleId="805">
    <w:name w:val="xl2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Times New Roman" w:cs="Times New Roman"/>
      <w:b/>
      <w:bCs/>
      <w:color w:val="000000"/>
    </w:rPr>
  </w:style>
  <w:style w:type="paragraph" w:customStyle="1" w:styleId="806">
    <w:name w:val="正文-首行"/>
    <w:basedOn w:val="1"/>
    <w:qFormat/>
    <w:uiPriority w:val="0"/>
    <w:pPr>
      <w:widowControl w:val="0"/>
      <w:spacing w:line="360" w:lineRule="auto"/>
      <w:ind w:firstLine="420"/>
      <w:jc w:val="both"/>
    </w:pPr>
    <w:rPr>
      <w:rFonts w:hAnsi="Times New Roman" w:cs="Times New Roman"/>
      <w:kern w:val="2"/>
      <w:sz w:val="22"/>
    </w:rPr>
  </w:style>
  <w:style w:type="paragraph" w:customStyle="1" w:styleId="807">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Times New Roman"/>
      <w:sz w:val="18"/>
      <w:szCs w:val="18"/>
    </w:rPr>
  </w:style>
  <w:style w:type="paragraph" w:customStyle="1" w:styleId="808">
    <w:name w:val="xl24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Arial" w:hAnsi="Arial" w:cs="Arial"/>
      <w:color w:val="000000"/>
      <w:sz w:val="20"/>
      <w:szCs w:val="20"/>
    </w:rPr>
  </w:style>
  <w:style w:type="paragraph" w:customStyle="1" w:styleId="809">
    <w:name w:val="PM_Tabelle Text"/>
    <w:basedOn w:val="1"/>
    <w:next w:val="1"/>
    <w:qFormat/>
    <w:uiPriority w:val="0"/>
    <w:pPr>
      <w:widowControl w:val="0"/>
      <w:autoSpaceDE w:val="0"/>
      <w:autoSpaceDN w:val="0"/>
      <w:adjustRightInd w:val="0"/>
    </w:pPr>
    <w:rPr>
      <w:rFonts w:ascii="Arial" w:hAnsi="Arial" w:cs="Times New Roman"/>
    </w:rPr>
  </w:style>
  <w:style w:type="paragraph" w:customStyle="1" w:styleId="810">
    <w:name w:val="Char Char Char Char Char Char1 Char Char Char1 Char Char Char Char Char Char Char Char Char Char Char Char"/>
    <w:basedOn w:val="1"/>
    <w:qFormat/>
    <w:uiPriority w:val="0"/>
    <w:pPr>
      <w:widowControl w:val="0"/>
      <w:jc w:val="both"/>
    </w:pPr>
    <w:rPr>
      <w:rFonts w:ascii="Tahoma" w:hAnsi="Tahoma" w:cs="Times New Roman"/>
      <w:kern w:val="2"/>
      <w:sz w:val="21"/>
      <w:szCs w:val="20"/>
    </w:rPr>
  </w:style>
  <w:style w:type="paragraph" w:customStyle="1" w:styleId="811">
    <w:name w:val="-正文 Char"/>
    <w:basedOn w:val="1"/>
    <w:qFormat/>
    <w:uiPriority w:val="0"/>
    <w:pPr>
      <w:overflowPunct w:val="0"/>
      <w:autoSpaceDE w:val="0"/>
      <w:autoSpaceDN w:val="0"/>
      <w:adjustRightInd w:val="0"/>
      <w:spacing w:line="360" w:lineRule="auto"/>
      <w:ind w:firstLine="200" w:firstLineChars="200"/>
    </w:pPr>
    <w:rPr>
      <w:rFonts w:ascii="Arial" w:hAnsi="Arial" w:cs="Times New Roman"/>
    </w:rPr>
  </w:style>
  <w:style w:type="paragraph" w:customStyle="1" w:styleId="812">
    <w:name w:val="目录4"/>
    <w:basedOn w:val="1"/>
    <w:next w:val="1"/>
    <w:qFormat/>
    <w:uiPriority w:val="0"/>
    <w:pPr>
      <w:tabs>
        <w:tab w:val="left" w:leader="dot" w:pos="8503"/>
      </w:tabs>
      <w:spacing w:line="317" w:lineRule="atLeast"/>
      <w:ind w:firstLine="629"/>
      <w:jc w:val="both"/>
    </w:pPr>
    <w:rPr>
      <w:rFonts w:ascii="Times New Roman" w:hAnsi="Times New Roman" w:cs="Times New Roman"/>
      <w:color w:val="000000"/>
      <w:sz w:val="21"/>
      <w:szCs w:val="20"/>
      <w:u w:color="000000"/>
    </w:rPr>
  </w:style>
  <w:style w:type="paragraph" w:customStyle="1" w:styleId="813">
    <w:name w:val="列表编号 51"/>
    <w:basedOn w:val="1"/>
    <w:qFormat/>
    <w:uiPriority w:val="0"/>
    <w:pPr>
      <w:widowControl w:val="0"/>
      <w:tabs>
        <w:tab w:val="left" w:pos="900"/>
      </w:tabs>
      <w:snapToGrid w:val="0"/>
      <w:spacing w:line="360" w:lineRule="auto"/>
      <w:ind w:left="900" w:hanging="420"/>
    </w:pPr>
    <w:rPr>
      <w:rFonts w:ascii="Calibri" w:hAnsi="Calibri" w:cs="Times New Roman"/>
      <w:b/>
      <w:kern w:val="2"/>
      <w:sz w:val="32"/>
      <w:szCs w:val="20"/>
    </w:rPr>
  </w:style>
  <w:style w:type="paragraph" w:customStyle="1" w:styleId="814">
    <w:name w:val="Bullet"/>
    <w:basedOn w:val="604"/>
    <w:qFormat/>
    <w:uiPriority w:val="0"/>
    <w:pPr>
      <w:tabs>
        <w:tab w:val="left" w:pos="900"/>
      </w:tabs>
    </w:pPr>
    <w:rPr>
      <w:rFonts w:ascii="Times New Roman" w:hAnsi="Times New Roman"/>
    </w:rPr>
  </w:style>
  <w:style w:type="paragraph" w:customStyle="1" w:styleId="815">
    <w:name w:val="四号 居中"/>
    <w:basedOn w:val="1"/>
    <w:qFormat/>
    <w:uiPriority w:val="0"/>
    <w:pPr>
      <w:widowControl w:val="0"/>
      <w:snapToGrid w:val="0"/>
      <w:spacing w:beforeLines="50" w:line="360" w:lineRule="auto"/>
      <w:jc w:val="center"/>
    </w:pPr>
    <w:rPr>
      <w:rFonts w:ascii="黑体" w:hAnsi="Calibri" w:eastAsia="黑体" w:cs="Times New Roman"/>
      <w:b/>
      <w:spacing w:val="1"/>
      <w:sz w:val="28"/>
      <w:szCs w:val="20"/>
    </w:rPr>
  </w:style>
  <w:style w:type="paragraph" w:customStyle="1" w:styleId="816">
    <w:name w:val="xl23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Arial" w:hAnsi="Arial" w:cs="Arial"/>
      <w:sz w:val="20"/>
      <w:szCs w:val="20"/>
    </w:rPr>
  </w:style>
  <w:style w:type="paragraph" w:customStyle="1" w:styleId="817">
    <w:name w:val="TOC 标题1"/>
    <w:basedOn w:val="5"/>
    <w:next w:val="1"/>
    <w:qFormat/>
    <w:uiPriority w:val="39"/>
    <w:pPr>
      <w:keepLines/>
      <w:tabs>
        <w:tab w:val="left" w:pos="432"/>
        <w:tab w:val="left" w:pos="567"/>
      </w:tabs>
      <w:adjustRightInd w:val="0"/>
      <w:snapToGrid w:val="0"/>
      <w:spacing w:beforeLines="50" w:afterLines="50" w:line="276" w:lineRule="auto"/>
      <w:jc w:val="left"/>
      <w:outlineLvl w:val="9"/>
    </w:pPr>
    <w:rPr>
      <w:rFonts w:ascii="Cambria" w:hAnsi="Cambria"/>
      <w:b/>
      <w:bCs/>
      <w:color w:val="365F91"/>
      <w:kern w:val="0"/>
      <w:sz w:val="24"/>
      <w:szCs w:val="21"/>
      <w:lang w:val="zh-CN"/>
    </w:rPr>
  </w:style>
  <w:style w:type="paragraph" w:customStyle="1" w:styleId="818">
    <w:name w:val="XHH标题1"/>
    <w:next w:val="1"/>
    <w:qFormat/>
    <w:uiPriority w:val="0"/>
    <w:pPr>
      <w:pageBreakBefore/>
      <w:widowControl w:val="0"/>
      <w:spacing w:before="120" w:after="120" w:line="360" w:lineRule="auto"/>
      <w:ind w:left="425" w:hanging="425"/>
      <w:jc w:val="center"/>
      <w:outlineLvl w:val="0"/>
    </w:pPr>
    <w:rPr>
      <w:rFonts w:ascii="黑体" w:hAnsi="宋体" w:eastAsia="黑体" w:cs="Times New Roman"/>
      <w:b/>
      <w:kern w:val="2"/>
      <w:sz w:val="32"/>
      <w:szCs w:val="24"/>
      <w:lang w:val="en-US" w:eastAsia="zh-CN" w:bidi="ar-SA"/>
    </w:rPr>
  </w:style>
  <w:style w:type="paragraph" w:customStyle="1" w:styleId="819">
    <w:name w:val="XHH标题8"/>
    <w:qFormat/>
    <w:uiPriority w:val="0"/>
    <w:pPr>
      <w:ind w:left="4394" w:hanging="1418"/>
    </w:pPr>
    <w:rPr>
      <w:rFonts w:ascii="黑体" w:hAnsi="黑体" w:eastAsia="黑体" w:cs="宋体"/>
      <w:kern w:val="2"/>
      <w:sz w:val="28"/>
      <w:szCs w:val="28"/>
      <w:lang w:val="en-US" w:eastAsia="zh-CN" w:bidi="ar-SA"/>
    </w:rPr>
  </w:style>
  <w:style w:type="paragraph" w:customStyle="1" w:styleId="820">
    <w:name w:val="XHH标题5"/>
    <w:basedOn w:val="1"/>
    <w:next w:val="199"/>
    <w:qFormat/>
    <w:uiPriority w:val="0"/>
    <w:pPr>
      <w:widowControl w:val="0"/>
      <w:spacing w:before="120" w:after="120" w:line="360" w:lineRule="auto"/>
      <w:ind w:left="2551" w:hanging="850"/>
      <w:outlineLvl w:val="4"/>
    </w:pPr>
    <w:rPr>
      <w:rFonts w:hAnsi="黑体"/>
      <w:b/>
      <w:kern w:val="2"/>
      <w:szCs w:val="28"/>
    </w:rPr>
  </w:style>
  <w:style w:type="paragraph" w:customStyle="1" w:styleId="821">
    <w:name w:val="样式 首行缩进:  0 字符"/>
    <w:basedOn w:val="1"/>
    <w:qFormat/>
    <w:uiPriority w:val="0"/>
    <w:pPr>
      <w:widowControl w:val="0"/>
      <w:spacing w:line="360" w:lineRule="auto"/>
      <w:ind w:firstLine="200" w:firstLineChars="200"/>
      <w:jc w:val="both"/>
    </w:pPr>
    <w:rPr>
      <w:rFonts w:ascii="Arial" w:hAnsi="Arial"/>
      <w:kern w:val="2"/>
      <w:szCs w:val="20"/>
    </w:rPr>
  </w:style>
  <w:style w:type="paragraph" w:customStyle="1" w:styleId="822">
    <w:name w:val="图格式"/>
    <w:basedOn w:val="1"/>
    <w:qFormat/>
    <w:uiPriority w:val="0"/>
    <w:pPr>
      <w:widowControl w:val="0"/>
      <w:jc w:val="center"/>
    </w:pPr>
    <w:rPr>
      <w:rFonts w:ascii="Arial" w:hAnsi="Arial" w:eastAsia="微软雅黑" w:cs="Times New Roman"/>
      <w:kern w:val="2"/>
      <w:sz w:val="21"/>
    </w:rPr>
  </w:style>
  <w:style w:type="paragraph" w:customStyle="1" w:styleId="823">
    <w:name w:val="样式 列出段落 + 首行缩进:  2 字符"/>
    <w:basedOn w:val="1"/>
    <w:qFormat/>
    <w:uiPriority w:val="0"/>
    <w:pPr>
      <w:widowControl w:val="0"/>
      <w:spacing w:line="300" w:lineRule="auto"/>
      <w:ind w:firstLine="200" w:firstLineChars="200"/>
      <w:jc w:val="both"/>
    </w:pPr>
    <w:rPr>
      <w:rFonts w:ascii="Times New Roman" w:hAnsi="Times New Roman"/>
      <w:kern w:val="2"/>
      <w:szCs w:val="20"/>
    </w:rPr>
  </w:style>
  <w:style w:type="paragraph" w:customStyle="1" w:styleId="824">
    <w:name w:val="有符号正文"/>
    <w:basedOn w:val="1"/>
    <w:qFormat/>
    <w:uiPriority w:val="0"/>
    <w:pPr>
      <w:widowControl w:val="0"/>
      <w:numPr>
        <w:ilvl w:val="0"/>
        <w:numId w:val="13"/>
      </w:numPr>
      <w:spacing w:line="400" w:lineRule="exact"/>
      <w:ind w:left="426" w:firstLine="0"/>
      <w:jc w:val="both"/>
    </w:pPr>
    <w:rPr>
      <w:rFonts w:ascii="Arial" w:hAnsi="Arial" w:eastAsia="微软雅黑" w:cs="Times New Roman"/>
      <w:kern w:val="2"/>
      <w:sz w:val="21"/>
    </w:rPr>
  </w:style>
  <w:style w:type="paragraph" w:customStyle="1" w:styleId="825">
    <w:name w:val="XHH标题4"/>
    <w:next w:val="199"/>
    <w:qFormat/>
    <w:uiPriority w:val="0"/>
    <w:pPr>
      <w:widowControl w:val="0"/>
      <w:spacing w:before="120" w:after="120" w:line="360" w:lineRule="auto"/>
      <w:ind w:left="1984" w:hanging="708"/>
      <w:outlineLvl w:val="3"/>
    </w:pPr>
    <w:rPr>
      <w:rFonts w:ascii="黑体" w:hAnsi="宋体" w:eastAsia="黑体" w:cs="Times New Roman"/>
      <w:b/>
      <w:kern w:val="2"/>
      <w:sz w:val="24"/>
      <w:szCs w:val="28"/>
      <w:lang w:val="en-US" w:eastAsia="zh-CN" w:bidi="ar-SA"/>
    </w:rPr>
  </w:style>
  <w:style w:type="paragraph" w:customStyle="1" w:styleId="826">
    <w:name w:val="Table Paragraph"/>
    <w:basedOn w:val="1"/>
    <w:qFormat/>
    <w:uiPriority w:val="1"/>
    <w:pPr>
      <w:widowControl w:val="0"/>
    </w:pPr>
    <w:rPr>
      <w:rFonts w:ascii="Calibri" w:hAnsi="Calibri" w:cs="Times New Roman"/>
      <w:sz w:val="22"/>
      <w:szCs w:val="22"/>
      <w:lang w:eastAsia="en-US"/>
    </w:rPr>
  </w:style>
  <w:style w:type="paragraph" w:customStyle="1" w:styleId="827">
    <w:name w:val="l正文"/>
    <w:basedOn w:val="1"/>
    <w:qFormat/>
    <w:uiPriority w:val="0"/>
    <w:pPr>
      <w:widowControl w:val="0"/>
      <w:spacing w:line="300" w:lineRule="auto"/>
      <w:ind w:firstLine="200" w:firstLineChars="200"/>
    </w:pPr>
    <w:rPr>
      <w:rFonts w:ascii="楷体_GB2312" w:hAnsi="Times" w:eastAsia="楷体_GB2312" w:cs="等线"/>
      <w:kern w:val="2"/>
    </w:rPr>
  </w:style>
  <w:style w:type="paragraph" w:customStyle="1" w:styleId="828">
    <w:name w:val="_Style 2"/>
    <w:basedOn w:val="1"/>
    <w:qFormat/>
    <w:uiPriority w:val="0"/>
    <w:pPr>
      <w:widowControl w:val="0"/>
      <w:ind w:firstLine="420" w:firstLineChars="200"/>
      <w:jc w:val="both"/>
    </w:pPr>
    <w:rPr>
      <w:rFonts w:ascii="Calibri" w:hAnsi="Calibri" w:cs="Times New Roman"/>
      <w:kern w:val="2"/>
      <w:sz w:val="21"/>
    </w:rPr>
  </w:style>
  <w:style w:type="paragraph" w:customStyle="1" w:styleId="829">
    <w:name w:val="首行缩进"/>
    <w:basedOn w:val="1"/>
    <w:qFormat/>
    <w:uiPriority w:val="0"/>
    <w:pPr>
      <w:widowControl w:val="0"/>
      <w:tabs>
        <w:tab w:val="left" w:pos="822"/>
        <w:tab w:val="left" w:pos="2940"/>
      </w:tabs>
      <w:snapToGrid w:val="0"/>
      <w:spacing w:before="40" w:after="40" w:line="300" w:lineRule="atLeast"/>
      <w:jc w:val="both"/>
    </w:pPr>
    <w:rPr>
      <w:rFonts w:ascii="Arial" w:hAnsi="Arial" w:cs="Times New Roman"/>
      <w:kern w:val="2"/>
      <w:sz w:val="21"/>
    </w:rPr>
  </w:style>
  <w:style w:type="table" w:customStyle="1" w:styleId="830">
    <w:name w:val="Table Normal"/>
    <w:qFormat/>
    <w:uiPriority w:val="0"/>
    <w:tblPr>
      <w:tblCellMar>
        <w:top w:w="0" w:type="dxa"/>
        <w:left w:w="0" w:type="dxa"/>
        <w:bottom w:w="0" w:type="dxa"/>
        <w:right w:w="0" w:type="dxa"/>
      </w:tblCellMar>
    </w:tblPr>
  </w:style>
  <w:style w:type="table" w:customStyle="1" w:styleId="831">
    <w:name w:val="网格型1"/>
    <w:basedOn w:val="58"/>
    <w:qFormat/>
    <w:uiPriority w:val="99"/>
    <w:rPr>
      <w:rFonts w:ascii="Calibri" w:hAnsi="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32">
    <w:name w:val="style='height:"/>
    <w:qFormat/>
    <w:uiPriority w:val="0"/>
    <w:rPr>
      <w:rFonts w:hint="default" w:ascii="Verdana" w:hAnsi="Verdana"/>
      <w:sz w:val="18"/>
      <w:szCs w:val="18"/>
    </w:rPr>
  </w:style>
  <w:style w:type="character" w:customStyle="1" w:styleId="833">
    <w:name w:val="标题 Char2"/>
    <w:qFormat/>
    <w:uiPriority w:val="10"/>
    <w:rPr>
      <w:rFonts w:ascii="Arial" w:hAnsi="Arial" w:cs="宋体"/>
      <w:b/>
      <w:spacing w:val="14"/>
      <w:kern w:val="24"/>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99</Pages>
  <Words>65988</Words>
  <Characters>73733</Characters>
  <Lines>596</Lines>
  <Paragraphs>167</Paragraphs>
  <TotalTime>1</TotalTime>
  <ScaleCrop>false</ScaleCrop>
  <LinksUpToDate>false</LinksUpToDate>
  <CharactersWithSpaces>79614</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Administrator</dc:creator>
  <cp:lastModifiedBy>user</cp:lastModifiedBy>
  <cp:lastPrinted>2023-03-17T08:31:00Z</cp:lastPrinted>
  <dcterms:modified xsi:type="dcterms:W3CDTF">2023-03-20T07:26:26Z</dcterms:modified>
  <dc:title>平阳县政府采购中心招 标 文 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FFB27BD844B14695AF101247A881B4D5</vt:lpwstr>
  </property>
</Properties>
</file>