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750FB83-66EA-4134-B2DC-0C9055DDB4B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2023-08-02T01:44:01Z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