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6A22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35AC5EC">
            <w:pPr>
              <w:tabs>
                <w:tab w:val="left" w:pos="6477"/>
              </w:tabs>
              <w:jc w:val="center"/>
              <w:rPr>
                <w:rFonts w:ascii="宋体" w:hAnsi="宋体"/>
                <w:b/>
                <w:color w:val="auto"/>
                <w:sz w:val="36"/>
                <w:highlight w:val="none"/>
              </w:rPr>
            </w:pPr>
          </w:p>
          <w:p w14:paraId="23B05CE1">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2006A5B8">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69B14E01">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715B66A2">
            <w:pPr>
              <w:widowControl/>
              <w:tabs>
                <w:tab w:val="left" w:pos="2019"/>
              </w:tabs>
              <w:rPr>
                <w:rFonts w:hint="eastAsia" w:ascii="宋体" w:hAnsi="宋体"/>
                <w:b/>
                <w:bCs/>
                <w:color w:val="auto"/>
                <w:sz w:val="28"/>
                <w:highlight w:val="none"/>
              </w:rPr>
            </w:pPr>
          </w:p>
          <w:p w14:paraId="7FE2376D">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lang w:eastAsia="zh-CN"/>
              </w:rPr>
              <w:t>农村综合生活配套提升项目</w:t>
            </w:r>
          </w:p>
          <w:p w14:paraId="052C4CD6">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PYCG250731079</w:t>
            </w:r>
          </w:p>
          <w:p w14:paraId="654575D2">
            <w:pPr>
              <w:widowControl/>
              <w:tabs>
                <w:tab w:val="left" w:pos="2019"/>
              </w:tabs>
              <w:rPr>
                <w:rFonts w:hint="eastAsia" w:ascii="宋体" w:hAnsi="宋体"/>
                <w:b/>
                <w:color w:val="auto"/>
                <w:sz w:val="30"/>
                <w:szCs w:val="30"/>
                <w:highlight w:val="none"/>
              </w:rPr>
            </w:pPr>
          </w:p>
          <w:p w14:paraId="3700A86E">
            <w:pPr>
              <w:spacing w:line="440" w:lineRule="exact"/>
              <w:rPr>
                <w:rFonts w:hint="eastAsia" w:ascii="宋体" w:hAnsi="宋体"/>
                <w:b/>
                <w:color w:val="auto"/>
                <w:sz w:val="30"/>
                <w:szCs w:val="30"/>
                <w:highlight w:val="none"/>
              </w:rPr>
            </w:pPr>
          </w:p>
          <w:p w14:paraId="5502E9FA">
            <w:pPr>
              <w:spacing w:line="440" w:lineRule="exact"/>
              <w:rPr>
                <w:rFonts w:ascii="宋体" w:hAnsi="宋体"/>
                <w:b/>
                <w:color w:val="auto"/>
                <w:sz w:val="30"/>
                <w:szCs w:val="30"/>
                <w:highlight w:val="none"/>
              </w:rPr>
            </w:pPr>
          </w:p>
          <w:p w14:paraId="5CE4EFBE">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平阳县萧江新农村建设投资有限公司</w:t>
            </w:r>
          </w:p>
          <w:p w14:paraId="01CFE58C">
            <w:pPr>
              <w:spacing w:line="440" w:lineRule="exact"/>
              <w:ind w:firstLine="2117" w:firstLineChars="703"/>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eastAsia="zh-CN"/>
              </w:rPr>
              <w:t>：刘女士</w:t>
            </w:r>
          </w:p>
          <w:p w14:paraId="2D5F2C18">
            <w:pPr>
              <w:spacing w:line="440" w:lineRule="exact"/>
              <w:ind w:firstLine="2117" w:firstLineChars="703"/>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联系电话：</w:t>
            </w:r>
            <w:r>
              <w:rPr>
                <w:rFonts w:hint="eastAsia" w:ascii="宋体" w:hAnsi="宋体"/>
                <w:b/>
                <w:color w:val="auto"/>
                <w:sz w:val="30"/>
                <w:szCs w:val="30"/>
                <w:highlight w:val="none"/>
                <w:lang w:val="en-US" w:eastAsia="zh-CN"/>
              </w:rPr>
              <w:t>13732288107    </w:t>
            </w:r>
          </w:p>
          <w:p w14:paraId="0EB2BB7B">
            <w:pPr>
              <w:spacing w:line="440" w:lineRule="exact"/>
              <w:rPr>
                <w:rFonts w:hint="eastAsia" w:ascii="宋体" w:hAnsi="宋体"/>
                <w:b/>
                <w:color w:val="auto"/>
                <w:sz w:val="30"/>
                <w:szCs w:val="30"/>
                <w:highlight w:val="none"/>
              </w:rPr>
            </w:pPr>
          </w:p>
          <w:p w14:paraId="5AB728F1">
            <w:pPr>
              <w:spacing w:line="440" w:lineRule="exact"/>
              <w:rPr>
                <w:rFonts w:ascii="宋体" w:hAnsi="宋体"/>
                <w:b/>
                <w:color w:val="auto"/>
                <w:sz w:val="30"/>
                <w:szCs w:val="30"/>
                <w:highlight w:val="none"/>
              </w:rPr>
            </w:pPr>
          </w:p>
          <w:p w14:paraId="1C88DA66">
            <w:pPr>
              <w:pStyle w:val="32"/>
              <w:rPr>
                <w:color w:val="auto"/>
                <w:highlight w:val="none"/>
              </w:rPr>
            </w:pPr>
          </w:p>
          <w:p w14:paraId="518069EA">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3BF13957">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0D610661">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A5805">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w:t>
            </w:r>
            <w:bookmarkStart w:id="552" w:name="_GoBack"/>
            <w:bookmarkEnd w:id="552"/>
            <w:r>
              <w:rPr>
                <w:rFonts w:hint="eastAsia" w:ascii="宋体" w:hAnsi="宋体"/>
                <w:b/>
                <w:color w:val="auto"/>
                <w:sz w:val="30"/>
                <w:szCs w:val="30"/>
                <w:highlight w:val="none"/>
              </w:rPr>
              <w:t>682718</w:t>
            </w:r>
          </w:p>
          <w:p w14:paraId="35E17599">
            <w:pPr>
              <w:spacing w:line="440" w:lineRule="exact"/>
              <w:rPr>
                <w:rFonts w:ascii="宋体" w:hAnsi="宋体"/>
                <w:b/>
                <w:color w:val="auto"/>
                <w:sz w:val="30"/>
                <w:szCs w:val="30"/>
                <w:highlight w:val="none"/>
              </w:rPr>
            </w:pPr>
          </w:p>
          <w:p w14:paraId="3AB7978F">
            <w:pPr>
              <w:pStyle w:val="32"/>
              <w:rPr>
                <w:rFonts w:ascii="宋体" w:hAnsi="宋体"/>
                <w:b/>
                <w:color w:val="auto"/>
                <w:sz w:val="30"/>
                <w:szCs w:val="30"/>
                <w:highlight w:val="none"/>
              </w:rPr>
            </w:pPr>
          </w:p>
          <w:p w14:paraId="62691FEA">
            <w:pPr>
              <w:pStyle w:val="34"/>
              <w:rPr>
                <w:color w:val="auto"/>
                <w:highlight w:val="none"/>
              </w:rPr>
            </w:pPr>
          </w:p>
          <w:p w14:paraId="5B75D684">
            <w:pPr>
              <w:pStyle w:val="42"/>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E6EACFD">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eastAsia="zh-CN"/>
              </w:rPr>
              <w:t>八</w:t>
            </w:r>
            <w:r>
              <w:rPr>
                <w:rFonts w:hint="eastAsia" w:ascii="宋体" w:hAnsi="宋体"/>
                <w:b/>
                <w:color w:val="auto"/>
                <w:sz w:val="30"/>
                <w:szCs w:val="30"/>
                <w:highlight w:val="none"/>
              </w:rPr>
              <w:t>月</w:t>
            </w:r>
          </w:p>
          <w:p w14:paraId="0A5D62C1">
            <w:pPr>
              <w:spacing w:line="440" w:lineRule="exact"/>
              <w:jc w:val="center"/>
              <w:rPr>
                <w:rFonts w:ascii="宋体" w:hAnsi="宋体"/>
                <w:b/>
                <w:color w:val="auto"/>
                <w:sz w:val="84"/>
                <w:highlight w:val="none"/>
              </w:rPr>
            </w:pPr>
          </w:p>
        </w:tc>
      </w:tr>
    </w:tbl>
    <w:p w14:paraId="5D67C03E">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2FB8299C">
      <w:pPr>
        <w:widowControl/>
        <w:tabs>
          <w:tab w:val="left" w:pos="2019"/>
        </w:tabs>
        <w:jc w:val="center"/>
        <w:rPr>
          <w:rFonts w:hint="eastAsia" w:ascii="宋体" w:hAnsi="宋体"/>
          <w:b/>
          <w:bCs/>
          <w:color w:val="auto"/>
          <w:kern w:val="0"/>
          <w:sz w:val="28"/>
          <w:szCs w:val="28"/>
          <w:highlight w:val="none"/>
          <w:lang w:eastAsia="zh-CN"/>
        </w:rPr>
      </w:pPr>
      <w:bookmarkStart w:id="0" w:name="OLE_LINK2"/>
      <w:bookmarkStart w:id="1" w:name="OLE_LINK1"/>
      <w:bookmarkStart w:id="2" w:name="OLE_LINK3"/>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农村综合生活配套提升项目</w:t>
      </w:r>
      <w:r>
        <w:rPr>
          <w:rFonts w:hint="eastAsia" w:ascii="宋体" w:hAnsi="宋体" w:eastAsia="宋体"/>
          <w:b/>
          <w:bCs/>
          <w:color w:val="auto"/>
          <w:kern w:val="0"/>
          <w:sz w:val="28"/>
          <w:szCs w:val="28"/>
          <w:highlight w:val="none"/>
        </w:rPr>
        <w:t>的公开招标公告</w:t>
      </w:r>
    </w:p>
    <w:p w14:paraId="10DD9449">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05B92F7E">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2025年</w:t>
      </w:r>
      <w:r>
        <w:rPr>
          <w:rFonts w:hint="eastAsia" w:ascii="宋体" w:hAnsi="宋体"/>
          <w:b/>
          <w:color w:val="auto"/>
          <w:sz w:val="24"/>
          <w:szCs w:val="24"/>
          <w:highlight w:val="none"/>
          <w:lang w:val="en-US" w:eastAsia="zh-CN"/>
        </w:rPr>
        <w:t>08</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01</w:t>
      </w:r>
      <w:r>
        <w:rPr>
          <w:rFonts w:hint="eastAsia" w:ascii="宋体" w:hAnsi="宋体"/>
          <w:b/>
          <w:color w:val="auto"/>
          <w:sz w:val="24"/>
          <w:szCs w:val="24"/>
          <w:highlight w:val="none"/>
          <w:lang w:eastAsia="zh-CN"/>
        </w:rPr>
        <w:t>日</w:t>
      </w:r>
    </w:p>
    <w:p w14:paraId="75BACC3D">
      <w:pPr>
        <w:pStyle w:val="50"/>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785CF598">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农村综合生活配套提升项目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color w:val="auto"/>
          <w:sz w:val="22"/>
          <w:szCs w:val="22"/>
          <w:highlight w:val="none"/>
          <w:shd w:val="clear" w:color="auto" w:fill="FFFFFF"/>
          <w:lang w:eastAsia="zh-CN"/>
        </w:rPr>
        <w:t>乐采云平台https://www.lecaiyun.com/</w:t>
      </w:r>
      <w:r>
        <w:rPr>
          <w:rFonts w:hint="eastAsia" w:ascii="宋体" w:hAnsi="宋体" w:eastAsia="宋体"/>
          <w:color w:val="auto"/>
          <w:sz w:val="22"/>
          <w:szCs w:val="22"/>
          <w:highlight w:val="none"/>
          <w:shd w:val="clear" w:color="auto" w:fill="FFFFFF"/>
        </w:rPr>
        <w:t>在线申请获取采购文件（进入“项目采购”应用，在获取采购文件菜单中选择项目，申请获取采购文件）获取招标文件，并于</w:t>
      </w:r>
      <w:r>
        <w:rPr>
          <w:rFonts w:hint="eastAsia" w:ascii="宋体" w:hAnsi="宋体"/>
          <w:color w:val="auto"/>
          <w:sz w:val="22"/>
          <w:szCs w:val="22"/>
          <w:highlight w:val="none"/>
          <w:shd w:val="clear" w:color="auto" w:fill="FFFFFF"/>
          <w:lang w:eastAsia="zh-CN"/>
        </w:rPr>
        <w:t>2025年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29</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110F1314">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068BAF8D">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PYCG250731079</w:t>
      </w:r>
    </w:p>
    <w:p w14:paraId="1DCB298D">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农村综合生活配套提升项目</w:t>
      </w:r>
    </w:p>
    <w:p w14:paraId="062E4EB7">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：8567729</w:t>
      </w:r>
    </w:p>
    <w:p w14:paraId="37AFC2D1">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w:t>
      </w:r>
    </w:p>
    <w:p w14:paraId="71269E7C">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5BB83C04">
      <w:pPr>
        <w:pStyle w:val="50"/>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农村综合生活配套提升项目</w:t>
      </w:r>
      <w:r>
        <w:rPr>
          <w:rFonts w:ascii="宋体" w:hAnsi="宋体" w:eastAsia="宋体"/>
          <w:color w:val="auto"/>
          <w:sz w:val="22"/>
          <w:szCs w:val="22"/>
          <w:highlight w:val="none"/>
          <w:shd w:val="clear" w:color="auto" w:fill="FFFFFF"/>
        </w:rPr>
        <w:t xml:space="preserve"> </w:t>
      </w:r>
    </w:p>
    <w:p w14:paraId="411A8F1D">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55C70733">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eastAsia="宋体"/>
          <w:color w:val="auto"/>
          <w:sz w:val="22"/>
          <w:szCs w:val="22"/>
          <w:highlight w:val="none"/>
          <w:shd w:val="clear" w:color="auto" w:fill="FFFFFF"/>
        </w:rPr>
        <w:t>8567729</w:t>
      </w:r>
      <w:r>
        <w:rPr>
          <w:rFonts w:hint="eastAsia" w:ascii="宋体" w:hAnsi="宋体"/>
          <w:color w:val="auto"/>
          <w:sz w:val="22"/>
          <w:szCs w:val="22"/>
          <w:highlight w:val="none"/>
          <w:lang w:val="en-US" w:eastAsia="zh-CN"/>
        </w:rPr>
        <w:t xml:space="preserve"> </w:t>
      </w:r>
    </w:p>
    <w:p w14:paraId="174580A8">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A03BD6C">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rPr>
        <w:t xml:space="preserve">项目按实结算，采用单价统一折扣率报价总价不折扣的方式。 </w:t>
      </w:r>
    </w:p>
    <w:p w14:paraId="292A595B">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68B36283">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w:t>
      </w:r>
      <w:r>
        <w:rPr>
          <w:rFonts w:hint="eastAsia" w:ascii="宋体" w:hAnsi="宋体"/>
          <w:color w:val="auto"/>
          <w:sz w:val="22"/>
          <w:szCs w:val="22"/>
          <w:highlight w:val="none"/>
          <w:shd w:val="clear" w:color="auto" w:fill="FFFFFF"/>
          <w:lang w:eastAsia="zh-CN"/>
        </w:rPr>
        <w:t>否</w:t>
      </w:r>
      <w:r>
        <w:rPr>
          <w:rFonts w:hint="eastAsia" w:ascii="宋体" w:hAnsi="宋体" w:eastAsia="宋体"/>
          <w:color w:val="auto"/>
          <w:sz w:val="22"/>
          <w:szCs w:val="22"/>
          <w:highlight w:val="none"/>
          <w:shd w:val="clear" w:color="auto" w:fill="FFFFFF"/>
        </w:rPr>
        <w:t>）联合体投标。</w:t>
      </w:r>
    </w:p>
    <w:p w14:paraId="1CD2467F">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0ADA449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5B2D10B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28252596">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w:t>
      </w:r>
      <w:r>
        <w:rPr>
          <w:rFonts w:hint="eastAsia" w:ascii="宋体" w:hAnsi="宋体" w:eastAsia="宋体" w:cs="宋体"/>
          <w:color w:val="auto"/>
          <w:sz w:val="22"/>
          <w:szCs w:val="22"/>
          <w:highlight w:val="none"/>
          <w:lang w:val="en-US" w:eastAsia="zh-CN"/>
        </w:rPr>
        <w:t>投标供应商</w:t>
      </w:r>
      <w:r>
        <w:rPr>
          <w:rFonts w:hint="eastAsia" w:ascii="Times New Roman" w:hAnsi="Times New Roman" w:eastAsia="宋体" w:cs="Times New Roman"/>
          <w:color w:val="auto"/>
          <w:sz w:val="22"/>
          <w:szCs w:val="22"/>
          <w:highlight w:val="none"/>
          <w:lang w:val="en-US" w:eastAsia="zh-CN"/>
        </w:rPr>
        <w:t>具有有效期内的建筑装修装饰工程专业承包二级及以上资质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且</w:t>
      </w:r>
      <w:r>
        <w:rPr>
          <w:rFonts w:hint="eastAsia" w:ascii="宋体" w:hAnsi="宋体" w:eastAsia="宋体" w:cs="宋体"/>
          <w:color w:val="auto"/>
          <w:sz w:val="22"/>
          <w:szCs w:val="22"/>
          <w:highlight w:val="none"/>
          <w:lang w:eastAsia="zh-CN"/>
        </w:rPr>
        <w:t>具有有效期内</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安全生产许可证。</w:t>
      </w:r>
    </w:p>
    <w:p w14:paraId="0219F747">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41C8A083">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rPr>
        <w:t>至</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08</w:t>
      </w:r>
      <w:r>
        <w:rPr>
          <w:rFonts w:hint="eastAsia" w:ascii="宋体" w:hAnsi="宋体" w:cs="宋体"/>
          <w:color w:val="auto"/>
          <w:sz w:val="22"/>
          <w:szCs w:val="22"/>
          <w:highlight w:val="none"/>
          <w:shd w:val="clear" w:color="auto" w:fill="FFFFFF"/>
          <w:lang w:eastAsia="zh-CN"/>
        </w:rPr>
        <w:t>月</w:t>
      </w:r>
      <w:r>
        <w:rPr>
          <w:rFonts w:hint="eastAsia" w:ascii="宋体" w:hAnsi="宋体" w:cs="宋体"/>
          <w:color w:val="auto"/>
          <w:sz w:val="22"/>
          <w:szCs w:val="22"/>
          <w:highlight w:val="none"/>
          <w:shd w:val="clear" w:color="auto" w:fill="FFFFFF"/>
          <w:lang w:val="en-US" w:eastAsia="zh-CN"/>
        </w:rPr>
        <w:t>29</w:t>
      </w:r>
      <w:r>
        <w:rPr>
          <w:rFonts w:hint="eastAsia" w:ascii="宋体" w:hAnsi="宋体" w:cs="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4ED86403">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olor w:val="auto"/>
          <w:sz w:val="22"/>
          <w:szCs w:val="22"/>
          <w:highlight w:val="none"/>
          <w:shd w:val="clear" w:color="auto" w:fill="FFFFFF"/>
          <w:lang w:eastAsia="zh-CN"/>
        </w:rPr>
        <w:t>乐采云平台（https://www.lecaiyun.com/）</w:t>
      </w:r>
      <w:r>
        <w:rPr>
          <w:rFonts w:hint="eastAsia" w:ascii="宋体" w:hAnsi="宋体" w:eastAsia="宋体"/>
          <w:color w:val="auto"/>
          <w:sz w:val="22"/>
          <w:szCs w:val="22"/>
          <w:highlight w:val="none"/>
          <w:shd w:val="clear" w:color="auto" w:fill="FFFFFF"/>
        </w:rPr>
        <w:t>；</w:t>
      </w:r>
    </w:p>
    <w:p w14:paraId="68C9EF99">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方式：供应商登录</w:t>
      </w:r>
      <w:r>
        <w:rPr>
          <w:rFonts w:hint="eastAsia" w:ascii="宋体" w:hAnsi="宋体"/>
          <w:color w:val="auto"/>
          <w:sz w:val="22"/>
          <w:szCs w:val="22"/>
          <w:highlight w:val="none"/>
          <w:shd w:val="clear" w:color="auto" w:fill="FFFFFF"/>
          <w:lang w:eastAsia="zh-CN"/>
        </w:rPr>
        <w:t>乐采云平台https://www.lecaiyun.com/</w:t>
      </w:r>
      <w:r>
        <w:rPr>
          <w:rFonts w:hint="eastAsia" w:ascii="宋体" w:hAnsi="宋体" w:eastAsia="宋体"/>
          <w:color w:val="auto"/>
          <w:sz w:val="22"/>
          <w:szCs w:val="22"/>
          <w:highlight w:val="none"/>
          <w:shd w:val="clear" w:color="auto" w:fill="FFFFFF"/>
        </w:rPr>
        <w:t>在线申请获取采购文件（进入“项目采购”应用，在获取采购文件菜单中选择项目，申请获取采购文件）；</w:t>
      </w:r>
    </w:p>
    <w:p w14:paraId="08A922F0">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27FEA573">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2025年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29</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2E7E8F26">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乐</w:t>
      </w:r>
      <w:r>
        <w:rPr>
          <w:rFonts w:hint="eastAsia" w:ascii="宋体" w:hAnsi="宋体" w:eastAsia="宋体" w:cs="宋体"/>
          <w:color w:val="auto"/>
          <w:sz w:val="22"/>
          <w:szCs w:val="22"/>
          <w:highlight w:val="none"/>
          <w:shd w:val="clear" w:color="auto" w:fill="FFFFFF"/>
        </w:rPr>
        <w:t>采云平台在线投标</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客户端下载地址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https://sitecdn.zcycdn.com/zcy-client/bidding-client-new/official/lcy/LeCaiYunSetup.latest.exe</w:t>
      </w:r>
      <w:r>
        <w:rPr>
          <w:rFonts w:hint="eastAsia" w:ascii="宋体" w:hAnsi="宋体" w:eastAsia="宋体" w:cs="宋体"/>
          <w:color w:val="auto"/>
          <w:sz w:val="22"/>
          <w:szCs w:val="22"/>
          <w:highlight w:val="none"/>
          <w:shd w:val="clear" w:color="auto" w:fill="FFFFFF"/>
          <w:lang w:eastAsia="zh-CN"/>
        </w:rPr>
        <w:t>）</w:t>
      </w:r>
    </w:p>
    <w:p w14:paraId="287F7D5E">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2025年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29</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6B6ADC0B">
      <w:pPr>
        <w:pStyle w:val="5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乐</w:t>
      </w:r>
      <w:r>
        <w:rPr>
          <w:rFonts w:hint="eastAsia" w:ascii="宋体" w:hAnsi="宋体" w:eastAsia="宋体" w:cs="宋体"/>
          <w:color w:val="auto"/>
          <w:sz w:val="22"/>
          <w:szCs w:val="22"/>
          <w:highlight w:val="none"/>
          <w:shd w:val="clear" w:color="auto" w:fill="FFFFFF"/>
        </w:rPr>
        <w:t>采云平台在线投标</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客户端下载地址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https://sitecdn.zcycdn.com/zcy-client/bidding-client-new/official/lcy/LeCaiYunSetup.latest.exe</w:t>
      </w:r>
      <w:r>
        <w:rPr>
          <w:rFonts w:hint="eastAsia" w:ascii="宋体" w:hAnsi="宋体" w:eastAsia="宋体" w:cs="宋体"/>
          <w:color w:val="auto"/>
          <w:sz w:val="22"/>
          <w:szCs w:val="22"/>
          <w:highlight w:val="none"/>
          <w:shd w:val="clear" w:color="auto" w:fill="FFFFFF"/>
          <w:lang w:eastAsia="zh-CN"/>
        </w:rPr>
        <w:t>）</w:t>
      </w:r>
    </w:p>
    <w:p w14:paraId="6DA17F6D">
      <w:pPr>
        <w:pStyle w:val="50"/>
        <w:keepNext w:val="0"/>
        <w:keepLines w:val="0"/>
        <w:widowControl/>
        <w:numPr>
          <w:ilvl w:val="0"/>
          <w:numId w:val="5"/>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35851289">
      <w:pPr>
        <w:pStyle w:val="50"/>
        <w:keepNext w:val="0"/>
        <w:keepLines w:val="0"/>
        <w:widowControl/>
        <w:numPr>
          <w:ilvl w:val="0"/>
          <w:numId w:val="5"/>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3FAF6DBE">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20162DC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11E44B2">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14745D9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eastAsia="宋体" w:cs="宋体"/>
          <w:i w:val="0"/>
          <w:iCs w:val="0"/>
          <w:caps w:val="0"/>
          <w:color w:val="auto"/>
          <w:spacing w:val="0"/>
          <w:sz w:val="22"/>
          <w:szCs w:val="22"/>
          <w:highlight w:val="none"/>
        </w:rPr>
        <w:t>①本项目通过“乐采云-政企采购开放平台https://www.lecaiyun.com/”实行在线投标响应（电子投标），供应商应先安装“</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电子交易客户端”，并按照本招标文件和“</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”的要求，通过“</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电子交易客户端”编制并加密投标文件。供应商未按规定加密的投标文件，“</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”将予以拒收。 “</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电子交易客户端”请自行前往“</w:t>
      </w:r>
      <w:r>
        <w:rPr>
          <w:rFonts w:hint="eastAsia" w:ascii="宋体" w:hAnsi="宋体" w:eastAsia="宋体" w:cs="宋体"/>
          <w:i w:val="0"/>
          <w:iCs w:val="0"/>
          <w:caps w:val="0"/>
          <w:color w:val="auto"/>
          <w:spacing w:val="0"/>
          <w:sz w:val="22"/>
          <w:szCs w:val="22"/>
          <w:highlight w:val="none"/>
          <w:lang w:eastAsia="zh-CN"/>
        </w:rPr>
        <w:t>乐采云-政企采购开放平台</w:t>
      </w:r>
      <w:r>
        <w:rPr>
          <w:rFonts w:hint="eastAsia" w:ascii="宋体" w:hAnsi="宋体" w:eastAsia="宋体" w:cs="宋体"/>
          <w:i w:val="0"/>
          <w:iCs w:val="0"/>
          <w:caps w:val="0"/>
          <w:color w:val="auto"/>
          <w:spacing w:val="0"/>
          <w:sz w:val="22"/>
          <w:szCs w:val="22"/>
          <w:highlight w:val="none"/>
        </w:rPr>
        <w:t>下载专区-</w:t>
      </w:r>
      <w:r>
        <w:rPr>
          <w:rFonts w:hint="eastAsia" w:ascii="宋体" w:hAnsi="宋体" w:eastAsia="宋体" w:cs="宋体"/>
          <w:i w:val="0"/>
          <w:iCs w:val="0"/>
          <w:caps w:val="0"/>
          <w:color w:val="auto"/>
          <w:spacing w:val="0"/>
          <w:sz w:val="22"/>
          <w:szCs w:val="22"/>
          <w:highlight w:val="none"/>
          <w:lang w:eastAsia="zh-CN"/>
        </w:rPr>
        <w:t>投标客户端</w:t>
      </w:r>
      <w:r>
        <w:rPr>
          <w:rFonts w:hint="eastAsia" w:ascii="宋体" w:hAnsi="宋体" w:eastAsia="宋体" w:cs="宋体"/>
          <w:i w:val="0"/>
          <w:iCs w:val="0"/>
          <w:caps w:val="0"/>
          <w:color w:val="auto"/>
          <w:spacing w:val="0"/>
          <w:sz w:val="22"/>
          <w:szCs w:val="22"/>
          <w:highlight w:val="none"/>
        </w:rPr>
        <w:t>”进行下载；通过“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”参与在线投标时如遇平台技术问题详询400-881-7190。</w:t>
      </w:r>
    </w:p>
    <w:p w14:paraId="4A9F020E">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②为确保网上操作合法、有效和安全，投标供应商应当在投标截止时间前完成在“</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”的身份认证，确保在电子投标过程中能够对相关数据电文进行加密和使用电子签章。使用“</w:t>
      </w:r>
      <w:r>
        <w:rPr>
          <w:rFonts w:hint="eastAsia" w:ascii="宋体" w:hAnsi="宋体" w:eastAsia="宋体" w:cs="宋体"/>
          <w:i w:val="0"/>
          <w:iCs w:val="0"/>
          <w:caps w:val="0"/>
          <w:color w:val="auto"/>
          <w:spacing w:val="0"/>
          <w:sz w:val="22"/>
          <w:szCs w:val="22"/>
          <w:highlight w:val="none"/>
          <w:lang w:eastAsia="zh-CN"/>
        </w:rPr>
        <w:t>乐采云</w:t>
      </w:r>
      <w:r>
        <w:rPr>
          <w:rFonts w:hint="eastAsia" w:ascii="宋体" w:hAnsi="宋体" w:eastAsia="宋体" w:cs="宋体"/>
          <w:i w:val="0"/>
          <w:iCs w:val="0"/>
          <w:caps w:val="0"/>
          <w:color w:val="auto"/>
          <w:spacing w:val="0"/>
          <w:sz w:val="22"/>
          <w:szCs w:val="22"/>
          <w:highlight w:val="none"/>
        </w:rPr>
        <w:t>电子交易客户端”需要提前申领CA数字证书，申领流程请自行前往“乐采云-操作手册-注册与系统管理-CA管理”进行查阅；（供应商应在开标前完成CA数字证书办理。</w:t>
      </w:r>
    </w:p>
    <w:p w14:paraId="388A4B0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③投标供应商应当在投标截止时间前，将生成的“电子加密投标文件”上传递交至“</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”。投标截止时间以后上传递交的投标文件将被“</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”拒收。</w:t>
      </w:r>
    </w:p>
    <w:p w14:paraId="14DE021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④投标供应商在“</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4BF279FE">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⑤通过“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i w:val="0"/>
          <w:iCs w:val="0"/>
          <w:caps w:val="0"/>
          <w:color w:val="auto"/>
          <w:spacing w:val="0"/>
          <w:sz w:val="22"/>
          <w:szCs w:val="22"/>
          <w:highlight w:val="none"/>
          <w:lang w:eastAsia="zh-CN"/>
        </w:rPr>
        <w:t xml:space="preserve">乐采云-政企采购开放平台 </w:t>
      </w:r>
      <w:r>
        <w:rPr>
          <w:rFonts w:hint="eastAsia" w:ascii="宋体" w:hAnsi="宋体" w:eastAsia="宋体" w:cs="宋体"/>
          <w:i w:val="0"/>
          <w:iCs w:val="0"/>
          <w:caps w:val="0"/>
          <w:color w:val="auto"/>
          <w:spacing w:val="0"/>
          <w:sz w:val="22"/>
          <w:szCs w:val="22"/>
          <w:highlight w:val="none"/>
        </w:rPr>
        <w:t>”上传递交的“电子加密投标文件”已按时解密的，“备份投标文件”自动失效。投标供应商仅递交备份投标文件的，投标无效。</w:t>
      </w:r>
    </w:p>
    <w:p w14:paraId="662C4FC4">
      <w:pPr>
        <w:pStyle w:val="17"/>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⑥供应商在法定质疑期内一次性提出针对同一采购程序环节的质疑。</w:t>
      </w:r>
    </w:p>
    <w:p w14:paraId="277956C5">
      <w:pPr>
        <w:pStyle w:val="5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33B2DCF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1、采购人：平阳县萧江新农村建设投资有限公司</w:t>
      </w:r>
    </w:p>
    <w:p w14:paraId="4498C65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采购人地址：温州市平阳县渡西路与永乐路交叉路口往西约50米</w:t>
      </w:r>
    </w:p>
    <w:p w14:paraId="6A44B384">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人：刘女士</w:t>
      </w:r>
    </w:p>
    <w:p w14:paraId="2D0309F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w:t>
      </w:r>
      <w:r>
        <w:rPr>
          <w:rFonts w:hint="eastAsia" w:ascii="宋体" w:hAnsi="宋体" w:eastAsia="宋体"/>
          <w:color w:val="auto"/>
          <w:kern w:val="0"/>
          <w:sz w:val="22"/>
          <w:szCs w:val="22"/>
          <w:highlight w:val="none"/>
          <w:lang w:val="en-US" w:eastAsia="zh-CN"/>
        </w:rPr>
        <w:t>13732288107 </w:t>
      </w:r>
      <w:r>
        <w:rPr>
          <w:rFonts w:hint="eastAsia" w:ascii="宋体" w:hAnsi="宋体" w:eastAsia="宋体" w:cs="宋体"/>
          <w:color w:val="auto"/>
          <w:kern w:val="0"/>
          <w:sz w:val="22"/>
          <w:szCs w:val="22"/>
          <w:highlight w:val="none"/>
          <w:lang w:val="en-US" w:eastAsia="zh-CN" w:bidi="ar"/>
        </w:rPr>
        <w:t>   </w:t>
      </w:r>
    </w:p>
    <w:p w14:paraId="0D96BD6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52BC256D">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w:t>
      </w:r>
      <w:bookmarkStart w:id="3" w:name="B38_联系人"/>
      <w:bookmarkEnd w:id="3"/>
    </w:p>
    <w:p w14:paraId="20AF00C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联系人：吴女士</w:t>
      </w:r>
    </w:p>
    <w:p w14:paraId="4186EC4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38C12C9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3759049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3、同级采购监督管理部门名称：平阳县萧江新农村建设投资有限公司</w:t>
      </w:r>
    </w:p>
    <w:p w14:paraId="3A1732B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联系人：赵女士</w:t>
      </w:r>
    </w:p>
    <w:p w14:paraId="1F9FC40C">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w:t>
      </w:r>
      <w:r>
        <w:rPr>
          <w:rFonts w:hint="eastAsia" w:ascii="宋体" w:hAnsi="宋体" w:eastAsia="宋体"/>
          <w:color w:val="auto"/>
          <w:kern w:val="0"/>
          <w:sz w:val="22"/>
          <w:szCs w:val="22"/>
          <w:highlight w:val="none"/>
          <w:lang w:val="en-US" w:eastAsia="zh-CN"/>
        </w:rPr>
        <w:t>13676534828</w:t>
      </w:r>
    </w:p>
    <w:p w14:paraId="72B0C79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7CAB22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:温州市平阳县渡西路与永乐路交叉路口往西约50米</w:t>
      </w:r>
    </w:p>
    <w:p w14:paraId="23B63813">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516D753A">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农村综合生活配套提升项目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20"/>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24490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B8A520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0D0058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773F7BC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2C67C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E4EF3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6E2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CB59994">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农村综合生活配套提升项目</w:t>
            </w:r>
          </w:p>
        </w:tc>
      </w:tr>
      <w:tr w14:paraId="19F5D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B83F6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5C4B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2C0AD119">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PYCG250731079</w:t>
            </w:r>
          </w:p>
        </w:tc>
      </w:tr>
      <w:tr w14:paraId="4DCB7F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5AE7C9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843CBE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0CA40D4A">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22249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30A14FE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6C6C74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2ED4389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4E5F45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5D79CF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B455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1397D1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711B28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58BA5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A1221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9D7FC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2C7F68A6">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平阳县萧江新农村建设投资有限公司</w:t>
            </w:r>
          </w:p>
          <w:p w14:paraId="23814DD9">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温州市平阳县渡西路与永乐路交叉路口往西约50米</w:t>
            </w:r>
          </w:p>
          <w:p w14:paraId="556FADDC">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eastAsia="zh-CN"/>
              </w:rPr>
              <w:t>刘女士</w:t>
            </w:r>
          </w:p>
          <w:p w14:paraId="2083E592">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w:t>
            </w:r>
            <w:r>
              <w:rPr>
                <w:rFonts w:hint="eastAsia" w:ascii="宋体" w:hAnsi="宋体" w:eastAsia="宋体"/>
                <w:color w:val="auto"/>
                <w:kern w:val="0"/>
                <w:sz w:val="22"/>
                <w:szCs w:val="22"/>
                <w:highlight w:val="none"/>
                <w:lang w:val="en-US" w:eastAsia="zh-CN"/>
              </w:rPr>
              <w:t>13732288107</w:t>
            </w:r>
          </w:p>
        </w:tc>
      </w:tr>
      <w:tr w14:paraId="40A4F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84AAFE0">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8D79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43205E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3139B35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w:t>
            </w:r>
          </w:p>
          <w:p w14:paraId="3CCA3E2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29B551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755B038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5960A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E449826">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220B0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58BE415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4AED9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779FFB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1E25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2DCF060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5499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EBC5B9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6D4C00C">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39522D4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2FB17C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1DE2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F889790">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DC770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B535B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color w:val="auto"/>
                <w:sz w:val="22"/>
                <w:szCs w:val="22"/>
                <w:highlight w:val="none"/>
                <w:lang w:eastAsia="zh-CN"/>
              </w:rPr>
              <w:instrText xml:space="preserve">,</w:instrText>
            </w:r>
            <w:r>
              <w:rPr>
                <w:rFonts w:hint="eastAsia" w:ascii="宋体" w:hAnsi="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EA1E6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2F520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06E759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DE24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BB4F54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5BEA3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B28C3AE">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7E06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5270CC2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3B409C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16498D7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1D9C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5B7776A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5B496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ACB2999">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FB4A87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962EF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547CF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F3ADA08">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195F1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2D49A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6D388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BE5B0F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B3045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2E563B9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w:t>
            </w:r>
            <w:r>
              <w:rPr>
                <w:rFonts w:hint="eastAsia" w:ascii="宋体" w:hAnsi="宋体"/>
                <w:color w:val="auto"/>
                <w:sz w:val="22"/>
                <w:szCs w:val="22"/>
                <w:highlight w:val="none"/>
                <w:lang w:eastAsia="zh-CN"/>
              </w:rPr>
              <w:t>乐采云电子交易客户端</w:t>
            </w:r>
            <w:r>
              <w:rPr>
                <w:rFonts w:hint="eastAsia" w:ascii="宋体" w:hAnsi="宋体" w:eastAsia="宋体"/>
                <w:color w:val="auto"/>
                <w:sz w:val="22"/>
                <w:szCs w:val="22"/>
                <w:highlight w:val="none"/>
              </w:rPr>
              <w:t>”，并按照本招标文件和“</w:t>
            </w:r>
            <w:r>
              <w:rPr>
                <w:rFonts w:hint="eastAsia" w:ascii="宋体" w:hAnsi="宋体"/>
                <w:color w:val="auto"/>
                <w:sz w:val="22"/>
                <w:szCs w:val="22"/>
                <w:highlight w:val="none"/>
                <w:lang w:eastAsia="zh-CN"/>
              </w:rPr>
              <w:t>乐采云-政企采购开放平台</w:t>
            </w:r>
            <w:r>
              <w:rPr>
                <w:rFonts w:hint="eastAsia" w:ascii="宋体" w:hAnsi="宋体" w:eastAsia="宋体"/>
                <w:color w:val="auto"/>
                <w:sz w:val="22"/>
                <w:szCs w:val="22"/>
                <w:highlight w:val="none"/>
              </w:rPr>
              <w:t>”的要求，通过“</w:t>
            </w:r>
            <w:r>
              <w:rPr>
                <w:rFonts w:hint="eastAsia" w:ascii="宋体" w:hAnsi="宋体"/>
                <w:color w:val="auto"/>
                <w:sz w:val="22"/>
                <w:szCs w:val="22"/>
                <w:highlight w:val="none"/>
                <w:lang w:eastAsia="zh-CN"/>
              </w:rPr>
              <w:t>乐采云电子交易客户端</w:t>
            </w:r>
            <w:r>
              <w:rPr>
                <w:rFonts w:hint="eastAsia" w:ascii="宋体" w:hAnsi="宋体" w:eastAsia="宋体"/>
                <w:color w:val="auto"/>
                <w:sz w:val="22"/>
                <w:szCs w:val="22"/>
                <w:highlight w:val="none"/>
              </w:rPr>
              <w:t>”编制并加密投标文件。</w:t>
            </w:r>
          </w:p>
        </w:tc>
      </w:tr>
      <w:tr w14:paraId="3C108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A07783E">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D31C6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02EB7E63">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E35F4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03DAF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5FE2F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A9A6F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45D3D03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3042B5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ascii="宋体" w:hAnsi="宋体"/>
                <w:color w:val="auto"/>
                <w:sz w:val="22"/>
                <w:szCs w:val="22"/>
                <w:highlight w:val="none"/>
                <w:lang w:eastAsia="zh-CN"/>
              </w:rPr>
              <w:t>乐采云电子交易客户端</w:t>
            </w:r>
            <w:r>
              <w:rPr>
                <w:rFonts w:hint="eastAsia" w:ascii="宋体" w:hAnsi="宋体" w:eastAsia="宋体"/>
                <w:color w:val="auto"/>
                <w:sz w:val="22"/>
                <w:szCs w:val="22"/>
                <w:highlight w:val="none"/>
              </w:rPr>
              <w:t>”完成投标文件编制后生成并加密的数据电文形式的投标文件。</w:t>
            </w:r>
          </w:p>
          <w:p w14:paraId="66273F5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9B51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842" w:type="dxa"/>
            <w:vAlign w:val="center"/>
          </w:tcPr>
          <w:p w14:paraId="7CB54556">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2494C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08664164">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Times New Roman"/>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s="Times New Roman"/>
                <w:color w:val="auto"/>
                <w:sz w:val="22"/>
                <w:szCs w:val="22"/>
                <w:highlight w:val="none"/>
              </w:rPr>
              <w:t>“电子加密投标文件”：在线上传递交、一份。</w:t>
            </w:r>
          </w:p>
          <w:p w14:paraId="29537531">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（2）“备份投标文件”：</w:t>
            </w:r>
            <w:r>
              <w:rPr>
                <w:rFonts w:hint="eastAsia" w:ascii="宋体" w:hAnsi="宋体" w:eastAsia="宋体" w:cs="Times New Roman"/>
                <w:color w:val="auto"/>
                <w:sz w:val="22"/>
                <w:szCs w:val="22"/>
                <w:highlight w:val="none"/>
                <w:lang w:val="en-US" w:eastAsia="zh-CN"/>
              </w:rPr>
              <w:t>U盘注明“备份投标文件”，密封包装后，在</w:t>
            </w:r>
            <w:r>
              <w:rPr>
                <w:rFonts w:hint="eastAsia" w:ascii="宋体" w:hAnsi="宋体" w:eastAsia="宋体" w:cs="Times New Roman"/>
                <w:color w:val="auto"/>
                <w:sz w:val="22"/>
                <w:szCs w:val="22"/>
                <w:highlight w:val="none"/>
              </w:rPr>
              <w:t>投标截止时间前</w:t>
            </w:r>
            <w:r>
              <w:rPr>
                <w:rFonts w:hint="eastAsia" w:ascii="宋体" w:hAnsi="宋体" w:eastAsia="宋体" w:cs="Times New Roman"/>
                <w:color w:val="auto"/>
                <w:sz w:val="22"/>
                <w:szCs w:val="22"/>
                <w:highlight w:val="none"/>
                <w:lang w:val="en-US" w:eastAsia="zh-CN"/>
              </w:rPr>
              <w:t>线下送达或以</w:t>
            </w:r>
            <w:r>
              <w:rPr>
                <w:rFonts w:hint="eastAsia" w:ascii="宋体" w:hAnsi="宋体" w:eastAsia="宋体" w:cs="Times New Roman"/>
                <w:color w:val="auto"/>
                <w:sz w:val="22"/>
                <w:szCs w:val="22"/>
                <w:highlight w:val="none"/>
              </w:rPr>
              <w:t>邮寄形式递交</w:t>
            </w:r>
            <w:r>
              <w:rPr>
                <w:rFonts w:hint="eastAsia" w:ascii="宋体" w:hAnsi="宋体" w:eastAsia="宋体" w:cs="Times New Roman"/>
                <w:color w:val="auto"/>
                <w:sz w:val="22"/>
                <w:szCs w:val="22"/>
                <w:highlight w:val="none"/>
                <w:lang w:val="en-US" w:eastAsia="zh-CN"/>
              </w:rPr>
              <w:t>至浙江品信工程项目管理有限公司（</w:t>
            </w:r>
            <w:r>
              <w:rPr>
                <w:rFonts w:hint="eastAsia" w:ascii="宋体" w:hAnsi="宋体" w:eastAsia="宋体" w:cs="Times New Roman"/>
                <w:color w:val="auto"/>
                <w:sz w:val="22"/>
                <w:szCs w:val="22"/>
                <w:highlight w:val="none"/>
                <w:lang w:eastAsia="zh-CN"/>
              </w:rPr>
              <w:t>平阳县鳌江镇曙东路588号高通大厦2号楼7楼</w:t>
            </w:r>
            <w:r>
              <w:rPr>
                <w:rFonts w:hint="eastAsia" w:ascii="宋体" w:hAnsi="宋体" w:eastAsia="宋体" w:cs="Times New Roman"/>
                <w:color w:val="auto"/>
                <w:sz w:val="22"/>
                <w:szCs w:val="22"/>
                <w:highlight w:val="none"/>
                <w:lang w:val="en-US" w:eastAsia="zh-CN"/>
              </w:rPr>
              <w:t xml:space="preserve">  吴女士  15669781333，若以邮寄形式送达的，运输过程中造成投标文件破损、密封不完整的，由供应商自行负责，代理机构及采购人均不对此承担任何责任）。</w:t>
            </w:r>
          </w:p>
          <w:p w14:paraId="16DE3E7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s="Times New Roman"/>
                <w:b/>
                <w:bCs/>
                <w:color w:val="auto"/>
                <w:sz w:val="22"/>
                <w:szCs w:val="22"/>
                <w:highlight w:val="none"/>
                <w:lang w:val="en-US" w:eastAsia="zh-CN"/>
              </w:rPr>
              <w:t>（3）“</w:t>
            </w:r>
            <w:r>
              <w:rPr>
                <w:rFonts w:hint="eastAsia" w:ascii="宋体" w:hAnsi="宋体" w:eastAsia="宋体" w:cs="Times New Roman"/>
                <w:b/>
                <w:bCs/>
                <w:color w:val="auto"/>
                <w:sz w:val="22"/>
                <w:szCs w:val="22"/>
                <w:highlight w:val="none"/>
              </w:rPr>
              <w:t>方案</w:t>
            </w:r>
            <w:r>
              <w:rPr>
                <w:rFonts w:hint="eastAsia" w:ascii="宋体" w:hAnsi="宋体" w:eastAsia="宋体" w:cs="Times New Roman"/>
                <w:b/>
                <w:bCs/>
                <w:color w:val="auto"/>
                <w:sz w:val="22"/>
                <w:szCs w:val="22"/>
                <w:highlight w:val="none"/>
                <w:lang w:val="en-US" w:eastAsia="zh-CN"/>
              </w:rPr>
              <w:t>演示”：U盘注明“</w:t>
            </w:r>
            <w:r>
              <w:rPr>
                <w:rFonts w:hint="eastAsia" w:ascii="宋体" w:hAnsi="宋体" w:eastAsia="宋体" w:cs="Times New Roman"/>
                <w:b/>
                <w:bCs/>
                <w:color w:val="auto"/>
                <w:sz w:val="22"/>
                <w:szCs w:val="22"/>
                <w:highlight w:val="none"/>
              </w:rPr>
              <w:t>方案</w:t>
            </w:r>
            <w:r>
              <w:rPr>
                <w:rFonts w:hint="eastAsia" w:ascii="宋体" w:hAnsi="宋体" w:eastAsia="宋体" w:cs="Times New Roman"/>
                <w:b/>
                <w:bCs/>
                <w:color w:val="auto"/>
                <w:sz w:val="22"/>
                <w:szCs w:val="22"/>
                <w:highlight w:val="none"/>
                <w:lang w:val="en-US" w:eastAsia="zh-CN"/>
              </w:rPr>
              <w:t>演示”，密封包装后，在投标截止时间前线下送达或以邮寄形式递交至浙江品信工程项目管理有限公司（平阳县鳌江镇曙东路588号高通大厦2号楼7楼  吴女士  15669781333，若以邮寄形式送达的，运输过程中造成投标文件破损、密封不完整的，由供应商自行负责，代理机构及采购人均不对此承担任何责任）。</w:t>
            </w:r>
          </w:p>
        </w:tc>
      </w:tr>
      <w:tr w14:paraId="30870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42642AB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C3BBA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E511F31">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51F2694A">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w:t>
            </w:r>
            <w:r>
              <w:rPr>
                <w:rFonts w:hint="eastAsia"/>
                <w:color w:val="auto"/>
                <w:sz w:val="22"/>
                <w:szCs w:val="22"/>
                <w:highlight w:val="none"/>
                <w:lang w:eastAsia="zh-CN"/>
              </w:rPr>
              <w:t>乐采云-政企采购开放平台</w:t>
            </w:r>
            <w:r>
              <w:rPr>
                <w:rFonts w:hint="eastAsia"/>
                <w:color w:val="auto"/>
                <w:sz w:val="22"/>
                <w:szCs w:val="22"/>
                <w:highlight w:val="none"/>
              </w:rPr>
              <w:t>”，否则投标无效。</w:t>
            </w:r>
          </w:p>
          <w:p w14:paraId="23EE40F0">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5871274">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2D079E46">
            <w:pPr>
              <w:snapToGrid w:val="0"/>
              <w:spacing w:line="360" w:lineRule="auto"/>
              <w:rPr>
                <w:rFonts w:hint="eastAsia"/>
                <w:color w:val="auto"/>
                <w:sz w:val="22"/>
                <w:szCs w:val="22"/>
                <w:highlight w:val="none"/>
              </w:rPr>
            </w:pPr>
            <w:r>
              <w:rPr>
                <w:rFonts w:hint="eastAsia"/>
                <w:color w:val="auto"/>
                <w:sz w:val="22"/>
                <w:szCs w:val="22"/>
                <w:highlight w:val="none"/>
              </w:rPr>
              <w:t>a.投标供应商在“</w:t>
            </w:r>
            <w:r>
              <w:rPr>
                <w:rFonts w:hint="eastAsia"/>
                <w:color w:val="auto"/>
                <w:sz w:val="22"/>
                <w:szCs w:val="22"/>
                <w:highlight w:val="none"/>
                <w:lang w:eastAsia="zh-CN"/>
              </w:rPr>
              <w:t>乐采云-政企采购开放平台</w:t>
            </w:r>
            <w:r>
              <w:rPr>
                <w:rFonts w:hint="eastAsia"/>
                <w:color w:val="auto"/>
                <w:sz w:val="22"/>
                <w:szCs w:val="22"/>
                <w:highlight w:val="none"/>
              </w:rPr>
              <w:t>”完成“电子加密投标文件”的上传递交后，还可以（</w:t>
            </w:r>
            <w:r>
              <w:rPr>
                <w:rFonts w:hint="eastAsia"/>
                <w:color w:val="auto"/>
                <w:sz w:val="22"/>
                <w:szCs w:val="22"/>
                <w:highlight w:val="none"/>
                <w:lang w:val="en-US" w:eastAsia="zh-CN"/>
              </w:rPr>
              <w:t>线下送达或</w:t>
            </w:r>
            <w:r>
              <w:rPr>
                <w:rFonts w:hint="eastAsia"/>
                <w:color w:val="auto"/>
                <w:sz w:val="22"/>
                <w:szCs w:val="22"/>
                <w:highlight w:val="none"/>
              </w:rPr>
              <w:t>邮寄形式）在投标截止时间前递交以介质（U盘）存储的“备份投标文件”（一份）；</w:t>
            </w:r>
          </w:p>
          <w:p w14:paraId="27B40933">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2157180">
            <w:pPr>
              <w:snapToGrid w:val="0"/>
              <w:spacing w:line="360" w:lineRule="auto"/>
              <w:rPr>
                <w:rFonts w:hint="eastAsia"/>
                <w:color w:val="auto"/>
                <w:sz w:val="22"/>
                <w:szCs w:val="22"/>
                <w:highlight w:val="none"/>
              </w:rPr>
            </w:pPr>
            <w:r>
              <w:rPr>
                <w:rFonts w:hint="eastAsia"/>
                <w:color w:val="auto"/>
                <w:sz w:val="22"/>
                <w:szCs w:val="22"/>
                <w:highlight w:val="none"/>
              </w:rPr>
              <w:t>c.通过“</w:t>
            </w:r>
            <w:r>
              <w:rPr>
                <w:rFonts w:hint="eastAsia"/>
                <w:color w:val="auto"/>
                <w:sz w:val="22"/>
                <w:szCs w:val="22"/>
                <w:highlight w:val="none"/>
                <w:lang w:eastAsia="zh-CN"/>
              </w:rPr>
              <w:t>乐采云-政企采购开放平台</w:t>
            </w:r>
            <w:r>
              <w:rPr>
                <w:rFonts w:hint="eastAsia" w:ascii="Times New Roman" w:hAnsi="Times New Roman" w:eastAsia="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color w:val="auto"/>
                <w:sz w:val="22"/>
                <w:szCs w:val="22"/>
                <w:highlight w:val="none"/>
                <w:lang w:eastAsia="zh-CN"/>
              </w:rPr>
              <w:t>乐采云-政企采购开放平台</w:t>
            </w:r>
            <w:r>
              <w:rPr>
                <w:rFonts w:hint="eastAsia" w:ascii="Times New Roman" w:hAnsi="Times New Roman" w:eastAsia="宋体"/>
                <w:color w:val="auto"/>
                <w:sz w:val="22"/>
                <w:szCs w:val="22"/>
                <w:highlight w:val="none"/>
              </w:rPr>
              <w:t>”的，投标无效。</w:t>
            </w:r>
          </w:p>
        </w:tc>
      </w:tr>
      <w:tr w14:paraId="17166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76B3DB0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F21F9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682D25E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A699D5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（2）通过“</w:t>
            </w:r>
            <w:r>
              <w:rPr>
                <w:rFonts w:hint="eastAsia" w:ascii="宋体" w:hAnsi="宋体"/>
                <w:color w:val="auto"/>
                <w:sz w:val="22"/>
                <w:szCs w:val="22"/>
                <w:highlight w:val="none"/>
                <w:lang w:eastAsia="zh-CN"/>
              </w:rPr>
              <w:t>乐采云-政企采购开放平台</w:t>
            </w:r>
            <w:r>
              <w:rPr>
                <w:rFonts w:hint="eastAsia" w:ascii="宋体" w:hAnsi="宋体" w:eastAsia="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color w:val="auto"/>
                <w:sz w:val="22"/>
                <w:szCs w:val="22"/>
                <w:highlight w:val="none"/>
                <w:lang w:eastAsia="zh-CN"/>
              </w:rPr>
              <w:t>乐采云-政企采购开放平台</w:t>
            </w:r>
            <w:r>
              <w:rPr>
                <w:rFonts w:hint="eastAsia" w:ascii="宋体" w:hAnsi="宋体" w:eastAsia="宋体"/>
                <w:color w:val="auto"/>
                <w:sz w:val="22"/>
                <w:szCs w:val="22"/>
                <w:highlight w:val="none"/>
              </w:rPr>
              <w:t>”操作规范将“备份投标文件”上传至“</w:t>
            </w:r>
            <w:r>
              <w:rPr>
                <w:rFonts w:hint="eastAsia" w:ascii="宋体" w:hAnsi="宋体"/>
                <w:color w:val="auto"/>
                <w:sz w:val="22"/>
                <w:szCs w:val="22"/>
                <w:highlight w:val="none"/>
                <w:lang w:eastAsia="zh-CN"/>
              </w:rPr>
              <w:t>乐采云-政企采购开放平台</w:t>
            </w:r>
            <w:r>
              <w:rPr>
                <w:rFonts w:hint="eastAsia" w:ascii="宋体" w:hAnsi="宋体" w:eastAsia="宋体"/>
                <w:color w:val="auto"/>
                <w:sz w:val="22"/>
                <w:szCs w:val="22"/>
                <w:highlight w:val="none"/>
              </w:rPr>
              <w:t>”，上传成功后，“电子加密投标文件”自动失效），否则视为投标文件撤回。</w:t>
            </w:r>
          </w:p>
          <w:p w14:paraId="225585B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（3）投标截止时间前，投标供应商仅递交了“备份投标文件”而未将电子加密投标文件上传至“</w:t>
            </w:r>
            <w:r>
              <w:rPr>
                <w:rFonts w:hint="eastAsia" w:ascii="宋体" w:hAnsi="宋体"/>
                <w:color w:val="auto"/>
                <w:sz w:val="22"/>
                <w:szCs w:val="22"/>
                <w:highlight w:val="none"/>
                <w:lang w:eastAsia="zh-CN"/>
              </w:rPr>
              <w:t>乐采云-政企采购开放平台</w:t>
            </w:r>
            <w:r>
              <w:rPr>
                <w:rFonts w:hint="eastAsia" w:ascii="宋体" w:hAnsi="宋体" w:eastAsia="宋体"/>
                <w:color w:val="auto"/>
                <w:sz w:val="22"/>
                <w:szCs w:val="22"/>
                <w:highlight w:val="none"/>
              </w:rPr>
              <w:t>”的，投标无效。</w:t>
            </w:r>
          </w:p>
        </w:tc>
      </w:tr>
      <w:tr w14:paraId="2971E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68DB79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0BE0D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7AB7912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4B9C4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39E5FD9C">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9C1BA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B5A91E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3C4F1613">
            <w:pPr>
              <w:spacing w:line="360" w:lineRule="auto"/>
              <w:rPr>
                <w:rFonts w:hint="eastAsia"/>
                <w:color w:val="auto"/>
                <w:sz w:val="22"/>
                <w:szCs w:val="22"/>
                <w:highlight w:val="none"/>
              </w:rPr>
            </w:pPr>
            <w:r>
              <w:rPr>
                <w:rFonts w:hint="eastAsia"/>
                <w:color w:val="auto"/>
                <w:sz w:val="22"/>
                <w:szCs w:val="22"/>
                <w:highlight w:val="none"/>
              </w:rPr>
              <w:t>□需要</w:t>
            </w:r>
          </w:p>
        </w:tc>
      </w:tr>
      <w:tr w14:paraId="416D7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1FCDC60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D8D4E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2C76597C">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7CA6A7AF">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4BC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4FAC3A0A">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DFD4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B6021AA">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E2A2FA0">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31B28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7040CA6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AF1B704">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1EC8AF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48A509A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w:t>
            </w:r>
          </w:p>
          <w:p w14:paraId="0A24534A">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33CD186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344DB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EFFA4B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9E53947">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25B4ED7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D4F61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DF39AB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586510">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2121699">
            <w:pPr>
              <w:widowControl/>
              <w:snapToGrid w:val="0"/>
              <w:spacing w:line="480" w:lineRule="exac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同级采购监督管理部门名称：</w:t>
            </w:r>
            <w:r>
              <w:rPr>
                <w:rFonts w:hint="eastAsia" w:ascii="宋体" w:hAnsi="宋体"/>
                <w:color w:val="auto"/>
                <w:sz w:val="22"/>
                <w:szCs w:val="22"/>
                <w:highlight w:val="none"/>
                <w:lang w:eastAsia="zh-CN"/>
              </w:rPr>
              <w:t>平阳县萧江新农村建设投资有限公司</w:t>
            </w:r>
          </w:p>
          <w:p w14:paraId="375C52D4">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联系人：</w:t>
            </w:r>
            <w:r>
              <w:rPr>
                <w:rFonts w:hint="eastAsia" w:ascii="宋体" w:hAnsi="宋体"/>
                <w:color w:val="auto"/>
                <w:sz w:val="22"/>
                <w:szCs w:val="22"/>
                <w:highlight w:val="none"/>
                <w:lang w:eastAsia="zh-CN"/>
              </w:rPr>
              <w:t>赵女士</w:t>
            </w:r>
          </w:p>
          <w:p w14:paraId="77618804">
            <w:pPr>
              <w:widowControl/>
              <w:snapToGrid w:val="0"/>
              <w:spacing w:line="480" w:lineRule="exact"/>
              <w:jc w:val="left"/>
              <w:rPr>
                <w:rFonts w:hint="default"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eastAsia="zh-CN"/>
              </w:rPr>
              <w:t>监督投诉电话：</w:t>
            </w:r>
            <w:r>
              <w:rPr>
                <w:rFonts w:hint="eastAsia" w:ascii="宋体" w:hAnsi="宋体"/>
                <w:color w:val="auto"/>
                <w:sz w:val="22"/>
                <w:szCs w:val="22"/>
                <w:highlight w:val="none"/>
                <w:lang w:val="en-US" w:eastAsia="zh-CN"/>
              </w:rPr>
              <w:t>13676534828</w:t>
            </w:r>
          </w:p>
          <w:p w14:paraId="14F14CEF">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传真：</w:t>
            </w:r>
            <w:r>
              <w:rPr>
                <w:rFonts w:hint="eastAsia" w:ascii="宋体" w:hAnsi="宋体" w:eastAsia="宋体"/>
                <w:color w:val="auto"/>
                <w:sz w:val="22"/>
                <w:szCs w:val="22"/>
                <w:highlight w:val="none"/>
                <w:lang w:val="en-US" w:eastAsia="zh-CN"/>
              </w:rPr>
              <w:t>/</w:t>
            </w:r>
          </w:p>
          <w:p w14:paraId="3C9333FB">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地址</w:t>
            </w:r>
            <w:r>
              <w:rPr>
                <w:rFonts w:hint="eastAsia" w:ascii="宋体" w:hAnsi="宋体" w:eastAsia="宋体"/>
                <w:color w:val="auto"/>
                <w:sz w:val="22"/>
                <w:szCs w:val="22"/>
                <w:highlight w:val="none"/>
                <w:lang w:val="en-US" w:eastAsia="zh-CN"/>
              </w:rPr>
              <w:t>:</w:t>
            </w:r>
            <w:r>
              <w:rPr>
                <w:rFonts w:hint="eastAsia" w:ascii="宋体" w:hAnsi="宋体"/>
                <w:color w:val="auto"/>
                <w:sz w:val="22"/>
                <w:szCs w:val="22"/>
                <w:highlight w:val="none"/>
                <w:lang w:val="en-US" w:eastAsia="zh-CN"/>
              </w:rPr>
              <w:t>温州市平阳县渡西路与永乐路交叉路口往西约50米</w:t>
            </w:r>
          </w:p>
        </w:tc>
      </w:tr>
      <w:tr w14:paraId="0CC5E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E55AC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9A18B5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6CE3C13">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2025年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29</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2A415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733EE5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2AD86E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6912927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23E9FB9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2025年</w:t>
            </w:r>
            <w:r>
              <w:rPr>
                <w:rFonts w:hint="eastAsia" w:ascii="宋体" w:hAnsi="宋体"/>
                <w:color w:val="auto"/>
                <w:sz w:val="22"/>
                <w:szCs w:val="22"/>
                <w:highlight w:val="none"/>
                <w:shd w:val="clear" w:color="auto" w:fill="FFFFFF"/>
                <w:lang w:val="en-US" w:eastAsia="zh-CN"/>
              </w:rPr>
              <w:t>08</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29</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6D3D8C66">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75657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781703B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7DDD57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28E16CA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1C8D7A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6B19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17B588F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A3140F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5616758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53ED014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6F49FE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B71DD2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65B65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0DE05E4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5F9875F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52930D8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698512F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DDD5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3715F95">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16AE8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112DE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516ACE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63"/>
                <w:rFonts w:hint="eastAsia" w:ascii="宋体" w:hAnsi="宋体"/>
                <w:color w:val="auto"/>
                <w:sz w:val="22"/>
                <w:szCs w:val="22"/>
                <w:highlight w:val="none"/>
                <w:lang w:eastAsia="zh-CN"/>
              </w:rPr>
              <w:t>513596377</w:t>
            </w:r>
            <w:r>
              <w:rPr>
                <w:rStyle w:val="63"/>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22DFAA3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30476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161F11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48AE7D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6669852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69446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74FB3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1EC2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32472DB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BD17F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75C2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FEDF0D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A9C34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2E60CE2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6267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68763D8">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B82A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5306B3E0">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43691D7C">
      <w:pPr>
        <w:autoSpaceDE w:val="0"/>
        <w:autoSpaceDN w:val="0"/>
        <w:spacing w:line="440" w:lineRule="atLeast"/>
        <w:jc w:val="center"/>
        <w:rPr>
          <w:rFonts w:ascii="宋体" w:hAnsi="宋体"/>
          <w:color w:val="auto"/>
          <w:sz w:val="36"/>
          <w:highlight w:val="none"/>
        </w:rPr>
      </w:pPr>
    </w:p>
    <w:p w14:paraId="36E3FDB5">
      <w:pPr>
        <w:pStyle w:val="33"/>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AD3C11">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0606999">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1B6DD94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62F0C19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734706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C8B8B1B">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757F436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94E98E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0D45EEF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6E5BECA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C9264C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7BF802F6">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3372DBB6">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3518D587">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25D2E68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0167C754">
      <w:pPr>
        <w:pStyle w:val="39"/>
        <w:spacing w:before="120" w:after="120"/>
        <w:ind w:left="0" w:firstLine="0" w:firstLineChars="0"/>
        <w:rPr>
          <w:color w:val="auto"/>
          <w:highlight w:val="none"/>
        </w:rPr>
      </w:pPr>
    </w:p>
    <w:p w14:paraId="23A44DC1">
      <w:pPr>
        <w:pStyle w:val="39"/>
        <w:spacing w:before="120" w:after="120"/>
        <w:ind w:left="0" w:firstLine="0" w:firstLineChars="0"/>
        <w:rPr>
          <w:color w:val="auto"/>
          <w:highlight w:val="none"/>
        </w:rPr>
      </w:pPr>
    </w:p>
    <w:p w14:paraId="0B54E57C">
      <w:pPr>
        <w:pStyle w:val="39"/>
        <w:spacing w:before="120" w:after="120"/>
        <w:ind w:left="0" w:firstLine="0" w:firstLineChars="0"/>
        <w:rPr>
          <w:color w:val="auto"/>
          <w:highlight w:val="none"/>
        </w:rPr>
      </w:pPr>
    </w:p>
    <w:p w14:paraId="5AF4AC87">
      <w:pPr>
        <w:pStyle w:val="39"/>
        <w:spacing w:before="120" w:after="120"/>
        <w:ind w:left="0" w:firstLine="0" w:firstLineChars="0"/>
        <w:rPr>
          <w:color w:val="auto"/>
          <w:highlight w:val="none"/>
        </w:rPr>
      </w:pPr>
    </w:p>
    <w:p w14:paraId="53CB9910">
      <w:pPr>
        <w:pStyle w:val="39"/>
        <w:spacing w:before="120" w:after="120"/>
        <w:ind w:left="0" w:firstLine="0" w:firstLineChars="0"/>
        <w:rPr>
          <w:color w:val="auto"/>
          <w:highlight w:val="none"/>
        </w:rPr>
      </w:pPr>
    </w:p>
    <w:p w14:paraId="258F3AD3">
      <w:pPr>
        <w:pStyle w:val="39"/>
        <w:spacing w:before="120" w:after="120"/>
        <w:ind w:left="0" w:firstLine="0" w:firstLineChars="0"/>
        <w:rPr>
          <w:color w:val="auto"/>
          <w:highlight w:val="none"/>
        </w:rPr>
      </w:pPr>
    </w:p>
    <w:p w14:paraId="1A698823">
      <w:pPr>
        <w:pStyle w:val="39"/>
        <w:spacing w:before="120" w:after="120"/>
        <w:ind w:left="0" w:firstLine="0" w:firstLineChars="0"/>
        <w:rPr>
          <w:color w:val="auto"/>
          <w:highlight w:val="none"/>
        </w:rPr>
      </w:pPr>
    </w:p>
    <w:p w14:paraId="126610A7">
      <w:pPr>
        <w:pStyle w:val="39"/>
        <w:spacing w:before="120" w:after="120"/>
        <w:ind w:left="0" w:firstLine="0" w:firstLineChars="0"/>
        <w:rPr>
          <w:color w:val="auto"/>
          <w:highlight w:val="none"/>
        </w:rPr>
      </w:pPr>
    </w:p>
    <w:p w14:paraId="34B00EEE">
      <w:pPr>
        <w:pStyle w:val="39"/>
        <w:spacing w:before="120" w:after="120"/>
        <w:ind w:left="0" w:firstLine="0" w:firstLineChars="0"/>
        <w:rPr>
          <w:color w:val="auto"/>
          <w:highlight w:val="none"/>
        </w:rPr>
      </w:pPr>
    </w:p>
    <w:p w14:paraId="59D12746">
      <w:pPr>
        <w:pStyle w:val="39"/>
        <w:spacing w:before="120" w:after="120"/>
        <w:ind w:left="0" w:firstLine="0" w:firstLineChars="0"/>
        <w:rPr>
          <w:color w:val="auto"/>
          <w:highlight w:val="none"/>
        </w:rPr>
      </w:pPr>
    </w:p>
    <w:p w14:paraId="3A15F0A4">
      <w:pPr>
        <w:pStyle w:val="39"/>
        <w:spacing w:before="120" w:after="120"/>
        <w:ind w:left="0" w:firstLine="0" w:firstLineChars="0"/>
        <w:rPr>
          <w:color w:val="auto"/>
          <w:highlight w:val="none"/>
        </w:rPr>
      </w:pPr>
    </w:p>
    <w:p w14:paraId="6C04475F">
      <w:pPr>
        <w:pStyle w:val="39"/>
        <w:spacing w:before="120" w:after="120"/>
        <w:ind w:left="0" w:firstLine="0" w:firstLineChars="0"/>
        <w:rPr>
          <w:color w:val="auto"/>
          <w:highlight w:val="none"/>
        </w:rPr>
      </w:pPr>
    </w:p>
    <w:p w14:paraId="73F3AB42">
      <w:pPr>
        <w:pStyle w:val="39"/>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0E47A1">
      <w:pPr>
        <w:pStyle w:val="51"/>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3644B38B">
      <w:pPr>
        <w:pStyle w:val="51"/>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91B2474">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平阳县萧江新农村建设投资有限公司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农村综合生活配套提升项目</w:t>
      </w:r>
      <w:r>
        <w:rPr>
          <w:rFonts w:hint="eastAsia" w:ascii="宋体" w:hAnsi="宋体"/>
          <w:color w:val="auto"/>
          <w:sz w:val="22"/>
          <w:szCs w:val="24"/>
          <w:highlight w:val="none"/>
        </w:rPr>
        <w:t>，本次招标资金已经落实。</w:t>
      </w:r>
    </w:p>
    <w:p w14:paraId="34E0B7DA">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48A8293">
      <w:pPr>
        <w:snapToGrid w:val="0"/>
        <w:spacing w:line="360" w:lineRule="auto"/>
        <w:ind w:firstLine="516" w:firstLineChars="246"/>
        <w:rPr>
          <w:rFonts w:hint="eastAsia" w:ascii="宋体" w:hAnsi="宋体"/>
          <w:color w:val="auto"/>
          <w:szCs w:val="22"/>
          <w:highlight w:val="none"/>
        </w:rPr>
      </w:pPr>
    </w:p>
    <w:bookmarkEnd w:id="5"/>
    <w:p w14:paraId="12C2E56E">
      <w:pPr>
        <w:pStyle w:val="51"/>
        <w:numPr>
          <w:ilvl w:val="0"/>
          <w:numId w:val="7"/>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2365913F">
      <w:pPr>
        <w:autoSpaceDE w:val="0"/>
        <w:autoSpaceDN w:val="0"/>
        <w:snapToGrid w:val="0"/>
        <w:jc w:val="center"/>
        <w:rPr>
          <w:rFonts w:ascii="宋体" w:hAnsi="宋体"/>
          <w:b/>
          <w:color w:val="auto"/>
          <w:szCs w:val="22"/>
          <w:highlight w:val="none"/>
        </w:rPr>
      </w:pPr>
    </w:p>
    <w:bookmarkEnd w:id="6"/>
    <w:p w14:paraId="5EE02357">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6CA2E672">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1E60A08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72B821C">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1676AEA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7CB69CB7">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37F9149">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729A061F">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54672F6">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p w14:paraId="5B8CE2E1">
      <w:pPr>
        <w:spacing w:line="440" w:lineRule="exac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注：供应商的报价须在包括但不限于包装费、运输费、装卸费、保险费、安装调试费、施工费、技术服务费、培训费以及保修费、税费、验收费、代理服务费等全部费用上进行报价，由供应商自行考虑风险。</w:t>
      </w:r>
    </w:p>
    <w:p w14:paraId="71B2D091">
      <w:pPr>
        <w:numPr>
          <w:ilvl w:val="0"/>
          <w:numId w:val="8"/>
        </w:numPr>
        <w:spacing w:line="360" w:lineRule="auto"/>
        <w:ind w:firstLine="42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项目概况</w:t>
      </w:r>
    </w:p>
    <w:p w14:paraId="199BC0DA">
      <w:pPr>
        <w:numPr>
          <w:ilvl w:val="0"/>
          <w:numId w:val="0"/>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项目地点：萧江镇</w:t>
      </w:r>
    </w:p>
    <w:p w14:paraId="6F05B15F">
      <w:pPr>
        <w:numPr>
          <w:ilvl w:val="0"/>
          <w:numId w:val="0"/>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本项目施工范围：</w:t>
      </w:r>
      <w:r>
        <w:rPr>
          <w:rFonts w:hint="eastAsia" w:ascii="宋体" w:hAnsi="宋体" w:eastAsia="宋体" w:cs="宋体"/>
          <w:color w:val="auto"/>
          <w:sz w:val="22"/>
          <w:szCs w:val="22"/>
          <w:highlight w:val="none"/>
          <w:lang w:eastAsia="zh-CN"/>
        </w:rPr>
        <w:t>包括共富工坊提升、配套休闲空间中心提升、</w:t>
      </w:r>
      <w:r>
        <w:rPr>
          <w:rFonts w:hint="eastAsia" w:ascii="宋体" w:hAnsi="宋体" w:eastAsia="宋体" w:cs="宋体"/>
          <w:color w:val="auto"/>
          <w:sz w:val="22"/>
          <w:szCs w:val="22"/>
          <w:highlight w:val="none"/>
          <w:lang w:val="en-US" w:eastAsia="zh-CN"/>
        </w:rPr>
        <w:t>邻里中心三部分。</w:t>
      </w:r>
      <w:r>
        <w:rPr>
          <w:rFonts w:hint="eastAsia" w:ascii="宋体" w:hAnsi="宋体" w:eastAsia="宋体" w:cs="宋体"/>
          <w:color w:val="auto"/>
          <w:sz w:val="22"/>
          <w:szCs w:val="22"/>
          <w:highlight w:val="none"/>
        </w:rPr>
        <w:t>本工程建设范围内</w:t>
      </w:r>
      <w:r>
        <w:rPr>
          <w:rFonts w:hint="eastAsia" w:ascii="宋体" w:hAnsi="宋体" w:eastAsia="宋体" w:cs="宋体"/>
          <w:color w:val="auto"/>
          <w:sz w:val="22"/>
          <w:szCs w:val="22"/>
          <w:highlight w:val="none"/>
          <w:lang w:val="en-US"/>
        </w:rPr>
        <w:t>项目</w:t>
      </w:r>
      <w:r>
        <w:rPr>
          <w:rFonts w:hint="eastAsia" w:ascii="宋体" w:hAnsi="宋体" w:eastAsia="宋体" w:cs="宋体"/>
          <w:color w:val="auto"/>
          <w:sz w:val="22"/>
          <w:szCs w:val="22"/>
          <w:highlight w:val="none"/>
        </w:rPr>
        <w:t>的施工、设备采购、安装</w:t>
      </w:r>
      <w:r>
        <w:rPr>
          <w:rFonts w:hint="eastAsia" w:ascii="宋体" w:hAnsi="宋体" w:eastAsia="宋体" w:cs="宋体"/>
          <w:color w:val="auto"/>
          <w:sz w:val="22"/>
          <w:szCs w:val="22"/>
          <w:highlight w:val="none"/>
          <w:lang w:val="en-US"/>
        </w:rPr>
        <w:t>，多媒体互动程序开发</w:t>
      </w:r>
      <w:r>
        <w:rPr>
          <w:rFonts w:hint="eastAsia" w:ascii="宋体" w:hAnsi="宋体" w:eastAsia="宋体" w:cs="宋体"/>
          <w:color w:val="auto"/>
          <w:sz w:val="22"/>
          <w:szCs w:val="22"/>
          <w:highlight w:val="none"/>
        </w:rPr>
        <w:t>直至工程竣工并投入使用及缺陷责任期的技术服务与缺陷修复、保修期的保修工作。</w:t>
      </w:r>
      <w:r>
        <w:rPr>
          <w:rFonts w:hint="eastAsia" w:ascii="宋体" w:hAnsi="宋体" w:eastAsia="宋体" w:cs="宋体"/>
          <w:color w:val="auto"/>
          <w:sz w:val="22"/>
          <w:szCs w:val="22"/>
          <w:highlight w:val="none"/>
          <w:lang w:val="en-US" w:eastAsia="zh-CN"/>
        </w:rPr>
        <w:t>（具体详见招标控制价、图纸）</w:t>
      </w:r>
      <w:r>
        <w:rPr>
          <w:rFonts w:hint="eastAsia" w:ascii="宋体" w:hAnsi="宋体" w:eastAsia="宋体" w:cs="宋体"/>
          <w:color w:val="auto"/>
          <w:sz w:val="22"/>
          <w:szCs w:val="22"/>
          <w:highlight w:val="none"/>
        </w:rPr>
        <w:t>。</w:t>
      </w:r>
    </w:p>
    <w:p w14:paraId="23315477">
      <w:pPr>
        <w:numPr>
          <w:ilvl w:val="0"/>
          <w:numId w:val="0"/>
        </w:num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1.3本项目中涉及到的钢结构工程须</w:t>
      </w:r>
      <w:r>
        <w:rPr>
          <w:rFonts w:hint="eastAsia" w:ascii="宋体" w:hAnsi="宋体" w:eastAsia="宋体" w:cs="宋体"/>
          <w:color w:val="auto"/>
          <w:sz w:val="22"/>
          <w:szCs w:val="22"/>
          <w:highlight w:val="none"/>
          <w:lang w:eastAsia="zh-CN"/>
        </w:rPr>
        <w:t>委托有相应资质的单位进行施工，人员须符合相关规定。钢结构单位资质及人员的情况必须经</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eastAsia="zh-CN"/>
        </w:rPr>
        <w:t>审核，最终整体方案经采购人确认后方可实施。</w:t>
      </w:r>
    </w:p>
    <w:p w14:paraId="4DEAE9B7">
      <w:pPr>
        <w:numPr>
          <w:ilvl w:val="0"/>
          <w:numId w:val="0"/>
        </w:num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2、设备参数</w:t>
      </w:r>
    </w:p>
    <w:p w14:paraId="11022A4B">
      <w:pPr>
        <w:pStyle w:val="7"/>
        <w:ind w:firstLine="1104" w:firstLineChars="5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2.1设备清单</w:t>
      </w:r>
    </w:p>
    <w:tbl>
      <w:tblPr>
        <w:tblStyle w:val="20"/>
        <w:tblW w:w="7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6765"/>
      </w:tblGrid>
      <w:tr w14:paraId="17F8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bottom w:val="single" w:color="000000" w:sz="8" w:space="0"/>
              <w:right w:val="single" w:color="000000" w:sz="8" w:space="0"/>
            </w:tcBorders>
            <w:shd w:val="clear" w:color="auto" w:fill="FFFFFF"/>
            <w:noWrap w:val="0"/>
            <w:vAlign w:val="center"/>
          </w:tcPr>
          <w:p w14:paraId="6488662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765" w:type="dxa"/>
            <w:tcBorders>
              <w:left w:val="nil"/>
              <w:bottom w:val="single" w:color="000000" w:sz="8" w:space="0"/>
            </w:tcBorders>
            <w:shd w:val="clear" w:color="auto" w:fill="FFFFFF"/>
            <w:noWrap w:val="0"/>
            <w:vAlign w:val="center"/>
          </w:tcPr>
          <w:p w14:paraId="38358BB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r>
      <w:tr w14:paraId="120B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D54E3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6765" w:type="dxa"/>
            <w:tcBorders>
              <w:top w:val="single" w:color="000000" w:sz="8" w:space="0"/>
              <w:left w:val="nil"/>
              <w:bottom w:val="single" w:color="000000" w:sz="8" w:space="0"/>
            </w:tcBorders>
            <w:shd w:val="clear" w:color="auto" w:fill="FFFFFF"/>
            <w:noWrap w:val="0"/>
            <w:vAlign w:val="center"/>
          </w:tcPr>
          <w:p w14:paraId="35BB7F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投影仪</w:t>
            </w:r>
          </w:p>
        </w:tc>
      </w:tr>
      <w:tr w14:paraId="45006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3EBBAB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6765" w:type="dxa"/>
            <w:tcBorders>
              <w:top w:val="single" w:color="000000" w:sz="8" w:space="0"/>
              <w:left w:val="nil"/>
              <w:bottom w:val="single" w:color="000000" w:sz="8" w:space="0"/>
            </w:tcBorders>
            <w:shd w:val="clear" w:color="auto" w:fill="FFFFFF"/>
            <w:noWrap w:val="0"/>
            <w:vAlign w:val="center"/>
          </w:tcPr>
          <w:p w14:paraId="6348D2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电子白板75寸</w:t>
            </w:r>
          </w:p>
        </w:tc>
      </w:tr>
      <w:tr w14:paraId="1C2BA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B14D47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6765" w:type="dxa"/>
            <w:tcBorders>
              <w:top w:val="single" w:color="000000" w:sz="8" w:space="0"/>
              <w:left w:val="nil"/>
              <w:bottom w:val="single" w:color="000000" w:sz="8" w:space="0"/>
            </w:tcBorders>
            <w:shd w:val="clear" w:color="auto" w:fill="FFFFFF"/>
            <w:noWrap w:val="0"/>
            <w:vAlign w:val="center"/>
          </w:tcPr>
          <w:p w14:paraId="4DE8611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音响系统</w:t>
            </w:r>
          </w:p>
        </w:tc>
      </w:tr>
      <w:tr w14:paraId="4937B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4B7A30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6765" w:type="dxa"/>
            <w:tcBorders>
              <w:top w:val="single" w:color="000000" w:sz="8" w:space="0"/>
              <w:left w:val="nil"/>
              <w:bottom w:val="single" w:color="000000" w:sz="8" w:space="0"/>
            </w:tcBorders>
            <w:shd w:val="clear" w:color="auto" w:fill="FFFFFF"/>
            <w:noWrap w:val="0"/>
            <w:vAlign w:val="center"/>
          </w:tcPr>
          <w:p w14:paraId="45D4502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摄像头</w:t>
            </w:r>
          </w:p>
        </w:tc>
      </w:tr>
      <w:tr w14:paraId="318F1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A476A8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6765" w:type="dxa"/>
            <w:tcBorders>
              <w:top w:val="single" w:color="000000" w:sz="8" w:space="0"/>
              <w:left w:val="nil"/>
              <w:bottom w:val="single" w:color="000000" w:sz="8" w:space="0"/>
            </w:tcBorders>
            <w:shd w:val="clear" w:color="auto" w:fill="FFFFFF"/>
            <w:noWrap w:val="0"/>
            <w:vAlign w:val="center"/>
          </w:tcPr>
          <w:p w14:paraId="2BAB78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实物投影仪</w:t>
            </w:r>
          </w:p>
        </w:tc>
      </w:tr>
      <w:tr w14:paraId="13042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4F51EA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6765" w:type="dxa"/>
            <w:tcBorders>
              <w:top w:val="single" w:color="000000" w:sz="8" w:space="0"/>
              <w:left w:val="nil"/>
              <w:bottom w:val="single" w:color="000000" w:sz="8" w:space="0"/>
            </w:tcBorders>
            <w:shd w:val="clear" w:color="auto" w:fill="FFFFFF"/>
            <w:noWrap w:val="0"/>
            <w:vAlign w:val="center"/>
          </w:tcPr>
          <w:p w14:paraId="02C2195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电脑一体机</w:t>
            </w:r>
          </w:p>
        </w:tc>
      </w:tr>
      <w:tr w14:paraId="27251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877E3A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6765" w:type="dxa"/>
            <w:tcBorders>
              <w:top w:val="single" w:color="000000" w:sz="8" w:space="0"/>
              <w:left w:val="nil"/>
              <w:bottom w:val="single" w:color="000000" w:sz="8" w:space="0"/>
            </w:tcBorders>
            <w:shd w:val="clear" w:color="auto" w:fill="FFFFFF"/>
            <w:noWrap w:val="0"/>
            <w:vAlign w:val="center"/>
          </w:tcPr>
          <w:p w14:paraId="5A2B2DE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全屋音响</w:t>
            </w:r>
          </w:p>
        </w:tc>
      </w:tr>
      <w:tr w14:paraId="616B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26EE39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6765" w:type="dxa"/>
            <w:tcBorders>
              <w:top w:val="single" w:color="000000" w:sz="8" w:space="0"/>
              <w:left w:val="nil"/>
              <w:bottom w:val="single" w:color="000000" w:sz="8" w:space="0"/>
            </w:tcBorders>
            <w:shd w:val="clear" w:color="auto" w:fill="FFFFFF"/>
            <w:noWrap w:val="0"/>
            <w:vAlign w:val="center"/>
          </w:tcPr>
          <w:p w14:paraId="254872D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直播摄像机（双机位）</w:t>
            </w:r>
          </w:p>
        </w:tc>
      </w:tr>
      <w:tr w14:paraId="720EB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3706A2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6765" w:type="dxa"/>
            <w:tcBorders>
              <w:top w:val="single" w:color="000000" w:sz="8" w:space="0"/>
              <w:left w:val="nil"/>
              <w:bottom w:val="single" w:color="000000" w:sz="8" w:space="0"/>
            </w:tcBorders>
            <w:shd w:val="clear" w:color="auto" w:fill="FFFFFF"/>
            <w:noWrap w:val="0"/>
            <w:vAlign w:val="center"/>
          </w:tcPr>
          <w:p w14:paraId="701647A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三脚架</w:t>
            </w:r>
          </w:p>
        </w:tc>
      </w:tr>
      <w:tr w14:paraId="6E947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E10A6D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6765" w:type="dxa"/>
            <w:tcBorders>
              <w:top w:val="single" w:color="000000" w:sz="8" w:space="0"/>
              <w:left w:val="nil"/>
              <w:bottom w:val="single" w:color="000000" w:sz="8" w:space="0"/>
            </w:tcBorders>
            <w:shd w:val="clear" w:color="auto" w:fill="FFFFFF"/>
            <w:noWrap w:val="0"/>
            <w:vAlign w:val="center"/>
          </w:tcPr>
          <w:p w14:paraId="6810C5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采集卡</w:t>
            </w:r>
          </w:p>
        </w:tc>
      </w:tr>
      <w:tr w14:paraId="21CF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F6ECBE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6765" w:type="dxa"/>
            <w:tcBorders>
              <w:top w:val="single" w:color="000000" w:sz="8" w:space="0"/>
              <w:left w:val="nil"/>
              <w:bottom w:val="single" w:color="000000" w:sz="8" w:space="0"/>
            </w:tcBorders>
            <w:shd w:val="clear" w:color="auto" w:fill="FFFFFF"/>
            <w:noWrap w:val="0"/>
            <w:vAlign w:val="center"/>
          </w:tcPr>
          <w:p w14:paraId="7040DE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直播灯光</w:t>
            </w:r>
          </w:p>
        </w:tc>
      </w:tr>
      <w:tr w14:paraId="62593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25AE8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6765" w:type="dxa"/>
            <w:tcBorders>
              <w:top w:val="single" w:color="000000" w:sz="8" w:space="0"/>
              <w:left w:val="nil"/>
              <w:bottom w:val="single" w:color="000000" w:sz="8" w:space="0"/>
            </w:tcBorders>
            <w:shd w:val="clear" w:color="auto" w:fill="FFFFFF"/>
            <w:noWrap w:val="0"/>
            <w:vAlign w:val="center"/>
          </w:tcPr>
          <w:p w14:paraId="1FFC66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麦克风</w:t>
            </w:r>
          </w:p>
        </w:tc>
      </w:tr>
      <w:tr w14:paraId="16FCA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5DC97D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6765" w:type="dxa"/>
            <w:tcBorders>
              <w:top w:val="single" w:color="000000" w:sz="8" w:space="0"/>
              <w:left w:val="nil"/>
              <w:bottom w:val="single" w:color="000000" w:sz="8" w:space="0"/>
            </w:tcBorders>
            <w:shd w:val="clear" w:color="auto" w:fill="FFFFFF"/>
            <w:noWrap w:val="0"/>
            <w:vAlign w:val="center"/>
          </w:tcPr>
          <w:p w14:paraId="2CB038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直播控制台</w:t>
            </w:r>
          </w:p>
        </w:tc>
      </w:tr>
      <w:tr w14:paraId="148F8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3BFBBB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6765" w:type="dxa"/>
            <w:tcBorders>
              <w:top w:val="single" w:color="000000" w:sz="8" w:space="0"/>
              <w:left w:val="nil"/>
              <w:bottom w:val="single" w:color="000000" w:sz="8" w:space="0"/>
            </w:tcBorders>
            <w:shd w:val="clear" w:color="auto" w:fill="FFFFFF"/>
            <w:noWrap w:val="0"/>
            <w:vAlign w:val="center"/>
          </w:tcPr>
          <w:p w14:paraId="4D9560B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绿幕背景</w:t>
            </w:r>
          </w:p>
        </w:tc>
      </w:tr>
      <w:tr w14:paraId="7A170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3CED3A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6765" w:type="dxa"/>
            <w:tcBorders>
              <w:top w:val="single" w:color="000000" w:sz="8" w:space="0"/>
              <w:left w:val="nil"/>
              <w:bottom w:val="single" w:color="000000" w:sz="8" w:space="0"/>
            </w:tcBorders>
            <w:shd w:val="clear" w:color="auto" w:fill="FFFFFF"/>
            <w:noWrap w:val="0"/>
            <w:vAlign w:val="center"/>
          </w:tcPr>
          <w:p w14:paraId="23452A7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27寸显示器</w:t>
            </w:r>
          </w:p>
        </w:tc>
      </w:tr>
      <w:tr w14:paraId="3466F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87CA9A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6765" w:type="dxa"/>
            <w:tcBorders>
              <w:top w:val="single" w:color="000000" w:sz="8" w:space="0"/>
              <w:left w:val="nil"/>
              <w:bottom w:val="single" w:color="000000" w:sz="8" w:space="0"/>
            </w:tcBorders>
            <w:shd w:val="clear" w:color="auto" w:fill="FFFFFF"/>
            <w:noWrap w:val="0"/>
            <w:vAlign w:val="center"/>
          </w:tcPr>
          <w:p w14:paraId="575DA9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直播台</w:t>
            </w:r>
          </w:p>
        </w:tc>
      </w:tr>
      <w:tr w14:paraId="62048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2AC381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6765" w:type="dxa"/>
            <w:tcBorders>
              <w:top w:val="single" w:color="000000" w:sz="8" w:space="0"/>
              <w:left w:val="nil"/>
              <w:bottom w:val="single" w:color="000000" w:sz="8" w:space="0"/>
            </w:tcBorders>
            <w:shd w:val="clear" w:color="auto" w:fill="FFFFFF"/>
            <w:noWrap w:val="0"/>
            <w:vAlign w:val="center"/>
          </w:tcPr>
          <w:p w14:paraId="5C1A75C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投屏机</w:t>
            </w:r>
          </w:p>
        </w:tc>
      </w:tr>
      <w:tr w14:paraId="429F6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EFB1F8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6765" w:type="dxa"/>
            <w:tcBorders>
              <w:top w:val="single" w:color="000000" w:sz="8" w:space="0"/>
              <w:left w:val="nil"/>
              <w:bottom w:val="single" w:color="000000" w:sz="8" w:space="0"/>
            </w:tcBorders>
            <w:shd w:val="clear" w:color="auto" w:fill="FFFFFF"/>
            <w:noWrap w:val="0"/>
            <w:vAlign w:val="center"/>
          </w:tcPr>
          <w:p w14:paraId="4F93871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监听耳机/耳返</w:t>
            </w:r>
          </w:p>
        </w:tc>
      </w:tr>
      <w:tr w14:paraId="3D39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72945B9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6765" w:type="dxa"/>
            <w:tcBorders>
              <w:top w:val="single" w:color="000000" w:sz="8" w:space="0"/>
              <w:left w:val="nil"/>
              <w:bottom w:val="single" w:color="000000" w:sz="8" w:space="0"/>
            </w:tcBorders>
            <w:shd w:val="clear" w:color="auto" w:fill="FFFFFF"/>
            <w:noWrap w:val="0"/>
            <w:vAlign w:val="center"/>
          </w:tcPr>
          <w:p w14:paraId="05C4D06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定制1*3透明柜 49寸</w:t>
            </w:r>
          </w:p>
        </w:tc>
      </w:tr>
      <w:tr w14:paraId="4F064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CDDB6C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6765" w:type="dxa"/>
            <w:tcBorders>
              <w:top w:val="single" w:color="000000" w:sz="8" w:space="0"/>
              <w:left w:val="nil"/>
              <w:bottom w:val="single" w:color="000000" w:sz="8" w:space="0"/>
            </w:tcBorders>
            <w:shd w:val="clear" w:color="auto" w:fill="FFFFFF"/>
            <w:noWrap w:val="0"/>
            <w:vAlign w:val="center"/>
          </w:tcPr>
          <w:p w14:paraId="134BD8E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落地一体机32寸</w:t>
            </w:r>
          </w:p>
        </w:tc>
      </w:tr>
      <w:tr w14:paraId="2832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B5C63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6765" w:type="dxa"/>
            <w:tcBorders>
              <w:top w:val="single" w:color="000000" w:sz="8" w:space="0"/>
              <w:left w:val="nil"/>
              <w:bottom w:val="single" w:color="000000" w:sz="8" w:space="0"/>
            </w:tcBorders>
            <w:shd w:val="clear" w:color="auto" w:fill="FFFFFF"/>
            <w:noWrap w:val="0"/>
            <w:vAlign w:val="center"/>
          </w:tcPr>
          <w:p w14:paraId="76FC6B5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55寸触摸一体机</w:t>
            </w:r>
          </w:p>
        </w:tc>
      </w:tr>
      <w:tr w14:paraId="18492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4FBECB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6765" w:type="dxa"/>
            <w:tcBorders>
              <w:top w:val="single" w:color="000000" w:sz="8" w:space="0"/>
              <w:left w:val="nil"/>
              <w:bottom w:val="single" w:color="000000" w:sz="8" w:space="0"/>
            </w:tcBorders>
            <w:shd w:val="clear" w:color="auto" w:fill="FFFFFF"/>
            <w:noWrap w:val="0"/>
            <w:vAlign w:val="center"/>
          </w:tcPr>
          <w:p w14:paraId="6E802BD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LED显示屏</w:t>
            </w:r>
          </w:p>
        </w:tc>
      </w:tr>
      <w:tr w14:paraId="29FC1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F274EC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6765" w:type="dxa"/>
            <w:tcBorders>
              <w:top w:val="single" w:color="000000" w:sz="8" w:space="0"/>
              <w:left w:val="nil"/>
              <w:bottom w:val="single" w:color="000000" w:sz="8" w:space="0"/>
            </w:tcBorders>
            <w:shd w:val="clear" w:color="auto" w:fill="FFFFFF"/>
            <w:noWrap w:val="0"/>
            <w:vAlign w:val="center"/>
          </w:tcPr>
          <w:p w14:paraId="6FB4F7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led处理器</w:t>
            </w:r>
          </w:p>
        </w:tc>
      </w:tr>
      <w:tr w14:paraId="3A7C4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ABD5A1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6765" w:type="dxa"/>
            <w:tcBorders>
              <w:top w:val="single" w:color="000000" w:sz="8" w:space="0"/>
              <w:left w:val="nil"/>
              <w:bottom w:val="single" w:color="000000" w:sz="8" w:space="0"/>
            </w:tcBorders>
            <w:shd w:val="clear" w:color="auto" w:fill="FFFFFF"/>
            <w:noWrap w:val="0"/>
            <w:vAlign w:val="center"/>
          </w:tcPr>
          <w:p w14:paraId="092F763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接收卡</w:t>
            </w:r>
          </w:p>
        </w:tc>
      </w:tr>
      <w:tr w14:paraId="5F706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4E4F65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6765" w:type="dxa"/>
            <w:tcBorders>
              <w:top w:val="single" w:color="000000" w:sz="8" w:space="0"/>
              <w:left w:val="nil"/>
              <w:bottom w:val="single" w:color="000000" w:sz="8" w:space="0"/>
            </w:tcBorders>
            <w:shd w:val="clear" w:color="auto" w:fill="FFFFFF"/>
            <w:noWrap w:val="0"/>
            <w:vAlign w:val="center"/>
          </w:tcPr>
          <w:p w14:paraId="4A22DA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屏体框架，国标定制</w:t>
            </w:r>
          </w:p>
        </w:tc>
      </w:tr>
      <w:tr w14:paraId="25EED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953724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6765" w:type="dxa"/>
            <w:tcBorders>
              <w:top w:val="single" w:color="000000" w:sz="8" w:space="0"/>
              <w:left w:val="nil"/>
              <w:bottom w:val="single" w:color="000000" w:sz="8" w:space="0"/>
            </w:tcBorders>
            <w:shd w:val="clear" w:color="auto" w:fill="FFFFFF"/>
            <w:noWrap w:val="0"/>
            <w:vAlign w:val="center"/>
          </w:tcPr>
          <w:p w14:paraId="5CB48D5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薄款电源</w:t>
            </w:r>
          </w:p>
        </w:tc>
      </w:tr>
      <w:tr w14:paraId="41E68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7807495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6765" w:type="dxa"/>
            <w:tcBorders>
              <w:top w:val="single" w:color="000000" w:sz="8" w:space="0"/>
              <w:left w:val="nil"/>
              <w:bottom w:val="single" w:color="000000" w:sz="8" w:space="0"/>
            </w:tcBorders>
            <w:shd w:val="clear" w:color="auto" w:fill="FFFFFF"/>
            <w:noWrap w:val="0"/>
            <w:vAlign w:val="center"/>
          </w:tcPr>
          <w:p w14:paraId="47B902D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电脑主机</w:t>
            </w:r>
          </w:p>
        </w:tc>
      </w:tr>
      <w:tr w14:paraId="60DFC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C8485A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6765" w:type="dxa"/>
            <w:tcBorders>
              <w:top w:val="single" w:color="000000" w:sz="8" w:space="0"/>
              <w:left w:val="nil"/>
              <w:bottom w:val="single" w:color="000000" w:sz="8" w:space="0"/>
            </w:tcBorders>
            <w:shd w:val="clear" w:color="auto" w:fill="FFFFFF"/>
            <w:noWrap w:val="0"/>
            <w:vAlign w:val="center"/>
          </w:tcPr>
          <w:p w14:paraId="6FF669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视频处理器</w:t>
            </w:r>
          </w:p>
        </w:tc>
      </w:tr>
      <w:tr w14:paraId="441A4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1085E32">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29</w:t>
            </w:r>
          </w:p>
        </w:tc>
        <w:tc>
          <w:tcPr>
            <w:tcW w:w="6765" w:type="dxa"/>
            <w:tcBorders>
              <w:top w:val="single" w:color="000000" w:sz="8" w:space="0"/>
              <w:left w:val="nil"/>
              <w:bottom w:val="single" w:color="000000" w:sz="8" w:space="0"/>
            </w:tcBorders>
            <w:shd w:val="clear" w:color="auto" w:fill="FFFFFF"/>
            <w:noWrap w:val="0"/>
            <w:vAlign w:val="center"/>
          </w:tcPr>
          <w:p w14:paraId="1CD480C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屏体辅材</w:t>
            </w:r>
          </w:p>
        </w:tc>
      </w:tr>
      <w:tr w14:paraId="7544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C4C15E5">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0</w:t>
            </w:r>
          </w:p>
        </w:tc>
        <w:tc>
          <w:tcPr>
            <w:tcW w:w="6765" w:type="dxa"/>
            <w:tcBorders>
              <w:top w:val="single" w:color="000000" w:sz="8" w:space="0"/>
              <w:left w:val="nil"/>
              <w:bottom w:val="single" w:color="000000" w:sz="8" w:space="0"/>
            </w:tcBorders>
            <w:shd w:val="clear" w:color="auto" w:fill="FFFFFF"/>
            <w:noWrap w:val="0"/>
            <w:vAlign w:val="center"/>
          </w:tcPr>
          <w:p w14:paraId="511368C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投影显示设备</w:t>
            </w:r>
          </w:p>
        </w:tc>
      </w:tr>
      <w:tr w14:paraId="75F10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E76224F">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1</w:t>
            </w:r>
          </w:p>
        </w:tc>
        <w:tc>
          <w:tcPr>
            <w:tcW w:w="6765" w:type="dxa"/>
            <w:tcBorders>
              <w:top w:val="single" w:color="000000" w:sz="8" w:space="0"/>
              <w:left w:val="nil"/>
              <w:bottom w:val="single" w:color="000000" w:sz="8" w:space="0"/>
            </w:tcBorders>
            <w:shd w:val="clear" w:color="auto" w:fill="FFFFFF"/>
            <w:noWrap w:val="0"/>
            <w:vAlign w:val="center"/>
          </w:tcPr>
          <w:p w14:paraId="3FB65FC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监控录像机</w:t>
            </w:r>
          </w:p>
        </w:tc>
      </w:tr>
      <w:tr w14:paraId="0AC13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E6D0FD2">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2</w:t>
            </w:r>
          </w:p>
        </w:tc>
        <w:tc>
          <w:tcPr>
            <w:tcW w:w="6765" w:type="dxa"/>
            <w:tcBorders>
              <w:top w:val="single" w:color="000000" w:sz="8" w:space="0"/>
              <w:left w:val="nil"/>
              <w:bottom w:val="single" w:color="000000" w:sz="8" w:space="0"/>
            </w:tcBorders>
            <w:shd w:val="clear" w:color="auto" w:fill="FFFFFF"/>
            <w:noWrap w:val="0"/>
            <w:vAlign w:val="center"/>
          </w:tcPr>
          <w:p w14:paraId="6F8943C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24口POE交换机</w:t>
            </w:r>
          </w:p>
        </w:tc>
      </w:tr>
      <w:tr w14:paraId="7CF9E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D92189E">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33</w:t>
            </w:r>
          </w:p>
        </w:tc>
        <w:tc>
          <w:tcPr>
            <w:tcW w:w="6765" w:type="dxa"/>
            <w:tcBorders>
              <w:top w:val="single" w:color="000000" w:sz="8" w:space="0"/>
              <w:left w:val="nil"/>
              <w:bottom w:val="single" w:color="000000" w:sz="8" w:space="0"/>
            </w:tcBorders>
            <w:shd w:val="clear" w:color="auto" w:fill="FFFFFF"/>
            <w:noWrap w:val="0"/>
            <w:vAlign w:val="center"/>
          </w:tcPr>
          <w:p w14:paraId="26C0A30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半球摄像机</w:t>
            </w:r>
          </w:p>
        </w:tc>
      </w:tr>
      <w:tr w14:paraId="2FCB9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35562F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34</w:t>
            </w:r>
          </w:p>
        </w:tc>
        <w:tc>
          <w:tcPr>
            <w:tcW w:w="6765" w:type="dxa"/>
            <w:tcBorders>
              <w:top w:val="single" w:color="000000" w:sz="8" w:space="0"/>
              <w:left w:val="nil"/>
              <w:bottom w:val="single" w:color="000000" w:sz="8" w:space="0"/>
            </w:tcBorders>
            <w:shd w:val="clear" w:color="auto" w:fill="FFFFFF"/>
            <w:noWrap w:val="0"/>
            <w:vAlign w:val="center"/>
          </w:tcPr>
          <w:p w14:paraId="26945C4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枪式摄像机</w:t>
            </w:r>
          </w:p>
        </w:tc>
      </w:tr>
      <w:tr w14:paraId="2128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19B492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35</w:t>
            </w:r>
          </w:p>
        </w:tc>
        <w:tc>
          <w:tcPr>
            <w:tcW w:w="6765" w:type="dxa"/>
            <w:tcBorders>
              <w:top w:val="single" w:color="000000" w:sz="8" w:space="0"/>
              <w:left w:val="nil"/>
              <w:bottom w:val="single" w:color="000000" w:sz="8" w:space="0"/>
            </w:tcBorders>
            <w:shd w:val="clear" w:color="auto" w:fill="FFFFFF"/>
            <w:noWrap w:val="0"/>
            <w:vAlign w:val="center"/>
          </w:tcPr>
          <w:p w14:paraId="12D53B9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路由器</w:t>
            </w:r>
          </w:p>
        </w:tc>
      </w:tr>
      <w:tr w14:paraId="4C3C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E4CA2E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36</w:t>
            </w:r>
          </w:p>
        </w:tc>
        <w:tc>
          <w:tcPr>
            <w:tcW w:w="6765" w:type="dxa"/>
            <w:tcBorders>
              <w:top w:val="single" w:color="000000" w:sz="8" w:space="0"/>
              <w:left w:val="nil"/>
              <w:bottom w:val="single" w:color="000000" w:sz="8" w:space="0"/>
            </w:tcBorders>
            <w:shd w:val="clear" w:color="auto" w:fill="FFFFFF"/>
            <w:noWrap w:val="0"/>
            <w:vAlign w:val="center"/>
          </w:tcPr>
          <w:p w14:paraId="0230CB2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24口交换机</w:t>
            </w:r>
          </w:p>
        </w:tc>
      </w:tr>
      <w:tr w14:paraId="6FAE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3893A7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37</w:t>
            </w:r>
          </w:p>
        </w:tc>
        <w:tc>
          <w:tcPr>
            <w:tcW w:w="6765" w:type="dxa"/>
            <w:tcBorders>
              <w:top w:val="single" w:color="000000" w:sz="8" w:space="0"/>
              <w:left w:val="nil"/>
              <w:bottom w:val="single" w:color="000000" w:sz="8" w:space="0"/>
            </w:tcBorders>
            <w:shd w:val="clear" w:color="auto" w:fill="FFFFFF"/>
            <w:noWrap w:val="0"/>
            <w:vAlign w:val="center"/>
          </w:tcPr>
          <w:p w14:paraId="405395FF">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无线AP</w:t>
            </w:r>
          </w:p>
        </w:tc>
      </w:tr>
      <w:tr w14:paraId="53785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C6F813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38</w:t>
            </w:r>
          </w:p>
        </w:tc>
        <w:tc>
          <w:tcPr>
            <w:tcW w:w="6765" w:type="dxa"/>
            <w:tcBorders>
              <w:top w:val="single" w:color="000000" w:sz="8" w:space="0"/>
              <w:left w:val="nil"/>
              <w:bottom w:val="single" w:color="000000" w:sz="8" w:space="0"/>
            </w:tcBorders>
            <w:shd w:val="clear" w:color="auto" w:fill="FFFFFF"/>
            <w:noWrap w:val="0"/>
            <w:vAlign w:val="center"/>
          </w:tcPr>
          <w:p w14:paraId="4749731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bidi="ar"/>
              </w:rPr>
              <w:t>42U</w:t>
            </w:r>
            <w:r>
              <w:rPr>
                <w:rFonts w:hint="eastAsia" w:ascii="宋体" w:hAnsi="宋体" w:eastAsia="宋体" w:cs="宋体"/>
                <w:b/>
                <w:bCs/>
                <w:i w:val="0"/>
                <w:iCs w:val="0"/>
                <w:color w:val="auto"/>
                <w:kern w:val="0"/>
                <w:sz w:val="22"/>
                <w:szCs w:val="22"/>
                <w:highlight w:val="none"/>
                <w:u w:val="none"/>
                <w:lang w:val="en-US" w:eastAsia="zh-CN" w:bidi="ar"/>
              </w:rPr>
              <w:t>机柜</w:t>
            </w:r>
          </w:p>
        </w:tc>
      </w:tr>
      <w:tr w14:paraId="597F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22E46F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39</w:t>
            </w:r>
          </w:p>
        </w:tc>
        <w:tc>
          <w:tcPr>
            <w:tcW w:w="6765" w:type="dxa"/>
            <w:tcBorders>
              <w:top w:val="single" w:color="000000" w:sz="8" w:space="0"/>
              <w:left w:val="nil"/>
              <w:bottom w:val="single" w:color="000000" w:sz="8" w:space="0"/>
            </w:tcBorders>
            <w:shd w:val="clear" w:color="auto" w:fill="FFFFFF"/>
            <w:noWrap w:val="0"/>
            <w:vAlign w:val="center"/>
          </w:tcPr>
          <w:p w14:paraId="7A2DCF8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户外投影仪+幕布</w:t>
            </w:r>
          </w:p>
        </w:tc>
      </w:tr>
      <w:tr w14:paraId="2C4D3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7E2E1E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40</w:t>
            </w:r>
          </w:p>
        </w:tc>
        <w:tc>
          <w:tcPr>
            <w:tcW w:w="6765" w:type="dxa"/>
            <w:tcBorders>
              <w:top w:val="single" w:color="000000" w:sz="8" w:space="0"/>
              <w:left w:val="nil"/>
              <w:bottom w:val="single" w:color="000000" w:sz="8" w:space="0"/>
            </w:tcBorders>
            <w:shd w:val="clear" w:color="auto" w:fill="FFFFFF"/>
            <w:noWrap w:val="0"/>
            <w:vAlign w:val="center"/>
          </w:tcPr>
          <w:p w14:paraId="0E76CF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监控硬盘</w:t>
            </w:r>
          </w:p>
        </w:tc>
      </w:tr>
      <w:tr w14:paraId="656A1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443975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6765" w:type="dxa"/>
            <w:tcBorders>
              <w:top w:val="single" w:color="000000" w:sz="8" w:space="0"/>
              <w:left w:val="nil"/>
              <w:bottom w:val="single" w:color="000000" w:sz="8" w:space="0"/>
            </w:tcBorders>
            <w:shd w:val="clear" w:color="auto" w:fill="FFFFFF"/>
            <w:noWrap w:val="0"/>
            <w:vAlign w:val="center"/>
          </w:tcPr>
          <w:p w14:paraId="600D3E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32寸显示器</w:t>
            </w:r>
          </w:p>
        </w:tc>
      </w:tr>
      <w:tr w14:paraId="69B30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699B4D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6765" w:type="dxa"/>
            <w:tcBorders>
              <w:top w:val="single" w:color="000000" w:sz="8" w:space="0"/>
              <w:left w:val="nil"/>
              <w:bottom w:val="single" w:color="000000" w:sz="8" w:space="0"/>
            </w:tcBorders>
            <w:shd w:val="clear" w:color="auto" w:fill="FFFFFF"/>
            <w:noWrap w:val="0"/>
            <w:vAlign w:val="center"/>
          </w:tcPr>
          <w:p w14:paraId="1C4C61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陶艺实训互动系统</w:t>
            </w:r>
          </w:p>
        </w:tc>
      </w:tr>
      <w:tr w14:paraId="6A0DB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FBA18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6765" w:type="dxa"/>
            <w:tcBorders>
              <w:top w:val="single" w:color="000000" w:sz="8" w:space="0"/>
              <w:left w:val="nil"/>
              <w:bottom w:val="single" w:color="000000" w:sz="8" w:space="0"/>
            </w:tcBorders>
            <w:shd w:val="clear" w:color="auto" w:fill="FFFFFF"/>
            <w:noWrap w:val="0"/>
            <w:vAlign w:val="center"/>
          </w:tcPr>
          <w:p w14:paraId="48014EB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数字陶艺展示墙</w:t>
            </w:r>
          </w:p>
        </w:tc>
      </w:tr>
      <w:tr w14:paraId="1D463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2BE16B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6765" w:type="dxa"/>
            <w:tcBorders>
              <w:top w:val="single" w:color="000000" w:sz="8" w:space="0"/>
              <w:left w:val="nil"/>
              <w:bottom w:val="single" w:color="000000" w:sz="8" w:space="0"/>
            </w:tcBorders>
            <w:shd w:val="clear" w:color="auto" w:fill="FFFFFF"/>
            <w:noWrap w:val="0"/>
            <w:vAlign w:val="center"/>
          </w:tcPr>
          <w:p w14:paraId="31EA148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中控主机</w:t>
            </w:r>
          </w:p>
        </w:tc>
      </w:tr>
      <w:tr w14:paraId="1CE1B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79671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45</w:t>
            </w:r>
          </w:p>
        </w:tc>
        <w:tc>
          <w:tcPr>
            <w:tcW w:w="6765" w:type="dxa"/>
            <w:tcBorders>
              <w:top w:val="single" w:color="000000" w:sz="8" w:space="0"/>
              <w:left w:val="nil"/>
              <w:bottom w:val="single" w:color="000000" w:sz="8" w:space="0"/>
            </w:tcBorders>
            <w:shd w:val="clear" w:color="auto" w:fill="FFFFFF"/>
            <w:noWrap w:val="0"/>
            <w:vAlign w:val="center"/>
          </w:tcPr>
          <w:p w14:paraId="40982EF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网关模块</w:t>
            </w:r>
          </w:p>
        </w:tc>
      </w:tr>
      <w:tr w14:paraId="26BEC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2DF7CB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46</w:t>
            </w:r>
          </w:p>
        </w:tc>
        <w:tc>
          <w:tcPr>
            <w:tcW w:w="6765" w:type="dxa"/>
            <w:tcBorders>
              <w:top w:val="single" w:color="000000" w:sz="8" w:space="0"/>
              <w:left w:val="nil"/>
              <w:bottom w:val="single" w:color="000000" w:sz="8" w:space="0"/>
            </w:tcBorders>
            <w:shd w:val="clear" w:color="auto" w:fill="FFFFFF"/>
            <w:noWrap w:val="0"/>
            <w:vAlign w:val="center"/>
          </w:tcPr>
          <w:p w14:paraId="40593DA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强电模块</w:t>
            </w:r>
          </w:p>
        </w:tc>
      </w:tr>
      <w:tr w14:paraId="0F61D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4323F7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47</w:t>
            </w:r>
          </w:p>
        </w:tc>
        <w:tc>
          <w:tcPr>
            <w:tcW w:w="6765" w:type="dxa"/>
            <w:tcBorders>
              <w:top w:val="single" w:color="000000" w:sz="8" w:space="0"/>
              <w:left w:val="nil"/>
              <w:bottom w:val="single" w:color="000000" w:sz="8" w:space="0"/>
            </w:tcBorders>
            <w:shd w:val="clear" w:color="auto" w:fill="FFFFFF"/>
            <w:noWrap w:val="0"/>
            <w:vAlign w:val="center"/>
          </w:tcPr>
          <w:p w14:paraId="242F54F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时序电源</w:t>
            </w:r>
          </w:p>
        </w:tc>
      </w:tr>
      <w:tr w14:paraId="6ABBC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672D8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48</w:t>
            </w:r>
          </w:p>
        </w:tc>
        <w:tc>
          <w:tcPr>
            <w:tcW w:w="6765" w:type="dxa"/>
            <w:tcBorders>
              <w:top w:val="single" w:color="000000" w:sz="8" w:space="0"/>
              <w:left w:val="nil"/>
              <w:bottom w:val="single" w:color="000000" w:sz="8" w:space="0"/>
            </w:tcBorders>
            <w:shd w:val="clear" w:color="auto" w:fill="FFFFFF"/>
            <w:noWrap w:val="0"/>
            <w:vAlign w:val="center"/>
          </w:tcPr>
          <w:p w14:paraId="29AA6F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平板电脑</w:t>
            </w:r>
          </w:p>
        </w:tc>
      </w:tr>
      <w:tr w14:paraId="42ACE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E9E2AA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49</w:t>
            </w:r>
          </w:p>
        </w:tc>
        <w:tc>
          <w:tcPr>
            <w:tcW w:w="6765" w:type="dxa"/>
            <w:tcBorders>
              <w:top w:val="single" w:color="000000" w:sz="8" w:space="0"/>
              <w:left w:val="nil"/>
              <w:bottom w:val="single" w:color="000000" w:sz="8" w:space="0"/>
            </w:tcBorders>
            <w:shd w:val="clear" w:color="auto" w:fill="FFFFFF"/>
            <w:noWrap w:val="0"/>
            <w:vAlign w:val="center"/>
          </w:tcPr>
          <w:p w14:paraId="52E84DA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智能控制面板</w:t>
            </w:r>
          </w:p>
        </w:tc>
      </w:tr>
      <w:tr w14:paraId="52BA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811DD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50</w:t>
            </w:r>
          </w:p>
        </w:tc>
        <w:tc>
          <w:tcPr>
            <w:tcW w:w="6765" w:type="dxa"/>
            <w:tcBorders>
              <w:top w:val="single" w:color="000000" w:sz="8" w:space="0"/>
              <w:left w:val="nil"/>
              <w:bottom w:val="single" w:color="000000" w:sz="8" w:space="0"/>
            </w:tcBorders>
            <w:shd w:val="clear" w:color="auto" w:fill="FFFFFF"/>
            <w:noWrap w:val="0"/>
            <w:vAlign w:val="center"/>
          </w:tcPr>
          <w:p w14:paraId="77DE8A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AC控制器</w:t>
            </w:r>
          </w:p>
        </w:tc>
      </w:tr>
      <w:tr w14:paraId="24D1B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169C5E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51</w:t>
            </w:r>
          </w:p>
        </w:tc>
        <w:tc>
          <w:tcPr>
            <w:tcW w:w="6765" w:type="dxa"/>
            <w:tcBorders>
              <w:top w:val="single" w:color="000000" w:sz="8" w:space="0"/>
              <w:left w:val="nil"/>
              <w:bottom w:val="single" w:color="000000" w:sz="8" w:space="0"/>
            </w:tcBorders>
            <w:shd w:val="clear" w:color="auto" w:fill="FFFFFF"/>
            <w:noWrap w:val="0"/>
            <w:vAlign w:val="center"/>
          </w:tcPr>
          <w:p w14:paraId="464AF96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中控集中控制系统</w:t>
            </w:r>
          </w:p>
        </w:tc>
      </w:tr>
      <w:tr w14:paraId="215A0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114253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52</w:t>
            </w:r>
          </w:p>
        </w:tc>
        <w:tc>
          <w:tcPr>
            <w:tcW w:w="6765" w:type="dxa"/>
            <w:tcBorders>
              <w:top w:val="single" w:color="000000" w:sz="8" w:space="0"/>
              <w:left w:val="nil"/>
              <w:bottom w:val="single" w:color="000000" w:sz="8" w:space="0"/>
            </w:tcBorders>
            <w:shd w:val="clear" w:color="auto" w:fill="FFFFFF"/>
            <w:noWrap w:val="0"/>
            <w:vAlign w:val="center"/>
          </w:tcPr>
          <w:p w14:paraId="3807297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55寸拼接屏</w:t>
            </w:r>
          </w:p>
        </w:tc>
      </w:tr>
      <w:tr w14:paraId="05CC4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CD5B3C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53</w:t>
            </w:r>
          </w:p>
        </w:tc>
        <w:tc>
          <w:tcPr>
            <w:tcW w:w="6765" w:type="dxa"/>
            <w:tcBorders>
              <w:top w:val="single" w:color="000000" w:sz="8" w:space="0"/>
              <w:left w:val="nil"/>
              <w:bottom w:val="single" w:color="000000" w:sz="8" w:space="0"/>
            </w:tcBorders>
            <w:shd w:val="clear" w:color="auto" w:fill="FFFFFF"/>
            <w:noWrap w:val="0"/>
            <w:vAlign w:val="center"/>
          </w:tcPr>
          <w:p w14:paraId="15A6294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多屏保</w:t>
            </w:r>
          </w:p>
        </w:tc>
      </w:tr>
      <w:tr w14:paraId="695B9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B70FD2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54</w:t>
            </w:r>
          </w:p>
        </w:tc>
        <w:tc>
          <w:tcPr>
            <w:tcW w:w="6765" w:type="dxa"/>
            <w:tcBorders>
              <w:top w:val="single" w:color="000000" w:sz="8" w:space="0"/>
              <w:left w:val="nil"/>
              <w:bottom w:val="single" w:color="000000" w:sz="8" w:space="0"/>
            </w:tcBorders>
            <w:shd w:val="clear" w:color="auto" w:fill="FFFFFF"/>
            <w:noWrap w:val="0"/>
            <w:vAlign w:val="center"/>
          </w:tcPr>
          <w:p w14:paraId="09E4200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液压支架</w:t>
            </w:r>
          </w:p>
        </w:tc>
      </w:tr>
      <w:tr w14:paraId="05FD2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7DFF37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55</w:t>
            </w:r>
          </w:p>
        </w:tc>
        <w:tc>
          <w:tcPr>
            <w:tcW w:w="6765" w:type="dxa"/>
            <w:tcBorders>
              <w:top w:val="single" w:color="000000" w:sz="8" w:space="0"/>
              <w:left w:val="nil"/>
              <w:bottom w:val="single" w:color="000000" w:sz="8" w:space="0"/>
            </w:tcBorders>
            <w:shd w:val="clear" w:color="auto" w:fill="FFFFFF"/>
            <w:noWrap w:val="0"/>
            <w:vAlign w:val="center"/>
          </w:tcPr>
          <w:p w14:paraId="346B9F0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多媒体视频</w:t>
            </w:r>
          </w:p>
        </w:tc>
      </w:tr>
      <w:tr w14:paraId="4E3C3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59606F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56</w:t>
            </w:r>
          </w:p>
        </w:tc>
        <w:tc>
          <w:tcPr>
            <w:tcW w:w="6765" w:type="dxa"/>
            <w:tcBorders>
              <w:top w:val="single" w:color="000000" w:sz="8" w:space="0"/>
              <w:left w:val="nil"/>
              <w:bottom w:val="single" w:color="000000" w:sz="8" w:space="0"/>
            </w:tcBorders>
            <w:shd w:val="clear" w:color="auto" w:fill="FFFFFF"/>
            <w:noWrap w:val="0"/>
            <w:vAlign w:val="center"/>
          </w:tcPr>
          <w:p w14:paraId="135D566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功放</w:t>
            </w:r>
          </w:p>
        </w:tc>
      </w:tr>
      <w:tr w14:paraId="23422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D89737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57</w:t>
            </w:r>
          </w:p>
        </w:tc>
        <w:tc>
          <w:tcPr>
            <w:tcW w:w="6765" w:type="dxa"/>
            <w:tcBorders>
              <w:top w:val="single" w:color="000000" w:sz="8" w:space="0"/>
              <w:left w:val="nil"/>
              <w:bottom w:val="single" w:color="000000" w:sz="8" w:space="0"/>
            </w:tcBorders>
            <w:shd w:val="clear" w:color="auto" w:fill="FFFFFF"/>
            <w:noWrap w:val="0"/>
            <w:vAlign w:val="center"/>
          </w:tcPr>
          <w:p w14:paraId="57A66F6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音响</w:t>
            </w:r>
          </w:p>
        </w:tc>
      </w:tr>
      <w:tr w14:paraId="6F65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7DAFBDD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58</w:t>
            </w:r>
          </w:p>
        </w:tc>
        <w:tc>
          <w:tcPr>
            <w:tcW w:w="6765" w:type="dxa"/>
            <w:tcBorders>
              <w:top w:val="single" w:color="000000" w:sz="8" w:space="0"/>
              <w:left w:val="nil"/>
              <w:bottom w:val="single" w:color="000000" w:sz="8" w:space="0"/>
            </w:tcBorders>
            <w:shd w:val="clear" w:color="auto" w:fill="FFFFFF"/>
            <w:noWrap w:val="0"/>
            <w:vAlign w:val="center"/>
          </w:tcPr>
          <w:p w14:paraId="3F693AE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 xml:space="preserve"> 定制玻璃屏展柜（幻影成像设备）</w:t>
            </w:r>
          </w:p>
        </w:tc>
      </w:tr>
      <w:tr w14:paraId="11243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72C43C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59</w:t>
            </w:r>
          </w:p>
        </w:tc>
        <w:tc>
          <w:tcPr>
            <w:tcW w:w="6765" w:type="dxa"/>
            <w:tcBorders>
              <w:top w:val="single" w:color="000000" w:sz="8" w:space="0"/>
              <w:left w:val="nil"/>
              <w:bottom w:val="single" w:color="000000" w:sz="8" w:space="0"/>
            </w:tcBorders>
            <w:shd w:val="clear" w:color="auto" w:fill="FFFFFF"/>
            <w:noWrap w:val="0"/>
            <w:vAlign w:val="center"/>
          </w:tcPr>
          <w:p w14:paraId="2C7548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铜雕艺术品数字多媒体</w:t>
            </w:r>
          </w:p>
        </w:tc>
      </w:tr>
      <w:tr w14:paraId="42A0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6FDF5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60</w:t>
            </w:r>
          </w:p>
        </w:tc>
        <w:tc>
          <w:tcPr>
            <w:tcW w:w="6765" w:type="dxa"/>
            <w:tcBorders>
              <w:top w:val="single" w:color="000000" w:sz="8" w:space="0"/>
              <w:left w:val="nil"/>
              <w:bottom w:val="single" w:color="000000" w:sz="8" w:space="0"/>
            </w:tcBorders>
            <w:shd w:val="clear" w:color="auto" w:fill="FFFFFF"/>
            <w:noWrap w:val="0"/>
            <w:vAlign w:val="center"/>
          </w:tcPr>
          <w:p w14:paraId="6054976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透明柜</w:t>
            </w:r>
          </w:p>
        </w:tc>
      </w:tr>
      <w:tr w14:paraId="77012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6E2677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61</w:t>
            </w:r>
          </w:p>
        </w:tc>
        <w:tc>
          <w:tcPr>
            <w:tcW w:w="6765" w:type="dxa"/>
            <w:tcBorders>
              <w:top w:val="single" w:color="000000" w:sz="8" w:space="0"/>
              <w:left w:val="nil"/>
              <w:bottom w:val="single" w:color="000000" w:sz="8" w:space="0"/>
            </w:tcBorders>
            <w:shd w:val="clear" w:color="auto" w:fill="FFFFFF"/>
            <w:noWrap w:val="0"/>
            <w:vAlign w:val="center"/>
          </w:tcPr>
          <w:p w14:paraId="3382FE6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历史荣光</w:t>
            </w:r>
          </w:p>
        </w:tc>
      </w:tr>
      <w:tr w14:paraId="23F59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20AF5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62</w:t>
            </w:r>
          </w:p>
        </w:tc>
        <w:tc>
          <w:tcPr>
            <w:tcW w:w="6765" w:type="dxa"/>
            <w:tcBorders>
              <w:top w:val="single" w:color="000000" w:sz="8" w:space="0"/>
              <w:left w:val="nil"/>
              <w:bottom w:val="single" w:color="000000" w:sz="8" w:space="0"/>
            </w:tcBorders>
            <w:shd w:val="clear" w:color="auto" w:fill="FFFFFF"/>
            <w:noWrap w:val="0"/>
            <w:vAlign w:val="center"/>
          </w:tcPr>
          <w:p w14:paraId="4E4778E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43寸一体机</w:t>
            </w:r>
          </w:p>
        </w:tc>
      </w:tr>
      <w:tr w14:paraId="3C39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48CC0A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63</w:t>
            </w:r>
          </w:p>
        </w:tc>
        <w:tc>
          <w:tcPr>
            <w:tcW w:w="6765" w:type="dxa"/>
            <w:tcBorders>
              <w:top w:val="single" w:color="000000" w:sz="8" w:space="0"/>
              <w:left w:val="nil"/>
              <w:bottom w:val="single" w:color="000000" w:sz="8" w:space="0"/>
            </w:tcBorders>
            <w:shd w:val="clear" w:color="auto" w:fill="FFFFFF"/>
            <w:noWrap w:val="0"/>
            <w:vAlign w:val="center"/>
          </w:tcPr>
          <w:p w14:paraId="58CA954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工程投影仪</w:t>
            </w:r>
          </w:p>
        </w:tc>
      </w:tr>
      <w:tr w14:paraId="63C3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35329F4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64</w:t>
            </w:r>
          </w:p>
        </w:tc>
        <w:tc>
          <w:tcPr>
            <w:tcW w:w="6765" w:type="dxa"/>
            <w:tcBorders>
              <w:top w:val="single" w:color="000000" w:sz="8" w:space="0"/>
              <w:left w:val="nil"/>
              <w:bottom w:val="single" w:color="000000" w:sz="8" w:space="0"/>
            </w:tcBorders>
            <w:shd w:val="clear" w:color="auto" w:fill="FFFFFF"/>
            <w:noWrap w:val="0"/>
            <w:vAlign w:val="center"/>
          </w:tcPr>
          <w:p w14:paraId="00F440B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触摸一体机（条屏）</w:t>
            </w:r>
          </w:p>
        </w:tc>
      </w:tr>
      <w:tr w14:paraId="7B1F3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2F1369F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65</w:t>
            </w:r>
          </w:p>
        </w:tc>
        <w:tc>
          <w:tcPr>
            <w:tcW w:w="6765" w:type="dxa"/>
            <w:tcBorders>
              <w:top w:val="single" w:color="000000" w:sz="8" w:space="0"/>
              <w:left w:val="nil"/>
              <w:bottom w:val="single" w:color="000000" w:sz="8" w:space="0"/>
            </w:tcBorders>
            <w:shd w:val="clear" w:color="auto" w:fill="FFFFFF"/>
            <w:noWrap w:val="0"/>
            <w:vAlign w:val="center"/>
          </w:tcPr>
          <w:p w14:paraId="3EBD64C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互动多媒体展示</w:t>
            </w:r>
          </w:p>
        </w:tc>
      </w:tr>
      <w:tr w14:paraId="026D0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77107C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66</w:t>
            </w:r>
          </w:p>
        </w:tc>
        <w:tc>
          <w:tcPr>
            <w:tcW w:w="6765" w:type="dxa"/>
            <w:tcBorders>
              <w:top w:val="single" w:color="000000" w:sz="8" w:space="0"/>
              <w:left w:val="nil"/>
              <w:bottom w:val="single" w:color="000000" w:sz="8" w:space="0"/>
            </w:tcBorders>
            <w:shd w:val="clear" w:color="auto" w:fill="FFFFFF"/>
            <w:noWrap w:val="0"/>
            <w:vAlign w:val="center"/>
          </w:tcPr>
          <w:p w14:paraId="60F9B01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24寸落地一体机</w:t>
            </w:r>
          </w:p>
        </w:tc>
      </w:tr>
      <w:tr w14:paraId="7184D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5F1D2F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67</w:t>
            </w:r>
          </w:p>
        </w:tc>
        <w:tc>
          <w:tcPr>
            <w:tcW w:w="6765" w:type="dxa"/>
            <w:tcBorders>
              <w:top w:val="single" w:color="000000" w:sz="8" w:space="0"/>
              <w:left w:val="nil"/>
              <w:bottom w:val="single" w:color="000000" w:sz="8" w:space="0"/>
            </w:tcBorders>
            <w:shd w:val="clear" w:color="auto" w:fill="FFFFFF"/>
            <w:noWrap w:val="0"/>
            <w:vAlign w:val="center"/>
          </w:tcPr>
          <w:p w14:paraId="5D07178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互动多媒体</w:t>
            </w:r>
          </w:p>
        </w:tc>
      </w:tr>
      <w:tr w14:paraId="02D16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97ABA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68</w:t>
            </w:r>
          </w:p>
        </w:tc>
        <w:tc>
          <w:tcPr>
            <w:tcW w:w="6765" w:type="dxa"/>
            <w:tcBorders>
              <w:top w:val="single" w:color="000000" w:sz="8" w:space="0"/>
              <w:left w:val="nil"/>
              <w:bottom w:val="single" w:color="000000" w:sz="8" w:space="0"/>
            </w:tcBorders>
            <w:shd w:val="clear" w:color="auto" w:fill="FFFFFF"/>
            <w:noWrap w:val="0"/>
            <w:vAlign w:val="center"/>
          </w:tcPr>
          <w:p w14:paraId="31BB628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lang w:val="en-US" w:eastAsia="zh-CN" w:bidi="ar-SA"/>
              </w:rPr>
              <w:t>异步播放盒</w:t>
            </w:r>
          </w:p>
        </w:tc>
      </w:tr>
      <w:tr w14:paraId="73954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03240DA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69</w:t>
            </w:r>
          </w:p>
        </w:tc>
        <w:tc>
          <w:tcPr>
            <w:tcW w:w="6765" w:type="dxa"/>
            <w:tcBorders>
              <w:top w:val="single" w:color="000000" w:sz="8" w:space="0"/>
              <w:left w:val="nil"/>
              <w:bottom w:val="single" w:color="000000" w:sz="8" w:space="0"/>
            </w:tcBorders>
            <w:shd w:val="clear" w:color="auto" w:fill="FFFFFF"/>
            <w:noWrap w:val="0"/>
            <w:vAlign w:val="center"/>
          </w:tcPr>
          <w:p w14:paraId="10B5A06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数字内容</w:t>
            </w:r>
          </w:p>
        </w:tc>
      </w:tr>
      <w:tr w14:paraId="7E8F6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EBBAD6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70</w:t>
            </w:r>
          </w:p>
        </w:tc>
        <w:tc>
          <w:tcPr>
            <w:tcW w:w="6765" w:type="dxa"/>
            <w:tcBorders>
              <w:top w:val="single" w:color="000000" w:sz="8" w:space="0"/>
              <w:left w:val="nil"/>
              <w:bottom w:val="single" w:color="000000" w:sz="8" w:space="0"/>
            </w:tcBorders>
            <w:shd w:val="clear" w:color="auto" w:fill="FFFFFF"/>
            <w:noWrap w:val="0"/>
            <w:vAlign w:val="center"/>
          </w:tcPr>
          <w:p w14:paraId="5B00112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短焦镜头</w:t>
            </w:r>
          </w:p>
        </w:tc>
      </w:tr>
      <w:tr w14:paraId="21432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0E8623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71</w:t>
            </w:r>
          </w:p>
        </w:tc>
        <w:tc>
          <w:tcPr>
            <w:tcW w:w="6765" w:type="dxa"/>
            <w:tcBorders>
              <w:top w:val="single" w:color="000000" w:sz="8" w:space="0"/>
              <w:left w:val="nil"/>
              <w:bottom w:val="single" w:color="000000" w:sz="8" w:space="0"/>
            </w:tcBorders>
            <w:shd w:val="clear" w:color="auto" w:fill="FFFFFF"/>
            <w:noWrap w:val="0"/>
            <w:vAlign w:val="center"/>
          </w:tcPr>
          <w:p w14:paraId="525F482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电脑主机墙面</w:t>
            </w:r>
          </w:p>
        </w:tc>
      </w:tr>
      <w:tr w14:paraId="0F5BA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59B1FFF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72</w:t>
            </w:r>
          </w:p>
        </w:tc>
        <w:tc>
          <w:tcPr>
            <w:tcW w:w="6765" w:type="dxa"/>
            <w:tcBorders>
              <w:top w:val="single" w:color="000000" w:sz="8" w:space="0"/>
              <w:left w:val="nil"/>
              <w:bottom w:val="single" w:color="000000" w:sz="8" w:space="0"/>
            </w:tcBorders>
            <w:shd w:val="clear" w:color="auto" w:fill="FFFFFF"/>
            <w:noWrap w:val="0"/>
            <w:vAlign w:val="center"/>
          </w:tcPr>
          <w:p w14:paraId="35226A9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电脑主机地面</w:t>
            </w:r>
          </w:p>
        </w:tc>
      </w:tr>
      <w:tr w14:paraId="75FEE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3F6328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73</w:t>
            </w:r>
          </w:p>
        </w:tc>
        <w:tc>
          <w:tcPr>
            <w:tcW w:w="6765" w:type="dxa"/>
            <w:tcBorders>
              <w:top w:val="single" w:color="000000" w:sz="8" w:space="0"/>
              <w:left w:val="nil"/>
              <w:bottom w:val="single" w:color="000000" w:sz="8" w:space="0"/>
            </w:tcBorders>
            <w:shd w:val="clear" w:color="auto" w:fill="FFFFFF"/>
            <w:noWrap w:val="0"/>
            <w:vAlign w:val="center"/>
          </w:tcPr>
          <w:p w14:paraId="57F2230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数字内容沉浸式影像系统</w:t>
            </w:r>
          </w:p>
        </w:tc>
      </w:tr>
      <w:tr w14:paraId="4130C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6A59713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74</w:t>
            </w:r>
          </w:p>
        </w:tc>
        <w:tc>
          <w:tcPr>
            <w:tcW w:w="6765" w:type="dxa"/>
            <w:tcBorders>
              <w:top w:val="single" w:color="000000" w:sz="8" w:space="0"/>
              <w:left w:val="nil"/>
              <w:bottom w:val="single" w:color="000000" w:sz="8" w:space="0"/>
            </w:tcBorders>
            <w:shd w:val="clear" w:color="auto" w:fill="FFFFFF"/>
            <w:noWrap w:val="0"/>
            <w:vAlign w:val="center"/>
          </w:tcPr>
          <w:p w14:paraId="4E52D61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投影融合技术</w:t>
            </w:r>
          </w:p>
        </w:tc>
      </w:tr>
      <w:tr w14:paraId="4FA81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4A9E1A9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75</w:t>
            </w:r>
          </w:p>
        </w:tc>
        <w:tc>
          <w:tcPr>
            <w:tcW w:w="6765" w:type="dxa"/>
            <w:tcBorders>
              <w:top w:val="single" w:color="000000" w:sz="8" w:space="0"/>
              <w:left w:val="nil"/>
              <w:bottom w:val="single" w:color="000000" w:sz="8" w:space="0"/>
            </w:tcBorders>
            <w:shd w:val="clear" w:color="auto" w:fill="FFFFFF"/>
            <w:noWrap w:val="0"/>
            <w:vAlign w:val="center"/>
          </w:tcPr>
          <w:p w14:paraId="3112064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科普视频MG动画</w:t>
            </w:r>
          </w:p>
        </w:tc>
      </w:tr>
      <w:tr w14:paraId="6073D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72724DB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76</w:t>
            </w:r>
          </w:p>
        </w:tc>
        <w:tc>
          <w:tcPr>
            <w:tcW w:w="6765" w:type="dxa"/>
            <w:tcBorders>
              <w:top w:val="single" w:color="000000" w:sz="8" w:space="0"/>
              <w:left w:val="nil"/>
              <w:bottom w:val="single" w:color="000000" w:sz="8" w:space="0"/>
            </w:tcBorders>
            <w:shd w:val="clear" w:color="auto" w:fill="FFFFFF"/>
            <w:noWrap w:val="0"/>
            <w:vAlign w:val="center"/>
          </w:tcPr>
          <w:p w14:paraId="5307ED7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管理电脑</w:t>
            </w:r>
          </w:p>
        </w:tc>
      </w:tr>
      <w:tr w14:paraId="58C7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bottom w:val="single" w:color="000000" w:sz="8" w:space="0"/>
              <w:right w:val="single" w:color="000000" w:sz="8" w:space="0"/>
            </w:tcBorders>
            <w:shd w:val="clear" w:color="auto" w:fill="FFFFFF"/>
            <w:noWrap w:val="0"/>
            <w:vAlign w:val="center"/>
          </w:tcPr>
          <w:p w14:paraId="119BBF7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77</w:t>
            </w:r>
          </w:p>
        </w:tc>
        <w:tc>
          <w:tcPr>
            <w:tcW w:w="6765" w:type="dxa"/>
            <w:tcBorders>
              <w:top w:val="single" w:color="000000" w:sz="8" w:space="0"/>
              <w:left w:val="nil"/>
              <w:bottom w:val="single" w:color="000000" w:sz="8" w:space="0"/>
            </w:tcBorders>
            <w:shd w:val="clear" w:color="auto" w:fill="FFFFFF"/>
            <w:noWrap w:val="0"/>
            <w:vAlign w:val="center"/>
          </w:tcPr>
          <w:p w14:paraId="5BB13C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键盘鼠标</w:t>
            </w:r>
          </w:p>
        </w:tc>
      </w:tr>
    </w:tbl>
    <w:p w14:paraId="7F70B952">
      <w:pPr>
        <w:pStyle w:val="7"/>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2.2详细参数要求</w:t>
      </w:r>
    </w:p>
    <w:tbl>
      <w:tblPr>
        <w:tblStyle w:val="20"/>
        <w:tblW w:w="0" w:type="auto"/>
        <w:jc w:val="center"/>
        <w:tblLayout w:type="fixed"/>
        <w:tblCellMar>
          <w:top w:w="0" w:type="dxa"/>
          <w:left w:w="0" w:type="dxa"/>
          <w:bottom w:w="0" w:type="dxa"/>
          <w:right w:w="0" w:type="dxa"/>
        </w:tblCellMar>
      </w:tblPr>
      <w:tblGrid>
        <w:gridCol w:w="585"/>
        <w:gridCol w:w="1302"/>
        <w:gridCol w:w="7288"/>
      </w:tblGrid>
      <w:tr w14:paraId="7BC74487">
        <w:tblPrEx>
          <w:tblCellMar>
            <w:top w:w="0" w:type="dxa"/>
            <w:left w:w="0" w:type="dxa"/>
            <w:bottom w:w="0" w:type="dxa"/>
            <w:right w:w="0" w:type="dxa"/>
          </w:tblCellMar>
        </w:tblPrEx>
        <w:trPr>
          <w:trHeight w:val="35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1D61854">
            <w:pPr>
              <w:spacing w:line="360" w:lineRule="auto"/>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DD79452">
            <w:pPr>
              <w:spacing w:line="360" w:lineRule="auto"/>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bidi="ar"/>
              </w:rPr>
              <w:t>设备名称</w:t>
            </w:r>
          </w:p>
        </w:tc>
        <w:tc>
          <w:tcPr>
            <w:tcW w:w="72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7F21823">
            <w:pPr>
              <w:spacing w:line="360" w:lineRule="auto"/>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bidi="ar"/>
              </w:rPr>
              <w:t>参数</w:t>
            </w:r>
          </w:p>
        </w:tc>
      </w:tr>
      <w:tr w14:paraId="4993E5EA">
        <w:tblPrEx>
          <w:tblCellMar>
            <w:top w:w="0" w:type="dxa"/>
            <w:left w:w="0" w:type="dxa"/>
            <w:bottom w:w="0" w:type="dxa"/>
            <w:right w:w="0" w:type="dxa"/>
          </w:tblCellMar>
        </w:tblPrEx>
        <w:trPr>
          <w:trHeight w:val="56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0050A">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46F5912">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投影仪</w:t>
            </w:r>
          </w:p>
        </w:tc>
        <w:tc>
          <w:tcPr>
            <w:tcW w:w="72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FC179C8">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 xml:space="preserve">投射比1.1倍  显示技术DLP  投放画面60-150英寸  支持无线投屏 支持蓝牙 </w:t>
            </w:r>
          </w:p>
        </w:tc>
      </w:tr>
      <w:tr w14:paraId="13A49122">
        <w:tblPrEx>
          <w:tblCellMar>
            <w:top w:w="0" w:type="dxa"/>
            <w:left w:w="0" w:type="dxa"/>
            <w:bottom w:w="0" w:type="dxa"/>
            <w:right w:w="0" w:type="dxa"/>
          </w:tblCellMar>
        </w:tblPrEx>
        <w:trPr>
          <w:trHeight w:val="251"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102E9D">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00BE8C">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电子白板75寸</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41C5B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 xml:space="preserve">分辨率：3840*2160  系统版本：Android13.0  ：CPU：4核    </w:t>
            </w:r>
          </w:p>
          <w:p w14:paraId="196E469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1、系统属性:</w:t>
            </w:r>
          </w:p>
          <w:p w14:paraId="4E8EEEB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搭载安卓 13.0 智能操作系统和独特的 4K UI 设计,所有界面 UI 分辨率为 4K 超高清晰度;</w:t>
            </w:r>
          </w:p>
          <w:p w14:paraId="0ED5359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4核 64位高性能 CPU，2xCA73+2xC453 架构，最大支持时钟 1.5GHz;</w:t>
            </w:r>
          </w:p>
          <w:p w14:paraId="35A3C25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外双及智 能触控:</w:t>
            </w:r>
          </w:p>
          <w:p w14:paraId="0D64E6B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前拆式高精度红外触摸框，触摸精度达士1m，触摸高度1.0m，支持 40 点触控，灵敏度高;</w:t>
            </w:r>
          </w:p>
          <w:p w14:paraId="27F9941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带 OP8 接口，可扩展双系统;三路 U8B 接口支持电脑和安卓共享 U8B 功能;</w:t>
            </w:r>
          </w:p>
          <w:p w14:paraId="37C482B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前置智能箜吸附卡槽、无螺丝瞬间吸附，简单操作</w:t>
            </w:r>
          </w:p>
          <w:p w14:paraId="1484111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网络距随，支持一条网线给 Andxiod,ops 设各同时上网:</w:t>
            </w:r>
          </w:p>
          <w:p w14:paraId="577B34E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2</w:t>
            </w:r>
            <w:r>
              <w:rPr>
                <w:rFonts w:hint="eastAsia" w:ascii="宋体" w:hAnsi="宋体" w:eastAsia="宋体" w:cs="宋体"/>
                <w:color w:val="auto"/>
                <w:sz w:val="22"/>
                <w:szCs w:val="22"/>
                <w:highlight w:val="none"/>
                <w:lang w:val="en-US" w:eastAsia="zh-CN" w:bidi="ar"/>
              </w:rPr>
              <w:t>、白板书写:</w:t>
            </w:r>
          </w:p>
          <w:p w14:paraId="2197CF1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4K书写白板，书写笔迹4K超高清分辨率，笔画细腻;</w:t>
            </w:r>
          </w:p>
          <w:p w14:paraId="5151636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高性能书写软件，支持单点、多点书写，增加笔锋书写效果等，支持白板指入图片，加页，于势板，放大，缩小及漫游、扫码分享，任意通道任何界面下可进行批注等功能;白板页面无板缩放，可随意撤销和恢复，不限步数;</w:t>
            </w:r>
          </w:p>
          <w:p w14:paraId="7A07432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4MM钢化玻璃，莫氏7级硬度安全有保障，书写体验更佳;</w:t>
            </w:r>
          </w:p>
          <w:p w14:paraId="551F0D1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3</w:t>
            </w:r>
            <w:r>
              <w:rPr>
                <w:rFonts w:hint="eastAsia" w:ascii="宋体" w:hAnsi="宋体" w:eastAsia="宋体" w:cs="宋体"/>
                <w:color w:val="auto"/>
                <w:sz w:val="22"/>
                <w:szCs w:val="22"/>
                <w:highlight w:val="none"/>
                <w:lang w:val="en-US" w:eastAsia="zh-CN" w:bidi="ar"/>
              </w:rPr>
              <w:t>、会议培训:</w:t>
            </w:r>
          </w:p>
          <w:p w14:paraId="31C78BD5">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内置 TP8、欢迎界面、等高效会议软件;</w:t>
            </w:r>
          </w:p>
          <w:p w14:paraId="1C28126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内置 2.4G/56 双频，双网卡，支持无线上网和WIFI 热点同时使用;无线同屏，支持多路同屏，实现镜像反控、远程快照、视频、音乐、文档共亭、图片截图、无线遥控器保密性点投等功能;</w:t>
            </w:r>
          </w:p>
          <w:p w14:paraId="0B9313E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外部输入信导源自动识别跳</w:t>
            </w:r>
          </w:p>
        </w:tc>
      </w:tr>
      <w:tr w14:paraId="1890CD72">
        <w:tblPrEx>
          <w:tblCellMar>
            <w:top w:w="0" w:type="dxa"/>
            <w:left w:w="0" w:type="dxa"/>
            <w:bottom w:w="0" w:type="dxa"/>
            <w:right w:w="0"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F2FF18">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955DAB">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音响系统</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19CE0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全频音箱： 灵敏度:92dB/W/M 口径:5.25”X1声压级:102dB 阻抗:4Ω  </w:t>
            </w:r>
          </w:p>
          <w:p w14:paraId="3E301EB8">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频响范围: 130Hz-18KHz 功率:6W/10W 输入电压:70V/100V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功放：USB-50D 功放类型：hifi定压功放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额定功率：50W 输出功率：70/110V 4~16Ω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频率响应：60HZ-16KHz 输入信号：话筒:600Ω线路:10kΩ 支持功能：蓝牙/USB/SD卡/FM收音</w:t>
            </w:r>
          </w:p>
        </w:tc>
      </w:tr>
      <w:tr w14:paraId="74711EAE">
        <w:tblPrEx>
          <w:tblCellMar>
            <w:top w:w="0" w:type="dxa"/>
            <w:left w:w="0" w:type="dxa"/>
            <w:bottom w:w="0" w:type="dxa"/>
            <w:right w:w="0"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3327A2">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25829F">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摄像头</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DDCB5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 xml:space="preserve"> 4K(4096*2160 ,5倍变焦 可视角度65/78/90度 ，红外面部识别，拾音距离5M)</w:t>
            </w:r>
          </w:p>
        </w:tc>
      </w:tr>
      <w:tr w14:paraId="6CE36298">
        <w:tblPrEx>
          <w:tblCellMar>
            <w:top w:w="0" w:type="dxa"/>
            <w:left w:w="0" w:type="dxa"/>
            <w:bottom w:w="0" w:type="dxa"/>
            <w:right w:w="0" w:type="dxa"/>
          </w:tblCellMar>
        </w:tblPrEx>
        <w:trPr>
          <w:trHeight w:val="86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D22996">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6E056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实物投影仪</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B7FE7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光学分辨率 1200*1200dpi 高清500万像素   最大画幅A4  USB+HDMI输出输入</w:t>
            </w:r>
          </w:p>
        </w:tc>
      </w:tr>
      <w:tr w14:paraId="0F36003A">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CF1DF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CC948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电脑一体机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37571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Mac mini12 核中央处理器16 核图形处理器24GB 统一内存512GB 固态硬盘</w:t>
            </w:r>
          </w:p>
          <w:p w14:paraId="42D08E7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16 核神经网络引擎</w:t>
            </w:r>
          </w:p>
          <w:p w14:paraId="369D412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正面:两个 USB-C端口,耳机插孔</w:t>
            </w:r>
          </w:p>
          <w:p w14:paraId="3321B5C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背面:三个雷雳 5端口,HDMI端口,千兆以太网端口</w:t>
            </w:r>
          </w:p>
        </w:tc>
      </w:tr>
      <w:tr w14:paraId="1B919192">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F27DEF">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C77F7B">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全屋音响</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4CF255">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2个30W吸顶喇叭，70W功放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六路信号输入（三路话筒输入、二路线路输入、一路紧急输入）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设有100V、70V定压输出和4~16Ω定阻输出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各输入通道音量独立调节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高音、低音独立调节具有三级优先权设计：MIC1为最高优先级，紧急音频信号EMC为第二级，MIC2、3和线路AUX1、2为第三级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紧急音频信号输入无音量调节，自动默音至-30dB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MIC1自动默音设有调节开关，可调节范围：0到-30dB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LED电平显示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具有完善的输出短路保护和超温保护功能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散热风扇强制启动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额定输出功率 70W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输出方式 4-16ohms(Ω)定阻输出</w:t>
            </w:r>
          </w:p>
        </w:tc>
      </w:tr>
      <w:tr w14:paraId="240D32D8">
        <w:tblPrEx>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799D5D">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E5CCA">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直播摄像机（双机位）</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A77BF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传感器类型：CMOS（支持全像素双核CMOS AF）图像分辨率：L（大）：约2400万像素（6000×4000），M（中）：约1060万像素（3984×2656），S1（小1）：约590万像素（2976×1984），S2（小2）：约380万像素（2400×1600），RAW/C-RAW：约2400万像素（6000×4000）高清摄像：4K超高清视频（2160）对焦区域：定点自动对焦、单点自动对焦、扩展自动对焦区域（上下左右）、扩展自动对焦区域（周围）、灵活区域自动对焦1、灵活区域自动对焦2、灵活区域自动对焦3、整个区域自动对焦</w:t>
            </w:r>
          </w:p>
          <w:p w14:paraId="292B21E7">
            <w:pPr>
              <w:keepNext w:val="0"/>
              <w:keepLines w:val="0"/>
              <w:widowControl/>
              <w:suppressLineNumbers w:val="0"/>
              <w:spacing w:line="360" w:lineRule="auto"/>
              <w:jc w:val="left"/>
              <w:textAlignment w:val="center"/>
              <w:rPr>
                <w:rFonts w:hint="eastAsia" w:ascii="微软雅黑" w:hAnsi="微软雅黑" w:eastAsia="微软雅黑" w:cs="微软雅黑"/>
                <w:i w:val="0"/>
                <w:iCs w:val="0"/>
                <w:caps w:val="0"/>
                <w:color w:val="auto"/>
                <w:spacing w:val="0"/>
                <w:sz w:val="16"/>
                <w:szCs w:val="16"/>
                <w:highlight w:val="none"/>
                <w:shd w:val="clear" w:color="auto" w:fill="FFFFFF"/>
                <w:lang w:val="en-US" w:eastAsia="zh-CN"/>
              </w:rPr>
            </w:pPr>
            <w:r>
              <w:rPr>
                <w:rFonts w:hint="eastAsia" w:ascii="宋体" w:hAnsi="宋体" w:eastAsia="宋体" w:cs="宋体"/>
                <w:i w:val="0"/>
                <w:iCs w:val="0"/>
                <w:color w:val="auto"/>
                <w:kern w:val="0"/>
                <w:sz w:val="22"/>
                <w:szCs w:val="22"/>
                <w:highlight w:val="none"/>
                <w:u w:val="none"/>
                <w:lang w:val="en-US" w:eastAsia="zh-CN" w:bidi="ar"/>
              </w:rPr>
              <w:t>液晶屏特性：视野率：垂直/水平约100%（记录画质为L，长宽比为3:2时）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角度调节：打开角度：约0～175°，旋转角度：向前约0～90°/向后约0～180°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亮度调节：手动（7级）</w:t>
            </w:r>
          </w:p>
        </w:tc>
      </w:tr>
      <w:tr w14:paraId="16494B87">
        <w:tblPrEx>
          <w:tblCellMar>
            <w:top w:w="0" w:type="dxa"/>
            <w:left w:w="0" w:type="dxa"/>
            <w:bottom w:w="0" w:type="dxa"/>
            <w:right w:w="0" w:type="dxa"/>
          </w:tblCellMar>
        </w:tblPrEx>
        <w:trPr>
          <w:trHeight w:val="677"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F27980">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466AE9">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三脚架</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4A467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配置:地面延伸+803</w:t>
            </w:r>
          </w:p>
          <w:p w14:paraId="230DF73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材质:碳纤维</w:t>
            </w:r>
          </w:p>
          <w:p w14:paraId="6209295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自重:4.8kg</w:t>
            </w:r>
          </w:p>
          <w:p w14:paraId="2477A82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承重:15kg</w:t>
            </w:r>
          </w:p>
          <w:p w14:paraId="0F22FE7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收纳高度:83cm</w:t>
            </w:r>
          </w:p>
          <w:p w14:paraId="1DB65AC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工作高度:38-165cm</w:t>
            </w:r>
          </w:p>
          <w:p w14:paraId="3E70094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管径:16-22mm</w:t>
            </w:r>
          </w:p>
        </w:tc>
      </w:tr>
      <w:tr w14:paraId="3344B53A">
        <w:tblPrEx>
          <w:tblCellMar>
            <w:top w:w="0" w:type="dxa"/>
            <w:left w:w="0" w:type="dxa"/>
            <w:bottom w:w="0" w:type="dxa"/>
            <w:right w:w="0" w:type="dxa"/>
          </w:tblCellMar>
        </w:tblPrEx>
        <w:trPr>
          <w:trHeight w:val="619"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F11280">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58E060">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采集卡</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7138C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分辨率1920*1080  内置采集卡hdmi转usb3.0高清4K多功能1080P 60p支持yuy2格式主播直播外接显示屏</w:t>
            </w:r>
          </w:p>
        </w:tc>
      </w:tr>
      <w:tr w14:paraId="444D34EC">
        <w:tblPrEx>
          <w:tblCellMar>
            <w:top w:w="0" w:type="dxa"/>
            <w:left w:w="0" w:type="dxa"/>
            <w:bottom w:w="0" w:type="dxa"/>
            <w:right w:w="0" w:type="dxa"/>
          </w:tblCellMar>
        </w:tblPrEx>
        <w:trPr>
          <w:trHeight w:val="1054"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3A82BD">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79B7E6">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直播灯光</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21B9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SLG直播摄影灯*2 2.8M加粗碳素钢支架*2 60*90cm方形柔光灯  65cm 圆形柔光球  288000Lm太阳灯+95CM八角柔光箱</w:t>
            </w:r>
          </w:p>
        </w:tc>
      </w:tr>
      <w:tr w14:paraId="4C07F317">
        <w:tblPrEx>
          <w:tblCellMar>
            <w:top w:w="0" w:type="dxa"/>
            <w:left w:w="0" w:type="dxa"/>
            <w:bottom w:w="0" w:type="dxa"/>
            <w:right w:w="0"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E594A2">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8B00B8">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麦克风</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50828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无线分集无线接收系统；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自动/手动搜索频功能,显示相应频组及频点；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PLL导频电路,带锁定频点功能；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多功能LCD大显示屏,能显示发射机电池电量与静音状态；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动圈色麦克风,层次分明,清晰明.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接收距离：70米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频率范围 FREQUENCY RANGE: 500MHZ-960MHZ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频率锁定 FREQUENCY PREPARATION: PLL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频率稳定 FREQUENCY STABILITY: ±0.005％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音频动态范围 IMAGE INTERFERE RATE: ≧102DB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音频频率响应 FREQUENCY RESPONSE: 30HZ-18KHZ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皆波比 S/N RATIO: &lt;-60DBC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射频发射机输出 RF OUTPUT: 10MW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工作电流 CURRENT: &lt;100MA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电池 BATTERY: AA1.5V×2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接收机 RECEIVER: BPG-68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频率范围 FREQUENCY RANGE:500MHZ-960MHZ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频率稳定度 FREQUENCY STABILITY: ±0.005％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镜频抑制 IMAGE INTERFERE RATE: &gt;80DB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S/N RATIO:&gt;105DB(1KHZ)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灵敏度 SENSITIVITY:-107DBM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输出阻抗 AUDIO OUTPUT IMPEDANCE: 600Ω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音频输出电平 AUDIO OUTPUT LEVEL : -12DB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电源要求 POWER SUPPLY: DC/12--18.5V 500MA</w:t>
            </w:r>
          </w:p>
        </w:tc>
      </w:tr>
      <w:tr w14:paraId="6F3A18C3">
        <w:tblPrEx>
          <w:tblCellMar>
            <w:top w:w="0" w:type="dxa"/>
            <w:left w:w="0" w:type="dxa"/>
            <w:bottom w:w="0" w:type="dxa"/>
            <w:right w:w="0" w:type="dxa"/>
          </w:tblCellMar>
        </w:tblPrEx>
        <w:trPr>
          <w:trHeight w:val="828"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261DE">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E1F49D">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直播控制台</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9D75C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USB-C外录(外录不支采集)可通过网口连接电脑直接推流支持多机位监看/PMG单画面导播支持预监画面/音频监看等功能免费配套软件可以支持更多调节</w:t>
            </w:r>
          </w:p>
        </w:tc>
      </w:tr>
      <w:tr w14:paraId="7212CB5A">
        <w:tblPrEx>
          <w:tblCellMar>
            <w:top w:w="0" w:type="dxa"/>
            <w:left w:w="0" w:type="dxa"/>
            <w:bottom w:w="0" w:type="dxa"/>
            <w:right w:w="0" w:type="dxa"/>
          </w:tblCellMar>
        </w:tblPrEx>
        <w:trPr>
          <w:trHeight w:val="34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04E4E8">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eastAsia="zh-CN"/>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C9DD3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绿幕背景</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218EB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1.5米宽x2米高</w:t>
            </w:r>
          </w:p>
        </w:tc>
      </w:tr>
      <w:tr w14:paraId="2932AD73">
        <w:tblPrEx>
          <w:tblCellMar>
            <w:top w:w="0" w:type="dxa"/>
            <w:left w:w="0" w:type="dxa"/>
            <w:bottom w:w="0" w:type="dxa"/>
            <w:right w:w="0" w:type="dxa"/>
          </w:tblCellMar>
        </w:tblPrEx>
        <w:trPr>
          <w:trHeight w:val="44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D45FAC">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09D7C3">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27寸显示器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5A4DFE">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27英寸4K高清 面板类型：IPS 分辨率：3840*2160  接口：HDMI  TYPE-C  dp </w:t>
            </w:r>
          </w:p>
        </w:tc>
      </w:tr>
      <w:tr w14:paraId="2E4190F1">
        <w:tblPrEx>
          <w:tblCellMar>
            <w:top w:w="0" w:type="dxa"/>
            <w:left w:w="0" w:type="dxa"/>
            <w:bottom w:w="0" w:type="dxa"/>
            <w:right w:w="0" w:type="dxa"/>
          </w:tblCellMar>
        </w:tblPrEx>
        <w:trPr>
          <w:trHeight w:val="581"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B4C09">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3B71E3">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直播台</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666EF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定制</w:t>
            </w:r>
          </w:p>
        </w:tc>
      </w:tr>
      <w:tr w14:paraId="4602DB1D">
        <w:tblPrEx>
          <w:tblCellMar>
            <w:top w:w="0" w:type="dxa"/>
            <w:left w:w="0" w:type="dxa"/>
            <w:bottom w:w="0" w:type="dxa"/>
            <w:right w:w="0" w:type="dxa"/>
          </w:tblCellMar>
        </w:tblPrEx>
        <w:trPr>
          <w:trHeight w:val="169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D9BB4B">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C9B0B9">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投屏机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90DEF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43寸 采用八核处理器，搭载安卓 13.0 系统， 4+64G 大内存</w:t>
            </w:r>
          </w:p>
          <w:p w14:paraId="3386AE2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(可升级至 8+128G)主流应用随意。系统预装了应用商城，可以下载各</w:t>
            </w:r>
          </w:p>
          <w:p w14:paraId="648E042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种短视频软件以及播放软件,支持高清图片、MP4 视频、MP3 音乐、</w:t>
            </w:r>
          </w:p>
          <w:p w14:paraId="2D99003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PPTword 文档播放，多任务切换更省心。八机合一功能强大：高效沟通数字化智慧大屏，全面提升拓展无限可</w:t>
            </w:r>
          </w:p>
          <w:p w14:paraId="129228A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能，集投影仪、手机、白板、音频设备等功能于一体、投屏展示一步</w:t>
            </w:r>
          </w:p>
          <w:p w14:paraId="7A5A031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到位远程会议如同面对面。投屏：一键有线/无线投屏，支持 IOS/安卓系统/鸿蒙系统，高性能</w:t>
            </w:r>
          </w:p>
          <w:p w14:paraId="055369A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直播不卡顿、不掉帧。多设备同时投屏:支持苹果/安卓多手机同时投屏快速进入直播界面。无延迟、无卡顿。支持 U 盘播放：图片/视频/音乐/文档自动轮播，支持多种播放格式。</w:t>
            </w:r>
          </w:p>
        </w:tc>
      </w:tr>
      <w:tr w14:paraId="7EEC877A">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E5368">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861E27">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监听耳机/耳返</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67DC8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 xml:space="preserve">供电方式：可换电池 </w:t>
            </w:r>
          </w:p>
          <w:p w14:paraId="634D8D9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喇叭单元：单喇叭 麦克风类型：动圈式</w:t>
            </w:r>
          </w:p>
        </w:tc>
      </w:tr>
      <w:tr w14:paraId="716F7A1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5B2AA1">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54BEF1">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定制1*3透明柜 49寸</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63E6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液晶面板：工业透明液晶拼接屏</w:t>
            </w:r>
          </w:p>
          <w:p w14:paraId="51361BD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箱体材料：冷轧钢板，表面喷漆</w:t>
            </w:r>
          </w:p>
          <w:p w14:paraId="384BE5F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单屏我外观尺寸:1077.6×607.8×55.6 mm</w:t>
            </w:r>
          </w:p>
          <w:p w14:paraId="0EE4B9E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像素点间距:0.9405(H)x0.9405(V)</w:t>
            </w:r>
          </w:p>
          <w:p w14:paraId="7BEE1E4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透明度:85%</w:t>
            </w:r>
          </w:p>
          <w:p w14:paraId="4956630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拼缝：约5mm</w:t>
            </w:r>
          </w:p>
          <w:p w14:paraId="1028524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亮度:≥400cb</w:t>
            </w:r>
          </w:p>
          <w:p w14:paraId="346CA2C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对比度:3000：1</w:t>
            </w:r>
          </w:p>
          <w:p w14:paraId="631E4C4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亮度均匀性 :95%</w:t>
            </w:r>
          </w:p>
          <w:p w14:paraId="64F69AC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显示样色:16.7M</w:t>
            </w:r>
          </w:p>
          <w:p w14:paraId="540DC05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响应时间:8ms</w:t>
            </w:r>
          </w:p>
          <w:p w14:paraId="1AE47B2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观看视角:水平178度，垂直178度</w:t>
            </w:r>
          </w:p>
          <w:p w14:paraId="6408271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信号格式:NTSC、PAL、408I、576、480P、576P、720P、1080I</w:t>
            </w:r>
          </w:p>
          <w:p w14:paraId="71142A8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操作温度:0度 至 60度</w:t>
            </w:r>
          </w:p>
          <w:p w14:paraId="2088B06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存放温度:-10度 至 60度</w:t>
            </w:r>
          </w:p>
          <w:p w14:paraId="49A6D02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存放湿度:10 至 90%（无凝结）</w:t>
            </w:r>
          </w:p>
          <w:p w14:paraId="584287E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功率:24v/160w  x  6</w:t>
            </w:r>
          </w:p>
          <w:p w14:paraId="741DAD0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电源:G:AC100V-240V 50/60Hz</w:t>
            </w:r>
          </w:p>
        </w:tc>
      </w:tr>
      <w:tr w14:paraId="24FDD72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742E55">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FF6618">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落地一体机32寸</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0380D">
            <w:pPr>
              <w:keepNext w:val="0"/>
              <w:keepLines w:val="0"/>
              <w:widowControl/>
              <w:suppressLineNumbers w:val="0"/>
              <w:spacing w:line="360" w:lineRule="auto"/>
              <w:jc w:val="both"/>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处理器:双核处理器集成显示核心及控制器，单芯片设计。硬盘存储:128G固态硬盘 ,运行内存8G ,亮度：350cd/m2；背光：LED；色彩：16.7M ；对比度：4000:1；透光率：98%；显示比例：16:9；响应时间：6ms；功耗：350W；</w:t>
            </w:r>
          </w:p>
        </w:tc>
      </w:tr>
      <w:tr w14:paraId="29191BD6">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11D416">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B9257">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55寸触摸一体机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DE4CF6">
            <w:pPr>
              <w:keepNext w:val="0"/>
              <w:keepLines w:val="0"/>
              <w:widowControl/>
              <w:suppressLineNumbers w:val="0"/>
              <w:spacing w:line="360" w:lineRule="auto"/>
              <w:jc w:val="both"/>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处理器:双核处理器集成显示核心及控制器，单芯片设计。硬盘存储:128G固态硬盘 ,运行内存8G ,亮度：350cd/m2；背光：LED；色彩：16.7M ；对比度：4000:1；透光率：98%；显示比例：16:9；响应时间：6ms；功耗：350W；</w:t>
            </w:r>
          </w:p>
        </w:tc>
      </w:tr>
      <w:tr w14:paraId="6027174E">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A24BA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DDF003">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LED屏幕</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342EBA">
            <w:pPr>
              <w:keepNext w:val="0"/>
              <w:keepLines w:val="0"/>
              <w:widowControl/>
              <w:suppressLineNumbers w:val="0"/>
              <w:spacing w:line="360" w:lineRule="auto"/>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 P1.86室内表贴全彩LED屏</w:t>
            </w:r>
          </w:p>
          <w:p w14:paraId="0145E8D6">
            <w:pPr>
              <w:keepNext w:val="0"/>
              <w:keepLines w:val="0"/>
              <w:widowControl/>
              <w:suppressLineNumbers w:val="0"/>
              <w:spacing w:line="360" w:lineRule="auto"/>
              <w:jc w:val="left"/>
              <w:textAlignment w:val="center"/>
              <w:rPr>
                <w:rFonts w:hint="eastAsia" w:ascii="宋体" w:hAnsi="宋体" w:eastAsia="宋体" w:cs="宋体"/>
                <w:i w:val="0"/>
                <w:strike/>
                <w:dstrike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像素构成：表贴三合一1515（1R1G1B）；具备LED自主封装能力，LED灯珠及显示屏为同一品牌</w:t>
            </w:r>
          </w:p>
          <w:p w14:paraId="44AFFD9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点间距：≤1.86mm</w:t>
            </w:r>
          </w:p>
          <w:p w14:paraId="0B9CF6CF">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像素密度：288906点/㎡；</w:t>
            </w:r>
          </w:p>
          <w:p w14:paraId="121A1DA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模组分辨率：172*86；</w:t>
            </w:r>
          </w:p>
          <w:p w14:paraId="2C3850A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模组尺寸：320*160mm；</w:t>
            </w:r>
          </w:p>
          <w:p w14:paraId="2E16425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光学性能：基色主波长误差为C 级 ΔλD≤5，视角（水平、垂直）：H≥170°V≥170°；</w:t>
            </w:r>
          </w:p>
          <w:p w14:paraId="3D9C320C">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机械性能：平整度：≤0.1mm，箱体间缝隙≤0.1mm，像素中心距相对偏差≤0.5%；</w:t>
            </w:r>
          </w:p>
          <w:p w14:paraId="62D1F57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最大功耗：≤492W/㎡；平均功耗：≤246W/㎡，睡眠模式功率密度≤150W/㎡；能源效率：≥2.4cd/W；</w:t>
            </w:r>
          </w:p>
          <w:p w14:paraId="619CCF1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光学特性：亮度均匀性≥98.8%，白场色坐标符合SJ/T 11141-2017 5.10.5规定，最大对比度：≥8120：1；色温：3000-20000可调；</w:t>
            </w:r>
          </w:p>
          <w:p w14:paraId="0777B9A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电性能：换帧频率：60Hz；刷新频率：≥3840Hz；彩色信号处理位数16bit；</w:t>
            </w:r>
          </w:p>
          <w:p w14:paraId="422A4F5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白平衡亮度：≥800cd/㎡；</w:t>
            </w:r>
          </w:p>
          <w:p w14:paraId="315F505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无故障时间：≥10000hrs；       </w:t>
            </w:r>
          </w:p>
          <w:p w14:paraId="16AA126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对地漏电流：对地漏电流：I（漏）≤2mA/㎡</w:t>
            </w:r>
          </w:p>
          <w:p w14:paraId="7DB87262">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人眼视觉舒适度</w:t>
            </w:r>
            <w:r>
              <w:rPr>
                <w:rFonts w:hint="eastAsia" w:ascii="宋体" w:hAnsi="宋体" w:eastAsia="宋体" w:cs="宋体"/>
                <w:i w:val="0"/>
                <w:color w:val="auto"/>
                <w:kern w:val="0"/>
                <w:sz w:val="22"/>
                <w:szCs w:val="22"/>
                <w:highlight w:val="none"/>
                <w:u w:val="none"/>
                <w:lang w:val="en-US" w:eastAsia="zh-CN" w:bidi="ar"/>
              </w:rPr>
              <w:tab/>
            </w:r>
            <w:r>
              <w:rPr>
                <w:rFonts w:hint="eastAsia" w:ascii="宋体" w:hAnsi="宋体" w:eastAsia="宋体" w:cs="宋体"/>
                <w:i w:val="0"/>
                <w:color w:val="auto"/>
                <w:kern w:val="0"/>
                <w:sz w:val="22"/>
                <w:szCs w:val="22"/>
                <w:highlight w:val="none"/>
                <w:u w:val="none"/>
                <w:lang w:val="en-US" w:eastAsia="zh-CN" w:bidi="ar"/>
              </w:rPr>
              <w:t>VICO 指数≤1。</w:t>
            </w:r>
          </w:p>
          <w:p w14:paraId="401A640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工作噪音声压级</w:t>
            </w:r>
            <w:r>
              <w:rPr>
                <w:rFonts w:hint="eastAsia" w:ascii="宋体" w:hAnsi="宋体" w:eastAsia="宋体" w:cs="宋体"/>
                <w:i w:val="0"/>
                <w:color w:val="auto"/>
                <w:kern w:val="0"/>
                <w:sz w:val="22"/>
                <w:szCs w:val="22"/>
                <w:highlight w:val="none"/>
                <w:u w:val="none"/>
                <w:lang w:val="en-US" w:eastAsia="zh-CN" w:bidi="ar"/>
              </w:rPr>
              <w:tab/>
            </w:r>
            <w:r>
              <w:rPr>
                <w:rFonts w:hint="eastAsia" w:ascii="宋体" w:hAnsi="宋体" w:eastAsia="宋体" w:cs="宋体"/>
                <w:i w:val="0"/>
                <w:color w:val="auto"/>
                <w:kern w:val="0"/>
                <w:sz w:val="22"/>
                <w:szCs w:val="22"/>
                <w:highlight w:val="none"/>
                <w:u w:val="none"/>
                <w:lang w:val="en-US" w:eastAsia="zh-CN" w:bidi="ar"/>
              </w:rPr>
              <w:t>处理距离 r=1.0 米，噪音声压级≤10dB。</w:t>
            </w:r>
          </w:p>
          <w:p w14:paraId="743269D5">
            <w:pPr>
              <w:rPr>
                <w:rFonts w:hint="eastAsia" w:ascii="宋体" w:hAnsi="宋体" w:eastAsia="宋体" w:cs="宋体"/>
                <w:i w:val="0"/>
                <w:strike w:val="0"/>
                <w:dstrike w:val="0"/>
                <w:color w:val="auto"/>
                <w:kern w:val="0"/>
                <w:sz w:val="22"/>
                <w:szCs w:val="22"/>
                <w:highlight w:val="none"/>
                <w:u w:val="none"/>
                <w:lang w:val="en-US" w:eastAsia="zh-CN" w:bidi="ar"/>
              </w:rPr>
            </w:pPr>
            <w:r>
              <w:rPr>
                <w:rFonts w:hint="eastAsia" w:ascii="宋体" w:hAnsi="宋体" w:eastAsia="宋体" w:cs="宋体"/>
                <w:i w:val="0"/>
                <w:strike w:val="0"/>
                <w:dstrike w:val="0"/>
                <w:color w:val="auto"/>
                <w:kern w:val="0"/>
                <w:sz w:val="22"/>
                <w:szCs w:val="22"/>
                <w:highlight w:val="none"/>
                <w:u w:val="none"/>
                <w:lang w:val="en-US" w:eastAsia="zh-CN" w:bidi="ar"/>
              </w:rPr>
              <w:t>（以上的技术参数需提供</w:t>
            </w:r>
            <w:r>
              <w:rPr>
                <w:rFonts w:hint="eastAsia" w:ascii="宋体" w:hAnsi="宋体" w:cs="宋体"/>
                <w:i w:val="0"/>
                <w:strike w:val="0"/>
                <w:dstrike w:val="0"/>
                <w:color w:val="auto"/>
                <w:kern w:val="0"/>
                <w:sz w:val="22"/>
                <w:szCs w:val="22"/>
                <w:highlight w:val="none"/>
                <w:u w:val="none"/>
                <w:lang w:val="en-US" w:eastAsia="zh-CN" w:bidi="ar"/>
              </w:rPr>
              <w:t>第三方有资质的检测</w:t>
            </w:r>
            <w:r>
              <w:rPr>
                <w:rFonts w:hint="eastAsia" w:ascii="宋体" w:hAnsi="宋体" w:eastAsia="宋体" w:cs="宋体"/>
                <w:i w:val="0"/>
                <w:strike w:val="0"/>
                <w:dstrike w:val="0"/>
                <w:color w:val="auto"/>
                <w:kern w:val="0"/>
                <w:sz w:val="22"/>
                <w:szCs w:val="22"/>
                <w:highlight w:val="none"/>
                <w:u w:val="none"/>
                <w:lang w:val="en-US" w:eastAsia="zh-CN" w:bidi="ar"/>
              </w:rPr>
              <w:t>机构出具的检测报告复印件)</w:t>
            </w:r>
          </w:p>
          <w:p w14:paraId="6F0B32E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为了提高LED显示屏使用寿命，所投LED显示屏需通过以下灯珠试验：灯珠耐焊耐热试验：Tmax=260℃，回流焊 2 次，灯珠引脚无氧化， 焊接正常，灯珠胶体正常，点亮正常；灯珠常温寿命试验：Tc=25℃ Ifr=10mA IFg=10mA Ifb=10mA通电 1000H，灯珠点亮无异常；灯珠冷热冲击试验：-50℃～130℃各 15min 200 次，光电特性及表面构造正常，点亮正常；灯珠高温贮存试验：Ta=100℃ 贮存 500H，灯珠点亮无异常；灯珠抗静电（ESD）测试：HBM 模式：ESD＞2000V，灯珠点亮无异常；灯珠漏电流试验：反向电压 Vr=10V漏电流 0.2uA，符合要求；灯珠红墨水试验：回流焊 1 次，纯红墨水常温浸泡 24H，无渗透</w:t>
            </w:r>
            <w:r>
              <w:rPr>
                <w:rFonts w:hint="eastAsia" w:ascii="宋体" w:hAnsi="宋体" w:eastAsia="宋体" w:cs="宋体"/>
                <w:i w:val="0"/>
                <w:strike w:val="0"/>
                <w:dstrike w:val="0"/>
                <w:color w:val="auto"/>
                <w:kern w:val="0"/>
                <w:sz w:val="22"/>
                <w:szCs w:val="22"/>
                <w:highlight w:val="none"/>
                <w:u w:val="none"/>
                <w:lang w:val="en-US" w:eastAsia="zh-CN" w:bidi="ar"/>
              </w:rPr>
              <w:t>（</w:t>
            </w:r>
            <w:r>
              <w:rPr>
                <w:rFonts w:hint="eastAsia" w:ascii="宋体" w:hAnsi="宋体" w:cs="宋体"/>
                <w:i w:val="0"/>
                <w:strike w:val="0"/>
                <w:dstrike w:val="0"/>
                <w:color w:val="auto"/>
                <w:kern w:val="0"/>
                <w:sz w:val="22"/>
                <w:szCs w:val="22"/>
                <w:highlight w:val="none"/>
                <w:u w:val="none"/>
                <w:lang w:val="en-US" w:eastAsia="zh-CN" w:bidi="ar"/>
              </w:rPr>
              <w:t>需提供第三方有资质的检测机构出具的检测报告复印件</w:t>
            </w:r>
            <w:r>
              <w:rPr>
                <w:rFonts w:hint="eastAsia" w:ascii="宋体" w:hAnsi="宋体" w:eastAsia="宋体" w:cs="宋体"/>
                <w:i w:val="0"/>
                <w:strike w:val="0"/>
                <w:dstrike w:val="0"/>
                <w:color w:val="auto"/>
                <w:kern w:val="0"/>
                <w:sz w:val="22"/>
                <w:szCs w:val="22"/>
                <w:highlight w:val="none"/>
                <w:u w:val="none"/>
                <w:lang w:val="en-US" w:eastAsia="zh-CN" w:bidi="ar"/>
              </w:rPr>
              <w:t>）；</w:t>
            </w:r>
          </w:p>
          <w:p w14:paraId="5526B4D4">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为了保证客户室内安全无火灾隐患，LED显示屏产品必须通过国家阻燃（防火）试验：PCB 板样品点燃无滴落物，能在 30S 内熄灭，阻燃等级为 UL94V-0</w:t>
            </w:r>
            <w:r>
              <w:rPr>
                <w:rFonts w:hint="eastAsia" w:ascii="宋体" w:hAnsi="宋体" w:eastAsia="宋体" w:cs="宋体"/>
                <w:i w:val="0"/>
                <w:strike w:val="0"/>
                <w:dstrike w:val="0"/>
                <w:color w:val="auto"/>
                <w:kern w:val="0"/>
                <w:sz w:val="22"/>
                <w:szCs w:val="22"/>
                <w:highlight w:val="none"/>
                <w:u w:val="none"/>
                <w:lang w:val="en-US" w:eastAsia="zh-CN" w:bidi="ar"/>
              </w:rPr>
              <w:t>（</w:t>
            </w:r>
            <w:r>
              <w:rPr>
                <w:rFonts w:hint="eastAsia" w:ascii="宋体" w:hAnsi="宋体" w:cs="宋体"/>
                <w:i w:val="0"/>
                <w:strike w:val="0"/>
                <w:dstrike w:val="0"/>
                <w:color w:val="auto"/>
                <w:kern w:val="0"/>
                <w:sz w:val="22"/>
                <w:szCs w:val="22"/>
                <w:highlight w:val="none"/>
                <w:u w:val="none"/>
                <w:lang w:val="en-US" w:eastAsia="zh-CN" w:bidi="ar"/>
              </w:rPr>
              <w:t>需提供第三方有资质的检测机构出具的检测报告复印件</w:t>
            </w:r>
            <w:r>
              <w:rPr>
                <w:rFonts w:hint="eastAsia" w:ascii="宋体" w:hAnsi="宋体" w:eastAsia="宋体" w:cs="宋体"/>
                <w:i w:val="0"/>
                <w:strike w:val="0"/>
                <w:dstrike w:val="0"/>
                <w:color w:val="auto"/>
                <w:kern w:val="0"/>
                <w:sz w:val="22"/>
                <w:szCs w:val="22"/>
                <w:highlight w:val="none"/>
                <w:u w:val="none"/>
                <w:lang w:val="en-US" w:eastAsia="zh-CN" w:bidi="ar"/>
              </w:rPr>
              <w:t>）；</w:t>
            </w:r>
          </w:p>
          <w:p w14:paraId="5D6DAA4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为满足用户不同的亮度需求，所投LED显示屏需具有亮度调节功能，可实现 0%-100%亮度可调，任意设置亮度的功能。智能光感护眼功能：显示单元可自动识别环境光强弱，根据环境光变化调节屏幕亮度。（</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r>
              <w:rPr>
                <w:rFonts w:hint="eastAsia" w:ascii="宋体" w:hAnsi="宋体" w:eastAsia="宋体" w:cs="宋体"/>
                <w:i w:val="0"/>
                <w:color w:val="auto"/>
                <w:kern w:val="0"/>
                <w:sz w:val="22"/>
                <w:szCs w:val="22"/>
                <w:highlight w:val="none"/>
                <w:u w:val="none"/>
                <w:lang w:val="en-US" w:eastAsia="zh-CN" w:bidi="ar"/>
              </w:rPr>
              <w:t>）；</w:t>
            </w:r>
          </w:p>
          <w:p w14:paraId="0E5E4897">
            <w:pP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★为提升用户体验，所投LED显示屏需具有以下软件功能：1、LED 显示屏可实时监控显示屏工作状态， 具有故障自动报警功能。2、LED 显示屏具有多点测温系统，均衡散热，防止局部温度过高造成色彩漂移，并提高显示屏寿命。3、LED 显示屏具有电源温度控制系统，提供电源实时温度监控，超出设定温度自动报警，防止过温失效。4、支持视频、音频、图像、文字、Flash、Gif 等形式的媒体文件播放；支持 Microsoft office 的 Word、Excel、PPT 显示；支持时钟、计时、天气预报显示；支持外部视频信号（TV、AV、S-Video、复合视频）播放；（</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r>
              <w:rPr>
                <w:rFonts w:hint="eastAsia" w:ascii="宋体" w:hAnsi="宋体" w:eastAsia="宋体" w:cs="宋体"/>
                <w:i w:val="0"/>
                <w:color w:val="auto"/>
                <w:kern w:val="0"/>
                <w:sz w:val="22"/>
                <w:szCs w:val="22"/>
                <w:highlight w:val="none"/>
                <w:u w:val="none"/>
                <w:lang w:val="en-US" w:eastAsia="zh-CN" w:bidi="ar"/>
              </w:rPr>
              <w:t>）；</w:t>
            </w:r>
          </w:p>
          <w:p w14:paraId="43142D9A">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★为了观众身体不受蓝光伤害，LED显示屏必须通过蓝光无风险危害检测：蓝光对皮肤和眼睛紫外线危害、宽波段的光源对视网膜危害、蓝光对皮肤表面及角膜和视网膜的曝辐射值检测（</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r>
              <w:rPr>
                <w:rFonts w:hint="eastAsia" w:ascii="宋体" w:hAnsi="宋体" w:eastAsia="宋体" w:cs="宋体"/>
                <w:i w:val="0"/>
                <w:color w:val="auto"/>
                <w:kern w:val="0"/>
                <w:sz w:val="22"/>
                <w:szCs w:val="22"/>
                <w:highlight w:val="none"/>
                <w:u w:val="none"/>
                <w:lang w:val="en-US" w:eastAsia="zh-CN" w:bidi="ar"/>
              </w:rPr>
              <w:t>）；</w:t>
            </w:r>
          </w:p>
        </w:tc>
      </w:tr>
      <w:tr w14:paraId="00E31255">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27DBC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9373AD">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led处理器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0651B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1.最大1920X1200@60Hz输入分辨率</w:t>
            </w:r>
          </w:p>
          <w:p w14:paraId="5F868C5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2.最大带载780万像素，12路千兆网口输出</w:t>
            </w:r>
          </w:p>
          <w:p w14:paraId="66764C0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3.最宽8192像素点或最高4096像素点</w:t>
            </w:r>
          </w:p>
          <w:p w14:paraId="2D77160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4.支持4路信号输入:3xHDMI1.4，1xDVI</w:t>
            </w:r>
          </w:p>
          <w:p w14:paraId="098476A8">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5.支持单机或双机冗余备份</w:t>
            </w:r>
          </w:p>
          <w:p w14:paraId="323EDEB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6.支持1路独立音频输入，1路独立音频输出</w:t>
            </w:r>
          </w:p>
          <w:p w14:paraId="338DF20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7.支持3画面显示，位置、大小可自由调节</w:t>
            </w:r>
          </w:p>
          <w:p w14:paraId="0234EBB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8.支持视频信号任意切换，裁剪，拼接，缩放</w:t>
            </w:r>
          </w:p>
          <w:p w14:paraId="4130C85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9.支持低亮高灰，能有效地保持低亮下灰阶的完整显示</w:t>
            </w:r>
          </w:p>
          <w:p w14:paraId="1761447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10.确保产品质量可靠，提供3C认证证书</w:t>
            </w:r>
          </w:p>
          <w:p w14:paraId="015C038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设备直接通过USB2.0级联，级联数据下发发送速率最高可达60Mb/s，最多支持16台同时调节亮度、色温、设备之间同步性，符合大型高标准活动现场低延时要求；配合外设级联最大带载宽度可达262144像素点，最高可到131072像素点；需提供具有认证标识的第三方检测报告</w:t>
            </w:r>
            <w:r>
              <w:rPr>
                <w:rFonts w:hint="eastAsia" w:ascii="宋体" w:hAnsi="宋体" w:eastAsia="宋体" w:cs="宋体"/>
                <w:color w:val="auto"/>
                <w:sz w:val="22"/>
                <w:szCs w:val="22"/>
                <w:highlight w:val="none"/>
                <w:lang w:eastAsia="zh-CN"/>
              </w:rPr>
              <w:t>；</w:t>
            </w:r>
          </w:p>
          <w:p w14:paraId="577DE5F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12.为了保证HDMI或者DVI传输的高清晰信号不会被非法录制，设备具备HDCP1.4技术；需提供具有认证标识的第三方检测报告</w:t>
            </w:r>
            <w:r>
              <w:rPr>
                <w:rFonts w:hint="eastAsia" w:ascii="宋体" w:hAnsi="宋体" w:eastAsia="宋体" w:cs="宋体"/>
                <w:color w:val="auto"/>
                <w:sz w:val="22"/>
                <w:szCs w:val="22"/>
                <w:highlight w:val="none"/>
                <w:lang w:eastAsia="zh-CN"/>
              </w:rPr>
              <w:t>；</w:t>
            </w:r>
          </w:p>
          <w:p w14:paraId="200E7FD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13.节能环保，可通过与多功能卡的配合实现自动亮度调节功能，根据环境照度的改变自动调节显示屏的亮度，达到最佳的显示效果；需提供具有认证标识的第三方检测报告</w:t>
            </w:r>
            <w:r>
              <w:rPr>
                <w:rFonts w:hint="eastAsia" w:ascii="宋体" w:hAnsi="宋体" w:eastAsia="宋体" w:cs="宋体"/>
                <w:color w:val="auto"/>
                <w:sz w:val="22"/>
                <w:szCs w:val="22"/>
                <w:highlight w:val="none"/>
                <w:lang w:eastAsia="zh-CN"/>
              </w:rPr>
              <w:t>；</w:t>
            </w:r>
          </w:p>
          <w:p w14:paraId="01466A9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★14.设备带有RTC芯片，支持视频控制器和接收卡端的加密管理，通过加密相关的协议实现授权日期内的正常显示，非授权日期无法正常显示；</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p>
          <w:p w14:paraId="3374E29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★15.为确保产品控制显示效果，需提供LED大屏幕播放控制软件和LED大屏幕专业校正</w:t>
            </w:r>
            <w:r>
              <w:rPr>
                <w:rFonts w:hint="eastAsia" w:ascii="宋体" w:hAnsi="宋体" w:eastAsia="宋体" w:cs="宋体"/>
                <w:color w:val="auto"/>
                <w:sz w:val="22"/>
                <w:szCs w:val="22"/>
                <w:highlight w:val="none"/>
                <w:lang w:eastAsia="zh-CN"/>
              </w:rPr>
              <w:t>相关的</w:t>
            </w:r>
            <w:r>
              <w:rPr>
                <w:rFonts w:hint="eastAsia" w:ascii="宋体" w:hAnsi="宋体" w:eastAsia="宋体" w:cs="宋体"/>
                <w:color w:val="auto"/>
                <w:sz w:val="22"/>
                <w:szCs w:val="22"/>
                <w:highlight w:val="none"/>
              </w:rPr>
              <w:t>软件著作权证书</w:t>
            </w:r>
            <w:r>
              <w:rPr>
                <w:rFonts w:hint="eastAsia" w:ascii="宋体" w:hAnsi="宋体" w:eastAsia="宋体" w:cs="宋体"/>
                <w:color w:val="auto"/>
                <w:sz w:val="22"/>
                <w:szCs w:val="22"/>
                <w:highlight w:val="none"/>
                <w:lang w:eastAsia="zh-CN"/>
              </w:rPr>
              <w:t>。</w:t>
            </w:r>
          </w:p>
        </w:tc>
      </w:tr>
      <w:tr w14:paraId="4C24EBD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2D1ECB">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9FD0A3">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接收卡</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ABAFE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1.集成12个HUB75，无需再配转接板</w:t>
            </w:r>
          </w:p>
          <w:p w14:paraId="29024FD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2.单卡最大带载192×1024像素，最多支持24组并行数据</w:t>
            </w:r>
          </w:p>
          <w:p w14:paraId="1266465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3.支持8bit色深视频源输入输出，单色灰阶为256，可搭配出16777216种混合色彩</w:t>
            </w:r>
          </w:p>
          <w:p w14:paraId="08D02E9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4.支持自适应帧率技术，不仅支持23.98/24/29.97/30/50/59.94/60Hz常规及非整数帧率，还可输出显示120/240Hz高帧率画面，大幅提升画面流畅度、减少拖影</w:t>
            </w:r>
          </w:p>
          <w:p w14:paraId="7B5D9A88">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5.支持色温调节，提供调整色温，即饱和度调节，增强画面表现力</w:t>
            </w:r>
          </w:p>
          <w:p w14:paraId="367C980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6.支持低亮高灰</w:t>
            </w:r>
          </w:p>
          <w:p w14:paraId="794841A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7.支持亮色度逐点校正，能有效消除灯点色差，保证整屏的颜色亮度的均匀性和一致性，提升整体显示效果</w:t>
            </w:r>
          </w:p>
          <w:p w14:paraId="17AD8E35">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8.支持箱体标定和快速标序</w:t>
            </w:r>
          </w:p>
          <w:p w14:paraId="7A96E19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9.支持画面旋转，单个箱体画面以90°/180°/270°角度进行旋转，配合部分主控可实现单箱体画面任意角度旋转显示</w:t>
            </w:r>
          </w:p>
          <w:p w14:paraId="14C1E0C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10.支持数据偏移</w:t>
            </w:r>
          </w:p>
          <w:p w14:paraId="307F0AC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11.支持环路备份，支持固件备份</w:t>
            </w:r>
          </w:p>
          <w:p w14:paraId="5161F8F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12.</w:t>
            </w:r>
            <w:r>
              <w:rPr>
                <w:rFonts w:hint="eastAsia" w:ascii="宋体" w:hAnsi="宋体" w:cs="宋体"/>
                <w:color w:val="auto"/>
                <w:sz w:val="22"/>
                <w:szCs w:val="22"/>
                <w:highlight w:val="none"/>
                <w:lang w:val="en-US" w:eastAsia="zh-CN" w:bidi="ar"/>
              </w:rPr>
              <w:t>中标后，</w:t>
            </w:r>
            <w:r>
              <w:rPr>
                <w:rFonts w:hint="eastAsia" w:ascii="宋体" w:hAnsi="宋体" w:eastAsia="宋体" w:cs="宋体"/>
                <w:color w:val="auto"/>
                <w:sz w:val="22"/>
                <w:szCs w:val="22"/>
                <w:highlight w:val="none"/>
                <w:lang w:val="en-US" w:eastAsia="zh-CN" w:bidi="ar"/>
              </w:rPr>
              <w:t>提供厂家售后服务承诺书和项目授权书；</w:t>
            </w:r>
          </w:p>
          <w:p w14:paraId="0D3CFFE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13.8bit/14bit精度的色度，亮度一体化逐点校正，能有效消除灯点色差，保证整屏的颜色亮度的均匀性和一致性，提升整体显示效果；</w:t>
            </w:r>
          </w:p>
          <w:p w14:paraId="564A3A8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14.检测接收卡之间数据传输质量和误码情况，可以方便快捷地识别出硬件连接异常的箱体，便于维护；</w:t>
            </w:r>
          </w:p>
          <w:p w14:paraId="1D83493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15.一帧延迟，发送端到显示端延迟达到一帧，解决系统延迟导致的画面不同步问题；</w:t>
            </w:r>
          </w:p>
          <w:p w14:paraId="6738AEE5">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★16.通过对伽马表算法的优化，使得显示屏在降低亮度时能保持灰阶的完整无损失、完美显示，呈现低亮度高灰阶的显示效果；</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p>
          <w:p w14:paraId="7D105CF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★17.为使画面显示效果更加完美，保持整屏一致性，控制系统具有修缝、十字修复功能，</w:t>
            </w:r>
            <w:r>
              <w:rPr>
                <w:rFonts w:hint="eastAsia" w:ascii="宋体" w:hAnsi="宋体" w:cs="宋体"/>
                <w:color w:val="auto"/>
                <w:sz w:val="22"/>
                <w:szCs w:val="22"/>
                <w:highlight w:val="none"/>
                <w:lang w:val="en-US" w:eastAsia="zh-CN" w:bidi="ar"/>
              </w:rPr>
              <w:t>需</w:t>
            </w:r>
            <w:r>
              <w:rPr>
                <w:rFonts w:hint="eastAsia" w:ascii="宋体" w:hAnsi="宋体" w:eastAsia="宋体" w:cs="宋体"/>
                <w:color w:val="auto"/>
                <w:sz w:val="22"/>
                <w:szCs w:val="22"/>
                <w:highlight w:val="none"/>
                <w:lang w:val="en-US" w:eastAsia="zh-CN" w:bidi="ar"/>
              </w:rPr>
              <w:t>提供LED显示屏十字线修复</w:t>
            </w:r>
            <w:r>
              <w:rPr>
                <w:rFonts w:hint="eastAsia" w:ascii="宋体" w:hAnsi="宋体" w:cs="宋体"/>
                <w:color w:val="auto"/>
                <w:sz w:val="22"/>
                <w:szCs w:val="22"/>
                <w:highlight w:val="none"/>
                <w:lang w:val="en-US" w:eastAsia="zh-CN" w:bidi="ar"/>
              </w:rPr>
              <w:t>相关的</w:t>
            </w:r>
            <w:r>
              <w:rPr>
                <w:rFonts w:hint="eastAsia" w:ascii="宋体" w:hAnsi="宋体" w:eastAsia="宋体" w:cs="宋体"/>
                <w:color w:val="auto"/>
                <w:sz w:val="22"/>
                <w:szCs w:val="22"/>
                <w:highlight w:val="none"/>
                <w:lang w:val="en-US" w:eastAsia="zh-CN" w:bidi="ar"/>
              </w:rPr>
              <w:t>软件著作权证书及LED显示屏专业修缝</w:t>
            </w:r>
            <w:r>
              <w:rPr>
                <w:rFonts w:hint="eastAsia" w:ascii="宋体" w:hAnsi="宋体" w:cs="宋体"/>
                <w:color w:val="auto"/>
                <w:sz w:val="22"/>
                <w:szCs w:val="22"/>
                <w:highlight w:val="none"/>
                <w:lang w:val="en-US" w:eastAsia="zh-CN" w:bidi="ar"/>
              </w:rPr>
              <w:t>相关的</w:t>
            </w:r>
            <w:r>
              <w:rPr>
                <w:rFonts w:hint="eastAsia" w:ascii="宋体" w:hAnsi="宋体" w:eastAsia="宋体" w:cs="宋体"/>
                <w:color w:val="auto"/>
                <w:sz w:val="22"/>
                <w:szCs w:val="22"/>
                <w:highlight w:val="none"/>
                <w:lang w:val="en-US" w:eastAsia="zh-CN" w:bidi="ar"/>
              </w:rPr>
              <w:t>软件著作证书两种证明文件</w:t>
            </w:r>
            <w:r>
              <w:rPr>
                <w:rFonts w:hint="eastAsia" w:ascii="宋体" w:hAnsi="宋体" w:cs="宋体"/>
                <w:color w:val="auto"/>
                <w:sz w:val="22"/>
                <w:szCs w:val="22"/>
                <w:highlight w:val="none"/>
                <w:lang w:val="en-US" w:eastAsia="zh-CN" w:bidi="ar"/>
              </w:rPr>
              <w:t>。</w:t>
            </w:r>
          </w:p>
        </w:tc>
      </w:tr>
      <w:tr w14:paraId="579041AC">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47F5B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69985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屏体框架，国标定制</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C86FE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sz w:val="22"/>
                <w:szCs w:val="22"/>
                <w:highlight w:val="none"/>
                <w:u w:val="none"/>
                <w:lang w:val="en-US" w:eastAsia="zh-CN" w:bidi="ar-SA"/>
              </w:rPr>
              <w:t>国标定制</w:t>
            </w:r>
          </w:p>
        </w:tc>
      </w:tr>
      <w:tr w14:paraId="3C85AB71">
        <w:tblPrEx>
          <w:tblCellMar>
            <w:top w:w="0" w:type="dxa"/>
            <w:left w:w="0" w:type="dxa"/>
            <w:bottom w:w="0" w:type="dxa"/>
            <w:right w:w="0"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B636C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689D0E">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薄款电源</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B70A6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5V40A</w:t>
            </w:r>
          </w:p>
        </w:tc>
      </w:tr>
      <w:tr w14:paraId="251DB48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5F60B0">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1C1210">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电脑主机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66168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I7 10400F H510主板 DDR</w:t>
            </w:r>
            <w:r>
              <w:rPr>
                <w:rFonts w:hint="eastAsia" w:ascii="宋体" w:hAnsi="宋体" w:eastAsia="宋体" w:cs="宋体"/>
                <w:color w:val="auto"/>
                <w:sz w:val="22"/>
                <w:szCs w:val="22"/>
                <w:highlight w:val="none"/>
                <w:lang w:val="en-US" w:eastAsia="zh-CN"/>
              </w:rPr>
              <w:br w:type="textWrapping"/>
            </w:r>
            <w:r>
              <w:rPr>
                <w:rFonts w:hint="eastAsia" w:ascii="宋体" w:hAnsi="宋体" w:eastAsia="宋体" w:cs="宋体"/>
                <w:color w:val="auto"/>
                <w:sz w:val="22"/>
                <w:szCs w:val="22"/>
                <w:highlight w:val="none"/>
                <w:lang w:val="en-US" w:eastAsia="zh-CN"/>
              </w:rPr>
              <w:t>4 8G内存 120G SSD固态</w:t>
            </w:r>
            <w:r>
              <w:rPr>
                <w:rFonts w:hint="eastAsia" w:ascii="宋体" w:hAnsi="宋体" w:eastAsia="宋体" w:cs="宋体"/>
                <w:color w:val="auto"/>
                <w:sz w:val="22"/>
                <w:szCs w:val="22"/>
                <w:highlight w:val="none"/>
                <w:lang w:val="en-US" w:eastAsia="zh-CN"/>
              </w:rPr>
              <w:br w:type="textWrapping"/>
            </w:r>
            <w:r>
              <w:rPr>
                <w:rFonts w:hint="eastAsia" w:ascii="宋体" w:hAnsi="宋体" w:eastAsia="宋体" w:cs="宋体"/>
                <w:color w:val="auto"/>
                <w:sz w:val="22"/>
                <w:szCs w:val="22"/>
                <w:highlight w:val="none"/>
                <w:lang w:val="en-US" w:eastAsia="zh-CN"/>
              </w:rPr>
              <w:t>硬盘 4G独立显卡</w:t>
            </w:r>
          </w:p>
        </w:tc>
      </w:tr>
      <w:tr w14:paraId="4A16AFA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AE8DD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176C6B">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视频处理器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401A15">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1.支持最大65万像素带载能力，1路千兆网口输出</w:t>
            </w:r>
          </w:p>
          <w:p w14:paraId="05BFF2C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2.最宽4096像素点或最高3840像素点</w:t>
            </w:r>
          </w:p>
          <w:p w14:paraId="36E20F2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3.支持1路独立音频输出</w:t>
            </w:r>
          </w:p>
          <w:p w14:paraId="2FDCEE9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4.支持云分级管理和多角色节目发布</w:t>
            </w:r>
          </w:p>
          <w:p w14:paraId="23A237E4">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5.处理性能强大，支持H.265 4K高清视频硬解码播放</w:t>
            </w:r>
          </w:p>
          <w:p w14:paraId="6FB10FF2">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6.支持U盘即插即播，U盘更新播放节目列表</w:t>
            </w:r>
          </w:p>
          <w:p w14:paraId="67648F4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7.支持多节目页播放，最多32个节目页面数量</w:t>
            </w:r>
          </w:p>
          <w:p w14:paraId="45B925DF">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8.支持丰富的媒体素材，如图片、视频、文本、时钟等等，支持视频、图片缩放</w:t>
            </w:r>
          </w:p>
          <w:p w14:paraId="2F8477C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9.支持多窗口播放和叠加，可自由设定窗口大小和位置</w:t>
            </w:r>
          </w:p>
          <w:p w14:paraId="0A87E23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10.支持多种控制平台的控制，LED精灵，手机、平板电脑APP控制</w:t>
            </w:r>
          </w:p>
          <w:p w14:paraId="2B7C409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11.支持WiFi 2.4G频段、WiFi热点模式或WiFi客户端模式</w:t>
            </w:r>
          </w:p>
          <w:p w14:paraId="2087972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12.支持LAN口控制，支持DHCP模式和静态模式</w:t>
            </w:r>
          </w:p>
          <w:p w14:paraId="3B1ADAA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13.4G通讯，支持4G网络（选配），GPS定位（选配）</w:t>
            </w:r>
          </w:p>
          <w:p w14:paraId="6471BC99">
            <w:pPr>
              <w:keepNext w:val="0"/>
              <w:keepLines w:val="0"/>
              <w:widowControl/>
              <w:numPr>
                <w:ilvl w:val="0"/>
                <w:numId w:val="9"/>
              </w:numPr>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提供json，modbus等各种协议接口，可以基于设备做二次开发，也可以基于服务器做二次开发，满足客户二次开发需求；</w:t>
            </w:r>
          </w:p>
          <w:p w14:paraId="2A99F5CE">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15.在线时长统计，通过云服务器，可以查看播放盒指定时段内累计在线时长和关开机次数；</w:t>
            </w:r>
          </w:p>
          <w:p w14:paraId="77D989F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16.支持多台设备画面完全同步；支持远程查看播放内容；</w:t>
            </w:r>
          </w:p>
          <w:p w14:paraId="33D7643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17.网警功能，通过云服务器，实现全部设备一键黑屏功能；</w:t>
            </w:r>
          </w:p>
          <w:p w14:paraId="0E19A8E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18.云发布服务器安全可靠，AES加密服务、防网络DDOS攻击、WFA防火墙、HTTPS加密通道；</w:t>
            </w:r>
          </w:p>
          <w:p w14:paraId="76E76EF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★19.为保证网络数据传输的安全性，</w:t>
            </w:r>
            <w:r>
              <w:rPr>
                <w:rFonts w:hint="eastAsia" w:ascii="宋体" w:hAnsi="宋体" w:cs="宋体"/>
                <w:i w:val="0"/>
                <w:color w:val="auto"/>
                <w:kern w:val="0"/>
                <w:sz w:val="22"/>
                <w:szCs w:val="22"/>
                <w:highlight w:val="none"/>
                <w:u w:val="none"/>
                <w:lang w:val="en-US" w:eastAsia="zh-CN" w:bidi="ar"/>
              </w:rPr>
              <w:t>需提供</w:t>
            </w:r>
            <w:r>
              <w:rPr>
                <w:rFonts w:hint="eastAsia" w:ascii="宋体" w:hAnsi="宋体" w:eastAsia="宋体" w:cs="宋体"/>
                <w:i w:val="0"/>
                <w:color w:val="auto"/>
                <w:kern w:val="0"/>
                <w:sz w:val="22"/>
                <w:szCs w:val="22"/>
                <w:highlight w:val="none"/>
                <w:u w:val="none"/>
                <w:lang w:val="en-US" w:eastAsia="zh-CN" w:bidi="ar"/>
              </w:rPr>
              <w:t>云平台控制软件信息系统安全等级保护备案证明</w:t>
            </w:r>
            <w:r>
              <w:rPr>
                <w:rFonts w:hint="eastAsia" w:ascii="宋体" w:hAnsi="宋体" w:cs="宋体"/>
                <w:i w:val="0"/>
                <w:color w:val="auto"/>
                <w:kern w:val="0"/>
                <w:sz w:val="22"/>
                <w:szCs w:val="22"/>
                <w:highlight w:val="none"/>
                <w:u w:val="none"/>
                <w:lang w:val="en-US" w:eastAsia="zh-CN" w:bidi="ar"/>
              </w:rPr>
              <w:t>。</w:t>
            </w:r>
          </w:p>
          <w:p w14:paraId="6947006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★20.需提供交通信息情报板联网播放控制</w:t>
            </w:r>
            <w:r>
              <w:rPr>
                <w:rFonts w:hint="eastAsia" w:ascii="宋体" w:hAnsi="宋体" w:cs="宋体"/>
                <w:i w:val="0"/>
                <w:color w:val="auto"/>
                <w:kern w:val="0"/>
                <w:sz w:val="22"/>
                <w:szCs w:val="22"/>
                <w:highlight w:val="none"/>
                <w:u w:val="none"/>
                <w:lang w:val="en-US" w:eastAsia="zh-CN" w:bidi="ar"/>
              </w:rPr>
              <w:t>相关的</w:t>
            </w:r>
            <w:r>
              <w:rPr>
                <w:rFonts w:hint="eastAsia" w:ascii="宋体" w:hAnsi="宋体" w:eastAsia="宋体" w:cs="宋体"/>
                <w:i w:val="0"/>
                <w:color w:val="auto"/>
                <w:kern w:val="0"/>
                <w:sz w:val="22"/>
                <w:szCs w:val="22"/>
                <w:highlight w:val="none"/>
                <w:u w:val="none"/>
                <w:lang w:val="en-US" w:eastAsia="zh-CN" w:bidi="ar"/>
              </w:rPr>
              <w:t>软件著作权证书</w:t>
            </w:r>
            <w:r>
              <w:rPr>
                <w:rFonts w:hint="eastAsia" w:ascii="宋体" w:hAnsi="宋体" w:cs="宋体"/>
                <w:i w:val="0"/>
                <w:color w:val="auto"/>
                <w:kern w:val="0"/>
                <w:sz w:val="22"/>
                <w:szCs w:val="22"/>
                <w:highlight w:val="none"/>
                <w:u w:val="none"/>
                <w:lang w:val="en-US" w:eastAsia="zh-CN" w:bidi="ar"/>
              </w:rPr>
              <w:t>。</w:t>
            </w:r>
          </w:p>
        </w:tc>
      </w:tr>
      <w:tr w14:paraId="6A343866">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D89EFB">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AB6623">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屏体辅材</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F5AE4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长排线。网线。接卡线。电源线。分支电缆</w:t>
            </w:r>
          </w:p>
        </w:tc>
      </w:tr>
      <w:tr w14:paraId="14D164D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99DE9E">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C6CC17">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投影显示设备</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6629D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高端工程投影机，投影技术3LCD </w:t>
            </w:r>
          </w:p>
          <w:p w14:paraId="2B16D14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亮度≥5000流明</w:t>
            </w:r>
          </w:p>
          <w:p w14:paraId="68CC4AA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对比度≥2500000:1</w:t>
            </w:r>
          </w:p>
          <w:p w14:paraId="4C1B399A">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标准分辨率WUXGA（1920*1200）</w:t>
            </w:r>
          </w:p>
          <w:p w14:paraId="6339A75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采用免维护激光光源，标准模式寿命≥20000小时</w:t>
            </w:r>
          </w:p>
          <w:p w14:paraId="49D04E5D">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使用无机荧光轮和无机LCD 晶板</w:t>
            </w:r>
          </w:p>
          <w:p w14:paraId="1DCBA865">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手动聚焦，1.35 倍数字变焦 F=1.60 f=3.7MM</w:t>
            </w:r>
          </w:p>
          <w:p w14:paraId="1DEA162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丰富的端口设计，包含HDMI、RGB接口、USB等输入端口，支持HD-BaseT超远距离传输接口, 实现网线高清数字传输。</w:t>
            </w:r>
          </w:p>
          <w:p w14:paraId="411028A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支持几何校正（水平垂直梯形校正，点校正，弧形校正）</w:t>
            </w:r>
          </w:p>
          <w:p w14:paraId="756C1402">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支持选配原厂无线网卡实现无线投影</w:t>
            </w:r>
          </w:p>
          <w:p w14:paraId="4F8C7495">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产品重量≥8.5Kg</w:t>
            </w:r>
          </w:p>
          <w:p w14:paraId="4457323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质保要求：整机含光源叁年保修</w:t>
            </w:r>
          </w:p>
        </w:tc>
      </w:tr>
      <w:tr w14:paraId="5A887409">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4486E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B094AF">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监控录像机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3132B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支持萤石云服务，可一键配置上网</w:t>
            </w:r>
          </w:p>
          <w:p w14:paraId="39BF5245">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可接驳符合ONVIF、RTSP标准及众多主流厂商的网络摄像机</w:t>
            </w:r>
          </w:p>
          <w:p w14:paraId="55253D5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最大支持800万像素高清网络视频的预览、存储与回放</w:t>
            </w:r>
          </w:p>
          <w:p w14:paraId="292DAAF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支持IP设备集中管理，包括IP设备参数配置、信息的导入/导出和升级等功能</w:t>
            </w:r>
          </w:p>
          <w:p w14:paraId="17C4B57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支持H.265高效视频编码码流，支持H.265、H.264、MPEG4网络设备混合接入</w:t>
            </w:r>
          </w:p>
        </w:tc>
      </w:tr>
      <w:tr w14:paraId="628742EF">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74798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CC45F2">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24口POE交换机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959AD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24口POE交换机 24口千兆POE交换机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24个千兆电口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整机供电功率可高达185W，单个端口供电可达30W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交换性能：336Gbps/3.36Tbps；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包转发率：96Mpps/126Mpps；</w:t>
            </w:r>
          </w:p>
        </w:tc>
      </w:tr>
      <w:tr w14:paraId="40BB69F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824C3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09C23A">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半球摄像机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CD9EBC">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半球摄像机，300万像素1/2.7"红外级海螺半球网络摄像机；3MP(2304×1296)@25FPS；0.01Lux (F2.0，AGC ON，彩色)，0lux(开启红外)；2.8/4.0/6.0mm定焦；双码流，最大码流6路；内置Mic；10M/100M自适应网口；一颗红外灯补光30米；支持人形检测；供电方式：DC12V(±25%)、POE；工作温湿度：-30℃~60℃，≤95%RH；功耗：5W MAX；防护等级：IP67；支持4KV防雷；</w:t>
            </w:r>
          </w:p>
        </w:tc>
      </w:tr>
      <w:tr w14:paraId="46BF414C">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C8457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8BF8D2">
            <w:pPr>
              <w:keepNext w:val="0"/>
              <w:keepLines w:val="0"/>
              <w:widowControl/>
              <w:suppressLineNumbers w:val="0"/>
              <w:spacing w:line="360" w:lineRule="auto"/>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bCs/>
                <w:i w:val="0"/>
                <w:iCs w:val="0"/>
                <w:color w:val="auto"/>
                <w:kern w:val="0"/>
                <w:sz w:val="22"/>
                <w:szCs w:val="22"/>
                <w:highlight w:val="none"/>
                <w:u w:val="none"/>
                <w:lang w:val="en-US" w:eastAsia="zh-CN" w:bidi="ar"/>
              </w:rPr>
              <w:t>枪式摄像机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B582A4">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创新设计超广角102.5°，搭载高画质3倍变焦镜头</w:t>
            </w:r>
          </w:p>
          <w:p w14:paraId="53B51AB2">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拥有高水准低照度性能※1：彩色0.25lux/黑白0.008lux</w:t>
            </w:r>
          </w:p>
          <w:p w14:paraId="1067264E">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摄像机的角度可以通过PC远距离设定，简化安装工作</w:t>
            </w:r>
          </w:p>
          <w:p w14:paraId="46C8CCBE">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查看器PTZ功能可将画面的一部分扩大※2</w:t>
            </w:r>
          </w:p>
          <w:p w14:paraId="49E6FA50">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※1最低照度为快门速度1/30、智能阴影控制关时的规格。</w:t>
            </w:r>
          </w:p>
          <w:p w14:paraId="25A1495A">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※2查看器PTZ功能使用时，将占用一个客户端口</w:t>
            </w:r>
          </w:p>
        </w:tc>
      </w:tr>
      <w:tr w14:paraId="22E72635">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95C5D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D9B321">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路由器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1266F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路由器 9个千兆网口，1WAN+8LAN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内置AC功能，统一管理TP-LINK企业AP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IPSec/PPTP/L2TP VPN，远程通信更安全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Web认证、微信连Wi-Fi、PPPoE服务器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上网行为管理（移动APP管控/桌面应用管控/网站过滤/行为审计）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内外网ARP防护及常见攻击防护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智能IP带宽管理及连接数限制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AC控制</w:t>
            </w:r>
            <w:r>
              <w:rPr>
                <w:rFonts w:hint="eastAsia" w:ascii="宋体" w:hAnsi="宋体" w:eastAsia="宋体" w:cs="宋体"/>
                <w:color w:val="auto"/>
                <w:sz w:val="22"/>
                <w:szCs w:val="22"/>
                <w:highlight w:val="none"/>
                <w:lang w:bidi="ar"/>
              </w:rPr>
              <w:t>使用</w:t>
            </w:r>
          </w:p>
          <w:p w14:paraId="566E3AD9">
            <w:pPr>
              <w:keepNext w:val="0"/>
              <w:keepLines w:val="0"/>
              <w:widowControl/>
              <w:suppressLineNumbers w:val="0"/>
              <w:spacing w:line="360" w:lineRule="auto"/>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bidi="ar"/>
              </w:rPr>
              <w:t>整机功率小于15W</w:t>
            </w:r>
          </w:p>
        </w:tc>
      </w:tr>
      <w:tr w14:paraId="556666FC">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B31AE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3D3D76">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b/>
                <w:bCs/>
                <w:i w:val="0"/>
                <w:iCs w:val="0"/>
                <w:color w:val="auto"/>
                <w:kern w:val="0"/>
                <w:sz w:val="22"/>
                <w:szCs w:val="22"/>
                <w:highlight w:val="none"/>
                <w:u w:val="none"/>
                <w:lang w:val="en-US" w:eastAsia="zh-CN" w:bidi="ar"/>
              </w:rPr>
              <w:t>24口交换机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4EE8FF">
            <w:pPr>
              <w:keepNext w:val="0"/>
              <w:keepLines w:val="0"/>
              <w:widowControl/>
              <w:suppressLineNumbers w:val="0"/>
              <w:spacing w:line="360" w:lineRule="auto"/>
              <w:jc w:val="both"/>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24口交换机  提供24个千兆端口，机柜型壳体，即插即用，可上机架</w:t>
            </w:r>
            <w:r>
              <w:rPr>
                <w:rFonts w:hint="eastAsia" w:ascii="宋体" w:hAnsi="宋体" w:cs="宋体"/>
                <w:i w:val="0"/>
                <w:iCs w:val="0"/>
                <w:color w:val="auto"/>
                <w:kern w:val="0"/>
                <w:sz w:val="22"/>
                <w:szCs w:val="22"/>
                <w:highlight w:val="none"/>
                <w:u w:val="none"/>
                <w:lang w:val="en-US" w:eastAsia="zh-CN" w:bidi="ar"/>
              </w:rPr>
              <w:t>。</w:t>
            </w:r>
          </w:p>
        </w:tc>
      </w:tr>
      <w:tr w14:paraId="4508F6B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4F81B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BB96F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无线</w:t>
            </w:r>
            <w:r>
              <w:rPr>
                <w:rFonts w:hint="eastAsia" w:ascii="宋体" w:hAnsi="宋体" w:cs="宋体"/>
                <w:b/>
                <w:bCs/>
                <w:i w:val="0"/>
                <w:iCs w:val="0"/>
                <w:color w:val="auto"/>
                <w:kern w:val="0"/>
                <w:sz w:val="22"/>
                <w:szCs w:val="22"/>
                <w:highlight w:val="none"/>
                <w:u w:val="none"/>
                <w:lang w:val="en-US" w:eastAsia="zh-CN" w:bidi="ar"/>
              </w:rPr>
              <w:t>AP</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B4699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网络标准：IEEE802.11ac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最高传输速率：1167Mbps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频率范围：双频（2.4GHz，5GHz）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无线功能：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SSID广播：支持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SSID数量：8（2.4GHz）+8（5GHz），支持中文SSID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网络类型：访客网络、员工网络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用户隔离：无线网络间隔离，AP内部隔离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无线MAC地址过滤：支持白名单(100)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VLAN设置：支持SSID和Tag VLAN绑定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发射功率设置：支持1dBm线性调节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无线客户端数量限制：支持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QoS：WMM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WDS：支持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频谱导航（5G优先）：支持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踢除弱信号设备、禁止弱信号设备接入：支持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系统管理：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设备管理：全中文WEB管理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系统日志：支持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备份配置：支持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导入配置：支持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软件升级：支持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Ping看门狗：支持</w:t>
            </w:r>
            <w:r>
              <w:rPr>
                <w:rFonts w:hint="eastAsia" w:ascii="宋体" w:hAnsi="宋体" w:eastAsia="宋体" w:cs="宋体"/>
                <w:color w:val="auto"/>
                <w:sz w:val="22"/>
                <w:szCs w:val="22"/>
                <w:highlight w:val="none"/>
                <w:lang w:bidi="ar"/>
              </w:rPr>
              <w:t xml:space="preserve"> </w:t>
            </w:r>
          </w:p>
        </w:tc>
      </w:tr>
      <w:tr w14:paraId="15C8B22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BA6492">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4455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42U机柜</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4B12A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网络机柜 规格：宽600mm*深600mm*高2000mm，机柜板材采用钢板厚度不低于1.2mm的冷轧钢板，立柱等沉重部位冷轧钢板厚度不应低于2.0mm，表面喷塑处理，机柜顶部不少于两个散热风扇，机柜自带3块挡板，机柜四面均可拆卸，前后门带锁。</w:t>
            </w:r>
          </w:p>
        </w:tc>
      </w:tr>
      <w:tr w14:paraId="3BF4DA9F">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34AEB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C6D43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户外投影仪+幕布</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E27F9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分辨率3840*2160DPI  1200CVIA  画面比列：16:9  </w:t>
            </w:r>
          </w:p>
          <w:p w14:paraId="678812D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光源功率：120W  支持投放画面范围：30-150英寸</w:t>
            </w:r>
          </w:p>
        </w:tc>
      </w:tr>
      <w:tr w14:paraId="0ECFF4A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475B4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8B0CD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监控硬盘</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B0859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 4TB SATA6Gb/s 64M 监控硬盘</w:t>
            </w:r>
          </w:p>
        </w:tc>
      </w:tr>
      <w:tr w14:paraId="66C4E75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F489A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C3BA8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32寸显示器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7D099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sz w:val="22"/>
                <w:szCs w:val="22"/>
                <w:highlight w:val="none"/>
                <w:u w:val="none"/>
                <w:lang w:val="en-US" w:eastAsia="zh-CN" w:bidi="ar-SA"/>
              </w:rPr>
              <w:t>32寸液晶监视器显示单元， 超窄边外观，1080P分辨率，超宽视角技术，视角达178°</w:t>
            </w:r>
          </w:p>
        </w:tc>
      </w:tr>
      <w:tr w14:paraId="0995A16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21582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E89C1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陶艺实训互动系统</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50934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I+手势互动，通过感应前方参观者的手势进行陶艺造型的变化，以及各流程体验；另一个板块内容通过选择其想了解的陶艺的专业知识以及相关内容进行了解其相关信息。展示陶艺的发展过程，版块策划、内容梳理、文字提炼、交互规划</w:t>
            </w:r>
          </w:p>
          <w:p w14:paraId="6B78AF2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交互系统界面逻辑规划，系统交互Mockup制作，主版块UI界面设计，次版块界面延伸拓展设计。</w:t>
            </w:r>
          </w:p>
          <w:p w14:paraId="5196B11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交互效果动效设计，制作开发，效果融合录入</w:t>
            </w:r>
            <w:r>
              <w:rPr>
                <w:rFonts w:hint="eastAsia" w:ascii="宋体" w:hAnsi="宋体" w:eastAsia="宋体" w:cs="宋体"/>
                <w:color w:val="auto"/>
                <w:sz w:val="22"/>
                <w:szCs w:val="22"/>
                <w:highlight w:val="none"/>
                <w:lang w:val="en-US" w:eastAsia="zh-CN" w:bidi="ar"/>
              </w:rPr>
              <w:t>陶艺种类</w:t>
            </w:r>
            <w:r>
              <w:rPr>
                <w:rFonts w:hint="eastAsia" w:ascii="宋体" w:hAnsi="宋体" w:eastAsia="宋体" w:cs="宋体"/>
                <w:color w:val="auto"/>
                <w:sz w:val="22"/>
                <w:szCs w:val="22"/>
                <w:highlight w:val="none"/>
                <w:lang w:bidi="ar"/>
              </w:rPr>
              <w:t>信息情况，及功能说明，便于</w:t>
            </w:r>
            <w:r>
              <w:rPr>
                <w:rFonts w:hint="eastAsia" w:ascii="宋体" w:hAnsi="宋体" w:eastAsia="宋体" w:cs="宋体"/>
                <w:color w:val="auto"/>
                <w:sz w:val="22"/>
                <w:szCs w:val="22"/>
                <w:highlight w:val="none"/>
                <w:lang w:val="en-US" w:eastAsia="zh-CN" w:bidi="ar"/>
              </w:rPr>
              <w:t>参观人员</w:t>
            </w:r>
            <w:r>
              <w:rPr>
                <w:rFonts w:hint="eastAsia" w:ascii="宋体" w:hAnsi="宋体" w:eastAsia="宋体" w:cs="宋体"/>
                <w:color w:val="auto"/>
                <w:sz w:val="22"/>
                <w:szCs w:val="22"/>
                <w:highlight w:val="none"/>
                <w:lang w:bidi="ar"/>
              </w:rPr>
              <w:t>进</w:t>
            </w:r>
            <w:r>
              <w:rPr>
                <w:rFonts w:hint="eastAsia" w:ascii="宋体" w:hAnsi="宋体" w:eastAsia="宋体" w:cs="宋体"/>
                <w:color w:val="auto"/>
                <w:sz w:val="22"/>
                <w:szCs w:val="22"/>
                <w:highlight w:val="none"/>
                <w:lang w:val="en-US" w:eastAsia="zh-CN" w:bidi="ar"/>
              </w:rPr>
              <w:t>行互动体验。</w:t>
            </w:r>
          </w:p>
        </w:tc>
      </w:tr>
      <w:tr w14:paraId="5E24CE1D">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475ED2">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0C646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数字陶艺展示墙</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FDB39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霍格沃兹墙采用纸面简笔画触摸技术，是一种可以直接在纸面</w:t>
            </w:r>
          </w:p>
          <w:p w14:paraId="5627789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实现交互的触摸技术，是通过AR互动投影技术来实现的。</w:t>
            </w:r>
          </w:p>
          <w:p w14:paraId="7D6DDD9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玩家通过手指触摸纸面上的简笔画就会出现魔法般的投影动画</w:t>
            </w:r>
          </w:p>
          <w:p w14:paraId="614F536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特效及音效，不触摸时特效随之就会消失。就像是给玩家的</w:t>
            </w:r>
          </w:p>
          <w:p w14:paraId="2343CF8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双手赋予了神奇的魔法</w:t>
            </w:r>
          </w:p>
        </w:tc>
      </w:tr>
      <w:tr w14:paraId="4745E845">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53327E">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6E74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中控主机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1CEF8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中控主机 </w:t>
            </w:r>
          </w:p>
          <w:p w14:paraId="6317D15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1.1采用32位高速中央处理器(CPU)，快速处理各种复杂的控制指令；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4路独立可编程的红外发射接口，支持控制多台相同或不同的红外设备；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1.3主机内置红外学习器，能轻松学习超长码的空调遥控器，对音视频设备这些普通遥控器，更不在话下。可把红外数据保存到电脑成为宏按键，供后续工程或后续维护升级使用，提高工作效率；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  4路弱电继电器接口，用于窗帘、电动幕布等控制；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  8路可编程的RS-232 串口，4路RS-485与RS-232复用；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 提供4条红外发射棒；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  4路IO口，支持外部触发动作或输出高电平；</w:t>
            </w:r>
          </w:p>
        </w:tc>
      </w:tr>
      <w:tr w14:paraId="1914DB6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DA262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109B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网关模块</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47DDC5">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网关模块 支持1路网络输入，2路RS-232，2路RS-485</w:t>
            </w:r>
          </w:p>
        </w:tc>
      </w:tr>
      <w:tr w14:paraId="753A928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E717CF">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AB2A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强电模块</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5F3B2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强电模块8路2000W，带按钮控制电源控制模块，电源：DC 12V 支持485控制</w:t>
            </w:r>
          </w:p>
        </w:tc>
      </w:tr>
      <w:tr w14:paraId="41277AFB">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CDCDAF">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0B2BB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时序电源</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EC1AB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时序电源 单路支持3000W，支持RS-232控制</w:t>
            </w:r>
          </w:p>
        </w:tc>
      </w:tr>
      <w:tr w14:paraId="511E53DD">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F2180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2FC4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平板电脑</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98076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7.9寸 IPAD  无线触控  64G  八核心 分辨率：2048*1536</w:t>
            </w:r>
          </w:p>
        </w:tc>
      </w:tr>
      <w:tr w14:paraId="1CA91689">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4F8965">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6EEA8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智能控制面板</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7005E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墙面智能控制面板（86盒带液晶触摸控制面板）</w:t>
            </w:r>
          </w:p>
        </w:tc>
      </w:tr>
      <w:tr w14:paraId="59AD997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F060CE">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552B8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AC控制器</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642CC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核心功能:统一管理无线AP，包括配置下发、信道分配、用户接入控制等。12</w:t>
            </w:r>
          </w:p>
          <w:p w14:paraId="23A70E8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典型应用:通过Web界面集中管理数百个AP，实现无线网络的智能调优(如自动分配信道、限速等)。</w:t>
            </w:r>
          </w:p>
        </w:tc>
      </w:tr>
      <w:tr w14:paraId="0E8987F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BEF59E">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CB842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中控集中控制系统</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D5B41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统一后端管理平台，具备展厅内所有设备的后台管理页面对展厅内任意屏幕的WEB应用、EXE应用的新增、删除、重命名及使用方法、混合轮播等功能，根据其功能的实现完整性，本项目不允许借助第三方远程桌面类工具进行内容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2、统一后端管理平台，具备对屏幕单独设置播放策略、播放顺序等功能，具备文件列表功能；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3、具备多场景管理功能，可以设置不同主题场景，可一键切换所有屏幕的场景文件；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管理后台具备可视化设备列表，可实时显示所有屏幕缩略图画面，支持对windows\android系统的远程关机、开机，支持不限格式视频、图片以及PDF管理、包括内容自动同步、内容实时切换、PDF上下翻页、暂停、音量调节、视频拖动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5、中控系统管理，支持UI自定义及按钮自定义、页面自定义等。通过UI实时管理按钮及页面，实现设备、主机、主机显示的统一调度，支持按钮添加、删除、修改，按钮（场景）数量不限；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6、支持PAD、手机、PC，在中控平台内实现与屏幕端同屏控制，可以通过平板端实时点击控制屏幕端任意网页或平台下任意位置的二级页面、三级页面，实现触摸控制、点击输入等操作；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7、具备管理员账户登录功能，确保系统安全；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8、具备对强电、LED屏、灯光控制、设备互动、控制等联动功能，结合设备及内容节目，营造科技联动的展示效果；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9、系统具备日志记录功能，完整记录操作人员各操作类型及执行时间，有效追溯未经授权人员操作。</w:t>
            </w:r>
          </w:p>
        </w:tc>
      </w:tr>
      <w:tr w14:paraId="5A58CB6E">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97EA0">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6ABB16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sz w:val="22"/>
                <w:szCs w:val="22"/>
                <w:highlight w:val="none"/>
                <w:u w:val="none"/>
              </w:rPr>
              <w:t>55寸拼接屏</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458A2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1、55“超窄边LCD拼接屏；物理分辨率达到1920×1080，响应时间≤8ms；</w:t>
            </w:r>
          </w:p>
          <w:p w14:paraId="1C9A90B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2、LCD显示单元物理拼缝≤3.5mm，亮度达到500cd/㎡，对比度达到3500:1</w:t>
            </w:r>
          </w:p>
          <w:p w14:paraId="7BF1D0E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3、LCD显示单元具备HDMI×1，DVI×1，具备RJ45×2，USB×1，红外*1控制接口；</w:t>
            </w:r>
          </w:p>
          <w:p w14:paraId="7E7A754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4、液晶拼接屏必须采用整机设计，严禁使用飞线屏（供货时如果发现飞线屏，业主有权取消中标资格），显示屏具备完整后壳，不得以支架或挡板替代，无任何裸露在外的电路线，整体美观大方，而且产品符合检测规范，5、LCD采用双CPU+多个协处理器核的构架；双CPU负责通讯、色彩调整及模块控制等控制功能；3个DSP核+1个FPGA核负责图像数据的处理，分工明确保证系统稳定性和实时性，使图像处理更加游刃有余</w:t>
            </w:r>
          </w:p>
          <w:p w14:paraId="58A0401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6、LCD显示单元通过调整γ曲线，使得实际γ曲线更为平滑且更为准确，从而提升显示设备的显示效果；</w:t>
            </w:r>
          </w:p>
          <w:p w14:paraId="08FF331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7、LCD显示单元支持自动镜像功能，可以实现显示内容（视频、文本等）镜像、OSD菜单的自定义0-360°旋转。</w:t>
            </w:r>
          </w:p>
          <w:p w14:paraId="12B5BD3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sz w:val="22"/>
                <w:szCs w:val="22"/>
                <w:highlight w:val="none"/>
                <w:u w:val="none"/>
                <w:lang w:val="en-US" w:eastAsia="zh-CN" w:bidi="ar-SA"/>
              </w:rPr>
              <w:t>8、采用同步显示控制技术、不同信号转换显示无延时、实现同步开机同步显示。</w:t>
            </w:r>
          </w:p>
          <w:p w14:paraId="7C31C93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i w:val="0"/>
                <w:iCs w:val="0"/>
                <w:color w:val="auto"/>
                <w:sz w:val="22"/>
                <w:szCs w:val="22"/>
                <w:highlight w:val="none"/>
                <w:u w:val="none"/>
                <w:lang w:val="en-US" w:eastAsia="zh-CN" w:bidi="ar-SA"/>
              </w:rPr>
              <w:t>9、液晶显示单元采用无风扇散热结构，支持365x24运行。</w:t>
            </w:r>
          </w:p>
        </w:tc>
      </w:tr>
      <w:tr w14:paraId="67C3F89C">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273A7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53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48081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多屏保</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378D7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2x2横屏，采用1台4出多屏宝</w:t>
            </w:r>
          </w:p>
        </w:tc>
      </w:tr>
      <w:tr w14:paraId="45D5EB1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301F62">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2571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液压支架</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F4E71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定制伸缩支架</w:t>
            </w:r>
          </w:p>
        </w:tc>
      </w:tr>
      <w:tr w14:paraId="5B79DFB4">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F5CEF3">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3A12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多媒体视频</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27B2A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通过拍摄以及后期特效包装，制作相关</w:t>
            </w:r>
            <w:r>
              <w:rPr>
                <w:rFonts w:hint="eastAsia" w:ascii="宋体" w:hAnsi="宋体" w:eastAsia="宋体" w:cs="宋体"/>
                <w:color w:val="auto"/>
                <w:sz w:val="22"/>
                <w:szCs w:val="22"/>
                <w:highlight w:val="none"/>
                <w:lang w:val="en-US" w:eastAsia="zh-CN" w:bidi="ar"/>
              </w:rPr>
              <w:t>本土</w:t>
            </w:r>
            <w:r>
              <w:rPr>
                <w:rFonts w:hint="eastAsia" w:ascii="宋体" w:hAnsi="宋体" w:eastAsia="宋体" w:cs="宋体"/>
                <w:color w:val="auto"/>
                <w:sz w:val="22"/>
                <w:szCs w:val="22"/>
                <w:highlight w:val="none"/>
                <w:lang w:bidi="ar"/>
              </w:rPr>
              <w:t>铜雕</w:t>
            </w:r>
            <w:r>
              <w:rPr>
                <w:rFonts w:hint="eastAsia" w:ascii="宋体" w:hAnsi="宋体" w:eastAsia="宋体" w:cs="宋体"/>
                <w:color w:val="auto"/>
                <w:sz w:val="22"/>
                <w:szCs w:val="22"/>
                <w:highlight w:val="none"/>
                <w:lang w:val="en-US" w:eastAsia="zh-CN" w:bidi="ar"/>
              </w:rPr>
              <w:t>大师</w:t>
            </w:r>
            <w:r>
              <w:rPr>
                <w:rFonts w:hint="eastAsia" w:ascii="宋体" w:hAnsi="宋体" w:eastAsia="宋体" w:cs="宋体"/>
                <w:color w:val="auto"/>
                <w:sz w:val="22"/>
                <w:szCs w:val="22"/>
                <w:highlight w:val="none"/>
                <w:lang w:bidi="ar"/>
              </w:rPr>
              <w:t>的宣传片。配合专业特效软件以及剪辑软件制作相关视频内容。</w:t>
            </w:r>
          </w:p>
        </w:tc>
      </w:tr>
      <w:tr w14:paraId="24EC920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728A9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64B15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功放</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3F2C0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六路信号输入（三路话筒输入、二路线路输入、一路紧急输入）</w:t>
            </w:r>
          </w:p>
          <w:p w14:paraId="0C1D848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设有100V、70V定压输出和4~16Ω定阻输出</w:t>
            </w:r>
          </w:p>
          <w:p w14:paraId="72A8CA8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各输入通道音量独立调节</w:t>
            </w:r>
          </w:p>
          <w:p w14:paraId="7AC23AB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高音、低音独立调节</w:t>
            </w:r>
          </w:p>
        </w:tc>
      </w:tr>
      <w:tr w14:paraId="09054A48">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38599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01043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音响</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68DD9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(Input Power)平均功率: 30W</w:t>
            </w:r>
          </w:p>
          <w:p w14:paraId="23BB6BB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Sensitivity(1w@1m)灵敏度:92dB@1m</w:t>
            </w:r>
          </w:p>
          <w:p w14:paraId="7D5CDD1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(Impedance)输入阻抗:8 Ohm</w:t>
            </w:r>
          </w:p>
          <w:p w14:paraId="7D4AD6B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(Freq.Res.)频率响应:90Hz-18KHz±3dB</w:t>
            </w:r>
          </w:p>
        </w:tc>
      </w:tr>
      <w:tr w14:paraId="3917A15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2F50FC">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16A6F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 xml:space="preserve"> 定制玻璃屏展柜（幻影成像设备)</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22743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全息展示柜能让您的产品‘悬浮在空中’，360°无死角展示细节，科技感十足，瞬间吸引顾客驻足，提升品牌高端形象！”</w:t>
            </w:r>
          </w:p>
          <w:p w14:paraId="684DDD5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 技术原理（专业但简洁）</w:t>
            </w:r>
          </w:p>
          <w:p w14:paraId="587EB83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“它采用裸眼3D全息技术，通过光学折射和智能成像系统，将实物或数字内容转化为立体悬浮效果，无需佩戴任何设备，肉眼即可看到逼真的动态展示。”</w:t>
            </w:r>
          </w:p>
          <w:p w14:paraId="2CB45EA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 应用场景（激发需求）</w:t>
            </w:r>
          </w:p>
          <w:p w14:paraId="252D092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零售行业：珠宝、手表、奢侈品等高价商品可悬浮展示细节，减少触摸损耗，同时提升购物体验。</w:t>
            </w:r>
          </w:p>
          <w:p w14:paraId="28450A2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展会/活动：企业新品发布、楼盘沙盘、汽车模型展示，科技感引爆现场关注。</w:t>
            </w:r>
          </w:p>
          <w:p w14:paraId="51A59AA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博物馆/教育：文物、生物结构等立体呈现，让展示更生动直观。</w:t>
            </w:r>
          </w:p>
          <w:p w14:paraId="0C69538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 客户痛点解决方案</w:t>
            </w:r>
          </w:p>
          <w:p w14:paraId="56F84E1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问题：传统展柜平淡无奇，顾客停留时间短。</w:t>
            </w:r>
          </w:p>
          <w:p w14:paraId="17EFF1F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解决：全息视觉冲击力让客流转化率提升30%+（可引用案例数据）。</w:t>
            </w:r>
          </w:p>
          <w:p w14:paraId="4A67AB4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问题：远程客户无法实地体验产品。</w:t>
            </w:r>
          </w:p>
          <w:p w14:paraId="476E165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解决：支持AR/VR联动，扫码即可互动查看，助力线上营销。</w:t>
            </w:r>
          </w:p>
          <w:p w14:paraId="0F04D3E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 产品优势（差异化）</w:t>
            </w:r>
          </w:p>
          <w:p w14:paraId="50C17228">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高定制化：尺寸、形状、内容（视频/3D模型）均可按需定制。</w:t>
            </w:r>
          </w:p>
          <w:p w14:paraId="1BED15A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互动功能：可选配触控屏、手势识别，顾客能旋转、缩放查看产品。</w:t>
            </w:r>
          </w:p>
          <w:p w14:paraId="50DFF81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安装便捷：一体式设计，插电即用，支持远程内容更新。</w:t>
            </w:r>
          </w:p>
        </w:tc>
      </w:tr>
      <w:tr w14:paraId="518580F4">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7B3986">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221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铜雕艺术品数字多媒体</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C397C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运用三维建模方式复刻出铜雕艺术品的造型，360度展示铜雕技艺的精湛已经内涵的艺术价值，配合专业特效软件以及剪辑软件制作相关视频内容。</w:t>
            </w:r>
          </w:p>
        </w:tc>
      </w:tr>
      <w:tr w14:paraId="4815CA3E">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2FAEE5">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99AC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透明柜</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6F188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32寸采用红外触控，内置环绕立体声音箱 ，内置电脑配置：CPU：I5 内存：8G、硬盘：128G固态硬盘，定位精度：≦0.5mm；</w:t>
            </w:r>
          </w:p>
          <w:p w14:paraId="2455283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触摸点数：≧10点；触摸次数：≧1000万次； 触摸寿命：100000小时；防水雾，防尘，防刮，防油污，防爆，防震，耐高温； 机</w:t>
            </w:r>
          </w:p>
          <w:p w14:paraId="404F88A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壳颜色：黑色； 通讯接口：USB方式；驱动：免驱；触控方式：手指；分辨率：1920*1080（75寸及以上为3840X2160）；</w:t>
            </w:r>
          </w:p>
          <w:p w14:paraId="79ED715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亮度：350cd/m²；背光：LED；色彩：16.7M ；对</w:t>
            </w:r>
          </w:p>
        </w:tc>
      </w:tr>
      <w:tr w14:paraId="58546EB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CE8068">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17D0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历史荣光</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BAFBF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通过</w:t>
            </w:r>
            <w:r>
              <w:rPr>
                <w:rFonts w:hint="eastAsia" w:ascii="宋体" w:hAnsi="宋体" w:eastAsia="宋体" w:cs="宋体"/>
                <w:color w:val="auto"/>
                <w:sz w:val="22"/>
                <w:szCs w:val="22"/>
                <w:highlight w:val="none"/>
                <w:lang w:bidi="ar"/>
              </w:rPr>
              <w:t>版块策划、内容梳理、文字提炼</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将</w:t>
            </w:r>
            <w:r>
              <w:rPr>
                <w:rFonts w:hint="eastAsia" w:ascii="宋体" w:hAnsi="宋体" w:eastAsia="宋体" w:cs="宋体"/>
                <w:color w:val="auto"/>
                <w:sz w:val="22"/>
                <w:szCs w:val="22"/>
                <w:highlight w:val="none"/>
                <w:lang w:bidi="ar"/>
              </w:rPr>
              <w:t>内容设计为铜匠世家的历史，讲述其技艺的传承以及发展，通过拍摄以及后期制作等技术手法，呈现铜匠世家的荣光。</w:t>
            </w:r>
          </w:p>
        </w:tc>
      </w:tr>
      <w:tr w14:paraId="4D9DDAE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B2FC11">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300C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43寸一体机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F37EE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尺寸：≥43寸，采用红外触控，内置环绕立体声音箱，内置电脑配置：CPU：I5 内存：4G、硬盘：128G固态硬盘，定位精度：≦ 0.5mm； 触摸点数：≧10点；触摸次数：≧1000万次； 触摸寿命：100000小时；防水雾，防尘，防刮，防油污，防爆，防震，耐</w:t>
            </w:r>
          </w:p>
          <w:p w14:paraId="372901F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高温； 机壳颜色：黑色； 通讯接口：USB方式；驱动：免驱；触控方式：手指；分辨率：1920*1080；亮度：350cd/m²；背</w:t>
            </w:r>
          </w:p>
          <w:p w14:paraId="054D10A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光：LED；色彩：16.7M ；对比度：4500:1；透光率：98%；显示比例：16:9；响应时间：6ms；可扩展3G/4G/Wifi无线网卡；</w:t>
            </w:r>
          </w:p>
          <w:p w14:paraId="38B0E62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支持HDMI输出；功耗：280W；</w:t>
            </w:r>
          </w:p>
        </w:tc>
      </w:tr>
      <w:tr w14:paraId="12992F4D">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FB8E99">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A841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工程投影仪</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CC315B">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高端工程投影机，投影技术3LCD </w:t>
            </w:r>
          </w:p>
          <w:p w14:paraId="6D3C550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亮度≥5000流明</w:t>
            </w:r>
          </w:p>
          <w:p w14:paraId="24511A4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对比度≥2500000:1</w:t>
            </w:r>
          </w:p>
          <w:p w14:paraId="794A34C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标准分辨率WUXGA（1920*1200）</w:t>
            </w:r>
          </w:p>
          <w:p w14:paraId="1AEF5859">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采用免维护激光光源，标准模式寿命≥20000小时</w:t>
            </w:r>
          </w:p>
          <w:p w14:paraId="362BC7F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使用无机荧光轮和无机LCD 晶板</w:t>
            </w:r>
          </w:p>
          <w:p w14:paraId="30661CB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手动聚焦，1.35 倍数字变焦 F=1.60 f=3.7MM</w:t>
            </w:r>
          </w:p>
          <w:p w14:paraId="3AF1F0C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丰富的端口设计，包含HDMI、RGB接口、USB等输入端口，支持HD-BaseT超远距离传输接口, 实现网线高清数字传输。</w:t>
            </w:r>
          </w:p>
          <w:p w14:paraId="06205340">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支持几何校正（水平垂直梯形校正，点校正，弧形校正）</w:t>
            </w:r>
          </w:p>
          <w:p w14:paraId="732DBC4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支持选配原厂无线网卡实现无线投影</w:t>
            </w:r>
          </w:p>
          <w:p w14:paraId="3A99F42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产品重量≥8.5Kg</w:t>
            </w:r>
          </w:p>
          <w:p w14:paraId="4FBB06C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质保要求：整机含光源叁年保修</w:t>
            </w:r>
          </w:p>
        </w:tc>
      </w:tr>
      <w:tr w14:paraId="3F44CFC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7D9F9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1B32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触摸一体机（条屏）</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1FF9B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长度1470mm*445mm,光:LED;色彩:16.7M;对比度:4500:1;透光率:98%;显示比例:16:9;响应时间:6ms;可扩展</w:t>
            </w:r>
          </w:p>
        </w:tc>
      </w:tr>
      <w:tr w14:paraId="7643E7AB">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FA53F2">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154E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互动多媒体展示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85E78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多屏联动程序开发，实现主副屏联动，展示</w:t>
            </w:r>
            <w:r>
              <w:rPr>
                <w:rFonts w:hint="eastAsia" w:ascii="宋体" w:hAnsi="宋体" w:eastAsia="宋体" w:cs="宋体"/>
                <w:color w:val="auto"/>
                <w:sz w:val="22"/>
                <w:szCs w:val="22"/>
                <w:highlight w:val="none"/>
                <w:lang w:val="en-US" w:eastAsia="zh-CN" w:bidi="ar"/>
              </w:rPr>
              <w:t>艺术</w:t>
            </w:r>
            <w:r>
              <w:rPr>
                <w:rFonts w:hint="eastAsia" w:ascii="宋体" w:hAnsi="宋体" w:eastAsia="宋体" w:cs="宋体"/>
                <w:color w:val="auto"/>
                <w:sz w:val="22"/>
                <w:szCs w:val="22"/>
                <w:highlight w:val="none"/>
                <w:lang w:bidi="ar"/>
              </w:rPr>
              <w:t>大师在铜雕各个领域的成就以及荣誉。版块策划、内容梳理、文字提炼、交互规划</w:t>
            </w:r>
          </w:p>
          <w:p w14:paraId="28CE4FB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交互系统界面逻辑规划，系统交互Mockup制作，主版块UI界面设计，次版块界面延伸拓展设计。</w:t>
            </w:r>
          </w:p>
          <w:p w14:paraId="5A5BEE4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交互效果动效设计，制作开发，效果融合录入产品信息情况，及功能说明，便于</w:t>
            </w:r>
            <w:r>
              <w:rPr>
                <w:rFonts w:hint="eastAsia" w:ascii="宋体" w:hAnsi="宋体" w:eastAsia="宋体" w:cs="宋体"/>
                <w:color w:val="auto"/>
                <w:sz w:val="22"/>
                <w:szCs w:val="22"/>
                <w:highlight w:val="none"/>
                <w:lang w:val="en-US" w:eastAsia="zh-CN" w:bidi="ar"/>
              </w:rPr>
              <w:t>参观人员更便捷的查询想知道的内容。</w:t>
            </w:r>
          </w:p>
        </w:tc>
      </w:tr>
      <w:tr w14:paraId="1CA7210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2BCAF7">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4B7C6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24寸落地一体机</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E9E1C2">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尺寸:≥23.8寸，含k型底座，采用电容触控，内置环绕立体声音箱，内置电脑配置:CPU:I5 内存:8G、硬盘:128G固态硬盘，定位精度:≦0.5mm;触摸点数:≧10点;触摸次数:≧1000万次;触摸寿命:100000时;防水雾，防尘，防刮，防油污，防爆，防震，耐高温;机壳颜色:黑色;通讯接口:USB方式;驱动:免驱;触控方式:手指;分辨率:1920*1080;亮度:200cd/m²;背</w:t>
            </w:r>
          </w:p>
          <w:p w14:paraId="06361C0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光:LED;色彩:16.7M;对比度:4500:1;透光率:98%;显示比例:16:9;响应时间:6ms;可扩展</w:t>
            </w:r>
          </w:p>
        </w:tc>
      </w:tr>
      <w:tr w14:paraId="66F0897D">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A80AF0">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A08DE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互动多媒体</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959221">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版块策划、内容梳理、文字提炼、交互规划</w:t>
            </w:r>
          </w:p>
          <w:p w14:paraId="780D3DA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交互系统界面逻辑规划，系统交互Mockup制作，主版块UI界面设计，次版块界面延伸拓展设计。</w:t>
            </w:r>
          </w:p>
          <w:p w14:paraId="2A33D7E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交互效果动效设计，制作开发，效果融合录入</w:t>
            </w:r>
            <w:r>
              <w:rPr>
                <w:rFonts w:hint="eastAsia" w:ascii="宋体" w:hAnsi="宋体" w:eastAsia="宋体" w:cs="宋体"/>
                <w:color w:val="auto"/>
                <w:sz w:val="22"/>
                <w:szCs w:val="22"/>
                <w:highlight w:val="none"/>
                <w:lang w:val="en-US" w:eastAsia="zh-CN" w:bidi="ar"/>
              </w:rPr>
              <w:t>铜雕艺术品</w:t>
            </w:r>
            <w:r>
              <w:rPr>
                <w:rFonts w:hint="eastAsia" w:ascii="宋体" w:hAnsi="宋体" w:eastAsia="宋体" w:cs="宋体"/>
                <w:color w:val="auto"/>
                <w:sz w:val="22"/>
                <w:szCs w:val="22"/>
                <w:highlight w:val="none"/>
                <w:lang w:bidi="ar"/>
              </w:rPr>
              <w:t>信息情况，及功能说明，便于消费者进入查询方便了解到自己想要的产品信息。</w:t>
            </w:r>
          </w:p>
        </w:tc>
      </w:tr>
      <w:tr w14:paraId="29E3D326">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4FE0C9">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68</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100E9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异步播放盒</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128C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1.支持最大65万像素带载能力，1路千兆网口输出</w:t>
            </w:r>
          </w:p>
          <w:p w14:paraId="71EDBF67">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2.最宽4096像素点或最高3840像素点</w:t>
            </w:r>
          </w:p>
          <w:p w14:paraId="3F8FA20B">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3.支持1路独立音频输出</w:t>
            </w:r>
          </w:p>
          <w:p w14:paraId="14238D26">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4.支持云分级管理和多角色节目发布</w:t>
            </w:r>
          </w:p>
          <w:p w14:paraId="26FD86B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5.处理性能强大，支持H.265 4K高清视频硬解码播放</w:t>
            </w:r>
          </w:p>
          <w:p w14:paraId="058D4C7B">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6.支持U盘即插即播，U盘更新播放节目列表</w:t>
            </w:r>
          </w:p>
          <w:p w14:paraId="4824CAEA">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7.支持多节目页播放，最多32个节目页面数量</w:t>
            </w:r>
          </w:p>
          <w:p w14:paraId="3930831E">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8.支持丰富的媒体素材，如图片、视频、文本、时钟等等，支持视频、图片缩放</w:t>
            </w:r>
          </w:p>
          <w:p w14:paraId="5CA6B2E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9.支持多窗口播放和叠加，可自由设定窗口大小和位置</w:t>
            </w:r>
          </w:p>
          <w:p w14:paraId="46C34675">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10.支持多种控制平台的控制，LED精灵，手机、平板电脑APP控制</w:t>
            </w:r>
          </w:p>
          <w:p w14:paraId="288C3EBA">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11.支持WiFi 2.4G频段、WiFi热点模式或WiFi客户端模式</w:t>
            </w:r>
          </w:p>
          <w:p w14:paraId="23BDD42A">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12.支持LAN口控制，支持DHCP模式和静态模式</w:t>
            </w:r>
          </w:p>
          <w:p w14:paraId="28A6A7D0">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13.4G通讯，支持4G网络（选配），GPS定位（选配）</w:t>
            </w:r>
          </w:p>
          <w:p w14:paraId="08EF63FF">
            <w:pPr>
              <w:keepNext w:val="0"/>
              <w:keepLines w:val="0"/>
              <w:widowControl/>
              <w:numPr>
                <w:ilvl w:val="0"/>
                <w:numId w:val="10"/>
              </w:numPr>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提供json，modbus等各种协议接口，可以基于设备做二次开发，也可以基于服务器做二次开发，满足客户二次开发需求；</w:t>
            </w:r>
          </w:p>
          <w:p w14:paraId="22787B13">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15.在线时长统计，通过云服务器，可以查看播放盒指定时段内累计在线时长和关开机次数；</w:t>
            </w:r>
          </w:p>
          <w:p w14:paraId="7BB0FA2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16.支持多台设备画面完全同步；支持远程查看播放内容；</w:t>
            </w:r>
          </w:p>
          <w:p w14:paraId="2B72CD44">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17.网警功能，通过云服务器，实现全部设备一键黑屏功能；</w:t>
            </w:r>
          </w:p>
          <w:p w14:paraId="11CF7E27">
            <w:pPr>
              <w:keepNext w:val="0"/>
              <w:keepLines w:val="0"/>
              <w:widowControl/>
              <w:suppressLineNumbers w:val="0"/>
              <w:spacing w:line="360" w:lineRule="auto"/>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★18.云发布服务器安全可靠，AES加密服务、防网络DDOS攻击、WFA防火墙、HTTPS加密通道；</w:t>
            </w:r>
            <w:r>
              <w:rPr>
                <w:rFonts w:hint="eastAsia" w:ascii="宋体" w:hAnsi="宋体" w:cs="宋体"/>
                <w:i w:val="0"/>
                <w:color w:val="auto"/>
                <w:kern w:val="0"/>
                <w:sz w:val="22"/>
                <w:szCs w:val="22"/>
                <w:highlight w:val="none"/>
                <w:u w:val="none"/>
                <w:lang w:val="en-US" w:eastAsia="zh-CN" w:bidi="ar"/>
              </w:rPr>
              <w:t>需提供第三方有资质的检测机构出具的检测报告复印件</w:t>
            </w:r>
          </w:p>
          <w:p w14:paraId="642147A7">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19.为保证网络数据传输的安全性，云平台控制软件信息系统安全等级保护备案证明</w:t>
            </w:r>
            <w:r>
              <w:rPr>
                <w:rFonts w:hint="eastAsia" w:ascii="宋体" w:hAnsi="宋体" w:cs="宋体"/>
                <w:i w:val="0"/>
                <w:color w:val="auto"/>
                <w:kern w:val="0"/>
                <w:sz w:val="22"/>
                <w:szCs w:val="22"/>
                <w:highlight w:val="none"/>
                <w:u w:val="none"/>
                <w:lang w:val="en-US" w:eastAsia="zh-CN" w:bidi="ar"/>
              </w:rPr>
              <w:t>加</w:t>
            </w:r>
            <w:r>
              <w:rPr>
                <w:rFonts w:hint="eastAsia" w:ascii="宋体" w:hAnsi="宋体" w:eastAsia="宋体" w:cs="宋体"/>
                <w:i w:val="0"/>
                <w:color w:val="auto"/>
                <w:kern w:val="0"/>
                <w:sz w:val="22"/>
                <w:szCs w:val="22"/>
                <w:highlight w:val="none"/>
                <w:u w:val="none"/>
                <w:lang w:val="en-US" w:eastAsia="zh-CN" w:bidi="ar"/>
              </w:rPr>
              <w:t>盖公章</w:t>
            </w:r>
            <w:r>
              <w:rPr>
                <w:rFonts w:hint="eastAsia" w:ascii="宋体" w:hAnsi="宋体" w:cs="宋体"/>
                <w:i w:val="0"/>
                <w:color w:val="auto"/>
                <w:kern w:val="0"/>
                <w:sz w:val="22"/>
                <w:szCs w:val="22"/>
                <w:highlight w:val="none"/>
                <w:u w:val="none"/>
                <w:lang w:val="en-US" w:eastAsia="zh-CN" w:bidi="ar"/>
              </w:rPr>
              <w:t>。</w:t>
            </w:r>
          </w:p>
          <w:p w14:paraId="7064D333">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★20.需提供交通信息情报板联网播放控制</w:t>
            </w:r>
            <w:r>
              <w:rPr>
                <w:rFonts w:hint="eastAsia" w:ascii="宋体" w:hAnsi="宋体" w:cs="宋体"/>
                <w:i w:val="0"/>
                <w:color w:val="auto"/>
                <w:kern w:val="0"/>
                <w:sz w:val="22"/>
                <w:szCs w:val="22"/>
                <w:highlight w:val="none"/>
                <w:u w:val="none"/>
                <w:lang w:val="en-US" w:eastAsia="zh-CN" w:bidi="ar"/>
              </w:rPr>
              <w:t>相关的</w:t>
            </w:r>
            <w:r>
              <w:rPr>
                <w:rFonts w:hint="eastAsia" w:ascii="宋体" w:hAnsi="宋体" w:eastAsia="宋体" w:cs="宋体"/>
                <w:i w:val="0"/>
                <w:color w:val="auto"/>
                <w:kern w:val="0"/>
                <w:sz w:val="22"/>
                <w:szCs w:val="22"/>
                <w:highlight w:val="none"/>
                <w:u w:val="none"/>
                <w:lang w:val="en-US" w:eastAsia="zh-CN" w:bidi="ar"/>
              </w:rPr>
              <w:t>软件著作权证书</w:t>
            </w:r>
            <w:r>
              <w:rPr>
                <w:rFonts w:hint="eastAsia" w:ascii="宋体" w:hAnsi="宋体" w:cs="宋体"/>
                <w:i w:val="0"/>
                <w:color w:val="auto"/>
                <w:kern w:val="0"/>
                <w:sz w:val="22"/>
                <w:szCs w:val="22"/>
                <w:highlight w:val="none"/>
                <w:u w:val="none"/>
                <w:lang w:val="en-US" w:eastAsia="zh-CN" w:bidi="ar"/>
              </w:rPr>
              <w:t>。</w:t>
            </w:r>
          </w:p>
        </w:tc>
      </w:tr>
      <w:tr w14:paraId="5238EAC3">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CDEDB7">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69</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37457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数字内容</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FF6314">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版块策划、内容梳理、文字提炼、交互规划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交互系统界面逻辑规划，系统交互Mockup制作，主版块UI界面设计，次版块界面延伸拓展设计。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交互效果动效设计，制作开发，效果融合录入产品信息情况，及功能说明，便于消费者进入查询方便了解到自己想要的产品信息</w:t>
            </w:r>
          </w:p>
        </w:tc>
      </w:tr>
      <w:tr w14:paraId="68248FA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E87B4A">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70</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40B0C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短焦镜头</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FCD01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定制 焦距f15.6 投射比0.65-0.8</w:t>
            </w:r>
          </w:p>
        </w:tc>
      </w:tr>
      <w:tr w14:paraId="0556A871">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F7151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71</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6751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电脑主机墙面</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AD1FDE">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主板：B560 CPU：I7 10700F 128GDDR4内存  512G固态  A4000显卡 支持上电开机、网络唤醒</w:t>
            </w:r>
          </w:p>
        </w:tc>
      </w:tr>
      <w:tr w14:paraId="6298F93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5CB8F2">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72</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CE9F5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电脑主机地面</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BFEC55">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主板：B560 CPU：I7 10700F 128GDDR4内存  512G固态  P4000显卡 支持上电开机、网络唤醒</w:t>
            </w:r>
          </w:p>
        </w:tc>
      </w:tr>
      <w:tr w14:paraId="18EC4AB7">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24D8BF">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73</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E165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数字内容沉浸式影像系统</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2A508A">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展示铜雕的五千历史发展结合科技手段展示领域</w:t>
            </w:r>
            <w:r>
              <w:rPr>
                <w:rFonts w:hint="eastAsia" w:ascii="宋体" w:hAnsi="宋体" w:eastAsia="宋体" w:cs="宋体"/>
                <w:color w:val="auto"/>
                <w:sz w:val="22"/>
                <w:szCs w:val="22"/>
                <w:highlight w:val="none"/>
                <w:lang w:bidi="ar"/>
              </w:rPr>
              <w:t>。它通过综合运用各种技术手段，如影像、声音、灯光、交互等，营造出一个高度逼真的虚拟环境，让参与者感受到身临其境的沉浸式体验。</w:t>
            </w:r>
          </w:p>
          <w:p w14:paraId="3044FE4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无需佩戴眼镜，也可以达到3D的效果全方位包围的沉浸式观影环境，身临其境，体验效果逼真支持多人同时观影，互动交流、分享快乐、增进感情高端定制影片，带你遨游从未去过的世界</w:t>
            </w:r>
          </w:p>
        </w:tc>
      </w:tr>
      <w:tr w14:paraId="35F0B30D">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4C65E1">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74</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20A2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投影融合技术</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F89197">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1.单通道输出分辨率1920 *1200</w:t>
            </w:r>
          </w:p>
          <w:p w14:paraId="11A20C93">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2.支持对任意通道曲面矫正、边缘融合</w:t>
            </w:r>
          </w:p>
          <w:p w14:paraId="4F665B5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3.支持对任意通道进行颜色调整，解决投影偏色</w:t>
            </w:r>
          </w:p>
          <w:p w14:paraId="279F6CAD">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4.支持多路信号输入，开多窗口</w:t>
            </w:r>
          </w:p>
        </w:tc>
      </w:tr>
      <w:tr w14:paraId="003CC209">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AABB94">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75</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8971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科普视频MG动画</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0BEBF6">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用MG动画形式去介绍铜雕技艺的传承以及技术的发展。120秒视频展示</w:t>
            </w:r>
          </w:p>
        </w:tc>
      </w:tr>
      <w:tr w14:paraId="389E44CA">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5F0559">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76</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6BBD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管理电脑</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54D7C">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I7 10400F H510主板 DDR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8G内存 120G SSD固态硬盘 4G独立显卡</w:t>
            </w:r>
          </w:p>
        </w:tc>
      </w:tr>
      <w:tr w14:paraId="7E4F9E30">
        <w:tblPrEx>
          <w:tblCellMar>
            <w:top w:w="0" w:type="dxa"/>
            <w:left w:w="0" w:type="dxa"/>
            <w:bottom w:w="0" w:type="dxa"/>
            <w:right w:w="0" w:type="dxa"/>
          </w:tblCellMar>
        </w:tblPrEx>
        <w:trPr>
          <w:trHeight w:val="42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1D2F0D">
            <w:pPr>
              <w:keepNext w:val="0"/>
              <w:keepLines w:val="0"/>
              <w:widowControl/>
              <w:suppressLineNumbers w:val="0"/>
              <w:spacing w:line="360" w:lineRule="auto"/>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77</w:t>
            </w:r>
          </w:p>
        </w:tc>
        <w:tc>
          <w:tcPr>
            <w:tcW w:w="13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1974A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键盘鼠标</w:t>
            </w:r>
          </w:p>
        </w:tc>
        <w:tc>
          <w:tcPr>
            <w:tcW w:w="72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73C37F">
            <w:pPr>
              <w:keepNext w:val="0"/>
              <w:keepLines w:val="0"/>
              <w:widowControl/>
              <w:suppressLineNumbers w:val="0"/>
              <w:spacing w:line="360" w:lineRule="auto"/>
              <w:jc w:val="left"/>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无线键盘鼠标套装</w:t>
            </w:r>
          </w:p>
        </w:tc>
      </w:tr>
    </w:tbl>
    <w:p w14:paraId="72B69B00">
      <w:pPr>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、承包方式</w:t>
      </w:r>
    </w:p>
    <w:p w14:paraId="40408853">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本工程承包方式采用包工包料，成交方应按招标文件的要求实行造价、质量、工期、安全、文明施工管理等全面承包方式。 </w:t>
      </w:r>
    </w:p>
    <w:p w14:paraId="4B3E5D3D">
      <w:pPr>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、现场条件和现场踏勘</w:t>
      </w:r>
    </w:p>
    <w:p w14:paraId="0B96FA3E">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（1）现场具备施工条件。</w:t>
      </w:r>
    </w:p>
    <w:p w14:paraId="6A2B9DCA">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应自行对工程现场和周围环境进行踏勘和了解，以获取有关编制投标文件和签署合同所需的各种资料，并应充分考虑影响本报价的因素、预计实施过程中各种不利因素，由此可能发生的费用均由投标供应商考虑并包含在投标报价中。成交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14:paraId="1D09FA2B">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三、工期要求及奖罚措施</w:t>
      </w:r>
    </w:p>
    <w:p w14:paraId="552DB728">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1.工期要求：</w:t>
      </w:r>
      <w:r>
        <w:rPr>
          <w:rFonts w:hint="eastAsia" w:ascii="宋体" w:hAnsi="宋体" w:cs="宋体"/>
          <w:color w:val="auto"/>
          <w:sz w:val="22"/>
          <w:szCs w:val="22"/>
          <w:highlight w:val="none"/>
          <w:lang w:val="en-US" w:eastAsia="zh-CN"/>
        </w:rPr>
        <w:t>120</w:t>
      </w:r>
      <w:r>
        <w:rPr>
          <w:rFonts w:hint="eastAsia" w:ascii="宋体" w:hAnsi="宋体" w:eastAsia="宋体" w:cs="宋体"/>
          <w:color w:val="auto"/>
          <w:sz w:val="22"/>
          <w:szCs w:val="22"/>
          <w:highlight w:val="none"/>
          <w:lang w:val="en-US" w:eastAsia="zh-CN"/>
        </w:rPr>
        <w:t>个日历天内</w:t>
      </w:r>
      <w:r>
        <w:rPr>
          <w:rFonts w:hint="eastAsia" w:ascii="宋体" w:hAnsi="宋体" w:eastAsia="宋体" w:cs="宋体"/>
          <w:color w:val="auto"/>
          <w:sz w:val="22"/>
          <w:szCs w:val="22"/>
          <w:highlight w:val="none"/>
        </w:rPr>
        <w:t>完</w:t>
      </w:r>
      <w:r>
        <w:rPr>
          <w:rFonts w:hint="eastAsia" w:ascii="宋体" w:hAnsi="宋体" w:eastAsia="宋体" w:cs="宋体"/>
          <w:color w:val="auto"/>
          <w:sz w:val="22"/>
          <w:szCs w:val="22"/>
          <w:highlight w:val="none"/>
          <w:lang w:eastAsia="zh-CN"/>
        </w:rPr>
        <w:t>工并通过验收</w:t>
      </w:r>
      <w:r>
        <w:rPr>
          <w:rFonts w:hint="eastAsia" w:ascii="宋体" w:hAnsi="宋体" w:eastAsia="宋体" w:cs="宋体"/>
          <w:color w:val="auto"/>
          <w:sz w:val="22"/>
          <w:szCs w:val="22"/>
          <w:highlight w:val="none"/>
        </w:rPr>
        <w:t>，开工日期以采购人发出通知为准。</w:t>
      </w:r>
    </w:p>
    <w:p w14:paraId="79B50D3D">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中标供应商无正当理由而导致延期，经协商无效,采购人有权追究中标供应商的违约责任。延期违约责任按每延期一天向采购人支付8000元，如果超出合同规定期限15天，则采购人可以终止合同，并有权没收其履约保证金。</w:t>
      </w:r>
    </w:p>
    <w:p w14:paraId="02614603">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3.从开工之日起5天没有进场施工的，视成交方自动放弃，采购人有权没收其履约保证金并上报监管处处罚。</w:t>
      </w:r>
    </w:p>
    <w:p w14:paraId="117C97D0">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四、质量</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保修</w:t>
      </w:r>
      <w:r>
        <w:rPr>
          <w:rFonts w:hint="eastAsia" w:ascii="宋体" w:hAnsi="宋体" w:cs="宋体"/>
          <w:b/>
          <w:bCs/>
          <w:color w:val="auto"/>
          <w:sz w:val="24"/>
          <w:highlight w:val="none"/>
          <w:lang w:eastAsia="zh-CN"/>
        </w:rPr>
        <w:t>及售后</w:t>
      </w:r>
      <w:r>
        <w:rPr>
          <w:rFonts w:hint="eastAsia" w:ascii="宋体" w:hAnsi="宋体" w:eastAsia="宋体" w:cs="宋体"/>
          <w:b/>
          <w:bCs/>
          <w:color w:val="auto"/>
          <w:sz w:val="24"/>
          <w:highlight w:val="none"/>
        </w:rPr>
        <w:t>要求</w:t>
      </w:r>
    </w:p>
    <w:p w14:paraId="009BD744">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1.中标单位必须严格按照有关现行施工规范精心组织施工，严格把好各道施工工序的质量关，杜绝工程质量事故。</w:t>
      </w:r>
    </w:p>
    <w:p w14:paraId="3F3F9D4A">
      <w:pPr>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2.质量保修期</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年，从工程竣工验收合格之日起计算。</w:t>
      </w:r>
    </w:p>
    <w:p w14:paraId="69AD86A2">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3.保修要求</w:t>
      </w:r>
    </w:p>
    <w:p w14:paraId="13BE3318">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应与采购人签订工程质量保修书，乙方在质量保修期内，按照有关法律、法规、规章的管理规定和双方约定，承担本工程质量保修责任。成交供应商要对其所提供的施工、材料、设备及其内在工程质量负全部责任。</w:t>
      </w:r>
    </w:p>
    <w:p w14:paraId="0338C62C">
      <w:pPr>
        <w:pStyle w:val="11"/>
        <w:adjustRightInd w:val="0"/>
        <w:snapToGrid w:val="0"/>
        <w:spacing w:line="460" w:lineRule="atLeast"/>
        <w:ind w:firstLine="480"/>
        <w:rPr>
          <w:rFonts w:hint="eastAsia" w:ascii="宋体" w:hAnsi="宋体" w:eastAsia="宋体" w:cs="宋体"/>
          <w:color w:val="auto"/>
          <w:sz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highlight w:val="none"/>
          <w:lang w:val="en-US" w:eastAsia="zh-CN"/>
        </w:rPr>
        <w:t>售后服务</w:t>
      </w:r>
    </w:p>
    <w:p w14:paraId="42C2AF6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0A3A40B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cs="宋体"/>
          <w:b/>
          <w:bCs/>
          <w:color w:val="auto"/>
          <w:kern w:val="2"/>
          <w:sz w:val="22"/>
          <w:szCs w:val="22"/>
          <w:highlight w:val="none"/>
          <w:lang w:val="en-US" w:eastAsia="zh-CN"/>
        </w:rPr>
        <w:t>5</w:t>
      </w:r>
      <w:r>
        <w:rPr>
          <w:rFonts w:hint="eastAsia" w:ascii="宋体" w:hAnsi="宋体" w:eastAsia="宋体" w:cs="宋体"/>
          <w:b/>
          <w:bCs/>
          <w:color w:val="auto"/>
          <w:kern w:val="2"/>
          <w:sz w:val="22"/>
          <w:szCs w:val="22"/>
          <w:highlight w:val="none"/>
          <w:lang w:val="en-US" w:eastAsia="zh-CN"/>
        </w:rPr>
        <w:t>、培训：</w:t>
      </w:r>
    </w:p>
    <w:p w14:paraId="1B378DF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.1 供应商应对用户的维修人员提供培训，使其能对设备进行日常的维护保养及能对一般故障进行维修，并向培训人员提供维修图纸及维修手册、维修密码及软件备份。</w:t>
      </w:r>
    </w:p>
    <w:p w14:paraId="77E5BFB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.2 供应商应对用户的操作人员进行操作培训，使其能对设备进行熟练的操作。</w:t>
      </w:r>
    </w:p>
    <w:p w14:paraId="47BE147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.3 上述二种培训的培训方式、地点、人员及费用（包含在投标</w:t>
      </w:r>
      <w:r>
        <w:rPr>
          <w:rFonts w:hint="eastAsia" w:ascii="宋体" w:hAnsi="宋体" w:cs="宋体"/>
          <w:color w:val="auto"/>
          <w:kern w:val="2"/>
          <w:sz w:val="22"/>
          <w:szCs w:val="22"/>
          <w:highlight w:val="none"/>
          <w:lang w:val="en-US" w:eastAsia="zh-CN"/>
        </w:rPr>
        <w:t>报价</w:t>
      </w:r>
      <w:r>
        <w:rPr>
          <w:rFonts w:hint="eastAsia" w:ascii="宋体" w:hAnsi="宋体" w:eastAsia="宋体" w:cs="宋体"/>
          <w:color w:val="auto"/>
          <w:kern w:val="2"/>
          <w:sz w:val="22"/>
          <w:szCs w:val="22"/>
          <w:highlight w:val="none"/>
          <w:lang w:val="en-US" w:eastAsia="zh-CN"/>
        </w:rPr>
        <w:t>中）投标人应在投标文件中详细说明。</w:t>
      </w:r>
    </w:p>
    <w:p w14:paraId="6B3B9E6C">
      <w:pPr>
        <w:pStyle w:val="11"/>
        <w:adjustRightInd w:val="0"/>
        <w:snapToGrid w:val="0"/>
        <w:spacing w:line="460" w:lineRule="atLeast"/>
        <w:ind w:firstLine="480"/>
        <w:rPr>
          <w:rFonts w:hint="eastAsia" w:ascii="宋体" w:hAnsi="宋体" w:eastAsia="宋体" w:cs="宋体"/>
          <w:color w:val="auto"/>
          <w:highlight w:val="none"/>
        </w:rPr>
      </w:pPr>
      <w:r>
        <w:rPr>
          <w:rFonts w:hint="eastAsia" w:hAnsi="宋体" w:cs="宋体"/>
          <w:color w:val="auto"/>
          <w:sz w:val="22"/>
          <w:highlight w:val="none"/>
          <w:lang w:val="en-US" w:eastAsia="zh-CN"/>
        </w:rPr>
        <w:t xml:space="preserve">5.4 </w:t>
      </w:r>
      <w:r>
        <w:rPr>
          <w:rFonts w:hint="eastAsia" w:ascii="宋体" w:hAnsi="宋体" w:eastAsia="宋体" w:cs="宋体"/>
          <w:color w:val="auto"/>
          <w:sz w:val="22"/>
          <w:highlight w:val="none"/>
        </w:rPr>
        <w:t>供应商在</w:t>
      </w:r>
      <w:r>
        <w:rPr>
          <w:rFonts w:hint="eastAsia" w:ascii="宋体" w:hAnsi="宋体" w:eastAsia="宋体" w:cs="宋体"/>
          <w:color w:val="auto"/>
          <w:sz w:val="22"/>
          <w:highlight w:val="none"/>
          <w:lang w:eastAsia="zh-CN"/>
        </w:rPr>
        <w:t>投标</w:t>
      </w:r>
      <w:r>
        <w:rPr>
          <w:rFonts w:hint="eastAsia" w:ascii="宋体" w:hAnsi="宋体" w:eastAsia="宋体" w:cs="宋体"/>
          <w:color w:val="auto"/>
          <w:sz w:val="22"/>
          <w:highlight w:val="none"/>
        </w:rPr>
        <w:t>文件中须说明</w:t>
      </w:r>
      <w:r>
        <w:rPr>
          <w:rFonts w:hint="eastAsia" w:ascii="宋体" w:hAnsi="宋体" w:eastAsia="宋体" w:cs="宋体"/>
          <w:color w:val="auto"/>
          <w:sz w:val="22"/>
          <w:highlight w:val="none"/>
          <w:lang w:eastAsia="zh-CN"/>
        </w:rPr>
        <w:t>质</w:t>
      </w:r>
      <w:r>
        <w:rPr>
          <w:rFonts w:hint="eastAsia" w:ascii="宋体" w:hAnsi="宋体" w:eastAsia="宋体" w:cs="宋体"/>
          <w:color w:val="auto"/>
          <w:sz w:val="22"/>
          <w:highlight w:val="none"/>
        </w:rPr>
        <w:t>保期内提供的服务计划。</w:t>
      </w:r>
    </w:p>
    <w:p w14:paraId="792054DC">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五、材料的供应方式及要求</w:t>
      </w:r>
    </w:p>
    <w:p w14:paraId="5DA45BC6">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1.工程所需材料必须符合国家标准，供应商负责采购，采购前提供样品并经采购方确定。</w:t>
      </w:r>
    </w:p>
    <w:p w14:paraId="43EEB7DF">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2.材料须响应本招标文件要求并详细编制各项主要用材的清单及说明。</w:t>
      </w:r>
    </w:p>
    <w:p w14:paraId="1D3E9D69">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3.材料进场需报验，不合格材料不得进入施工现场。如果出现原材料检验不合格的情况，所有责任由施工单位自行承担，并及时更换为符合要求的材料。</w:t>
      </w:r>
    </w:p>
    <w:p w14:paraId="52C5A510">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六、工程报价</w:t>
      </w:r>
    </w:p>
    <w:p w14:paraId="7648D662">
      <w:pPr>
        <w:snapToGrid w:val="0"/>
        <w:spacing w:line="460" w:lineRule="atLeas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Ansi="宋体" w:eastAsia="宋体"/>
          <w:b/>
          <w:bCs/>
          <w:color w:val="auto"/>
          <w:kern w:val="2"/>
          <w:sz w:val="22"/>
          <w:szCs w:val="24"/>
          <w:highlight w:val="none"/>
        </w:rPr>
        <w:t>本项目结算方式为按实结算，</w:t>
      </w:r>
      <w:r>
        <w:rPr>
          <w:rFonts w:hint="eastAsia" w:ascii="宋体" w:hAnsi="宋体" w:eastAsia="宋体" w:cs="宋体"/>
          <w:b/>
          <w:bCs/>
          <w:color w:val="auto"/>
          <w:sz w:val="22"/>
          <w:szCs w:val="22"/>
          <w:highlight w:val="none"/>
        </w:rPr>
        <w:t>报价采用</w:t>
      </w:r>
      <w:r>
        <w:rPr>
          <w:rFonts w:hint="eastAsia" w:ascii="宋体" w:hAnsi="宋体" w:eastAsia="宋体" w:cs="宋体"/>
          <w:b/>
          <w:bCs/>
          <w:color w:val="auto"/>
          <w:sz w:val="22"/>
          <w:szCs w:val="22"/>
          <w:highlight w:val="none"/>
          <w:lang w:eastAsia="zh-CN"/>
        </w:rPr>
        <w:t>单价</w:t>
      </w:r>
      <w:r>
        <w:rPr>
          <w:rFonts w:hint="eastAsia" w:ascii="宋体" w:hAnsi="宋体" w:eastAsia="宋体" w:cs="宋体"/>
          <w:b/>
          <w:bCs/>
          <w:color w:val="auto"/>
          <w:sz w:val="22"/>
          <w:szCs w:val="22"/>
          <w:highlight w:val="none"/>
          <w:lang w:val="en-US" w:eastAsia="zh-CN"/>
        </w:rPr>
        <w:t>统一折扣率报价总价不折扣的方式</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最终根据各项综合单价、工程量及其所对应的中标折扣率折扣后的单价进行结算。结算单价=综合单价*中标折扣率，</w:t>
      </w:r>
      <w:r>
        <w:rPr>
          <w:rFonts w:hint="eastAsia" w:ascii="宋体" w:hAnsi="宋体" w:eastAsia="宋体" w:cs="宋体"/>
          <w:b/>
          <w:bCs/>
          <w:color w:val="auto"/>
          <w:sz w:val="22"/>
          <w:szCs w:val="22"/>
          <w:highlight w:val="none"/>
        </w:rPr>
        <w:t>中标折扣率作为今后结算的依据。</w:t>
      </w:r>
    </w:p>
    <w:p w14:paraId="3464CB07">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color w:val="auto"/>
          <w:sz w:val="22"/>
          <w:szCs w:val="22"/>
          <w:highlight w:val="none"/>
        </w:rPr>
        <w:t>税收按实际结算，以发票为准，但不能超过清单要求的税率。</w:t>
      </w:r>
    </w:p>
    <w:p w14:paraId="248BE6EA">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.清单未描述，但规范有要求的，投标单位不得另外收取相关费用。</w:t>
      </w:r>
    </w:p>
    <w:p w14:paraId="494073B3">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.本项目工程水电费由中标方承担。</w:t>
      </w:r>
    </w:p>
    <w:p w14:paraId="32EFE90C">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.施工过程中施工单位应保护好公共设施，投标单位需在报价中考虑。</w:t>
      </w:r>
    </w:p>
    <w:p w14:paraId="186EB1DF">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.招标控制价见相关电子稿。</w:t>
      </w:r>
    </w:p>
    <w:p w14:paraId="1701F787">
      <w:pPr>
        <w:snapToGrid w:val="0"/>
        <w:spacing w:line="460" w:lineRule="atLeas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7.清单中缺项的内容，涉及的设备类按市场（询价）价格结合中标折扣率给予结算。询价时，选取至少3家进行报价，选取报价最低的供应商作为该设备的最高限价。</w:t>
      </w:r>
    </w:p>
    <w:p w14:paraId="7C6A2CF7">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清单中缺项内容，由成交供应商上报经采购人确认，按计量规范、计价规范、最新预算定额、取费定额及平阳县施工当月信息价（缺陷部分可参照同期温州、浙江省信息价）完成组价后结合中标折扣率予以下浮。</w:t>
      </w:r>
    </w:p>
    <w:p w14:paraId="0989FAB6">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七、付款方式：</w:t>
      </w:r>
    </w:p>
    <w:p w14:paraId="382E02CC">
      <w:pPr>
        <w:pStyle w:val="11"/>
        <w:adjustRightInd w:val="0"/>
        <w:snapToGrid w:val="0"/>
        <w:spacing w:line="440" w:lineRule="atLeas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7.1.履约保证金的收取：合同总价的</w:t>
      </w:r>
      <w:r>
        <w:rPr>
          <w:rFonts w:hint="eastAsia"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％；履约保证金形式：银行汇票（电汇）、网银</w:t>
      </w:r>
      <w:r>
        <w:rPr>
          <w:rFonts w:hint="eastAsia" w:hAnsi="宋体" w:eastAsia="宋体" w:cs="宋体"/>
          <w:b/>
          <w:bCs/>
          <w:color w:val="auto"/>
          <w:sz w:val="22"/>
          <w:szCs w:val="22"/>
          <w:highlight w:val="none"/>
          <w:lang w:eastAsia="zh-CN"/>
        </w:rPr>
        <w:t>、</w:t>
      </w:r>
      <w:r>
        <w:rPr>
          <w:rFonts w:hint="eastAsia" w:hAnsi="宋体" w:eastAsia="宋体" w:cs="宋体"/>
          <w:b/>
          <w:bCs/>
          <w:color w:val="auto"/>
          <w:sz w:val="22"/>
          <w:szCs w:val="22"/>
          <w:highlight w:val="none"/>
          <w:lang w:val="en-US" w:eastAsia="zh-CN"/>
        </w:rPr>
        <w:t>履约保函等</w:t>
      </w:r>
      <w:r>
        <w:rPr>
          <w:rFonts w:hint="eastAsia" w:ascii="宋体" w:hAnsi="宋体" w:eastAsia="宋体" w:cs="宋体"/>
          <w:b/>
          <w:bCs/>
          <w:color w:val="auto"/>
          <w:sz w:val="22"/>
          <w:szCs w:val="22"/>
          <w:highlight w:val="none"/>
        </w:rPr>
        <w:t>形式。在签订合同后7个工作日内支付给采购人。如成交供应商</w:t>
      </w:r>
      <w:r>
        <w:rPr>
          <w:rFonts w:hint="eastAsia" w:ascii="宋体" w:hAnsi="宋体" w:eastAsia="宋体" w:cs="宋体"/>
          <w:b/>
          <w:bCs/>
          <w:color w:val="auto"/>
          <w:sz w:val="22"/>
          <w:szCs w:val="22"/>
          <w:highlight w:val="none"/>
          <w:lang w:eastAsia="zh-CN"/>
        </w:rPr>
        <w:t>的原因</w:t>
      </w:r>
      <w:r>
        <w:rPr>
          <w:rFonts w:hint="eastAsia" w:ascii="宋体" w:hAnsi="宋体" w:eastAsia="宋体" w:cs="宋体"/>
          <w:b/>
          <w:bCs/>
          <w:color w:val="auto"/>
          <w:sz w:val="22"/>
          <w:szCs w:val="22"/>
          <w:highlight w:val="none"/>
        </w:rPr>
        <w:t>不能按承诺和合同要</w:t>
      </w:r>
      <w:r>
        <w:rPr>
          <w:rFonts w:hint="eastAsia" w:ascii="宋体" w:hAnsi="宋体" w:eastAsia="宋体" w:cs="宋体"/>
          <w:b/>
          <w:bCs/>
          <w:color w:val="auto"/>
          <w:sz w:val="22"/>
          <w:szCs w:val="22"/>
          <w:highlight w:val="none"/>
          <w:lang w:eastAsia="zh-CN"/>
        </w:rPr>
        <w:t>求履约，采购人将有权扣除</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或不予退还</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w:t>
      </w:r>
    </w:p>
    <w:p w14:paraId="74FD6F5E">
      <w:pPr>
        <w:pStyle w:val="11"/>
        <w:adjustRightInd w:val="0"/>
        <w:snapToGrid w:val="0"/>
        <w:spacing w:line="46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7.2.履约保证金的退取：项目</w:t>
      </w:r>
      <w:r>
        <w:rPr>
          <w:rFonts w:hint="eastAsia" w:ascii="宋体" w:hAnsi="宋体" w:eastAsia="宋体" w:cs="宋体"/>
          <w:b/>
          <w:bCs/>
          <w:color w:val="auto"/>
          <w:sz w:val="22"/>
          <w:szCs w:val="22"/>
          <w:highlight w:val="none"/>
          <w:lang w:val="zh-CN"/>
        </w:rPr>
        <w:t>通过竣工验收合格后</w:t>
      </w:r>
      <w:r>
        <w:rPr>
          <w:rFonts w:hint="eastAsia" w:hAnsi="宋体" w:eastAsia="宋体" w:cs="宋体"/>
          <w:b/>
          <w:bCs/>
          <w:color w:val="auto"/>
          <w:sz w:val="22"/>
          <w:szCs w:val="22"/>
          <w:highlight w:val="none"/>
          <w:lang w:val="en-US" w:eastAsia="zh-CN"/>
        </w:rPr>
        <w:t>无息退回</w:t>
      </w:r>
      <w:r>
        <w:rPr>
          <w:rFonts w:hint="eastAsia" w:ascii="宋体" w:hAnsi="宋体" w:eastAsia="宋体" w:cs="宋体"/>
          <w:b/>
          <w:bCs/>
          <w:color w:val="auto"/>
          <w:sz w:val="22"/>
          <w:szCs w:val="22"/>
          <w:highlight w:val="none"/>
        </w:rPr>
        <w:t>履约保证金</w:t>
      </w:r>
      <w:r>
        <w:rPr>
          <w:rFonts w:hint="eastAsia" w:hAnsi="宋体" w:eastAsia="宋体" w:cs="宋体"/>
          <w:b/>
          <w:bCs/>
          <w:color w:val="auto"/>
          <w:sz w:val="22"/>
          <w:szCs w:val="22"/>
          <w:highlight w:val="none"/>
          <w:lang w:val="zh-CN"/>
        </w:rPr>
        <w:t>。</w:t>
      </w:r>
    </w:p>
    <w:p w14:paraId="4CBB5144">
      <w:pPr>
        <w:adjustRightInd w:val="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rPr>
        <w:t>7.3.预付款：</w:t>
      </w:r>
      <w:r>
        <w:rPr>
          <w:rFonts w:hint="eastAsia" w:ascii="宋体" w:hAnsi="宋体" w:eastAsia="宋体" w:cs="宋体"/>
          <w:bCs/>
          <w:color w:val="auto"/>
          <w:sz w:val="22"/>
          <w:szCs w:val="22"/>
          <w:highlight w:val="none"/>
          <w:u w:val="single"/>
        </w:rPr>
        <w:t>在合同签订后，且中标供应商投标文件中承诺的人员、机械设备、车辆、材料投入等均配备到位后的7个工作日内，</w:t>
      </w:r>
      <w:r>
        <w:rPr>
          <w:rFonts w:hint="eastAsia" w:ascii="宋体" w:hAnsi="宋体" w:eastAsia="宋体" w:cs="宋体"/>
          <w:bCs/>
          <w:color w:val="auto"/>
          <w:sz w:val="22"/>
          <w:szCs w:val="22"/>
          <w:highlight w:val="none"/>
        </w:rPr>
        <w:t>采购人向供应商支付合同价的</w:t>
      </w:r>
      <w:r>
        <w:rPr>
          <w:rFonts w:hint="eastAsia" w:ascii="宋体" w:hAnsi="宋体" w:cs="宋体"/>
          <w:bCs/>
          <w:color w:val="auto"/>
          <w:sz w:val="22"/>
          <w:szCs w:val="22"/>
          <w:highlight w:val="none"/>
          <w:lang w:val="en-US" w:eastAsia="zh-CN"/>
        </w:rPr>
        <w:t>40</w:t>
      </w:r>
      <w:r>
        <w:rPr>
          <w:rFonts w:hint="eastAsia" w:ascii="宋体" w:hAnsi="宋体" w:eastAsia="宋体" w:cs="宋体"/>
          <w:bCs/>
          <w:color w:val="auto"/>
          <w:sz w:val="22"/>
          <w:szCs w:val="22"/>
          <w:highlight w:val="none"/>
        </w:rPr>
        <w:t>%作为预付款</w:t>
      </w:r>
      <w:r>
        <w:rPr>
          <w:rFonts w:hint="eastAsia" w:ascii="宋体" w:hAnsi="宋体" w:eastAsia="宋体" w:cs="Times New Roman"/>
          <w:b w:val="0"/>
          <w:bCs w:val="0"/>
          <w:snapToGrid w:val="0"/>
          <w:color w:val="auto"/>
          <w:sz w:val="22"/>
          <w:szCs w:val="22"/>
          <w:highlight w:val="none"/>
          <w:lang w:val="en-US" w:eastAsia="zh-CN"/>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4230B70C">
      <w:pPr>
        <w:pStyle w:val="11"/>
        <w:adjustRightInd w:val="0"/>
        <w:snapToGrid w:val="0"/>
        <w:spacing w:line="460" w:lineRule="atLeast"/>
        <w:ind w:firstLine="480"/>
        <w:rPr>
          <w:rFonts w:hint="eastAsia" w:ascii="宋体" w:hAnsi="宋体" w:eastAsia="宋体" w:cs="宋体"/>
          <w:color w:val="auto"/>
          <w:sz w:val="22"/>
          <w:highlight w:val="none"/>
          <w:lang w:eastAsia="zh-CN"/>
        </w:rPr>
      </w:pPr>
      <w:r>
        <w:rPr>
          <w:rFonts w:hint="eastAsia" w:ascii="宋体" w:hAnsi="宋体" w:eastAsia="宋体" w:cs="宋体"/>
          <w:b/>
          <w:bCs/>
          <w:color w:val="auto"/>
          <w:sz w:val="22"/>
          <w:highlight w:val="none"/>
        </w:rPr>
        <w:t>7.4.付款方式：</w:t>
      </w:r>
      <w:r>
        <w:rPr>
          <w:rFonts w:hint="eastAsia" w:ascii="宋体" w:hAnsi="宋体" w:eastAsia="宋体" w:cs="宋体"/>
          <w:color w:val="auto"/>
          <w:sz w:val="22"/>
          <w:highlight w:val="none"/>
        </w:rPr>
        <w:t>待完工并验收合格后，付至</w:t>
      </w:r>
      <w:r>
        <w:rPr>
          <w:rFonts w:hint="eastAsia" w:ascii="宋体" w:hAnsi="宋体" w:eastAsia="宋体" w:cs="宋体"/>
          <w:color w:val="auto"/>
          <w:sz w:val="22"/>
          <w:highlight w:val="none"/>
          <w:lang w:eastAsia="zh-CN"/>
        </w:rPr>
        <w:t>已核工程量</w:t>
      </w:r>
      <w:r>
        <w:rPr>
          <w:rFonts w:hint="eastAsia" w:ascii="宋体" w:hAnsi="宋体" w:eastAsia="宋体" w:cs="宋体"/>
          <w:color w:val="auto"/>
          <w:sz w:val="22"/>
          <w:highlight w:val="none"/>
        </w:rPr>
        <w:t>的80%（含预付款）；结算经有资质的造价机构审定并出具</w:t>
      </w:r>
      <w:r>
        <w:rPr>
          <w:rFonts w:hint="eastAsia" w:ascii="宋体" w:hAnsi="宋体" w:eastAsia="宋体" w:cs="宋体"/>
          <w:color w:val="auto"/>
          <w:sz w:val="22"/>
          <w:highlight w:val="none"/>
          <w:lang w:eastAsia="zh-CN"/>
        </w:rPr>
        <w:t>结算审核</w:t>
      </w:r>
      <w:r>
        <w:rPr>
          <w:rFonts w:hint="eastAsia" w:ascii="宋体" w:hAnsi="宋体" w:eastAsia="宋体" w:cs="宋体"/>
          <w:color w:val="auto"/>
          <w:sz w:val="22"/>
          <w:highlight w:val="none"/>
        </w:rPr>
        <w:t>报告后，付至</w:t>
      </w:r>
      <w:r>
        <w:rPr>
          <w:rFonts w:hint="eastAsia" w:ascii="宋体" w:hAnsi="宋体" w:eastAsia="宋体" w:cs="宋体"/>
          <w:color w:val="auto"/>
          <w:sz w:val="22"/>
          <w:highlight w:val="none"/>
          <w:lang w:eastAsia="zh-CN"/>
        </w:rPr>
        <w:t>结算审核报告</w:t>
      </w:r>
      <w:r>
        <w:rPr>
          <w:rFonts w:hint="eastAsia" w:ascii="宋体" w:hAnsi="宋体" w:eastAsia="宋体" w:cs="宋体"/>
          <w:color w:val="auto"/>
          <w:sz w:val="22"/>
          <w:highlight w:val="none"/>
        </w:rPr>
        <w:t>价款的</w:t>
      </w:r>
      <w:r>
        <w:rPr>
          <w:rFonts w:hint="eastAsia" w:ascii="宋体" w:hAnsi="宋体" w:eastAsia="宋体" w:cs="宋体"/>
          <w:color w:val="auto"/>
          <w:sz w:val="22"/>
          <w:highlight w:val="none"/>
          <w:lang w:val="en-US" w:eastAsia="zh-CN"/>
        </w:rPr>
        <w:t>97.5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剩余2.5%为质量保证金，在质保期内如出现质量问题整改不到位，质量保证金予以扣除或不予退还，</w:t>
      </w:r>
      <w:r>
        <w:rPr>
          <w:rFonts w:hint="eastAsia" w:ascii="宋体" w:hAnsi="宋体" w:eastAsia="宋体" w:cs="宋体"/>
          <w:color w:val="auto"/>
          <w:sz w:val="22"/>
          <w:highlight w:val="none"/>
          <w:lang w:val="zh-CN" w:eastAsia="zh-CN"/>
        </w:rPr>
        <w:t>待质保期满</w:t>
      </w:r>
      <w:r>
        <w:rPr>
          <w:rFonts w:hint="eastAsia" w:hAnsi="宋体" w:cs="宋体"/>
          <w:color w:val="auto"/>
          <w:sz w:val="22"/>
          <w:highlight w:val="none"/>
          <w:lang w:val="en-US" w:eastAsia="zh-CN"/>
        </w:rPr>
        <w:t>2年</w:t>
      </w:r>
      <w:r>
        <w:rPr>
          <w:rFonts w:hint="eastAsia" w:ascii="宋体" w:hAnsi="宋体" w:eastAsia="宋体" w:cs="宋体"/>
          <w:color w:val="auto"/>
          <w:sz w:val="22"/>
          <w:highlight w:val="none"/>
          <w:lang w:val="en-US" w:eastAsia="zh-CN"/>
        </w:rPr>
        <w:t>后无质量问题无息退还。</w:t>
      </w:r>
    </w:p>
    <w:p w14:paraId="43A7AB60">
      <w:pPr>
        <w:pStyle w:val="11"/>
        <w:adjustRightInd w:val="0"/>
        <w:snapToGrid w:val="0"/>
        <w:spacing w:line="460" w:lineRule="atLeas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val="en-US" w:eastAsia="zh-CN"/>
        </w:rPr>
        <w:t>7.5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施工地点</w:t>
      </w:r>
    </w:p>
    <w:p w14:paraId="5339FD42">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7.5</w:t>
      </w:r>
      <w:r>
        <w:rPr>
          <w:rFonts w:hint="eastAsia" w:ascii="宋体" w:hAnsi="宋体" w:eastAsia="宋体" w:cs="宋体"/>
          <w:color w:val="auto"/>
          <w:sz w:val="22"/>
          <w:highlight w:val="none"/>
        </w:rPr>
        <w:t>.1.地点：按采购单位要求。</w:t>
      </w:r>
    </w:p>
    <w:p w14:paraId="263F3AD6">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7.5</w:t>
      </w:r>
      <w:r>
        <w:rPr>
          <w:rFonts w:hint="eastAsia" w:ascii="宋体" w:hAnsi="宋体" w:eastAsia="宋体" w:cs="宋体"/>
          <w:color w:val="auto"/>
          <w:sz w:val="22"/>
          <w:highlight w:val="none"/>
        </w:rPr>
        <w:t>.2.质量标准：符合我国国家有关技术规范要求和技术标准。</w:t>
      </w:r>
    </w:p>
    <w:p w14:paraId="3653EBF0">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7.5</w:t>
      </w:r>
      <w:r>
        <w:rPr>
          <w:rFonts w:hint="eastAsia" w:ascii="宋体" w:hAnsi="宋体" w:eastAsia="宋体" w:cs="宋体"/>
          <w:color w:val="auto"/>
          <w:sz w:val="22"/>
          <w:highlight w:val="none"/>
        </w:rPr>
        <w:t>.3. 本项目包括供货、供就位与安装</w:t>
      </w:r>
      <w:r>
        <w:rPr>
          <w:rFonts w:hint="eastAsia" w:ascii="宋体" w:hAnsi="宋体" w:eastAsia="宋体" w:cs="宋体"/>
          <w:color w:val="auto"/>
          <w:sz w:val="22"/>
          <w:highlight w:val="none"/>
          <w:lang w:eastAsia="zh-CN"/>
        </w:rPr>
        <w:t>、装修</w:t>
      </w:r>
      <w:r>
        <w:rPr>
          <w:rFonts w:hint="eastAsia" w:ascii="宋体" w:hAnsi="宋体" w:eastAsia="宋体" w:cs="宋体"/>
          <w:color w:val="auto"/>
          <w:sz w:val="22"/>
          <w:highlight w:val="none"/>
        </w:rPr>
        <w:t>等。安装期间中标供应商须派技术人员提供安装及技术服务，送货、安装过程中发生的费用由中标供应商负责。</w:t>
      </w:r>
    </w:p>
    <w:p w14:paraId="07F1E484">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7.5</w:t>
      </w:r>
      <w:r>
        <w:rPr>
          <w:rFonts w:hint="eastAsia" w:ascii="宋体" w:hAnsi="宋体" w:eastAsia="宋体" w:cs="宋体"/>
          <w:color w:val="auto"/>
          <w:sz w:val="22"/>
          <w:highlight w:val="none"/>
        </w:rPr>
        <w:t>.4.供应商应在投标文件中提出其送货安装过程中</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需配合的内容。</w:t>
      </w:r>
    </w:p>
    <w:p w14:paraId="3577910E">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7.6</w:t>
      </w:r>
      <w:r>
        <w:rPr>
          <w:rFonts w:hint="eastAsia" w:ascii="宋体" w:hAnsi="宋体" w:eastAsia="宋体" w:cs="宋体"/>
          <w:color w:val="auto"/>
          <w:sz w:val="22"/>
          <w:highlight w:val="none"/>
        </w:rPr>
        <w:t>、验收</w:t>
      </w:r>
    </w:p>
    <w:p w14:paraId="4E04520D">
      <w:pPr>
        <w:pStyle w:val="1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中标供应商已按合同规定提供了符合招标文件规定的要求的货物及服务，并经采购人（采购人也可委托</w:t>
      </w:r>
      <w:r>
        <w:rPr>
          <w:rFonts w:hint="eastAsia" w:ascii="宋体" w:hAnsi="宋体" w:eastAsia="宋体" w:cs="宋体"/>
          <w:color w:val="auto"/>
          <w:sz w:val="22"/>
          <w:highlight w:val="none"/>
          <w:lang w:eastAsia="zh-CN"/>
        </w:rPr>
        <w:t>第三方</w:t>
      </w:r>
      <w:r>
        <w:rPr>
          <w:rFonts w:hint="eastAsia" w:ascii="宋体" w:hAnsi="宋体" w:eastAsia="宋体" w:cs="宋体"/>
          <w:color w:val="auto"/>
          <w:sz w:val="22"/>
          <w:highlight w:val="none"/>
        </w:rPr>
        <w:t>进行检验）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14:paraId="106EEE92">
      <w:pPr>
        <w:snapToGrid w:val="0"/>
        <w:spacing w:line="40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、其它要求</w:t>
      </w:r>
    </w:p>
    <w:p w14:paraId="4E0E271F">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材料进场和隐蔽工程等必须进行报验，采购方同意后方可进行下一道工序。</w:t>
      </w:r>
    </w:p>
    <w:p w14:paraId="0C3FE11E">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安全要求：施工单位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施工单位全权负责。</w:t>
      </w:r>
    </w:p>
    <w:p w14:paraId="7380ED6B">
      <w:pPr>
        <w:snapToGrid w:val="0"/>
        <w:spacing w:line="460" w:lineRule="atLeast"/>
        <w:ind w:firstLine="440" w:firstLineChars="200"/>
        <w:rPr>
          <w:rFonts w:hint="eastAsia"/>
          <w:color w:val="auto"/>
          <w:highlight w:val="none"/>
        </w:rPr>
      </w:pPr>
      <w:r>
        <w:rPr>
          <w:rFonts w:hint="eastAsia" w:ascii="宋体" w:hAnsi="宋体" w:eastAsia="宋体" w:cs="宋体"/>
          <w:color w:val="auto"/>
          <w:sz w:val="22"/>
          <w:szCs w:val="22"/>
          <w:highlight w:val="none"/>
        </w:rPr>
        <w:t>3.文明要求：在施工过程中，必须做到文明施工。工序衔接交叉合理，交接责任明确，施工场地整洁、卫生、道路畅通，有必要的围护和遮挡措施等。</w:t>
      </w:r>
    </w:p>
    <w:p w14:paraId="2B883E75">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4.建筑垃圾必须及时清运至院外专用场所处理，费用自理。</w:t>
      </w:r>
    </w:p>
    <w:p w14:paraId="6C4CE5E4">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如施工单位未能及时清理，由采购方安排清理的，费用在结算时从工程款项中扣除。施工过程中应做好对现有公共设施和绿化以及地下管线等财产的保护措施，如有损坏由施工单位全额赔偿。</w:t>
      </w:r>
    </w:p>
    <w:p w14:paraId="1308CF58">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本项目中涉及的软装的颜色、款式等需采购人同意后，方可采购，中标供应商需无条件配合</w:t>
      </w:r>
      <w:r>
        <w:rPr>
          <w:rFonts w:hint="eastAsia" w:ascii="宋体" w:hAnsi="宋体" w:eastAsia="宋体" w:cs="宋体"/>
          <w:color w:val="auto"/>
          <w:sz w:val="22"/>
          <w:szCs w:val="22"/>
          <w:highlight w:val="none"/>
        </w:rPr>
        <w:t>。</w:t>
      </w:r>
    </w:p>
    <w:p w14:paraId="7D3B034D">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6.施工单位必须包括但不限于二次搬</w:t>
      </w:r>
      <w:r>
        <w:rPr>
          <w:rFonts w:hint="eastAsia" w:ascii="宋体" w:hAnsi="宋体" w:eastAsia="宋体" w:cs="宋体"/>
          <w:color w:val="auto"/>
          <w:sz w:val="22"/>
          <w:szCs w:val="22"/>
          <w:highlight w:val="none"/>
          <w:lang w:eastAsia="zh-CN"/>
        </w:rPr>
        <w:t>运、税金、材料运输、检验、零配件，空调的室内机和室外机以及其他安装所需的的所有材料及工序，包括冷凝排水管、保温材料、空调风口、空调冷媒铜管（含超出空调原配联机铜管长度以外的所有铜管）等，通</w:t>
      </w:r>
      <w:r>
        <w:rPr>
          <w:rFonts w:hint="eastAsia" w:ascii="宋体" w:hAnsi="宋体" w:eastAsia="宋体" w:cs="宋体"/>
          <w:color w:val="auto"/>
          <w:sz w:val="22"/>
          <w:szCs w:val="22"/>
          <w:highlight w:val="none"/>
        </w:rPr>
        <w:t>过验收</w:t>
      </w:r>
      <w:r>
        <w:rPr>
          <w:rFonts w:hint="eastAsia" w:ascii="宋体" w:hAnsi="宋体" w:eastAsia="宋体" w:cs="宋体"/>
          <w:color w:val="auto"/>
          <w:sz w:val="22"/>
          <w:szCs w:val="22"/>
          <w:highlight w:val="none"/>
          <w:lang w:eastAsia="zh-CN"/>
        </w:rPr>
        <w:t>等</w:t>
      </w:r>
      <w:r>
        <w:rPr>
          <w:rFonts w:hint="eastAsia" w:ascii="宋体" w:hAnsi="宋体" w:eastAsia="宋体" w:cs="宋体"/>
          <w:color w:val="auto"/>
          <w:sz w:val="22"/>
          <w:szCs w:val="22"/>
          <w:highlight w:val="none"/>
        </w:rPr>
        <w:t>费用考虑在报价中，不得以其它理由增加相关费用。</w:t>
      </w:r>
    </w:p>
    <w:p w14:paraId="7B3A3C63">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7.完成各项安装、调试、检验、测试工作，并在采购人的配合下进行验收；提供各种数据资料；直至通过验收。</w:t>
      </w:r>
    </w:p>
    <w:p w14:paraId="014B38AB">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8.对</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的操作人员及维修人员进行技术培训；</w:t>
      </w:r>
    </w:p>
    <w:p w14:paraId="060703F7">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9.维保期内系统的维保及维修；</w:t>
      </w:r>
    </w:p>
    <w:p w14:paraId="590F9A72">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10.由中标供应商免费送货到指定地点；</w:t>
      </w:r>
    </w:p>
    <w:p w14:paraId="0A830867">
      <w:pPr>
        <w:snapToGri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11.售后服务的措施及承诺。</w:t>
      </w:r>
    </w:p>
    <w:p w14:paraId="50FFED51">
      <w:pPr>
        <w:pStyle w:val="11"/>
        <w:adjustRightInd w:val="0"/>
        <w:snapToGrid w:val="0"/>
        <w:spacing w:line="420" w:lineRule="exact"/>
        <w:ind w:firstLine="482"/>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13.</w:t>
      </w:r>
      <w:r>
        <w:rPr>
          <w:rFonts w:hint="eastAsia" w:ascii="宋体" w:hAnsi="宋体" w:eastAsia="宋体" w:cs="宋体"/>
          <w:b/>
          <w:bCs/>
          <w:color w:val="auto"/>
          <w:sz w:val="22"/>
          <w:highlight w:val="none"/>
        </w:rPr>
        <w:t>其他说明：</w:t>
      </w:r>
    </w:p>
    <w:p w14:paraId="1950460B">
      <w:pPr>
        <w:pStyle w:val="11"/>
        <w:adjustRightInd w:val="0"/>
        <w:snapToGrid w:val="0"/>
        <w:spacing w:line="420" w:lineRule="exact"/>
        <w:ind w:firstLine="482"/>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13.1</w:t>
      </w:r>
      <w:r>
        <w:rPr>
          <w:rFonts w:hint="eastAsia" w:ascii="宋体" w:hAnsi="宋体" w:eastAsia="宋体" w:cs="宋体"/>
          <w:color w:val="auto"/>
          <w:sz w:val="22"/>
          <w:highlight w:val="none"/>
        </w:rPr>
        <w:t>、投标供应商需保证投标资料的真实性，供货时，采购人将进行如实核对，如查实投标产品技术参数有弄虚作假行为，将上报采购主管部门，废除其中标人资格并有保留追究责任的权利。</w:t>
      </w:r>
    </w:p>
    <w:p w14:paraId="61C43683">
      <w:pPr>
        <w:pStyle w:val="11"/>
        <w:adjustRightInd w:val="0"/>
        <w:snapToGrid w:val="0"/>
        <w:spacing w:line="420" w:lineRule="exact"/>
        <w:ind w:firstLine="482"/>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13.2</w:t>
      </w:r>
      <w:r>
        <w:rPr>
          <w:rFonts w:hint="eastAsia" w:ascii="宋体" w:hAnsi="宋体" w:eastAsia="宋体" w:cs="宋体"/>
          <w:color w:val="auto"/>
          <w:sz w:val="22"/>
          <w:highlight w:val="none"/>
        </w:rPr>
        <w:t>、本项目采购人将对到货设备进行严格验收，实际到货设备达不到</w:t>
      </w:r>
      <w:r>
        <w:rPr>
          <w:rFonts w:hint="eastAsia" w:ascii="宋体" w:hAnsi="宋体" w:eastAsia="宋体" w:cs="宋体"/>
          <w:color w:val="auto"/>
          <w:sz w:val="22"/>
          <w:highlight w:val="none"/>
          <w:lang w:val="en-US" w:eastAsia="zh-CN"/>
        </w:rPr>
        <w:t>投标</w:t>
      </w:r>
      <w:r>
        <w:rPr>
          <w:rFonts w:hint="eastAsia" w:ascii="宋体" w:hAnsi="宋体" w:eastAsia="宋体" w:cs="宋体"/>
          <w:color w:val="auto"/>
          <w:sz w:val="22"/>
          <w:highlight w:val="none"/>
        </w:rPr>
        <w:t>文件</w:t>
      </w:r>
      <w:r>
        <w:rPr>
          <w:rFonts w:hint="eastAsia" w:ascii="宋体" w:hAnsi="宋体" w:eastAsia="宋体" w:cs="宋体"/>
          <w:color w:val="auto"/>
          <w:sz w:val="22"/>
          <w:highlight w:val="none"/>
          <w:lang w:val="en-US" w:eastAsia="zh-CN"/>
        </w:rPr>
        <w:t>所响应</w:t>
      </w:r>
      <w:r>
        <w:rPr>
          <w:rFonts w:hint="eastAsia" w:ascii="宋体" w:hAnsi="宋体" w:eastAsia="宋体" w:cs="宋体"/>
          <w:color w:val="auto"/>
          <w:sz w:val="22"/>
          <w:highlight w:val="none"/>
        </w:rPr>
        <w:t>的，做验收不通过处理，对此采购人有权无条件取消合同并给予相应处罚；供应商到货及安装、退货等所造成的损失自行承担，供应商须慎重投标。</w:t>
      </w:r>
    </w:p>
    <w:p w14:paraId="64E742AB">
      <w:pPr>
        <w:pStyle w:val="11"/>
        <w:adjustRightInd w:val="0"/>
        <w:snapToGrid w:val="0"/>
        <w:spacing w:line="420" w:lineRule="exact"/>
        <w:ind w:firstLine="482"/>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13.3</w:t>
      </w:r>
      <w:r>
        <w:rPr>
          <w:rFonts w:hint="eastAsia" w:ascii="宋体" w:hAnsi="宋体" w:eastAsia="宋体" w:cs="宋体"/>
          <w:color w:val="auto"/>
          <w:sz w:val="22"/>
          <w:highlight w:val="none"/>
        </w:rPr>
        <w:t>、供应商投标文件中须提供检测报告、产品合格证、产品说明等相关证明资料给予佐证。</w:t>
      </w:r>
    </w:p>
    <w:p w14:paraId="26553A68">
      <w:pPr>
        <w:pStyle w:val="11"/>
        <w:adjustRightInd w:val="0"/>
        <w:snapToGrid w:val="0"/>
        <w:spacing w:line="420" w:lineRule="exact"/>
        <w:ind w:firstLine="482"/>
        <w:rPr>
          <w:rFonts w:hint="eastAsia" w:ascii="宋体" w:hAnsi="宋体"/>
          <w:b/>
          <w:color w:val="auto"/>
          <w:sz w:val="22"/>
          <w:szCs w:val="22"/>
          <w:highlight w:val="none"/>
          <w:lang w:val="en-US" w:eastAsia="zh-CN"/>
        </w:rPr>
      </w:pPr>
      <w:r>
        <w:rPr>
          <w:rFonts w:hint="eastAsia" w:ascii="宋体" w:hAnsi="宋体" w:eastAsia="宋体" w:cs="宋体"/>
          <w:color w:val="auto"/>
          <w:sz w:val="22"/>
          <w:highlight w:val="none"/>
        </w:rPr>
        <w:t>以上工作内容涉及费用均包含在投标</w:t>
      </w:r>
      <w:r>
        <w:rPr>
          <w:rFonts w:hint="eastAsia" w:hAnsi="宋体" w:cs="宋体"/>
          <w:color w:val="auto"/>
          <w:sz w:val="22"/>
          <w:highlight w:val="none"/>
          <w:lang w:eastAsia="zh-CN"/>
        </w:rPr>
        <w:t>报价</w:t>
      </w:r>
      <w:r>
        <w:rPr>
          <w:rFonts w:hint="eastAsia" w:ascii="宋体" w:hAnsi="宋体" w:eastAsia="宋体" w:cs="宋体"/>
          <w:color w:val="auto"/>
          <w:sz w:val="22"/>
          <w:highlight w:val="none"/>
        </w:rPr>
        <w:t>中。</w:t>
      </w:r>
    </w:p>
    <w:p w14:paraId="5FB6C9C0">
      <w:pPr>
        <w:snapToGrid w:val="0"/>
        <w:spacing w:line="40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工作范围：</w:t>
      </w:r>
    </w:p>
    <w:p w14:paraId="5E5B6252">
      <w:pPr>
        <w:adjustRightInd w:val="0"/>
        <w:snapToGrid w:val="0"/>
        <w:spacing w:line="460" w:lineRule="exact"/>
        <w:ind w:firstLine="440" w:firstLineChars="200"/>
        <w:rPr>
          <w:rFonts w:ascii="宋体"/>
          <w:color w:val="auto"/>
          <w:sz w:val="22"/>
          <w:szCs w:val="22"/>
          <w:highlight w:val="none"/>
        </w:rPr>
      </w:pPr>
      <w:r>
        <w:rPr>
          <w:rFonts w:hint="eastAsia" w:ascii="宋体"/>
          <w:color w:val="auto"/>
          <w:sz w:val="22"/>
          <w:szCs w:val="22"/>
          <w:highlight w:val="none"/>
        </w:rPr>
        <w:t>根据招标文件，各供应商须按国家有关标准及规范完成下列工作：</w:t>
      </w:r>
    </w:p>
    <w:p w14:paraId="061E6A24">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1、提供完整成套的货物</w:t>
      </w:r>
    </w:p>
    <w:p w14:paraId="324F4B5C">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 xml:space="preserve">2、货物及相关附件的提供、运输、装卸、就位、安装、调试、检验、通过验收； </w:t>
      </w:r>
    </w:p>
    <w:p w14:paraId="7F27F2BA">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3、完成各项安装、调试、检验、测试工作，并在采购人的配合下进行验收；提供各种数据资料；直至通过验收。</w:t>
      </w:r>
    </w:p>
    <w:p w14:paraId="3A890B12">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4、对业主的操作人员及维修人员进行技术培训；</w:t>
      </w:r>
    </w:p>
    <w:p w14:paraId="1F2D97E1">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5、</w:t>
      </w:r>
      <w:r>
        <w:rPr>
          <w:rFonts w:hint="eastAsia" w:hAnsi="宋体"/>
          <w:color w:val="auto"/>
          <w:sz w:val="22"/>
          <w:szCs w:val="22"/>
          <w:highlight w:val="none"/>
          <w:lang w:eastAsia="zh-CN"/>
        </w:rPr>
        <w:t>维保</w:t>
      </w:r>
      <w:r>
        <w:rPr>
          <w:rFonts w:hint="eastAsia" w:hAnsi="宋体"/>
          <w:color w:val="auto"/>
          <w:sz w:val="22"/>
          <w:szCs w:val="22"/>
          <w:highlight w:val="none"/>
        </w:rPr>
        <w:t>期内系统的维保及维修；</w:t>
      </w:r>
    </w:p>
    <w:p w14:paraId="0FEA4813">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6、由中标供应商免费送货到指定地点；</w:t>
      </w:r>
    </w:p>
    <w:p w14:paraId="7C2409C2">
      <w:pPr>
        <w:pStyle w:val="11"/>
        <w:adjustRightInd w:val="0"/>
        <w:snapToGrid w:val="0"/>
        <w:spacing w:line="420" w:lineRule="exact"/>
        <w:ind w:firstLine="482"/>
        <w:rPr>
          <w:rFonts w:hAnsi="宋体"/>
          <w:color w:val="auto"/>
          <w:sz w:val="22"/>
          <w:szCs w:val="22"/>
          <w:highlight w:val="none"/>
        </w:rPr>
      </w:pPr>
      <w:r>
        <w:rPr>
          <w:rFonts w:hint="eastAsia" w:hAnsi="宋体"/>
          <w:color w:val="auto"/>
          <w:sz w:val="22"/>
          <w:szCs w:val="22"/>
          <w:highlight w:val="none"/>
        </w:rPr>
        <w:t>7、售后服务的措施及承诺。</w:t>
      </w:r>
    </w:p>
    <w:p w14:paraId="246E1C39">
      <w:pPr>
        <w:pStyle w:val="11"/>
        <w:adjustRightInd w:val="0"/>
        <w:snapToGrid w:val="0"/>
        <w:spacing w:line="420" w:lineRule="exact"/>
        <w:ind w:firstLine="482"/>
        <w:rPr>
          <w:rFonts w:hint="eastAsia" w:hAnsi="宋体"/>
          <w:color w:val="auto"/>
          <w:sz w:val="22"/>
          <w:szCs w:val="22"/>
          <w:highlight w:val="none"/>
        </w:rPr>
      </w:pPr>
      <w:r>
        <w:rPr>
          <w:rFonts w:hint="eastAsia" w:hAnsi="宋体"/>
          <w:color w:val="auto"/>
          <w:sz w:val="22"/>
          <w:szCs w:val="22"/>
          <w:highlight w:val="none"/>
        </w:rPr>
        <w:t>以上工作内容的费用均包含在投标</w:t>
      </w:r>
      <w:r>
        <w:rPr>
          <w:rFonts w:hint="eastAsia" w:hAnsi="宋体"/>
          <w:color w:val="auto"/>
          <w:sz w:val="22"/>
          <w:szCs w:val="22"/>
          <w:highlight w:val="none"/>
          <w:lang w:eastAsia="zh-CN"/>
        </w:rPr>
        <w:t>报价</w:t>
      </w:r>
      <w:r>
        <w:rPr>
          <w:rFonts w:hint="eastAsia" w:hAnsi="宋体"/>
          <w:color w:val="auto"/>
          <w:sz w:val="22"/>
          <w:szCs w:val="22"/>
          <w:highlight w:val="none"/>
        </w:rPr>
        <w:t>中。</w:t>
      </w:r>
    </w:p>
    <w:p w14:paraId="07368235">
      <w:pPr>
        <w:rPr>
          <w:color w:val="auto"/>
          <w:highlight w:val="none"/>
        </w:rPr>
      </w:pPr>
    </w:p>
    <w:p w14:paraId="5D24467E">
      <w:pPr>
        <w:jc w:val="center"/>
        <w:rPr>
          <w:rFonts w:hint="eastAsia" w:ascii="宋体" w:hAnsi="宋体"/>
          <w:b/>
          <w:bCs/>
          <w:color w:val="auto"/>
          <w:sz w:val="32"/>
          <w:szCs w:val="40"/>
          <w:highlight w:val="none"/>
          <w:lang w:val="zh-CN"/>
        </w:rPr>
      </w:pPr>
    </w:p>
    <w:p w14:paraId="1FE396C4">
      <w:pPr>
        <w:jc w:val="center"/>
        <w:rPr>
          <w:rFonts w:hint="eastAsia" w:ascii="宋体" w:hAnsi="宋体"/>
          <w:b/>
          <w:bCs/>
          <w:color w:val="auto"/>
          <w:sz w:val="32"/>
          <w:szCs w:val="40"/>
          <w:highlight w:val="none"/>
          <w:lang w:val="zh-CN"/>
        </w:rPr>
      </w:pPr>
    </w:p>
    <w:p w14:paraId="7ED59085">
      <w:pPr>
        <w:jc w:val="both"/>
        <w:rPr>
          <w:rFonts w:hint="eastAsia" w:ascii="宋体" w:hAnsi="宋体"/>
          <w:b/>
          <w:bCs/>
          <w:color w:val="auto"/>
          <w:sz w:val="32"/>
          <w:szCs w:val="40"/>
          <w:highlight w:val="none"/>
          <w:lang w:val="zh-CN"/>
        </w:rPr>
      </w:pPr>
    </w:p>
    <w:p w14:paraId="5777E3FA">
      <w:pPr>
        <w:pStyle w:val="18"/>
        <w:rPr>
          <w:rFonts w:hint="eastAsia" w:ascii="宋体" w:hAnsi="宋体"/>
          <w:b/>
          <w:bCs/>
          <w:color w:val="auto"/>
          <w:sz w:val="32"/>
          <w:szCs w:val="40"/>
          <w:highlight w:val="none"/>
          <w:lang w:val="zh-CN"/>
        </w:rPr>
      </w:pPr>
    </w:p>
    <w:p w14:paraId="4A19D2C5">
      <w:pPr>
        <w:pStyle w:val="18"/>
        <w:rPr>
          <w:rFonts w:hint="eastAsia" w:ascii="宋体" w:hAnsi="宋体"/>
          <w:b/>
          <w:bCs/>
          <w:color w:val="auto"/>
          <w:sz w:val="32"/>
          <w:szCs w:val="40"/>
          <w:highlight w:val="none"/>
          <w:lang w:val="zh-CN"/>
        </w:rPr>
      </w:pPr>
    </w:p>
    <w:p w14:paraId="1A4C5B70">
      <w:pPr>
        <w:pStyle w:val="18"/>
        <w:rPr>
          <w:rFonts w:hint="eastAsia" w:ascii="宋体" w:hAnsi="宋体"/>
          <w:b/>
          <w:bCs/>
          <w:color w:val="auto"/>
          <w:sz w:val="32"/>
          <w:szCs w:val="40"/>
          <w:highlight w:val="none"/>
          <w:lang w:val="zh-CN"/>
        </w:rPr>
      </w:pPr>
    </w:p>
    <w:p w14:paraId="0A6CFF7E">
      <w:pPr>
        <w:pStyle w:val="18"/>
        <w:rPr>
          <w:rFonts w:hint="eastAsia" w:ascii="宋体" w:hAnsi="宋体"/>
          <w:b/>
          <w:bCs/>
          <w:color w:val="auto"/>
          <w:sz w:val="32"/>
          <w:szCs w:val="40"/>
          <w:highlight w:val="none"/>
          <w:lang w:val="zh-CN"/>
        </w:rPr>
      </w:pPr>
    </w:p>
    <w:p w14:paraId="291B53F5">
      <w:pPr>
        <w:pStyle w:val="18"/>
        <w:rPr>
          <w:rFonts w:hint="eastAsia" w:ascii="宋体" w:hAnsi="宋体"/>
          <w:b/>
          <w:bCs/>
          <w:color w:val="auto"/>
          <w:sz w:val="32"/>
          <w:szCs w:val="40"/>
          <w:highlight w:val="none"/>
          <w:lang w:val="zh-CN"/>
        </w:rPr>
      </w:pPr>
    </w:p>
    <w:p w14:paraId="0AA8DB0C">
      <w:pPr>
        <w:pStyle w:val="18"/>
        <w:rPr>
          <w:rFonts w:hint="eastAsia" w:ascii="宋体" w:hAnsi="宋体"/>
          <w:b/>
          <w:bCs/>
          <w:color w:val="auto"/>
          <w:sz w:val="32"/>
          <w:szCs w:val="40"/>
          <w:highlight w:val="none"/>
          <w:lang w:val="zh-CN"/>
        </w:rPr>
      </w:pPr>
    </w:p>
    <w:p w14:paraId="01C75A6C">
      <w:pPr>
        <w:pStyle w:val="18"/>
        <w:rPr>
          <w:rFonts w:hint="eastAsia" w:ascii="宋体" w:hAnsi="宋体"/>
          <w:b/>
          <w:bCs/>
          <w:color w:val="auto"/>
          <w:sz w:val="32"/>
          <w:szCs w:val="40"/>
          <w:highlight w:val="none"/>
          <w:lang w:val="zh-CN"/>
        </w:rPr>
      </w:pPr>
    </w:p>
    <w:p w14:paraId="149982AD">
      <w:pPr>
        <w:pStyle w:val="18"/>
        <w:rPr>
          <w:rFonts w:hint="eastAsia" w:ascii="宋体" w:hAnsi="宋体"/>
          <w:b/>
          <w:bCs/>
          <w:color w:val="auto"/>
          <w:sz w:val="32"/>
          <w:szCs w:val="40"/>
          <w:highlight w:val="none"/>
          <w:lang w:val="zh-CN"/>
        </w:rPr>
      </w:pPr>
    </w:p>
    <w:p w14:paraId="3B74EB8E">
      <w:pPr>
        <w:pStyle w:val="18"/>
        <w:rPr>
          <w:rFonts w:hint="eastAsia" w:ascii="宋体" w:hAnsi="宋体"/>
          <w:b/>
          <w:bCs/>
          <w:color w:val="auto"/>
          <w:sz w:val="32"/>
          <w:szCs w:val="40"/>
          <w:highlight w:val="none"/>
          <w:lang w:val="zh-CN"/>
        </w:rPr>
      </w:pPr>
    </w:p>
    <w:p w14:paraId="32CD2323">
      <w:pPr>
        <w:pStyle w:val="18"/>
        <w:rPr>
          <w:rFonts w:hint="eastAsia" w:ascii="宋体" w:hAnsi="宋体"/>
          <w:b/>
          <w:bCs/>
          <w:color w:val="auto"/>
          <w:sz w:val="32"/>
          <w:szCs w:val="40"/>
          <w:highlight w:val="none"/>
          <w:lang w:val="zh-CN"/>
        </w:rPr>
      </w:pPr>
    </w:p>
    <w:p w14:paraId="29E121D1">
      <w:pPr>
        <w:pStyle w:val="18"/>
        <w:rPr>
          <w:rFonts w:hint="eastAsia" w:ascii="宋体" w:hAnsi="宋体"/>
          <w:b/>
          <w:bCs/>
          <w:color w:val="auto"/>
          <w:sz w:val="32"/>
          <w:szCs w:val="40"/>
          <w:highlight w:val="none"/>
          <w:lang w:val="zh-CN"/>
        </w:rPr>
      </w:pPr>
    </w:p>
    <w:p w14:paraId="2DF7679F">
      <w:pPr>
        <w:pStyle w:val="18"/>
        <w:rPr>
          <w:rFonts w:hint="eastAsia" w:ascii="宋体" w:hAnsi="宋体"/>
          <w:b/>
          <w:bCs/>
          <w:color w:val="auto"/>
          <w:sz w:val="32"/>
          <w:szCs w:val="40"/>
          <w:highlight w:val="none"/>
          <w:lang w:val="zh-CN"/>
        </w:rPr>
      </w:pPr>
    </w:p>
    <w:p w14:paraId="2472DB0B">
      <w:pPr>
        <w:pStyle w:val="18"/>
        <w:rPr>
          <w:rFonts w:hint="eastAsia" w:ascii="宋体" w:hAnsi="宋体"/>
          <w:b/>
          <w:bCs/>
          <w:color w:val="auto"/>
          <w:sz w:val="32"/>
          <w:szCs w:val="40"/>
          <w:highlight w:val="none"/>
          <w:lang w:val="zh-CN"/>
        </w:rPr>
      </w:pPr>
    </w:p>
    <w:p w14:paraId="0F541B9D">
      <w:pPr>
        <w:pStyle w:val="18"/>
        <w:rPr>
          <w:rFonts w:hint="eastAsia" w:ascii="宋体" w:hAnsi="宋体"/>
          <w:b/>
          <w:bCs/>
          <w:color w:val="auto"/>
          <w:sz w:val="32"/>
          <w:szCs w:val="40"/>
          <w:highlight w:val="none"/>
          <w:lang w:val="zh-CN"/>
        </w:rPr>
      </w:pPr>
    </w:p>
    <w:p w14:paraId="144B366A">
      <w:pPr>
        <w:pStyle w:val="18"/>
        <w:rPr>
          <w:rFonts w:hint="eastAsia" w:ascii="宋体" w:hAnsi="宋体"/>
          <w:b/>
          <w:bCs/>
          <w:color w:val="auto"/>
          <w:sz w:val="32"/>
          <w:szCs w:val="40"/>
          <w:highlight w:val="none"/>
          <w:lang w:val="zh-CN"/>
        </w:rPr>
      </w:pPr>
    </w:p>
    <w:p w14:paraId="5BDFB889">
      <w:pPr>
        <w:jc w:val="center"/>
        <w:rPr>
          <w:rFonts w:hint="eastAsia" w:ascii="宋体" w:hAnsi="宋体"/>
          <w:b/>
          <w:bCs/>
          <w:color w:val="auto"/>
          <w:sz w:val="32"/>
          <w:szCs w:val="40"/>
          <w:highlight w:val="none"/>
          <w:lang w:val="zh-CN"/>
        </w:rPr>
      </w:pPr>
    </w:p>
    <w:p w14:paraId="5072410C">
      <w:pPr>
        <w:pStyle w:val="2"/>
        <w:rPr>
          <w:rFonts w:hint="eastAsia" w:ascii="宋体" w:hAnsi="宋体"/>
          <w:b/>
          <w:bCs/>
          <w:color w:val="auto"/>
          <w:sz w:val="32"/>
          <w:szCs w:val="40"/>
          <w:highlight w:val="none"/>
          <w:lang w:val="zh-CN"/>
        </w:rPr>
      </w:pPr>
    </w:p>
    <w:p w14:paraId="34142AD1">
      <w:pPr>
        <w:rPr>
          <w:rFonts w:hint="eastAsia" w:ascii="宋体" w:hAnsi="宋体"/>
          <w:b/>
          <w:bCs/>
          <w:color w:val="auto"/>
          <w:sz w:val="32"/>
          <w:szCs w:val="40"/>
          <w:highlight w:val="none"/>
          <w:lang w:val="zh-CN"/>
        </w:rPr>
      </w:pPr>
    </w:p>
    <w:p w14:paraId="7C99A43C">
      <w:pPr>
        <w:pStyle w:val="2"/>
        <w:rPr>
          <w:rFonts w:hint="eastAsia" w:ascii="宋体" w:hAnsi="宋体"/>
          <w:b/>
          <w:bCs/>
          <w:color w:val="auto"/>
          <w:sz w:val="32"/>
          <w:szCs w:val="40"/>
          <w:highlight w:val="none"/>
          <w:lang w:val="zh-CN"/>
        </w:rPr>
      </w:pPr>
    </w:p>
    <w:p w14:paraId="45B032CC">
      <w:pPr>
        <w:rPr>
          <w:rFonts w:hint="eastAsia"/>
          <w:lang w:val="zh-CN"/>
        </w:rPr>
      </w:pPr>
    </w:p>
    <w:p w14:paraId="205C0EF7">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15704927">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09EB7074">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56D902C">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3F27079">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712BD98">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3B33F8DB">
      <w:pPr>
        <w:pStyle w:val="35"/>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30470A4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B3EFC14">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w:t>
      </w:r>
      <w:r>
        <w:rPr>
          <w:rFonts w:hint="eastAsia" w:ascii="宋体" w:hAnsi="宋体" w:eastAsia="宋体" w:cs="宋体"/>
          <w:b/>
          <w:color w:val="auto"/>
          <w:sz w:val="22"/>
          <w:szCs w:val="22"/>
          <w:highlight w:val="none"/>
          <w:u w:val="single"/>
          <w:lang w:eastAsia="zh-CN"/>
        </w:rPr>
        <w:t>本项目采用统一折扣率报价，</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6C50B8E1">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238C8BEB">
      <w:pPr>
        <w:pStyle w:val="72"/>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3D52D8C6">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74D2AFE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14CF0AD9">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555CFCE">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1D508599">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497163BA">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1AD7129D">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70B4673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44AAE50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2AD21B99">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EA0D313">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4E44B187">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4C192C3D">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1BB3602F">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17003E84">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68FFFD71">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A13023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42355D89">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5D17F9C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7E41929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02C0EB20">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75C8B49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6F79528C">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02A7318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683C29F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0315DCB0">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33DFE1C8">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579983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3453C1A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0320E84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19A4173">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7FE2D9F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68512575">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E39832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BF4195C">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5DAEE471">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5FC2EA85">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5598D64F">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218A66EA">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3AA2E9AB">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AD26EF2">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125A29A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1C3F093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2D628E89">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4）具有有效期内的建筑装修装饰工程专业承包二级及以上资质，</w:t>
      </w:r>
      <w:r>
        <w:rPr>
          <w:rFonts w:hint="eastAsia" w:ascii="宋体" w:hAnsi="宋体" w:eastAsia="宋体" w:cs="宋体"/>
          <w:color w:val="auto"/>
          <w:sz w:val="22"/>
          <w:szCs w:val="22"/>
          <w:highlight w:val="none"/>
          <w:lang w:val="en-US" w:eastAsia="zh-CN"/>
        </w:rPr>
        <w:t>且</w:t>
      </w:r>
      <w:r>
        <w:rPr>
          <w:rFonts w:hint="eastAsia" w:ascii="宋体" w:hAnsi="宋体" w:eastAsia="宋体" w:cs="宋体"/>
          <w:color w:val="auto"/>
          <w:sz w:val="22"/>
          <w:szCs w:val="22"/>
          <w:highlight w:val="none"/>
          <w:lang w:eastAsia="zh-CN"/>
        </w:rPr>
        <w:t>具有有效期内</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安全生产许可证。</w:t>
      </w:r>
    </w:p>
    <w:p w14:paraId="2E854209">
      <w:pPr>
        <w:autoSpaceDE w:val="0"/>
        <w:autoSpaceDN w:val="0"/>
        <w:adjustRightInd w:val="0"/>
        <w:snapToGrid w:val="0"/>
        <w:spacing w:line="460" w:lineRule="exact"/>
        <w:ind w:firstLine="442" w:firstLineChars="200"/>
        <w:textAlignment w:val="bottom"/>
        <w:rPr>
          <w:rFonts w:ascii="宋体" w:hAnsi="宋体" w:cs="宋体"/>
          <w:b/>
          <w:color w:val="auto"/>
          <w:sz w:val="22"/>
          <w:szCs w:val="22"/>
          <w:highlight w:val="none"/>
          <w:lang w:val="zh-CN"/>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4</w:t>
      </w:r>
      <w:r>
        <w:rPr>
          <w:rFonts w:hint="eastAsia"/>
          <w:b/>
          <w:color w:val="auto"/>
          <w:sz w:val="22"/>
          <w:szCs w:val="22"/>
          <w:highlight w:val="none"/>
        </w:rPr>
        <w:t>项有一项不提供的，视为资格审查不通过。</w:t>
      </w:r>
    </w:p>
    <w:p w14:paraId="47D65B60">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7F47BB2C">
      <w:pPr>
        <w:autoSpaceDE w:val="0"/>
        <w:autoSpaceDN w:val="0"/>
        <w:snapToGrid w:val="0"/>
        <w:spacing w:line="460" w:lineRule="exact"/>
        <w:ind w:firstLine="440" w:firstLineChars="20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1）“报价文件”封面</w:t>
      </w:r>
    </w:p>
    <w:p w14:paraId="2504F34B">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s="Times New Roman"/>
          <w:color w:val="auto"/>
          <w:sz w:val="22"/>
          <w:szCs w:val="22"/>
          <w:highlight w:val="none"/>
        </w:rPr>
        <w:t>2)  开</w:t>
      </w:r>
      <w:r>
        <w:rPr>
          <w:rFonts w:hint="eastAsia" w:ascii="Times New Roman" w:hAnsi="Times New Roman" w:eastAsia="宋体"/>
          <w:color w:val="auto"/>
          <w:sz w:val="22"/>
          <w:szCs w:val="22"/>
          <w:highlight w:val="none"/>
        </w:rPr>
        <w:t>标一览表</w:t>
      </w:r>
    </w:p>
    <w:p w14:paraId="063D457A">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0B662829">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2118EF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06B3C97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2827B4AA">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397017D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590E8D07">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56B9942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36EDF1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6B072B8C">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163D84FA">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6FE57274">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0963C2A1">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73D1F44">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4EF09CAC">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2F5654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5F5EB1B0">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632CFB61">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73DD0F65">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490D6A2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0614082A">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w:t>
      </w:r>
      <w:r>
        <w:rPr>
          <w:rFonts w:hint="eastAsia"/>
          <w:color w:val="auto"/>
          <w:sz w:val="22"/>
          <w:szCs w:val="22"/>
          <w:highlight w:val="none"/>
          <w:lang w:eastAsia="zh-CN"/>
        </w:rPr>
        <w:t>乐采云-政企采购开放平台</w:t>
      </w:r>
      <w:r>
        <w:rPr>
          <w:rFonts w:hint="eastAsia"/>
          <w:color w:val="auto"/>
          <w:sz w:val="22"/>
          <w:szCs w:val="22"/>
          <w:highlight w:val="none"/>
        </w:rPr>
        <w:t>（</w:t>
      </w:r>
      <w:r>
        <w:rPr>
          <w:color w:val="auto"/>
          <w:sz w:val="22"/>
          <w:szCs w:val="22"/>
          <w:highlight w:val="none"/>
        </w:rPr>
        <w:t>www.</w:t>
      </w:r>
      <w:r>
        <w:rPr>
          <w:rFonts w:hint="eastAsia"/>
          <w:color w:val="auto"/>
          <w:sz w:val="22"/>
          <w:szCs w:val="22"/>
          <w:highlight w:val="none"/>
        </w:rPr>
        <w:t>zcy</w:t>
      </w:r>
      <w:r>
        <w:rPr>
          <w:color w:val="auto"/>
          <w:sz w:val="22"/>
          <w:szCs w:val="22"/>
          <w:highlight w:val="none"/>
        </w:rPr>
        <w:t>gov.cn</w:t>
      </w:r>
      <w:r>
        <w:rPr>
          <w:rFonts w:hint="eastAsia"/>
          <w:color w:val="auto"/>
          <w:sz w:val="22"/>
          <w:szCs w:val="22"/>
          <w:highlight w:val="none"/>
        </w:rPr>
        <w:t>）”实行在线投标响应（电子投标）。供应商应通过“</w:t>
      </w:r>
      <w:r>
        <w:rPr>
          <w:rFonts w:hint="eastAsia"/>
          <w:color w:val="auto"/>
          <w:sz w:val="22"/>
          <w:szCs w:val="22"/>
          <w:highlight w:val="none"/>
          <w:lang w:eastAsia="zh-CN"/>
        </w:rPr>
        <w:t>乐采云电子交易客户端</w:t>
      </w:r>
      <w:r>
        <w:rPr>
          <w:rFonts w:hint="eastAsia"/>
          <w:color w:val="auto"/>
          <w:sz w:val="22"/>
          <w:szCs w:val="22"/>
          <w:highlight w:val="none"/>
        </w:rPr>
        <w:t>”，并按照本招标文件和“</w:t>
      </w:r>
      <w:r>
        <w:rPr>
          <w:rFonts w:hint="eastAsia"/>
          <w:color w:val="auto"/>
          <w:sz w:val="22"/>
          <w:szCs w:val="22"/>
          <w:highlight w:val="none"/>
          <w:lang w:eastAsia="zh-CN"/>
        </w:rPr>
        <w:t>乐采云-政企采购开放平台</w:t>
      </w:r>
      <w:r>
        <w:rPr>
          <w:rFonts w:hint="eastAsia"/>
          <w:color w:val="auto"/>
          <w:sz w:val="22"/>
          <w:szCs w:val="22"/>
          <w:highlight w:val="none"/>
        </w:rPr>
        <w:t>”的要求编制并加密投标文件。</w:t>
      </w:r>
    </w:p>
    <w:p w14:paraId="6652921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w:t>
      </w:r>
      <w:r>
        <w:rPr>
          <w:rFonts w:hint="eastAsia"/>
          <w:color w:val="auto"/>
          <w:sz w:val="22"/>
          <w:szCs w:val="22"/>
          <w:highlight w:val="none"/>
          <w:lang w:eastAsia="zh-CN"/>
        </w:rPr>
        <w:t>乐采云电子交易客户端</w:t>
      </w:r>
      <w:r>
        <w:rPr>
          <w:rFonts w:hint="eastAsia"/>
          <w:color w:val="auto"/>
          <w:sz w:val="22"/>
          <w:szCs w:val="22"/>
          <w:highlight w:val="none"/>
        </w:rPr>
        <w:t>”编制投标文件。其中《资格文件》和《商务技术文件》中不得出现本项目投标报价，如因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3675EB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6B9A182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66AAFE8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4BB9D734">
      <w:pPr>
        <w:autoSpaceDE w:val="0"/>
        <w:autoSpaceDN w:val="0"/>
        <w:snapToGrid w:val="0"/>
        <w:spacing w:line="420" w:lineRule="exact"/>
        <w:rPr>
          <w:rFonts w:hint="eastAsia"/>
          <w:color w:val="auto"/>
          <w:sz w:val="22"/>
          <w:szCs w:val="22"/>
          <w:highlight w:val="none"/>
        </w:rPr>
      </w:pPr>
      <w:bookmarkStart w:id="7" w:name="_Toc132122115"/>
      <w:bookmarkEnd w:id="7"/>
      <w:bookmarkStart w:id="8" w:name="_Toc132122412"/>
      <w:bookmarkEnd w:id="8"/>
      <w:r>
        <w:rPr>
          <w:rFonts w:hint="eastAsia"/>
          <w:color w:val="auto"/>
          <w:sz w:val="22"/>
          <w:szCs w:val="22"/>
          <w:highlight w:val="none"/>
        </w:rPr>
        <w:t>4.投标报价</w:t>
      </w:r>
    </w:p>
    <w:p w14:paraId="1F65A517">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1434BDFF">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2B393A00">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37822B4">
      <w:pPr>
        <w:autoSpaceDE w:val="0"/>
        <w:autoSpaceDN w:val="0"/>
        <w:snapToGrid w:val="0"/>
        <w:spacing w:line="420" w:lineRule="exact"/>
        <w:ind w:firstLine="431" w:firstLineChars="196"/>
        <w:rPr>
          <w:rFonts w:hint="eastAsia"/>
          <w:color w:val="auto"/>
          <w:sz w:val="22"/>
          <w:szCs w:val="22"/>
          <w:highlight w:val="none"/>
        </w:rPr>
      </w:pPr>
      <w:bookmarkStart w:id="9" w:name="_Toc132122414"/>
      <w:bookmarkEnd w:id="9"/>
      <w:bookmarkStart w:id="10" w:name="_Toc132122117"/>
      <w:bookmarkEnd w:id="10"/>
      <w:bookmarkStart w:id="11" w:name="_Toc132122415"/>
      <w:bookmarkStart w:id="12" w:name="_Toc132122118"/>
      <w:r>
        <w:rPr>
          <w:rFonts w:hint="eastAsia"/>
          <w:color w:val="auto"/>
          <w:sz w:val="22"/>
          <w:szCs w:val="22"/>
          <w:highlight w:val="none"/>
        </w:rPr>
        <w:t>5、投标文件的有效期</w:t>
      </w:r>
    </w:p>
    <w:p w14:paraId="66EC21FF">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5CBD3BD0">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5BD2D3D8">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2798C3DD">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4D4711C5">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2493A2D8">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66848A02">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E06D1CA">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45DEB9FF">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71CD4389">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w:t>
      </w:r>
      <w:r>
        <w:rPr>
          <w:rFonts w:hint="eastAsia" w:hAnsi="宋体"/>
          <w:color w:val="auto"/>
          <w:sz w:val="22"/>
          <w:szCs w:val="22"/>
          <w:highlight w:val="none"/>
          <w:lang w:eastAsia="zh-CN"/>
        </w:rPr>
        <w:t>乐采云电子交易客户端</w:t>
      </w:r>
      <w:r>
        <w:rPr>
          <w:rFonts w:hint="eastAsia" w:hAnsi="宋体"/>
          <w:color w:val="auto"/>
          <w:sz w:val="22"/>
          <w:szCs w:val="22"/>
          <w:highlight w:val="none"/>
        </w:rPr>
        <w:t>”完成投标文件编制后生成并加密的数据电文形式的投标文件。</w:t>
      </w:r>
    </w:p>
    <w:p w14:paraId="2C850C03">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157E2F15">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627AEB34">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27F7C4C8">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0DCF3DF4">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4BA433F9">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3809E0D2">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155DC3ED">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1471936C">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728EAAA9">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olor w:val="auto"/>
          <w:sz w:val="22"/>
          <w:szCs w:val="22"/>
          <w:highlight w:val="none"/>
          <w:lang w:eastAsia="zh-CN"/>
        </w:rPr>
        <w:t>乐采云-政企采购开放平台</w:t>
      </w:r>
      <w:r>
        <w:rPr>
          <w:rFonts w:hint="eastAsia" w:hAnsi="宋体"/>
          <w:color w:val="auto"/>
          <w:sz w:val="22"/>
          <w:szCs w:val="22"/>
          <w:highlight w:val="none"/>
        </w:rPr>
        <w:t>”将予以拒收。</w:t>
      </w:r>
    </w:p>
    <w:p w14:paraId="56591464">
      <w:pPr>
        <w:pStyle w:val="40"/>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1BFF990E">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144ABD2C">
      <w:pPr>
        <w:pStyle w:val="4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39E36C90">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D800F04">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550971A6">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5720F120">
      <w:pPr>
        <w:snapToGrid w:val="0"/>
        <w:spacing w:line="42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w:t>
      </w:r>
      <w:r>
        <w:rPr>
          <w:rFonts w:hint="eastAsia"/>
          <w:color w:val="auto"/>
          <w:sz w:val="22"/>
          <w:szCs w:val="22"/>
          <w:highlight w:val="none"/>
          <w:lang w:eastAsia="zh-CN"/>
        </w:rPr>
        <w:t>乐采云-政企采购开放平台</w:t>
      </w:r>
      <w:r>
        <w:rPr>
          <w:rFonts w:hint="eastAsia"/>
          <w:color w:val="auto"/>
          <w:sz w:val="22"/>
          <w:szCs w:val="22"/>
          <w:highlight w:val="none"/>
        </w:rPr>
        <w:t>”组织开标、开启投标文件，所有供应商均应当准时在线参加。</w:t>
      </w:r>
    </w:p>
    <w:p w14:paraId="7DDFB8D9">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D637F44">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0EBE595C">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w:t>
      </w:r>
      <w:r>
        <w:rPr>
          <w:rFonts w:hint="eastAsia"/>
          <w:color w:val="auto"/>
          <w:sz w:val="22"/>
          <w:szCs w:val="22"/>
          <w:highlight w:val="none"/>
          <w:lang w:eastAsia="zh-CN"/>
        </w:rPr>
        <w:t>乐采云-政企采购开放平台</w:t>
      </w:r>
      <w:r>
        <w:rPr>
          <w:rFonts w:hint="eastAsia"/>
          <w:color w:val="auto"/>
          <w:sz w:val="22"/>
          <w:szCs w:val="22"/>
          <w:highlight w:val="none"/>
        </w:rPr>
        <w:t>”组织开标、开启投标文件，所有供应商均应当准时在线参加。</w:t>
      </w:r>
      <w:r>
        <w:rPr>
          <w:rFonts w:hint="eastAsia"/>
          <w:color w:val="auto"/>
          <w:sz w:val="22"/>
          <w:szCs w:val="22"/>
          <w:highlight w:val="none"/>
          <w:lang w:eastAsia="zh-CN"/>
        </w:rPr>
        <w:t>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w:t>
      </w:r>
      <w:r>
        <w:rPr>
          <w:rFonts w:hint="eastAsia"/>
          <w:color w:val="auto"/>
          <w:sz w:val="22"/>
          <w:szCs w:val="22"/>
          <w:highlight w:val="none"/>
          <w:lang w:eastAsia="zh-CN"/>
        </w:rPr>
        <w:t>投标供应商</w:t>
      </w:r>
      <w:r>
        <w:rPr>
          <w:rFonts w:hint="eastAsia"/>
          <w:color w:val="auto"/>
          <w:sz w:val="22"/>
          <w:szCs w:val="22"/>
          <w:highlight w:val="none"/>
        </w:rPr>
        <w:t>因未在线参加开标而导致投标文件无法按时解密等一切后果由供应商自己承担。</w:t>
      </w:r>
    </w:p>
    <w:p w14:paraId="6BBCACFE">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718A300">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56C868C9">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w:t>
      </w:r>
      <w:r>
        <w:rPr>
          <w:rFonts w:hint="eastAsia"/>
          <w:color w:val="auto"/>
          <w:sz w:val="22"/>
          <w:szCs w:val="22"/>
          <w:highlight w:val="none"/>
          <w:lang w:eastAsia="zh-CN"/>
        </w:rPr>
        <w:t>投标供应商</w:t>
      </w:r>
      <w:r>
        <w:rPr>
          <w:rFonts w:hint="eastAsia"/>
          <w:color w:val="auto"/>
          <w:sz w:val="22"/>
          <w:szCs w:val="22"/>
          <w:highlight w:val="none"/>
        </w:rPr>
        <w:t>发出电子加密投标文件【开始解密】通知，由供应商按招标文件规定的时间内自行进行投标文件解密。</w:t>
      </w:r>
      <w:r>
        <w:rPr>
          <w:rFonts w:hint="eastAsia"/>
          <w:color w:val="auto"/>
          <w:sz w:val="22"/>
          <w:szCs w:val="22"/>
          <w:highlight w:val="none"/>
          <w:lang w:eastAsia="zh-CN"/>
        </w:rPr>
        <w:t>投标供应商</w:t>
      </w:r>
      <w:r>
        <w:rPr>
          <w:rFonts w:hint="eastAsia"/>
          <w:color w:val="auto"/>
          <w:sz w:val="22"/>
          <w:szCs w:val="22"/>
          <w:highlight w:val="none"/>
        </w:rPr>
        <w:t>在规定的时间内无法完成已递交的“电子加密投标文件”解密的，如已按规定递交了备份投标文件的，将由采购组织机构按“</w:t>
      </w:r>
      <w:r>
        <w:rPr>
          <w:rFonts w:hint="eastAsia"/>
          <w:color w:val="auto"/>
          <w:sz w:val="22"/>
          <w:szCs w:val="22"/>
          <w:highlight w:val="none"/>
          <w:lang w:eastAsia="zh-CN"/>
        </w:rPr>
        <w:t>乐采云-政企采购开放平台</w:t>
      </w:r>
      <w:r>
        <w:rPr>
          <w:rFonts w:hint="eastAsia"/>
          <w:color w:val="auto"/>
          <w:sz w:val="22"/>
          <w:szCs w:val="22"/>
          <w:highlight w:val="none"/>
        </w:rPr>
        <w:t>”操作规范将备份投标文件上传至“</w:t>
      </w:r>
      <w:r>
        <w:rPr>
          <w:rFonts w:hint="eastAsia"/>
          <w:color w:val="auto"/>
          <w:sz w:val="22"/>
          <w:szCs w:val="22"/>
          <w:highlight w:val="none"/>
          <w:lang w:eastAsia="zh-CN"/>
        </w:rPr>
        <w:t>乐采云-政企采购开放平台</w:t>
      </w:r>
      <w:r>
        <w:rPr>
          <w:rFonts w:hint="eastAsia"/>
          <w:color w:val="auto"/>
          <w:sz w:val="22"/>
          <w:szCs w:val="22"/>
          <w:highlight w:val="none"/>
        </w:rPr>
        <w:t>”，上传成功后，“电子加密投标文件”自动失效；</w:t>
      </w:r>
    </w:p>
    <w:p w14:paraId="4B414694">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5D090586">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4BBFEC3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2D9F361D">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2B03137E">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1C1FA5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341623FB">
      <w:pPr>
        <w:numPr>
          <w:ilvl w:val="0"/>
          <w:numId w:val="11"/>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20584DA2">
      <w:pPr>
        <w:numPr>
          <w:ilvl w:val="0"/>
          <w:numId w:val="11"/>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D146C31">
      <w:pPr>
        <w:numPr>
          <w:ilvl w:val="0"/>
          <w:numId w:val="11"/>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5174BEA1">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b/>
          <w:color w:val="auto"/>
          <w:sz w:val="22"/>
          <w:szCs w:val="22"/>
          <w:highlight w:val="none"/>
          <w:lang w:eastAsia="zh-CN"/>
        </w:rPr>
        <w:t>乐采云-政企采购开放平台</w:t>
      </w:r>
      <w:r>
        <w:rPr>
          <w:rFonts w:hint="eastAsia"/>
          <w:b/>
          <w:color w:val="auto"/>
          <w:sz w:val="22"/>
          <w:szCs w:val="22"/>
          <w:highlight w:val="none"/>
        </w:rPr>
        <w:t>”电子化开标或评审程序调整的，按调整后程序执行。</w:t>
      </w:r>
    </w:p>
    <w:p w14:paraId="7FDEDEAC">
      <w:pPr>
        <w:snapToGrid w:val="0"/>
        <w:spacing w:line="420" w:lineRule="exact"/>
        <w:ind w:firstLine="527"/>
        <w:rPr>
          <w:rFonts w:hint="eastAsia"/>
          <w:b/>
          <w:color w:val="auto"/>
          <w:sz w:val="22"/>
          <w:szCs w:val="22"/>
          <w:highlight w:val="none"/>
        </w:rPr>
      </w:pPr>
      <w:bookmarkStart w:id="13" w:name="_Toc33194393"/>
      <w:bookmarkEnd w:id="13"/>
      <w:bookmarkStart w:id="14" w:name="_Toc24550037"/>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046CB32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7A6E0D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1884997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19C84077">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6B57EE00">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FF203E9">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8043E18">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17CE9C17">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1F4446C5">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752406C">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5501969">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8BDC297">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6792DC5B">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75ABB2CB">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CC6FC78">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69796AA">
      <w:pPr>
        <w:pStyle w:val="4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4771888">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B440D23">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14D77125">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7A029409">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7837C177">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38FF0938">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621865C5">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0084CCF1">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98C16F9">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308DEB5D">
      <w:pPr>
        <w:pStyle w:val="4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016BC0">
      <w:pPr>
        <w:pStyle w:val="4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15EE5AE8">
      <w:pPr>
        <w:pStyle w:val="40"/>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29D2953C">
      <w:pPr>
        <w:pStyle w:val="40"/>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51D4F67B">
      <w:pPr>
        <w:pStyle w:val="40"/>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FA05056">
      <w:pPr>
        <w:pStyle w:val="40"/>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0F1294CD">
      <w:pPr>
        <w:pStyle w:val="40"/>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1B386005">
      <w:pPr>
        <w:pStyle w:val="4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670357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09A25C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4742A4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573D818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0CA14AC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w:t>
      </w:r>
      <w:r>
        <w:rPr>
          <w:rFonts w:hint="eastAsia"/>
          <w:color w:val="auto"/>
          <w:sz w:val="22"/>
          <w:szCs w:val="22"/>
          <w:highlight w:val="none"/>
          <w:lang w:eastAsia="zh-CN"/>
        </w:rPr>
        <w:t>乐采云-政企采购开放平台</w:t>
      </w:r>
      <w:r>
        <w:rPr>
          <w:rFonts w:hint="eastAsia"/>
          <w:color w:val="auto"/>
          <w:sz w:val="22"/>
          <w:szCs w:val="22"/>
          <w:highlight w:val="none"/>
        </w:rPr>
        <w:t>”在线询标）的形式要求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2536C72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的澄清、说明或者补正应当采用书面（或通过“</w:t>
      </w:r>
      <w:r>
        <w:rPr>
          <w:rFonts w:hint="eastAsia"/>
          <w:color w:val="auto"/>
          <w:sz w:val="22"/>
          <w:szCs w:val="22"/>
          <w:highlight w:val="none"/>
          <w:lang w:eastAsia="zh-CN"/>
        </w:rPr>
        <w:t>乐采云-政企采购开放平台</w:t>
      </w:r>
      <w:r>
        <w:rPr>
          <w:rFonts w:hint="eastAsia"/>
          <w:color w:val="auto"/>
          <w:sz w:val="22"/>
          <w:szCs w:val="22"/>
          <w:highlight w:val="none"/>
        </w:rPr>
        <w:t>”在线答复）形式提交，并加盖公章，或者由法定代表人或其授权的代表签字。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C06A406">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5E3B2E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586A491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6C26D0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39B7B62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74297EA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FE0F72F">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CF27E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6A4035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7ADF41E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047AD6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82A31E">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23D9CFE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03BCAB3">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1CA5278">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6A22104F">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61891EE2">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7189A082">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6CFEC5D1">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093BFC92">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ADC0687">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404B2289">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5CA468CA">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6CFCFC2">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4204644A">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3EDD501E">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A07D045">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557CFED1">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71CF8D61">
      <w:pPr>
        <w:pStyle w:val="4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C70076E">
      <w:pPr>
        <w:pStyle w:val="40"/>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4B9C13A2">
      <w:pPr>
        <w:pStyle w:val="4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ascii="宋体" w:eastAsia="宋体"/>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78788</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007E4094">
      <w:pPr>
        <w:pStyle w:val="4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66486038">
      <w:pPr>
        <w:pStyle w:val="4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2AF2A679">
      <w:pPr>
        <w:pStyle w:val="4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7A9D4C95">
      <w:pPr>
        <w:snapToGrid w:val="0"/>
        <w:spacing w:line="460" w:lineRule="exact"/>
        <w:jc w:val="center"/>
        <w:rPr>
          <w:rFonts w:hint="eastAsia" w:ascii="宋体" w:hAnsi="宋体"/>
          <w:b/>
          <w:color w:val="auto"/>
          <w:sz w:val="32"/>
          <w:szCs w:val="32"/>
          <w:highlight w:val="none"/>
        </w:rPr>
      </w:pPr>
    </w:p>
    <w:p w14:paraId="46E0209A">
      <w:pPr>
        <w:widowControl/>
        <w:autoSpaceDE w:val="0"/>
        <w:autoSpaceDN w:val="0"/>
        <w:snapToGrid w:val="0"/>
        <w:spacing w:line="420" w:lineRule="exact"/>
        <w:ind w:firstLine="450"/>
        <w:jc w:val="center"/>
        <w:rPr>
          <w:color w:val="auto"/>
          <w:sz w:val="32"/>
          <w:highlight w:val="none"/>
        </w:rPr>
      </w:pPr>
    </w:p>
    <w:p w14:paraId="574050D4">
      <w:pPr>
        <w:widowControl/>
        <w:autoSpaceDE w:val="0"/>
        <w:autoSpaceDN w:val="0"/>
        <w:snapToGrid w:val="0"/>
        <w:spacing w:line="420" w:lineRule="exact"/>
        <w:ind w:firstLine="450"/>
        <w:jc w:val="center"/>
        <w:rPr>
          <w:color w:val="auto"/>
          <w:sz w:val="32"/>
          <w:highlight w:val="none"/>
        </w:rPr>
      </w:pPr>
    </w:p>
    <w:p w14:paraId="612BAF40">
      <w:pPr>
        <w:widowControl/>
        <w:autoSpaceDE w:val="0"/>
        <w:autoSpaceDN w:val="0"/>
        <w:snapToGrid w:val="0"/>
        <w:spacing w:line="420" w:lineRule="exact"/>
        <w:ind w:firstLine="450"/>
        <w:jc w:val="center"/>
        <w:rPr>
          <w:color w:val="auto"/>
          <w:sz w:val="32"/>
          <w:highlight w:val="none"/>
        </w:rPr>
      </w:pPr>
    </w:p>
    <w:p w14:paraId="5922FEE4">
      <w:pPr>
        <w:widowControl/>
        <w:autoSpaceDE w:val="0"/>
        <w:autoSpaceDN w:val="0"/>
        <w:snapToGrid w:val="0"/>
        <w:spacing w:line="420" w:lineRule="exact"/>
        <w:ind w:firstLine="450"/>
        <w:jc w:val="center"/>
        <w:rPr>
          <w:color w:val="auto"/>
          <w:sz w:val="32"/>
          <w:highlight w:val="none"/>
        </w:rPr>
      </w:pPr>
    </w:p>
    <w:p w14:paraId="52C58BEC">
      <w:pPr>
        <w:widowControl/>
        <w:autoSpaceDE w:val="0"/>
        <w:autoSpaceDN w:val="0"/>
        <w:snapToGrid w:val="0"/>
        <w:spacing w:line="420" w:lineRule="exact"/>
        <w:jc w:val="both"/>
        <w:rPr>
          <w:color w:val="auto"/>
          <w:sz w:val="32"/>
          <w:highlight w:val="none"/>
        </w:rPr>
      </w:pPr>
    </w:p>
    <w:p w14:paraId="3E891DE8">
      <w:pPr>
        <w:widowControl/>
        <w:autoSpaceDE w:val="0"/>
        <w:autoSpaceDN w:val="0"/>
        <w:snapToGrid w:val="0"/>
        <w:spacing w:line="420" w:lineRule="exact"/>
        <w:jc w:val="both"/>
        <w:rPr>
          <w:color w:val="auto"/>
          <w:sz w:val="32"/>
          <w:highlight w:val="none"/>
        </w:rPr>
      </w:pPr>
    </w:p>
    <w:p w14:paraId="19229CE3">
      <w:pPr>
        <w:pStyle w:val="18"/>
        <w:rPr>
          <w:color w:val="auto"/>
          <w:sz w:val="32"/>
          <w:highlight w:val="none"/>
        </w:rPr>
      </w:pPr>
    </w:p>
    <w:p w14:paraId="360F0C53">
      <w:pPr>
        <w:pStyle w:val="18"/>
        <w:rPr>
          <w:color w:val="auto"/>
          <w:sz w:val="32"/>
          <w:highlight w:val="none"/>
        </w:rPr>
      </w:pPr>
    </w:p>
    <w:p w14:paraId="4EDF7239">
      <w:pPr>
        <w:pStyle w:val="18"/>
        <w:rPr>
          <w:color w:val="auto"/>
          <w:sz w:val="32"/>
          <w:highlight w:val="none"/>
        </w:rPr>
      </w:pPr>
    </w:p>
    <w:p w14:paraId="7A814067">
      <w:pPr>
        <w:pStyle w:val="18"/>
        <w:rPr>
          <w:color w:val="auto"/>
          <w:sz w:val="32"/>
          <w:highlight w:val="none"/>
        </w:rPr>
      </w:pPr>
    </w:p>
    <w:p w14:paraId="348891DB">
      <w:pPr>
        <w:pStyle w:val="18"/>
        <w:rPr>
          <w:color w:val="auto"/>
          <w:sz w:val="32"/>
          <w:highlight w:val="none"/>
        </w:rPr>
      </w:pPr>
    </w:p>
    <w:p w14:paraId="5FEFC0EF">
      <w:pPr>
        <w:pStyle w:val="18"/>
        <w:rPr>
          <w:color w:val="auto"/>
          <w:sz w:val="32"/>
          <w:highlight w:val="none"/>
        </w:rPr>
      </w:pPr>
    </w:p>
    <w:p w14:paraId="6A561A50">
      <w:pPr>
        <w:pStyle w:val="18"/>
        <w:rPr>
          <w:color w:val="auto"/>
          <w:sz w:val="32"/>
          <w:highlight w:val="none"/>
        </w:rPr>
      </w:pPr>
    </w:p>
    <w:p w14:paraId="47FD377D">
      <w:pPr>
        <w:pStyle w:val="18"/>
        <w:rPr>
          <w:color w:val="auto"/>
          <w:sz w:val="32"/>
          <w:highlight w:val="none"/>
        </w:rPr>
      </w:pPr>
    </w:p>
    <w:p w14:paraId="33D1DD5B">
      <w:pPr>
        <w:pStyle w:val="18"/>
        <w:rPr>
          <w:color w:val="auto"/>
          <w:sz w:val="32"/>
          <w:highlight w:val="none"/>
        </w:rPr>
      </w:pPr>
    </w:p>
    <w:p w14:paraId="435B06DF">
      <w:pPr>
        <w:pStyle w:val="18"/>
        <w:rPr>
          <w:color w:val="auto"/>
          <w:sz w:val="32"/>
          <w:highlight w:val="none"/>
        </w:rPr>
      </w:pPr>
    </w:p>
    <w:p w14:paraId="21F68D8C">
      <w:pPr>
        <w:pStyle w:val="18"/>
        <w:rPr>
          <w:color w:val="auto"/>
          <w:sz w:val="32"/>
          <w:highlight w:val="none"/>
        </w:rPr>
      </w:pPr>
    </w:p>
    <w:p w14:paraId="2B5C8368">
      <w:pPr>
        <w:pStyle w:val="18"/>
        <w:rPr>
          <w:color w:val="auto"/>
          <w:sz w:val="32"/>
          <w:highlight w:val="none"/>
        </w:rPr>
      </w:pPr>
    </w:p>
    <w:p w14:paraId="5F654307">
      <w:pPr>
        <w:pStyle w:val="18"/>
        <w:rPr>
          <w:color w:val="auto"/>
          <w:sz w:val="32"/>
          <w:highlight w:val="none"/>
        </w:rPr>
      </w:pPr>
    </w:p>
    <w:p w14:paraId="0764BCED">
      <w:pPr>
        <w:pStyle w:val="18"/>
        <w:rPr>
          <w:color w:val="auto"/>
          <w:sz w:val="32"/>
          <w:highlight w:val="none"/>
        </w:rPr>
      </w:pPr>
    </w:p>
    <w:p w14:paraId="2A2ED2E1">
      <w:pPr>
        <w:pStyle w:val="18"/>
        <w:rPr>
          <w:color w:val="auto"/>
          <w:sz w:val="32"/>
          <w:highlight w:val="none"/>
        </w:rPr>
      </w:pPr>
    </w:p>
    <w:p w14:paraId="437FC2BF">
      <w:pPr>
        <w:widowControl/>
        <w:autoSpaceDE w:val="0"/>
        <w:autoSpaceDN w:val="0"/>
        <w:snapToGrid w:val="0"/>
        <w:spacing w:line="420" w:lineRule="exact"/>
        <w:ind w:firstLine="450"/>
        <w:jc w:val="center"/>
        <w:rPr>
          <w:color w:val="auto"/>
          <w:sz w:val="32"/>
          <w:highlight w:val="none"/>
        </w:rPr>
      </w:pPr>
    </w:p>
    <w:p w14:paraId="5D323448">
      <w:pPr>
        <w:pStyle w:val="5"/>
        <w:rPr>
          <w:color w:val="auto"/>
          <w:sz w:val="32"/>
          <w:highlight w:val="none"/>
        </w:rPr>
      </w:pPr>
    </w:p>
    <w:p w14:paraId="5793AA9F">
      <w:pPr>
        <w:rPr>
          <w:color w:val="auto"/>
          <w:sz w:val="32"/>
          <w:highlight w:val="none"/>
        </w:rPr>
      </w:pPr>
    </w:p>
    <w:p w14:paraId="3763FF11">
      <w:pPr>
        <w:pStyle w:val="2"/>
        <w:rPr>
          <w:color w:val="auto"/>
          <w:sz w:val="32"/>
          <w:highlight w:val="none"/>
        </w:rPr>
      </w:pPr>
    </w:p>
    <w:p w14:paraId="0612FB27">
      <w:pPr>
        <w:rPr>
          <w:color w:val="auto"/>
          <w:sz w:val="32"/>
          <w:highlight w:val="none"/>
        </w:rPr>
      </w:pPr>
    </w:p>
    <w:p w14:paraId="47F05ED5">
      <w:pPr>
        <w:pStyle w:val="2"/>
      </w:pPr>
    </w:p>
    <w:p w14:paraId="4ADE78CE">
      <w:pPr>
        <w:pStyle w:val="5"/>
        <w:rPr>
          <w:color w:val="auto"/>
          <w:highlight w:val="none"/>
        </w:rPr>
      </w:pPr>
    </w:p>
    <w:p w14:paraId="3063F5AB">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555C4B23">
      <w:pPr>
        <w:widowControl/>
        <w:snapToGrid w:val="0"/>
        <w:jc w:val="left"/>
        <w:rPr>
          <w:color w:val="auto"/>
          <w:sz w:val="22"/>
          <w:highlight w:val="none"/>
        </w:rPr>
      </w:pPr>
    </w:p>
    <w:p w14:paraId="64C2BBDF">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5C7D1868">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39DB2B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5BBBFE7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07A8B36A">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AF57CF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01CAFE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B4802F1">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030FBD2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2FFE318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DCABF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45DEFD1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5CF8888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53A1130D">
      <w:pPr>
        <w:rPr>
          <w:rFonts w:hint="eastAsia" w:ascii="宋体" w:hAnsi="宋体" w:eastAsia="宋体"/>
          <w:b/>
          <w:bCs/>
          <w:color w:val="auto"/>
          <w:sz w:val="22"/>
          <w:szCs w:val="22"/>
          <w:highlight w:val="none"/>
          <w:u w:val="single"/>
        </w:rPr>
      </w:pPr>
      <w:r>
        <w:rPr>
          <w:rFonts w:hint="eastAsia" w:ascii="宋体" w:hAnsi="宋体" w:eastAsia="宋体"/>
          <w:b/>
          <w:bCs/>
          <w:color w:val="auto"/>
          <w:sz w:val="22"/>
          <w:szCs w:val="22"/>
          <w:highlight w:val="none"/>
          <w:u w:val="single"/>
        </w:rPr>
        <w:t>（3）</w:t>
      </w:r>
      <w:r>
        <w:rPr>
          <w:rFonts w:hint="eastAsia" w:ascii="宋体" w:hAnsi="宋体" w:cs="宋体"/>
          <w:b/>
          <w:bCs/>
          <w:color w:val="auto"/>
          <w:sz w:val="22"/>
          <w:szCs w:val="22"/>
          <w:highlight w:val="none"/>
          <w:u w:val="single"/>
        </w:rPr>
        <w:t>本项目对小型和微型企业产</w:t>
      </w:r>
      <w:r>
        <w:rPr>
          <w:rFonts w:hint="eastAsia" w:ascii="宋体" w:hAnsi="宋体" w:eastAsia="宋体" w:cs="宋体"/>
          <w:b/>
          <w:bCs/>
          <w:color w:val="auto"/>
          <w:sz w:val="22"/>
          <w:szCs w:val="22"/>
          <w:highlight w:val="none"/>
          <w:u w:val="single"/>
        </w:rPr>
        <w:t>品的价格给予</w:t>
      </w:r>
      <w:r>
        <w:rPr>
          <w:rFonts w:hint="eastAsia" w:ascii="宋体" w:hAnsi="宋体" w:eastAsia="宋体" w:cs="宋体"/>
          <w:b/>
          <w:bCs/>
          <w:color w:val="auto"/>
          <w:sz w:val="22"/>
          <w:szCs w:val="22"/>
          <w:highlight w:val="none"/>
          <w:u w:val="single"/>
          <w:lang w:val="en-US" w:eastAsia="zh-CN"/>
        </w:rPr>
        <w:t>6</w:t>
      </w:r>
      <w:r>
        <w:rPr>
          <w:rFonts w:hint="eastAsia" w:ascii="宋体" w:hAnsi="宋体" w:eastAsia="宋体" w:cs="宋体"/>
          <w:b/>
          <w:bCs/>
          <w:color w:val="auto"/>
          <w:sz w:val="22"/>
          <w:szCs w:val="22"/>
          <w:highlight w:val="none"/>
          <w:u w:val="single"/>
        </w:rPr>
        <w:t>%的扣除</w:t>
      </w:r>
      <w:r>
        <w:rPr>
          <w:rFonts w:hint="eastAsia" w:ascii="宋体" w:hAnsi="宋体" w:eastAsia="宋体" w:cs="宋体"/>
          <w:b/>
          <w:bCs/>
          <w:color w:val="auto"/>
          <w:sz w:val="22"/>
          <w:szCs w:val="22"/>
          <w:highlight w:val="none"/>
          <w:u w:val="single"/>
          <w:lang w:val="en-US" w:eastAsia="zh-CN"/>
        </w:rPr>
        <w:t>（小型和微型企业认定为施工单位与所投产品的制造商或经销商均为小型或微型企业）</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用扣除后的价格参与评审。</w:t>
      </w:r>
    </w:p>
    <w:p w14:paraId="63C1E930">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2F20B7AA">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496925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177341C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DBB893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06178BC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CCB1FD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4562437">
      <w:pPr>
        <w:spacing w:line="440" w:lineRule="atLeast"/>
        <w:jc w:val="left"/>
        <w:rPr>
          <w:rFonts w:hint="eastAsia" w:ascii="宋体" w:hAnsi="宋体" w:eastAsia="宋体"/>
          <w:color w:val="auto"/>
          <w:sz w:val="22"/>
          <w:szCs w:val="22"/>
          <w:highlight w:val="none"/>
        </w:rPr>
      </w:pPr>
    </w:p>
    <w:p w14:paraId="1D8C6F5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3D33970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0EB4F20C">
      <w:pPr>
        <w:numPr>
          <w:ilvl w:val="0"/>
          <w:numId w:val="12"/>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建筑业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6C888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CC0322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E0EEC0D">
      <w:pPr>
        <w:spacing w:line="400" w:lineRule="exact"/>
        <w:ind w:firstLine="440" w:firstLineChars="200"/>
        <w:rPr>
          <w:rFonts w:hint="eastAsia" w:ascii="宋体" w:hAnsi="宋体" w:eastAsia="宋体"/>
          <w:color w:val="auto"/>
          <w:sz w:val="22"/>
          <w:szCs w:val="22"/>
          <w:highlight w:val="none"/>
        </w:rPr>
      </w:pPr>
    </w:p>
    <w:p w14:paraId="6AC754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3B47FF9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B28479E">
      <w:pPr>
        <w:pStyle w:val="35"/>
        <w:rPr>
          <w:rFonts w:hint="eastAsia" w:ascii="宋体" w:hAnsi="宋体" w:eastAsia="宋体"/>
          <w:color w:val="auto"/>
          <w:highlight w:val="none"/>
          <w:lang w:eastAsia="zh-CN"/>
        </w:rPr>
      </w:pPr>
    </w:p>
    <w:p w14:paraId="007CA27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703011D5">
      <w:pPr>
        <w:snapToGrid w:val="0"/>
        <w:spacing w:line="360" w:lineRule="auto"/>
        <w:rPr>
          <w:rFonts w:hint="eastAsia" w:ascii="宋体" w:hAnsi="宋体" w:eastAsia="宋体"/>
          <w:b/>
          <w:bCs/>
          <w:color w:val="auto"/>
          <w:highlight w:val="none"/>
        </w:rPr>
      </w:pPr>
    </w:p>
    <w:p w14:paraId="66DBF4B6">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CA6E4A2">
      <w:pPr>
        <w:snapToGrid w:val="0"/>
        <w:spacing w:line="360" w:lineRule="auto"/>
        <w:jc w:val="center"/>
        <w:rPr>
          <w:rFonts w:hint="eastAsia" w:ascii="宋体" w:hAnsi="宋体" w:eastAsia="宋体"/>
          <w:b/>
          <w:color w:val="auto"/>
          <w:sz w:val="32"/>
          <w:szCs w:val="40"/>
          <w:highlight w:val="none"/>
        </w:rPr>
      </w:pPr>
    </w:p>
    <w:p w14:paraId="17FEAD76">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08878D64">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CE62FE7">
      <w:pPr>
        <w:snapToGrid w:val="0"/>
        <w:spacing w:line="360" w:lineRule="auto"/>
        <w:ind w:firstLine="420" w:firstLineChars="200"/>
        <w:rPr>
          <w:rFonts w:hint="eastAsia" w:ascii="宋体" w:hAnsi="宋体" w:eastAsia="宋体"/>
          <w:color w:val="auto"/>
          <w:sz w:val="21"/>
          <w:szCs w:val="21"/>
          <w:highlight w:val="none"/>
        </w:rPr>
      </w:pPr>
    </w:p>
    <w:p w14:paraId="063A3F6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162220F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B7D9E1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02DF7303">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658792BB">
      <w:pPr>
        <w:snapToGrid w:val="0"/>
        <w:spacing w:line="360" w:lineRule="auto"/>
        <w:ind w:firstLine="420" w:firstLineChars="200"/>
        <w:rPr>
          <w:rFonts w:hint="eastAsia" w:ascii="宋体" w:hAnsi="宋体" w:eastAsia="宋体"/>
          <w:color w:val="auto"/>
          <w:sz w:val="21"/>
          <w:szCs w:val="21"/>
          <w:highlight w:val="none"/>
        </w:rPr>
      </w:pPr>
    </w:p>
    <w:p w14:paraId="0555B749">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BC357A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21F94FF8">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5DB0F750">
      <w:pPr>
        <w:snapToGrid w:val="0"/>
        <w:spacing w:line="360" w:lineRule="auto"/>
        <w:ind w:firstLine="420" w:firstLineChars="200"/>
        <w:rPr>
          <w:rFonts w:hint="eastAsia" w:ascii="宋体" w:hAnsi="宋体" w:eastAsia="宋体"/>
          <w:color w:val="auto"/>
          <w:sz w:val="21"/>
          <w:szCs w:val="21"/>
          <w:highlight w:val="none"/>
        </w:rPr>
      </w:pPr>
    </w:p>
    <w:p w14:paraId="6E95BF5E">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A73916">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3EE7AC00">
      <w:pPr>
        <w:snapToGrid w:val="0"/>
        <w:spacing w:line="360" w:lineRule="auto"/>
        <w:ind w:firstLine="420" w:firstLineChars="200"/>
        <w:rPr>
          <w:rFonts w:hint="eastAsia" w:ascii="宋体" w:hAnsi="宋体" w:eastAsia="宋体"/>
          <w:color w:val="auto"/>
          <w:sz w:val="21"/>
          <w:szCs w:val="21"/>
          <w:highlight w:val="none"/>
        </w:rPr>
      </w:pPr>
    </w:p>
    <w:p w14:paraId="6927D99C">
      <w:pPr>
        <w:snapToGrid w:val="0"/>
        <w:spacing w:line="360" w:lineRule="auto"/>
        <w:ind w:firstLine="420" w:firstLineChars="200"/>
        <w:rPr>
          <w:rFonts w:hint="eastAsia" w:ascii="宋体" w:hAnsi="宋体" w:eastAsia="宋体"/>
          <w:color w:val="auto"/>
          <w:sz w:val="21"/>
          <w:szCs w:val="21"/>
          <w:highlight w:val="none"/>
        </w:rPr>
      </w:pPr>
    </w:p>
    <w:p w14:paraId="554C2633">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5E1D225F">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3DA7D2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3E7F21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4F1844D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5257C3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7FCFC5F5">
      <w:pPr>
        <w:pStyle w:val="33"/>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06BBF0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0C78F7E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2C70BA3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6E75C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929542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1157F3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71BD88D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6FF2DC3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612894CA">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2208B842">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3681BAE5">
      <w:pPr>
        <w:pStyle w:val="40"/>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522DFAF3">
      <w:pPr>
        <w:pStyle w:val="11"/>
        <w:snapToGrid w:val="0"/>
        <w:spacing w:line="400" w:lineRule="exact"/>
        <w:rPr>
          <w:rFonts w:hint="eastAsia" w:ascii="宋体" w:hAnsi="宋体" w:eastAsia="宋体" w:cs="宋体"/>
          <w:color w:val="auto"/>
          <w:sz w:val="22"/>
          <w:szCs w:val="22"/>
          <w:highlight w:val="none"/>
        </w:rPr>
      </w:pPr>
      <w:r>
        <w:rPr>
          <w:rFonts w:hint="eastAsia" w:hAnsi="宋体"/>
          <w:color w:val="auto"/>
          <w:sz w:val="24"/>
          <w:szCs w:val="24"/>
          <w:highlight w:val="none"/>
        </w:rPr>
        <w:t xml:space="preserve"> </w:t>
      </w:r>
      <w:r>
        <w:rPr>
          <w:rFonts w:hint="eastAsia" w:ascii="宋体" w:hAnsi="宋体" w:eastAsia="宋体" w:cs="宋体"/>
          <w:color w:val="auto"/>
          <w:sz w:val="22"/>
          <w:szCs w:val="22"/>
          <w:highlight w:val="none"/>
        </w:rPr>
        <w:t xml:space="preserve"> </w:t>
      </w:r>
    </w:p>
    <w:p w14:paraId="0570EA87">
      <w:pPr>
        <w:adjustRightInd w:val="0"/>
        <w:snapToGrid w:val="0"/>
        <w:spacing w:line="408" w:lineRule="auto"/>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rPr>
        <w:t>采购人（全称）</w:t>
      </w:r>
      <w:r>
        <w:rPr>
          <w:rFonts w:hint="eastAsia" w:ascii="宋体" w:hAnsi="宋体" w:eastAsia="宋体" w:cs="宋体"/>
          <w:bCs/>
          <w:color w:val="auto"/>
          <w:sz w:val="22"/>
          <w:szCs w:val="22"/>
          <w:highlight w:val="none"/>
          <w:lang w:eastAsia="zh-CN"/>
        </w:rPr>
        <w:t>：</w:t>
      </w:r>
      <w:r>
        <w:rPr>
          <w:rFonts w:hint="eastAsia" w:ascii="宋体" w:hAnsi="宋体" w:cs="宋体"/>
          <w:bCs/>
          <w:color w:val="auto"/>
          <w:sz w:val="22"/>
          <w:szCs w:val="22"/>
          <w:highlight w:val="none"/>
          <w:u w:val="single"/>
          <w:lang w:eastAsia="zh-CN"/>
        </w:rPr>
        <w:t>平阳县萧江新农村建设投资有限公司</w:t>
      </w:r>
      <w:r>
        <w:rPr>
          <w:rFonts w:hint="eastAsia" w:ascii="宋体" w:hAnsi="宋体" w:eastAsia="宋体" w:cs="宋体"/>
          <w:bCs/>
          <w:color w:val="auto"/>
          <w:sz w:val="22"/>
          <w:szCs w:val="22"/>
          <w:highlight w:val="none"/>
          <w:u w:val="single"/>
          <w:lang w:eastAsia="zh-CN"/>
        </w:rPr>
        <w:t>（甲方）</w:t>
      </w:r>
    </w:p>
    <w:p w14:paraId="766F8D03">
      <w:pPr>
        <w:adjustRightInd w:val="0"/>
        <w:snapToGrid w:val="0"/>
        <w:spacing w:line="408" w:lineRule="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中标供应商（全称）</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none"/>
          <w:lang w:eastAsia="zh-CN"/>
        </w:rPr>
        <w:t>（乙方）</w:t>
      </w:r>
    </w:p>
    <w:p w14:paraId="18FEA6C5">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根据《中华人民共和国民法典》及有关法律规定，遵循平等、自愿、公平和诚实信用的原则，双方就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施工及有关事项协商一致，共同达成如下协议：</w:t>
      </w:r>
    </w:p>
    <w:p w14:paraId="080EC7DA">
      <w:pPr>
        <w:adjustRightInd w:val="0"/>
        <w:snapToGrid w:val="0"/>
        <w:spacing w:line="408" w:lineRule="auto"/>
        <w:rPr>
          <w:rFonts w:hint="eastAsia" w:ascii="宋体" w:hAnsi="宋体" w:eastAsia="宋体" w:cs="宋体"/>
          <w:bCs/>
          <w:color w:val="auto"/>
          <w:sz w:val="22"/>
          <w:szCs w:val="22"/>
          <w:highlight w:val="none"/>
        </w:rPr>
      </w:pPr>
      <w:bookmarkStart w:id="15" w:name="_Toc351203481"/>
      <w:r>
        <w:rPr>
          <w:rFonts w:hint="eastAsia" w:ascii="宋体" w:hAnsi="宋体" w:eastAsia="宋体" w:cs="宋体"/>
          <w:bCs/>
          <w:color w:val="auto"/>
          <w:sz w:val="22"/>
          <w:szCs w:val="22"/>
          <w:highlight w:val="none"/>
        </w:rPr>
        <w:t>一、工程概况</w:t>
      </w:r>
      <w:bookmarkEnd w:id="15"/>
    </w:p>
    <w:p w14:paraId="30FCEB77">
      <w:pPr>
        <w:adjustRightInd w:val="0"/>
        <w:snapToGrid w:val="0"/>
        <w:spacing w:line="408"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1.工程名称：</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0130110">
      <w:pPr>
        <w:adjustRightInd w:val="0"/>
        <w:snapToGrid w:val="0"/>
        <w:spacing w:line="408"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2.工程地点：</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EB3EEFE">
      <w:pPr>
        <w:adjustRightInd w:val="0"/>
        <w:snapToGrid w:val="0"/>
        <w:spacing w:line="408"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3.工程立项批准文号：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4F6C6639">
      <w:pPr>
        <w:adjustRightInd w:val="0"/>
        <w:snapToGrid w:val="0"/>
        <w:spacing w:line="408"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4.资金来源：</w:t>
      </w:r>
      <w:r>
        <w:rPr>
          <w:rFonts w:hint="eastAsia" w:ascii="宋体" w:hAnsi="宋体" w:eastAsia="宋体" w:cs="宋体"/>
          <w:bCs/>
          <w:color w:val="auto"/>
          <w:sz w:val="22"/>
          <w:szCs w:val="22"/>
          <w:highlight w:val="none"/>
          <w:u w:val="single"/>
          <w:lang w:eastAsia="zh-CN"/>
        </w:rPr>
        <w:t>自筹资金。</w:t>
      </w:r>
    </w:p>
    <w:p w14:paraId="099EEB5D">
      <w:pPr>
        <w:adjustRightInd w:val="0"/>
        <w:snapToGrid w:val="0"/>
        <w:spacing w:line="408"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5.工程内容：采购人提供的施工图纸及招标控制价中所包含的</w:t>
      </w:r>
      <w:r>
        <w:rPr>
          <w:rFonts w:hint="eastAsia" w:ascii="宋体" w:hAnsi="宋体" w:cs="宋体"/>
          <w:bCs/>
          <w:color w:val="auto"/>
          <w:sz w:val="22"/>
          <w:szCs w:val="22"/>
          <w:highlight w:val="none"/>
          <w:u w:val="single"/>
          <w:lang w:eastAsia="zh-CN"/>
        </w:rPr>
        <w:t>农村综合生活配套提升项目</w:t>
      </w:r>
      <w:r>
        <w:rPr>
          <w:rFonts w:hint="eastAsia" w:ascii="宋体" w:hAnsi="宋体" w:eastAsia="宋体" w:cs="宋体"/>
          <w:bCs/>
          <w:color w:val="auto"/>
          <w:sz w:val="22"/>
          <w:szCs w:val="22"/>
          <w:highlight w:val="none"/>
          <w:u w:val="single"/>
          <w:lang w:eastAsia="zh-CN"/>
        </w:rPr>
        <w:t>内容</w:t>
      </w:r>
      <w:r>
        <w:rPr>
          <w:rFonts w:hint="eastAsia" w:ascii="宋体" w:hAnsi="宋体" w:eastAsia="宋体" w:cs="宋体"/>
          <w:bCs/>
          <w:color w:val="auto"/>
          <w:sz w:val="22"/>
          <w:szCs w:val="22"/>
          <w:highlight w:val="none"/>
          <w:u w:val="single"/>
        </w:rPr>
        <w:t>。具体内容详见甲方提供的</w:t>
      </w:r>
      <w:r>
        <w:rPr>
          <w:rFonts w:hint="eastAsia" w:ascii="宋体" w:hAnsi="宋体" w:cs="宋体"/>
          <w:bCs/>
          <w:color w:val="auto"/>
          <w:sz w:val="22"/>
          <w:szCs w:val="22"/>
          <w:highlight w:val="none"/>
          <w:u w:val="single"/>
          <w:lang w:eastAsia="zh-CN"/>
        </w:rPr>
        <w:t>招标控制价</w:t>
      </w:r>
      <w:r>
        <w:rPr>
          <w:rFonts w:hint="eastAsia" w:ascii="宋体" w:hAnsi="宋体" w:eastAsia="宋体" w:cs="宋体"/>
          <w:bCs/>
          <w:color w:val="auto"/>
          <w:sz w:val="22"/>
          <w:szCs w:val="22"/>
          <w:highlight w:val="none"/>
          <w:u w:val="single"/>
        </w:rPr>
        <w:t>及编制说明</w:t>
      </w:r>
      <w:r>
        <w:rPr>
          <w:rFonts w:hint="eastAsia" w:ascii="宋体" w:hAnsi="宋体" w:eastAsia="宋体" w:cs="宋体"/>
          <w:bCs/>
          <w:color w:val="auto"/>
          <w:sz w:val="22"/>
          <w:szCs w:val="22"/>
          <w:highlight w:val="none"/>
        </w:rPr>
        <w:t>。</w:t>
      </w:r>
    </w:p>
    <w:p w14:paraId="4555A829">
      <w:pPr>
        <w:adjustRightInd w:val="0"/>
        <w:snapToGrid w:val="0"/>
        <w:spacing w:line="408"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6.工程承包范围：</w:t>
      </w:r>
      <w:r>
        <w:rPr>
          <w:rFonts w:hint="eastAsia" w:ascii="宋体" w:hAnsi="宋体" w:eastAsia="宋体" w:cs="宋体"/>
          <w:bCs/>
          <w:color w:val="auto"/>
          <w:sz w:val="22"/>
          <w:szCs w:val="22"/>
          <w:highlight w:val="none"/>
          <w:u w:val="single"/>
        </w:rPr>
        <w:t>包工、包料、包工期、包质量、包安全文明施工、包检测验收合格至交付使用等。</w:t>
      </w:r>
    </w:p>
    <w:p w14:paraId="37CE5DDD">
      <w:pPr>
        <w:adjustRightInd w:val="0"/>
        <w:snapToGrid w:val="0"/>
        <w:spacing w:line="408" w:lineRule="auto"/>
        <w:rPr>
          <w:rFonts w:hint="eastAsia" w:ascii="宋体" w:hAnsi="宋体" w:eastAsia="宋体" w:cs="宋体"/>
          <w:bCs/>
          <w:color w:val="auto"/>
          <w:sz w:val="22"/>
          <w:szCs w:val="22"/>
          <w:highlight w:val="none"/>
        </w:rPr>
      </w:pPr>
      <w:bookmarkStart w:id="16" w:name="_Toc351203482"/>
      <w:r>
        <w:rPr>
          <w:rFonts w:hint="eastAsia" w:ascii="宋体" w:hAnsi="宋体" w:eastAsia="宋体" w:cs="宋体"/>
          <w:bCs/>
          <w:color w:val="auto"/>
          <w:sz w:val="22"/>
          <w:szCs w:val="22"/>
          <w:highlight w:val="none"/>
        </w:rPr>
        <w:t>二、合同工期</w:t>
      </w:r>
      <w:bookmarkEnd w:id="16"/>
    </w:p>
    <w:p w14:paraId="66625B47">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计划开工日期：</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53E10180">
      <w:pPr>
        <w:adjustRightInd w:val="0"/>
        <w:snapToGrid w:val="0"/>
        <w:spacing w:line="408" w:lineRule="auto"/>
        <w:ind w:firstLine="45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计划竣工日期：</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w:t>
      </w:r>
    </w:p>
    <w:p w14:paraId="59190CB5">
      <w:pPr>
        <w:adjustRightInd w:val="0"/>
        <w:snapToGrid w:val="0"/>
        <w:spacing w:line="408" w:lineRule="auto"/>
        <w:ind w:firstLine="45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工期总日历天数：</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天。工期总日历天数与根据前述计划开竣工日期计算的工期天数不一致的，以工期总日历天数为准。</w:t>
      </w:r>
    </w:p>
    <w:p w14:paraId="1BEC870E">
      <w:pPr>
        <w:adjustRightInd w:val="0"/>
        <w:snapToGrid w:val="0"/>
        <w:spacing w:line="408" w:lineRule="auto"/>
        <w:rPr>
          <w:rFonts w:hint="eastAsia" w:ascii="宋体" w:hAnsi="宋体" w:eastAsia="宋体" w:cs="宋体"/>
          <w:bCs/>
          <w:color w:val="auto"/>
          <w:sz w:val="22"/>
          <w:szCs w:val="22"/>
          <w:highlight w:val="none"/>
        </w:rPr>
      </w:pPr>
      <w:bookmarkStart w:id="17" w:name="_Toc351203483"/>
      <w:r>
        <w:rPr>
          <w:rFonts w:hint="eastAsia" w:ascii="宋体" w:hAnsi="宋体" w:eastAsia="宋体" w:cs="宋体"/>
          <w:bCs/>
          <w:color w:val="auto"/>
          <w:sz w:val="22"/>
          <w:szCs w:val="22"/>
          <w:highlight w:val="none"/>
        </w:rPr>
        <w:t>三、质量标准</w:t>
      </w:r>
      <w:bookmarkEnd w:id="17"/>
    </w:p>
    <w:p w14:paraId="07FAF403">
      <w:pPr>
        <w:adjustRightInd w:val="0"/>
        <w:snapToGrid w:val="0"/>
        <w:spacing w:line="408" w:lineRule="auto"/>
        <w:ind w:left="149" w:leftChars="71" w:firstLine="226" w:firstLineChars="10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工程质量符合</w:t>
      </w:r>
      <w:r>
        <w:rPr>
          <w:rFonts w:hint="eastAsia" w:ascii="宋体" w:hAnsi="宋体" w:eastAsia="宋体" w:cs="宋体"/>
          <w:bCs/>
          <w:color w:val="auto"/>
          <w:sz w:val="22"/>
          <w:szCs w:val="22"/>
          <w:highlight w:val="none"/>
          <w:u w:val="single"/>
        </w:rPr>
        <w:t xml:space="preserve">  国家规定的验收合格标准，一次性验收合格标准。</w:t>
      </w:r>
    </w:p>
    <w:p w14:paraId="680FD17F">
      <w:pPr>
        <w:adjustRightInd w:val="0"/>
        <w:snapToGrid w:val="0"/>
        <w:spacing w:line="408" w:lineRule="auto"/>
        <w:rPr>
          <w:rFonts w:hint="eastAsia" w:ascii="宋体" w:hAnsi="宋体" w:eastAsia="宋体" w:cs="宋体"/>
          <w:bCs/>
          <w:color w:val="auto"/>
          <w:sz w:val="22"/>
          <w:szCs w:val="22"/>
          <w:highlight w:val="none"/>
        </w:rPr>
      </w:pPr>
      <w:bookmarkStart w:id="18" w:name="_Toc351203484"/>
      <w:r>
        <w:rPr>
          <w:rFonts w:hint="eastAsia" w:ascii="宋体" w:hAnsi="宋体" w:eastAsia="宋体" w:cs="宋体"/>
          <w:bCs/>
          <w:color w:val="auto"/>
          <w:sz w:val="22"/>
          <w:szCs w:val="22"/>
          <w:highlight w:val="none"/>
        </w:rPr>
        <w:t>四、签约合同价与合同价格形式</w:t>
      </w:r>
      <w:bookmarkEnd w:id="18"/>
      <w:r>
        <w:rPr>
          <w:rFonts w:hint="eastAsia" w:ascii="宋体" w:hAnsi="宋体" w:eastAsia="宋体" w:cs="宋体"/>
          <w:bCs/>
          <w:color w:val="auto"/>
          <w:sz w:val="22"/>
          <w:szCs w:val="22"/>
          <w:highlight w:val="none"/>
        </w:rPr>
        <w:tab/>
      </w:r>
    </w:p>
    <w:p w14:paraId="60537525">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1.签约合同价为：</w:t>
      </w:r>
    </w:p>
    <w:p w14:paraId="6511E181">
      <w:pPr>
        <w:adjustRightInd w:val="0"/>
        <w:snapToGrid w:val="0"/>
        <w:spacing w:line="408" w:lineRule="auto"/>
        <w:ind w:firstLine="440" w:firstLineChars="200"/>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rPr>
        <w:t>人民币（大写）</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eastAsia="zh-CN"/>
        </w:rPr>
        <w:t xml:space="preserve">       (¥            元)；</w:t>
      </w:r>
    </w:p>
    <w:p w14:paraId="1DFB76A3">
      <w:pPr>
        <w:numPr>
          <w:ilvl w:val="0"/>
          <w:numId w:val="12"/>
        </w:numPr>
        <w:adjustRightInd w:val="0"/>
        <w:snapToGrid w:val="0"/>
        <w:spacing w:line="408" w:lineRule="auto"/>
        <w:ind w:left="0" w:leftChars="0" w:firstLine="440" w:firstLineChars="200"/>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u w:val="single"/>
          <w:lang w:eastAsia="zh-CN"/>
        </w:rPr>
        <w:t>合同价格形式：统一中标折扣率</w:t>
      </w:r>
    </w:p>
    <w:p w14:paraId="205FBBD7">
      <w:pPr>
        <w:pStyle w:val="5"/>
        <w:numPr>
          <w:ilvl w:val="0"/>
          <w:numId w:val="12"/>
        </w:numPr>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中标折扣率：</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14:paraId="7EBAD54D">
      <w:pPr>
        <w:adjustRightInd w:val="0"/>
        <w:snapToGrid w:val="0"/>
        <w:spacing w:line="408" w:lineRule="auto"/>
        <w:rPr>
          <w:rFonts w:hint="eastAsia" w:ascii="宋体" w:hAnsi="宋体" w:eastAsia="宋体" w:cs="宋体"/>
          <w:bCs/>
          <w:color w:val="auto"/>
          <w:sz w:val="22"/>
          <w:szCs w:val="22"/>
          <w:highlight w:val="none"/>
        </w:rPr>
      </w:pPr>
      <w:bookmarkStart w:id="19" w:name="_Toc351203485"/>
      <w:r>
        <w:rPr>
          <w:rFonts w:hint="eastAsia" w:ascii="宋体" w:hAnsi="宋体" w:eastAsia="宋体" w:cs="宋体"/>
          <w:bCs/>
          <w:color w:val="auto"/>
          <w:sz w:val="22"/>
          <w:szCs w:val="22"/>
          <w:highlight w:val="none"/>
        </w:rPr>
        <w:t>五、</w:t>
      </w:r>
      <w:bookmarkEnd w:id="19"/>
      <w:r>
        <w:rPr>
          <w:rFonts w:hint="eastAsia" w:ascii="宋体" w:hAnsi="宋体" w:eastAsia="宋体" w:cs="宋体"/>
          <w:bCs/>
          <w:color w:val="auto"/>
          <w:sz w:val="22"/>
          <w:szCs w:val="22"/>
          <w:highlight w:val="none"/>
        </w:rPr>
        <w:t>项目经理</w:t>
      </w:r>
    </w:p>
    <w:p w14:paraId="3DC7588C">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乙方项目经理：。</w:t>
      </w:r>
    </w:p>
    <w:p w14:paraId="367D249E">
      <w:pPr>
        <w:adjustRightInd w:val="0"/>
        <w:snapToGrid w:val="0"/>
        <w:spacing w:line="408" w:lineRule="auto"/>
        <w:rPr>
          <w:rFonts w:hint="eastAsia" w:ascii="宋体" w:hAnsi="宋体" w:eastAsia="宋体" w:cs="宋体"/>
          <w:bCs/>
          <w:color w:val="auto"/>
          <w:sz w:val="22"/>
          <w:szCs w:val="22"/>
          <w:highlight w:val="none"/>
        </w:rPr>
      </w:pPr>
      <w:bookmarkStart w:id="20" w:name="_Toc351203486"/>
      <w:r>
        <w:rPr>
          <w:rFonts w:hint="eastAsia" w:ascii="宋体" w:hAnsi="宋体" w:eastAsia="宋体" w:cs="宋体"/>
          <w:bCs/>
          <w:color w:val="auto"/>
          <w:sz w:val="22"/>
          <w:szCs w:val="22"/>
          <w:highlight w:val="none"/>
        </w:rPr>
        <w:t>六、合同文件构成</w:t>
      </w:r>
      <w:bookmarkEnd w:id="20"/>
    </w:p>
    <w:p w14:paraId="7B5E57D1">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本协议书与下列文件一起构成合同文件：</w:t>
      </w:r>
    </w:p>
    <w:p w14:paraId="4759B04C">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1、成交通知书；</w:t>
      </w:r>
    </w:p>
    <w:p w14:paraId="4D5D9527">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2、本合同专用条款；</w:t>
      </w:r>
    </w:p>
    <w:p w14:paraId="7B744BC5">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3、询标纪要；</w:t>
      </w:r>
    </w:p>
    <w:p w14:paraId="62F8D8C5">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4、招标文件及招标补充文件；</w:t>
      </w:r>
    </w:p>
    <w:p w14:paraId="1B58ED16">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5、响应文件及其附件（含已标价工程量清单）；</w:t>
      </w:r>
    </w:p>
    <w:p w14:paraId="69A51EE0">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6、图纸；</w:t>
      </w:r>
    </w:p>
    <w:p w14:paraId="2D98A5B4">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7、本合同通用条款；</w:t>
      </w:r>
    </w:p>
    <w:p w14:paraId="2F60F975">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8、标准、规范及有关技术文件；</w:t>
      </w:r>
    </w:p>
    <w:p w14:paraId="56797E80">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9、其他合同文件</w:t>
      </w:r>
      <w:r>
        <w:rPr>
          <w:rFonts w:hint="eastAsia" w:ascii="宋体" w:hAnsi="宋体" w:eastAsia="宋体" w:cs="宋体"/>
          <w:bCs/>
          <w:color w:val="auto"/>
          <w:sz w:val="22"/>
          <w:szCs w:val="22"/>
          <w:highlight w:val="none"/>
        </w:rPr>
        <w:t>。</w:t>
      </w:r>
    </w:p>
    <w:p w14:paraId="6354FA84">
      <w:pPr>
        <w:autoSpaceDE w:val="0"/>
        <w:autoSpaceDN w:val="0"/>
        <w:adjustRightInd w:val="0"/>
        <w:snapToGrid w:val="0"/>
        <w:spacing w:line="408"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在合同订立及履行过程中形成的与合同有关的文件均构成合同文件组成部分。</w:t>
      </w:r>
    </w:p>
    <w:p w14:paraId="0BF9E936">
      <w:pPr>
        <w:autoSpaceDE w:val="0"/>
        <w:autoSpaceDN w:val="0"/>
        <w:adjustRightInd w:val="0"/>
        <w:snapToGrid w:val="0"/>
        <w:spacing w:line="408"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73F469AA">
      <w:pPr>
        <w:adjustRightInd w:val="0"/>
        <w:snapToGrid w:val="0"/>
        <w:spacing w:line="408" w:lineRule="auto"/>
        <w:rPr>
          <w:rFonts w:hint="eastAsia" w:ascii="宋体" w:hAnsi="宋体" w:eastAsia="宋体" w:cs="宋体"/>
          <w:bCs/>
          <w:color w:val="auto"/>
          <w:sz w:val="22"/>
          <w:szCs w:val="22"/>
          <w:highlight w:val="none"/>
        </w:rPr>
      </w:pPr>
      <w:bookmarkStart w:id="21" w:name="_Toc351203487"/>
      <w:r>
        <w:rPr>
          <w:rFonts w:hint="eastAsia" w:ascii="宋体" w:hAnsi="宋体" w:eastAsia="宋体" w:cs="宋体"/>
          <w:bCs/>
          <w:color w:val="auto"/>
          <w:sz w:val="22"/>
          <w:szCs w:val="22"/>
          <w:highlight w:val="none"/>
        </w:rPr>
        <w:t>七、承诺</w:t>
      </w:r>
      <w:bookmarkEnd w:id="21"/>
    </w:p>
    <w:p w14:paraId="66149006">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1.甲方承诺按照法律规定履行项目审批手续、筹集工程建设资金并按照合同约定的期限和方式支付合同价款。</w:t>
      </w:r>
    </w:p>
    <w:p w14:paraId="2207C437">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2.乙方承诺按照法律规定及合同约定组织完成工程施工，确保工程质量和安全，不进行转包及违法分包，并在缺陷责任期及保修期内承担相应的工程维修责任。</w:t>
      </w:r>
    </w:p>
    <w:p w14:paraId="3617B838">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3.甲方和乙方通过招投标形式签订合同的，双方理解并承诺不再就同一工程另行签订与合同实质性内容相背离的协议。</w:t>
      </w:r>
    </w:p>
    <w:p w14:paraId="50A36BD6">
      <w:pPr>
        <w:adjustRightInd w:val="0"/>
        <w:snapToGrid w:val="0"/>
        <w:spacing w:line="408" w:lineRule="auto"/>
        <w:rPr>
          <w:rFonts w:hint="eastAsia" w:ascii="宋体" w:hAnsi="宋体" w:eastAsia="宋体" w:cs="宋体"/>
          <w:bCs/>
          <w:color w:val="auto"/>
          <w:sz w:val="22"/>
          <w:szCs w:val="22"/>
          <w:highlight w:val="none"/>
        </w:rPr>
      </w:pPr>
      <w:bookmarkStart w:id="22" w:name="_Toc351203488"/>
      <w:r>
        <w:rPr>
          <w:rFonts w:hint="eastAsia" w:ascii="宋体" w:hAnsi="宋体" w:eastAsia="宋体" w:cs="宋体"/>
          <w:bCs/>
          <w:color w:val="auto"/>
          <w:sz w:val="22"/>
          <w:szCs w:val="22"/>
          <w:highlight w:val="none"/>
        </w:rPr>
        <w:t>八、词语含义</w:t>
      </w:r>
      <w:bookmarkEnd w:id="22"/>
    </w:p>
    <w:p w14:paraId="414E7FC4">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本协议书中词语含义与第二部分通用合同条款中赋予的含义相同。</w:t>
      </w:r>
    </w:p>
    <w:p w14:paraId="407F174F">
      <w:pPr>
        <w:adjustRightInd w:val="0"/>
        <w:snapToGrid w:val="0"/>
        <w:spacing w:line="408" w:lineRule="auto"/>
        <w:rPr>
          <w:rFonts w:hint="eastAsia" w:ascii="宋体" w:hAnsi="宋体" w:eastAsia="宋体" w:cs="宋体"/>
          <w:bCs/>
          <w:color w:val="auto"/>
          <w:sz w:val="22"/>
          <w:szCs w:val="22"/>
          <w:highlight w:val="none"/>
        </w:rPr>
      </w:pPr>
      <w:bookmarkStart w:id="23" w:name="_Toc351203489"/>
      <w:r>
        <w:rPr>
          <w:rFonts w:hint="eastAsia" w:ascii="宋体" w:hAnsi="宋体" w:eastAsia="宋体" w:cs="宋体"/>
          <w:bCs/>
          <w:color w:val="auto"/>
          <w:sz w:val="22"/>
          <w:szCs w:val="22"/>
          <w:highlight w:val="none"/>
        </w:rPr>
        <w:t>九、签订时间</w:t>
      </w:r>
      <w:bookmarkEnd w:id="23"/>
    </w:p>
    <w:p w14:paraId="1AB27E94">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本合同于</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日签订。</w:t>
      </w:r>
    </w:p>
    <w:p w14:paraId="1FA99020">
      <w:pPr>
        <w:adjustRightInd w:val="0"/>
        <w:snapToGrid w:val="0"/>
        <w:spacing w:line="408" w:lineRule="auto"/>
        <w:rPr>
          <w:rFonts w:hint="eastAsia" w:ascii="宋体" w:hAnsi="宋体" w:eastAsia="宋体" w:cs="宋体"/>
          <w:bCs/>
          <w:color w:val="auto"/>
          <w:sz w:val="22"/>
          <w:szCs w:val="22"/>
          <w:highlight w:val="none"/>
        </w:rPr>
      </w:pPr>
      <w:bookmarkStart w:id="24" w:name="_Toc351203490"/>
      <w:r>
        <w:rPr>
          <w:rFonts w:hint="eastAsia" w:ascii="宋体" w:hAnsi="宋体" w:eastAsia="宋体" w:cs="宋体"/>
          <w:bCs/>
          <w:color w:val="auto"/>
          <w:sz w:val="22"/>
          <w:szCs w:val="22"/>
          <w:highlight w:val="none"/>
        </w:rPr>
        <w:t>十、签订地点</w:t>
      </w:r>
      <w:bookmarkEnd w:id="24"/>
    </w:p>
    <w:p w14:paraId="0A80310C">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本合同在签订。</w:t>
      </w:r>
    </w:p>
    <w:p w14:paraId="5AA7DD05">
      <w:pPr>
        <w:adjustRightInd w:val="0"/>
        <w:snapToGrid w:val="0"/>
        <w:spacing w:line="408" w:lineRule="auto"/>
        <w:rPr>
          <w:rFonts w:hint="eastAsia" w:ascii="宋体" w:hAnsi="宋体" w:eastAsia="宋体" w:cs="宋体"/>
          <w:bCs/>
          <w:color w:val="auto"/>
          <w:sz w:val="22"/>
          <w:szCs w:val="22"/>
          <w:highlight w:val="none"/>
        </w:rPr>
      </w:pPr>
      <w:bookmarkStart w:id="25" w:name="_Toc351203491"/>
      <w:r>
        <w:rPr>
          <w:rFonts w:hint="eastAsia" w:ascii="宋体" w:hAnsi="宋体" w:eastAsia="宋体" w:cs="宋体"/>
          <w:bCs/>
          <w:color w:val="auto"/>
          <w:sz w:val="22"/>
          <w:szCs w:val="22"/>
          <w:highlight w:val="none"/>
        </w:rPr>
        <w:t>十一、补充协议</w:t>
      </w:r>
      <w:bookmarkEnd w:id="25"/>
    </w:p>
    <w:p w14:paraId="3EFEB07E">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合同未尽事宜，合同当事人另行签订补充协议，补充协议是合同的组成部分。</w:t>
      </w:r>
    </w:p>
    <w:p w14:paraId="07B20A92">
      <w:pPr>
        <w:adjustRightInd w:val="0"/>
        <w:snapToGrid w:val="0"/>
        <w:spacing w:line="408" w:lineRule="auto"/>
        <w:rPr>
          <w:rFonts w:hint="eastAsia" w:ascii="宋体" w:hAnsi="宋体" w:eastAsia="宋体" w:cs="宋体"/>
          <w:bCs/>
          <w:color w:val="auto"/>
          <w:sz w:val="22"/>
          <w:szCs w:val="22"/>
          <w:highlight w:val="none"/>
        </w:rPr>
      </w:pPr>
      <w:bookmarkStart w:id="26" w:name="_Toc351203492"/>
      <w:r>
        <w:rPr>
          <w:rFonts w:hint="eastAsia" w:ascii="宋体" w:hAnsi="宋体" w:eastAsia="宋体" w:cs="宋体"/>
          <w:bCs/>
          <w:color w:val="auto"/>
          <w:sz w:val="22"/>
          <w:szCs w:val="22"/>
          <w:highlight w:val="none"/>
        </w:rPr>
        <w:t>十二、合同生效</w:t>
      </w:r>
      <w:bookmarkEnd w:id="26"/>
    </w:p>
    <w:p w14:paraId="24C707FE">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本合同自</w:t>
      </w:r>
      <w:r>
        <w:rPr>
          <w:rFonts w:hint="eastAsia" w:ascii="宋体" w:hAnsi="宋体" w:eastAsia="宋体" w:cs="宋体"/>
          <w:bCs/>
          <w:color w:val="auto"/>
          <w:sz w:val="22"/>
          <w:szCs w:val="22"/>
          <w:highlight w:val="none"/>
          <w:u w:val="single"/>
        </w:rPr>
        <w:t>双方签字盖章后且乙方提交足额的履约担保后</w:t>
      </w:r>
      <w:r>
        <w:rPr>
          <w:rFonts w:hint="eastAsia" w:ascii="宋体" w:hAnsi="宋体" w:eastAsia="宋体" w:cs="宋体"/>
          <w:bCs/>
          <w:color w:val="auto"/>
          <w:sz w:val="22"/>
          <w:szCs w:val="22"/>
          <w:highlight w:val="none"/>
        </w:rPr>
        <w:t>生效。</w:t>
      </w:r>
    </w:p>
    <w:p w14:paraId="79207FD2">
      <w:pPr>
        <w:adjustRightInd w:val="0"/>
        <w:snapToGrid w:val="0"/>
        <w:spacing w:line="408" w:lineRule="auto"/>
        <w:rPr>
          <w:rFonts w:hint="eastAsia" w:ascii="宋体" w:hAnsi="宋体" w:eastAsia="宋体" w:cs="宋体"/>
          <w:bCs/>
          <w:color w:val="auto"/>
          <w:sz w:val="22"/>
          <w:szCs w:val="22"/>
          <w:highlight w:val="none"/>
        </w:rPr>
      </w:pPr>
      <w:bookmarkStart w:id="27" w:name="_Toc351203493"/>
      <w:r>
        <w:rPr>
          <w:rFonts w:hint="eastAsia" w:ascii="宋体" w:hAnsi="宋体" w:eastAsia="宋体" w:cs="宋体"/>
          <w:bCs/>
          <w:color w:val="auto"/>
          <w:sz w:val="22"/>
          <w:szCs w:val="22"/>
          <w:highlight w:val="none"/>
        </w:rPr>
        <w:t>十三、合同份数</w:t>
      </w:r>
      <w:bookmarkEnd w:id="27"/>
    </w:p>
    <w:p w14:paraId="25CD329E">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本合同一式</w:t>
      </w:r>
      <w:r>
        <w:rPr>
          <w:rFonts w:hint="eastAsia" w:ascii="宋体" w:hAnsi="宋体" w:eastAsia="宋体" w:cs="宋体"/>
          <w:bCs/>
          <w:color w:val="auto"/>
          <w:sz w:val="22"/>
          <w:szCs w:val="22"/>
          <w:highlight w:val="none"/>
          <w:u w:val="single"/>
        </w:rPr>
        <w:t>捌</w:t>
      </w:r>
      <w:r>
        <w:rPr>
          <w:rFonts w:hint="eastAsia" w:ascii="宋体" w:hAnsi="宋体" w:eastAsia="宋体" w:cs="宋体"/>
          <w:bCs/>
          <w:color w:val="auto"/>
          <w:sz w:val="22"/>
          <w:szCs w:val="22"/>
          <w:highlight w:val="none"/>
        </w:rPr>
        <w:t>份，均具有同等法律效力，甲方执</w:t>
      </w:r>
      <w:r>
        <w:rPr>
          <w:rFonts w:hint="eastAsia" w:ascii="宋体" w:hAnsi="宋体" w:eastAsia="宋体" w:cs="宋体"/>
          <w:bCs/>
          <w:color w:val="auto"/>
          <w:sz w:val="22"/>
          <w:szCs w:val="22"/>
          <w:highlight w:val="none"/>
          <w:u w:val="single"/>
          <w:lang w:eastAsia="zh-CN"/>
        </w:rPr>
        <w:t>肆</w:t>
      </w:r>
      <w:r>
        <w:rPr>
          <w:rFonts w:hint="eastAsia" w:ascii="宋体" w:hAnsi="宋体" w:eastAsia="宋体" w:cs="宋体"/>
          <w:bCs/>
          <w:color w:val="auto"/>
          <w:sz w:val="22"/>
          <w:szCs w:val="22"/>
          <w:highlight w:val="none"/>
        </w:rPr>
        <w:t>份，乙方执</w:t>
      </w:r>
      <w:r>
        <w:rPr>
          <w:rFonts w:hint="eastAsia" w:ascii="宋体" w:hAnsi="宋体" w:eastAsia="宋体" w:cs="宋体"/>
          <w:bCs/>
          <w:color w:val="auto"/>
          <w:sz w:val="22"/>
          <w:szCs w:val="22"/>
          <w:highlight w:val="none"/>
          <w:u w:val="single"/>
          <w:lang w:eastAsia="zh-CN"/>
        </w:rPr>
        <w:t>贰</w:t>
      </w:r>
      <w:r>
        <w:rPr>
          <w:rFonts w:hint="eastAsia" w:ascii="宋体" w:hAnsi="宋体" w:eastAsia="宋体" w:cs="宋体"/>
          <w:bCs/>
          <w:color w:val="auto"/>
          <w:sz w:val="22"/>
          <w:szCs w:val="22"/>
          <w:highlight w:val="none"/>
        </w:rPr>
        <w:t>份，采购代理和平阳县财政局各</w:t>
      </w:r>
      <w:r>
        <w:rPr>
          <w:rFonts w:hint="eastAsia" w:ascii="宋体" w:hAnsi="宋体" w:eastAsia="宋体" w:cs="宋体"/>
          <w:bCs/>
          <w:color w:val="auto"/>
          <w:sz w:val="22"/>
          <w:szCs w:val="22"/>
          <w:highlight w:val="none"/>
          <w:u w:val="single"/>
        </w:rPr>
        <w:t xml:space="preserve"> 壹 </w:t>
      </w:r>
      <w:r>
        <w:rPr>
          <w:rFonts w:hint="eastAsia" w:ascii="宋体" w:hAnsi="宋体" w:eastAsia="宋体" w:cs="宋体"/>
          <w:bCs/>
          <w:color w:val="auto"/>
          <w:sz w:val="22"/>
          <w:szCs w:val="22"/>
          <w:highlight w:val="none"/>
        </w:rPr>
        <w:t>份。</w:t>
      </w:r>
    </w:p>
    <w:p w14:paraId="029755DA">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甲方：  (公章)            </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乙方：  (公章)</w:t>
      </w:r>
    </w:p>
    <w:p w14:paraId="1A16299E">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法定代表人或其委托代理人： </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 xml:space="preserve"> 法定代表人或其委托代理人：</w:t>
      </w:r>
    </w:p>
    <w:p w14:paraId="45810607">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（签字）                    </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（签字）</w:t>
      </w:r>
    </w:p>
    <w:p w14:paraId="168A6618">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  址：                             地  址：</w:t>
      </w:r>
    </w:p>
    <w:p w14:paraId="40D2A335">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邮政编码：                           邮政编码：</w:t>
      </w:r>
    </w:p>
    <w:p w14:paraId="6F2DE499">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                         法定代表人：</w:t>
      </w:r>
    </w:p>
    <w:p w14:paraId="2AC25111">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委托代理人：                         委托代理人：</w:t>
      </w:r>
    </w:p>
    <w:p w14:paraId="76C7D24E">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                             电  话：</w:t>
      </w:r>
    </w:p>
    <w:p w14:paraId="6A1FEBA2">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  真：                             传  真：</w:t>
      </w:r>
    </w:p>
    <w:p w14:paraId="51EF9C88">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                           电子信箱：</w:t>
      </w:r>
    </w:p>
    <w:p w14:paraId="1F467AE6">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开户银行：                           开户银行：</w:t>
      </w:r>
    </w:p>
    <w:p w14:paraId="5DB0FF65">
      <w:pPr>
        <w:adjustRightInd w:val="0"/>
        <w:snapToGrid w:val="0"/>
        <w:spacing w:line="40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账  号：                             账  号：</w:t>
      </w:r>
    </w:p>
    <w:p w14:paraId="4420B3E8">
      <w:pPr>
        <w:pStyle w:val="4"/>
        <w:snapToGrid w:val="0"/>
        <w:spacing w:before="0" w:after="0" w:line="312"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bookmarkStart w:id="28" w:name="_Toc337558727"/>
      <w:r>
        <w:rPr>
          <w:rFonts w:hint="eastAsia" w:ascii="宋体" w:hAnsi="宋体" w:eastAsia="宋体" w:cs="宋体"/>
          <w:b w:val="0"/>
          <w:color w:val="auto"/>
          <w:sz w:val="22"/>
          <w:szCs w:val="22"/>
          <w:highlight w:val="none"/>
        </w:rPr>
        <w:t>第二部分 通用合同条款</w:t>
      </w:r>
    </w:p>
    <w:p w14:paraId="70406F9B">
      <w:pPr>
        <w:adjustRightInd w:val="0"/>
        <w:snapToGrid w:val="0"/>
        <w:spacing w:line="312"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略，见（GF—2017—0201）《建设工程施工合同》（示范文本）</w:t>
      </w:r>
    </w:p>
    <w:p w14:paraId="26EB5206">
      <w:pPr>
        <w:adjustRightInd w:val="0"/>
        <w:snapToGrid w:val="0"/>
        <w:spacing w:line="312" w:lineRule="auto"/>
        <w:jc w:val="center"/>
        <w:rPr>
          <w:rFonts w:hint="eastAsia" w:ascii="宋体" w:hAnsi="宋体" w:eastAsia="宋体" w:cs="宋体"/>
          <w:bCs/>
          <w:color w:val="auto"/>
          <w:sz w:val="22"/>
          <w:szCs w:val="22"/>
          <w:highlight w:val="none"/>
        </w:rPr>
      </w:pPr>
    </w:p>
    <w:bookmarkEnd w:id="28"/>
    <w:p w14:paraId="5BA97415">
      <w:pPr>
        <w:pStyle w:val="4"/>
        <w:snapToGrid w:val="0"/>
        <w:spacing w:before="0" w:after="0" w:line="312" w:lineRule="auto"/>
        <w:jc w:val="center"/>
        <w:rPr>
          <w:rFonts w:hint="eastAsia" w:ascii="宋体" w:hAnsi="宋体" w:eastAsia="宋体" w:cs="宋体"/>
          <w:b w:val="0"/>
          <w:color w:val="auto"/>
          <w:sz w:val="22"/>
          <w:szCs w:val="22"/>
          <w:highlight w:val="none"/>
        </w:rPr>
      </w:pPr>
      <w:bookmarkStart w:id="29" w:name="_Toc351203632"/>
      <w:r>
        <w:rPr>
          <w:rFonts w:hint="eastAsia" w:ascii="宋体" w:hAnsi="宋体" w:eastAsia="宋体" w:cs="宋体"/>
          <w:b w:val="0"/>
          <w:color w:val="auto"/>
          <w:sz w:val="22"/>
          <w:szCs w:val="22"/>
          <w:highlight w:val="none"/>
        </w:rPr>
        <w:t>第三部分 专用合同条款</w:t>
      </w:r>
      <w:bookmarkEnd w:id="29"/>
    </w:p>
    <w:p w14:paraId="1B7B0953">
      <w:pPr>
        <w:adjustRightInd w:val="0"/>
        <w:snapToGrid w:val="0"/>
        <w:spacing w:line="312" w:lineRule="auto"/>
        <w:rPr>
          <w:rFonts w:hint="eastAsia" w:ascii="宋体" w:hAnsi="宋体" w:eastAsia="宋体" w:cs="宋体"/>
          <w:bCs/>
          <w:color w:val="auto"/>
          <w:sz w:val="22"/>
          <w:szCs w:val="22"/>
          <w:highlight w:val="none"/>
        </w:rPr>
      </w:pPr>
      <w:bookmarkStart w:id="30" w:name="_Toc351203633"/>
      <w:r>
        <w:rPr>
          <w:rFonts w:hint="eastAsia" w:ascii="宋体" w:hAnsi="宋体" w:eastAsia="宋体" w:cs="宋体"/>
          <w:bCs/>
          <w:color w:val="auto"/>
          <w:sz w:val="22"/>
          <w:szCs w:val="22"/>
          <w:highlight w:val="none"/>
        </w:rPr>
        <w:t>1</w:t>
      </w:r>
      <w:bookmarkStart w:id="31" w:name="_Toc297048342"/>
      <w:bookmarkStart w:id="32" w:name="_Toc292559361"/>
      <w:bookmarkStart w:id="33" w:name="_Toc296347155"/>
      <w:bookmarkStart w:id="34" w:name="_Toc296890984"/>
      <w:bookmarkStart w:id="35" w:name="_Toc296346657"/>
      <w:bookmarkStart w:id="36" w:name="_Toc292559866"/>
      <w:bookmarkStart w:id="37" w:name="_Toc297120456"/>
      <w:bookmarkStart w:id="38" w:name="_Toc296891196"/>
      <w:bookmarkStart w:id="39" w:name="_Toc296503156"/>
      <w:bookmarkStart w:id="40" w:name="_Toc296944495"/>
      <w:r>
        <w:rPr>
          <w:rFonts w:hint="eastAsia" w:ascii="宋体" w:hAnsi="宋体" w:eastAsia="宋体" w:cs="宋体"/>
          <w:bCs/>
          <w:color w:val="auto"/>
          <w:sz w:val="22"/>
          <w:szCs w:val="22"/>
          <w:highlight w:val="none"/>
        </w:rPr>
        <w:t>. 一般约定</w:t>
      </w:r>
      <w:bookmarkEnd w:id="30"/>
    </w:p>
    <w:bookmarkEnd w:id="31"/>
    <w:bookmarkEnd w:id="32"/>
    <w:bookmarkEnd w:id="33"/>
    <w:bookmarkEnd w:id="34"/>
    <w:bookmarkEnd w:id="35"/>
    <w:bookmarkEnd w:id="36"/>
    <w:bookmarkEnd w:id="37"/>
    <w:bookmarkEnd w:id="38"/>
    <w:bookmarkEnd w:id="39"/>
    <w:bookmarkEnd w:id="40"/>
    <w:p w14:paraId="7BA51E68">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 词语定义</w:t>
      </w:r>
    </w:p>
    <w:p w14:paraId="3E4C8DA0">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1.1.1合同</w:t>
      </w:r>
    </w:p>
    <w:p w14:paraId="13A50A8A">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1.1.1.10其他合同文件包括：</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26AFC28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 合同当事人及其他相关方</w:t>
      </w:r>
    </w:p>
    <w:p w14:paraId="5F1A49C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1.1.2.4监理人：</w:t>
      </w:r>
    </w:p>
    <w:p w14:paraId="7927A9C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名    称：</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00FC70D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资质类别和等级：</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A5843F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AA244C3">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279BFE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通信地址：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8060525">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1.1.2.5 设计人：</w:t>
      </w:r>
    </w:p>
    <w:p w14:paraId="621705E5">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名    称：</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0BC39E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资质类别和等级：</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0C8230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87D98A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CD1942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通信地址：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3F4F76A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1.1.3 工程和设备</w:t>
      </w:r>
    </w:p>
    <w:p w14:paraId="15B56525">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1.1.3.7 作为施工现场组成部分的其他场所包括：</w:t>
      </w:r>
      <w:r>
        <w:rPr>
          <w:rFonts w:hint="eastAsia" w:ascii="宋体" w:hAnsi="宋体" w:eastAsia="宋体" w:cs="宋体"/>
          <w:bCs/>
          <w:color w:val="auto"/>
          <w:sz w:val="22"/>
          <w:szCs w:val="22"/>
          <w:highlight w:val="none"/>
          <w:u w:val="single"/>
        </w:rPr>
        <w:t xml:space="preserve"> /   </w:t>
      </w:r>
    </w:p>
    <w:p w14:paraId="555BBDAC">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1.1.3.9 永久占地包括：</w:t>
      </w:r>
      <w:r>
        <w:rPr>
          <w:rFonts w:hint="eastAsia" w:ascii="宋体" w:hAnsi="宋体" w:eastAsia="宋体" w:cs="宋体"/>
          <w:bCs/>
          <w:color w:val="auto"/>
          <w:sz w:val="22"/>
          <w:szCs w:val="22"/>
          <w:highlight w:val="none"/>
          <w:u w:val="single"/>
        </w:rPr>
        <w:t xml:space="preserve">       /    </w:t>
      </w:r>
    </w:p>
    <w:p w14:paraId="7E23023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1.1.3.10 临时占地包括：</w:t>
      </w:r>
      <w:r>
        <w:rPr>
          <w:rFonts w:hint="eastAsia" w:ascii="宋体" w:hAnsi="宋体" w:eastAsia="宋体" w:cs="宋体"/>
          <w:bCs/>
          <w:color w:val="auto"/>
          <w:sz w:val="22"/>
          <w:szCs w:val="22"/>
          <w:highlight w:val="none"/>
          <w:u w:val="single"/>
        </w:rPr>
        <w:t xml:space="preserve">     /    </w:t>
      </w:r>
    </w:p>
    <w:p w14:paraId="470FC363">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1.3法律 </w:t>
      </w:r>
    </w:p>
    <w:p w14:paraId="1B9A044C">
      <w:pPr>
        <w:autoSpaceDE w:val="0"/>
        <w:autoSpaceDN w:val="0"/>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适用于合同的其他规范性文件：</w:t>
      </w:r>
      <w:r>
        <w:rPr>
          <w:rFonts w:hint="eastAsia" w:ascii="宋体" w:hAnsi="宋体" w:eastAsia="宋体" w:cs="宋体"/>
          <w:bCs/>
          <w:color w:val="auto"/>
          <w:sz w:val="22"/>
          <w:szCs w:val="22"/>
          <w:highlight w:val="none"/>
          <w:u w:val="single"/>
        </w:rPr>
        <w:t>《中华人民共和国建筑法》、《中华人民共和国合同法》、《中华人民共和国政府采购法》、《浙江省建设工程计价规则》﹙2018版﹚、《浙江省房屋建筑与装饰工程预算定额》﹙2018版﹚、《浙江省通用安装工程预算定额》﹙2018版﹚、《浙江省建设工程施工机械台班费用定额》﹙2018版﹚、《</w:t>
      </w:r>
      <w:r>
        <w:rPr>
          <w:rFonts w:hint="eastAsia" w:ascii="宋体" w:hAnsi="宋体" w:eastAsia="宋体" w:cs="宋体"/>
          <w:color w:val="auto"/>
          <w:sz w:val="22"/>
          <w:szCs w:val="22"/>
          <w:highlight w:val="none"/>
          <w:u w:val="single"/>
        </w:rPr>
        <w:t>浙江省园林绿化及仿古建筑工程预算定额</w:t>
      </w:r>
      <w:r>
        <w:rPr>
          <w:rFonts w:hint="eastAsia" w:ascii="宋体" w:hAnsi="宋体" w:eastAsia="宋体" w:cs="宋体"/>
          <w:bCs/>
          <w:color w:val="auto"/>
          <w:sz w:val="22"/>
          <w:szCs w:val="22"/>
          <w:highlight w:val="none"/>
          <w:u w:val="single"/>
        </w:rPr>
        <w:t>》﹙2018版﹚、浙建站定〔2016〕23号；建建发[2016]144号；台建价[2016]31号; 台建〔2016〕52号文件等及现行有关规定</w:t>
      </w:r>
      <w:r>
        <w:rPr>
          <w:rFonts w:hint="eastAsia" w:ascii="宋体" w:hAnsi="宋体" w:eastAsia="宋体" w:cs="宋体"/>
          <w:bCs/>
          <w:color w:val="auto"/>
          <w:sz w:val="22"/>
          <w:szCs w:val="22"/>
          <w:highlight w:val="none"/>
        </w:rPr>
        <w:t>。</w:t>
      </w:r>
    </w:p>
    <w:p w14:paraId="26DB42E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 标准和规范</w:t>
      </w:r>
    </w:p>
    <w:p w14:paraId="00A6803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1.4.1适用于工程的标准规范包括：</w:t>
      </w:r>
      <w:r>
        <w:rPr>
          <w:rFonts w:hint="eastAsia" w:ascii="宋体" w:hAnsi="宋体" w:eastAsia="宋体" w:cs="宋体"/>
          <w:bCs/>
          <w:color w:val="auto"/>
          <w:sz w:val="22"/>
          <w:szCs w:val="22"/>
          <w:highlight w:val="none"/>
          <w:u w:val="single"/>
        </w:rPr>
        <w:t>按最新国家标准，地方规范执行。如遇设计或施工规范和标准对同一问题的处理出现矛盾的情况时，承包方应及时通知监理工程师，并提出解决办法，征得监理工程师的同意后实施</w:t>
      </w:r>
      <w:r>
        <w:rPr>
          <w:rFonts w:hint="eastAsia" w:ascii="宋体" w:hAnsi="宋体" w:eastAsia="宋体" w:cs="宋体"/>
          <w:bCs/>
          <w:color w:val="auto"/>
          <w:sz w:val="22"/>
          <w:szCs w:val="22"/>
          <w:highlight w:val="none"/>
        </w:rPr>
        <w:t>。</w:t>
      </w:r>
    </w:p>
    <w:p w14:paraId="03AE1F14">
      <w:pPr>
        <w:adjustRightInd w:val="0"/>
        <w:snapToGrid w:val="0"/>
        <w:spacing w:line="312" w:lineRule="auto"/>
        <w:ind w:firstLine="440" w:firstLineChars="200"/>
        <w:outlineLvl w:val="0"/>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1.4.2 甲方提供国外标准、规范的名称：</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2D334890">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甲方提供国外标准、规范的份数：</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1976C17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甲方提供国外标准、规范的名称：</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55076DA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1.4.3甲方对工程的技术标准和功能要求的特殊要求：</w:t>
      </w:r>
      <w:r>
        <w:rPr>
          <w:rFonts w:hint="eastAsia" w:ascii="宋体" w:hAnsi="宋体" w:eastAsia="宋体" w:cs="宋体"/>
          <w:bCs/>
          <w:color w:val="auto"/>
          <w:sz w:val="22"/>
          <w:szCs w:val="22"/>
          <w:highlight w:val="none"/>
          <w:u w:val="single"/>
        </w:rPr>
        <w:t>按招标文件相关条款的约定</w:t>
      </w:r>
      <w:r>
        <w:rPr>
          <w:rFonts w:hint="eastAsia" w:ascii="宋体" w:hAnsi="宋体" w:eastAsia="宋体" w:cs="宋体"/>
          <w:bCs/>
          <w:color w:val="auto"/>
          <w:sz w:val="22"/>
          <w:szCs w:val="22"/>
          <w:highlight w:val="none"/>
        </w:rPr>
        <w:t>。</w:t>
      </w:r>
    </w:p>
    <w:p w14:paraId="15964D8E">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 合同文件的优先顺序</w:t>
      </w:r>
    </w:p>
    <w:p w14:paraId="5C8BCA1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合同文件组成及优先顺序为：</w:t>
      </w:r>
    </w:p>
    <w:p w14:paraId="7A942576">
      <w:pPr>
        <w:autoSpaceDE w:val="0"/>
        <w:autoSpaceDN w:val="0"/>
        <w:adjustRightInd w:val="0"/>
        <w:snapToGrid w:val="0"/>
        <w:spacing w:line="312" w:lineRule="auto"/>
        <w:ind w:firstLine="444" w:firstLineChars="202"/>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1、本合同协议书；2、成交通知书；3、本合同专用条款；4、询标纪要；5、招标文件及招标补充文件；6、响应文件及其附件（含已标价工程量清单）；7、图纸；8、本合同通用条款； 9、标准、规范及有关技术文件；10、其他合同文件</w:t>
      </w:r>
      <w:r>
        <w:rPr>
          <w:rFonts w:hint="eastAsia" w:ascii="宋体" w:hAnsi="宋体" w:eastAsia="宋体" w:cs="宋体"/>
          <w:bCs/>
          <w:color w:val="auto"/>
          <w:sz w:val="22"/>
          <w:szCs w:val="22"/>
          <w:highlight w:val="none"/>
        </w:rPr>
        <w:t>。</w:t>
      </w:r>
    </w:p>
    <w:p w14:paraId="590DF19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bCs/>
          <w:color w:val="auto"/>
          <w:sz w:val="22"/>
          <w:szCs w:val="22"/>
          <w:highlight w:val="none"/>
        </w:rPr>
        <w:t>。</w:t>
      </w:r>
    </w:p>
    <w:p w14:paraId="320285D3">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 图纸和乙方文件</w:t>
      </w:r>
    </w:p>
    <w:p w14:paraId="07A2658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1.6.1 图纸的提供</w:t>
      </w:r>
    </w:p>
    <w:p w14:paraId="5FC6F6B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甲方向乙方提供图纸的期限：</w:t>
      </w:r>
      <w:r>
        <w:rPr>
          <w:rFonts w:hint="eastAsia" w:ascii="宋体" w:hAnsi="宋体" w:eastAsia="宋体" w:cs="宋体"/>
          <w:bCs/>
          <w:color w:val="auto"/>
          <w:sz w:val="22"/>
          <w:szCs w:val="22"/>
          <w:highlight w:val="none"/>
          <w:u w:val="single"/>
        </w:rPr>
        <w:t>合同签定后7天内</w:t>
      </w:r>
      <w:r>
        <w:rPr>
          <w:rFonts w:hint="eastAsia" w:ascii="宋体" w:hAnsi="宋体" w:eastAsia="宋体" w:cs="宋体"/>
          <w:bCs/>
          <w:color w:val="auto"/>
          <w:sz w:val="22"/>
          <w:szCs w:val="22"/>
          <w:highlight w:val="none"/>
        </w:rPr>
        <w:t>；</w:t>
      </w:r>
    </w:p>
    <w:p w14:paraId="2402E08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甲方向乙方提供图纸的数量：</w:t>
      </w:r>
      <w:r>
        <w:rPr>
          <w:rFonts w:hint="eastAsia" w:ascii="宋体" w:hAnsi="宋体" w:eastAsia="宋体" w:cs="宋体"/>
          <w:bCs/>
          <w:color w:val="auto"/>
          <w:sz w:val="22"/>
          <w:szCs w:val="22"/>
          <w:highlight w:val="none"/>
          <w:u w:val="single"/>
        </w:rPr>
        <w:t>提供施工图纸4套，如乙方额外需要提供施工图纸的，则额外增加的施工图纸的制作费由乙方承担</w:t>
      </w:r>
      <w:r>
        <w:rPr>
          <w:rFonts w:hint="eastAsia" w:ascii="宋体" w:hAnsi="宋体" w:eastAsia="宋体" w:cs="宋体"/>
          <w:bCs/>
          <w:color w:val="auto"/>
          <w:sz w:val="22"/>
          <w:szCs w:val="22"/>
          <w:highlight w:val="none"/>
        </w:rPr>
        <w:t>；</w:t>
      </w:r>
    </w:p>
    <w:p w14:paraId="7C7FB5C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甲方向乙方提供图纸的内容：</w:t>
      </w:r>
      <w:r>
        <w:rPr>
          <w:rFonts w:hint="eastAsia" w:ascii="宋体" w:hAnsi="宋体" w:eastAsia="宋体" w:cs="宋体"/>
          <w:bCs/>
          <w:color w:val="auto"/>
          <w:sz w:val="22"/>
          <w:szCs w:val="22"/>
          <w:highlight w:val="none"/>
          <w:u w:val="single"/>
        </w:rPr>
        <w:t>不得向他人提供本工程的图纸或将图纸用于其他工程，否则甲方有权解除合同并有权向乙方进行索赔</w:t>
      </w:r>
      <w:r>
        <w:rPr>
          <w:rFonts w:hint="eastAsia" w:ascii="宋体" w:hAnsi="宋体" w:eastAsia="宋体" w:cs="宋体"/>
          <w:bCs/>
          <w:color w:val="auto"/>
          <w:sz w:val="22"/>
          <w:szCs w:val="22"/>
          <w:highlight w:val="none"/>
        </w:rPr>
        <w:t>。</w:t>
      </w:r>
    </w:p>
    <w:p w14:paraId="34DDFC8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1.6.4 乙方文件</w:t>
      </w:r>
    </w:p>
    <w:p w14:paraId="7CFD26EC">
      <w:pPr>
        <w:adjustRightInd w:val="0"/>
        <w:snapToGrid w:val="0"/>
        <w:spacing w:line="312" w:lineRule="auto"/>
        <w:ind w:left="596" w:leftChars="284"/>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需要由乙方提供的文件，包括：</w:t>
      </w:r>
      <w:r>
        <w:rPr>
          <w:rFonts w:hint="eastAsia" w:ascii="宋体" w:hAnsi="宋体" w:eastAsia="宋体" w:cs="宋体"/>
          <w:bCs/>
          <w:color w:val="auto"/>
          <w:sz w:val="22"/>
          <w:szCs w:val="22"/>
          <w:highlight w:val="none"/>
          <w:u w:val="single"/>
        </w:rPr>
        <w:t>施工组织设计（施工方案）和进度计划</w:t>
      </w:r>
      <w:r>
        <w:rPr>
          <w:rFonts w:hint="eastAsia" w:ascii="宋体" w:hAnsi="宋体" w:eastAsia="宋体" w:cs="宋体"/>
          <w:bCs/>
          <w:color w:val="auto"/>
          <w:sz w:val="22"/>
          <w:szCs w:val="22"/>
          <w:highlight w:val="none"/>
        </w:rPr>
        <w:t>；</w:t>
      </w:r>
    </w:p>
    <w:p w14:paraId="4FB224D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乙方提供的文件的期限为：</w:t>
      </w:r>
      <w:r>
        <w:rPr>
          <w:rFonts w:hint="eastAsia" w:ascii="宋体" w:hAnsi="宋体" w:eastAsia="宋体" w:cs="宋体"/>
          <w:bCs/>
          <w:color w:val="auto"/>
          <w:sz w:val="22"/>
          <w:szCs w:val="22"/>
          <w:highlight w:val="none"/>
          <w:u w:val="single"/>
        </w:rPr>
        <w:t>合同签订后叁天提供</w:t>
      </w:r>
      <w:r>
        <w:rPr>
          <w:rFonts w:hint="eastAsia" w:ascii="宋体" w:hAnsi="宋体" w:eastAsia="宋体" w:cs="宋体"/>
          <w:bCs/>
          <w:color w:val="auto"/>
          <w:sz w:val="22"/>
          <w:szCs w:val="22"/>
          <w:highlight w:val="none"/>
        </w:rPr>
        <w:t>；</w:t>
      </w:r>
    </w:p>
    <w:p w14:paraId="57FA5CE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乙方提供的文件的数量为：</w:t>
      </w:r>
      <w:r>
        <w:rPr>
          <w:rFonts w:hint="eastAsia" w:ascii="宋体" w:hAnsi="宋体" w:eastAsia="宋体" w:cs="宋体"/>
          <w:bCs/>
          <w:color w:val="auto"/>
          <w:sz w:val="22"/>
          <w:szCs w:val="22"/>
          <w:highlight w:val="none"/>
          <w:u w:val="single"/>
        </w:rPr>
        <w:t>叁套</w:t>
      </w:r>
      <w:r>
        <w:rPr>
          <w:rFonts w:hint="eastAsia" w:ascii="宋体" w:hAnsi="宋体" w:eastAsia="宋体" w:cs="宋体"/>
          <w:bCs/>
          <w:color w:val="auto"/>
          <w:sz w:val="22"/>
          <w:szCs w:val="22"/>
          <w:highlight w:val="none"/>
        </w:rPr>
        <w:t>；</w:t>
      </w:r>
    </w:p>
    <w:p w14:paraId="5621451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乙方提供的文件的形式为：</w:t>
      </w:r>
      <w:r>
        <w:rPr>
          <w:rFonts w:hint="eastAsia" w:ascii="宋体" w:hAnsi="宋体" w:eastAsia="宋体" w:cs="宋体"/>
          <w:bCs/>
          <w:color w:val="auto"/>
          <w:sz w:val="22"/>
          <w:szCs w:val="22"/>
          <w:highlight w:val="none"/>
          <w:u w:val="single"/>
        </w:rPr>
        <w:t>书面文件</w:t>
      </w:r>
      <w:r>
        <w:rPr>
          <w:rFonts w:hint="eastAsia" w:ascii="宋体" w:hAnsi="宋体" w:eastAsia="宋体" w:cs="宋体"/>
          <w:bCs/>
          <w:color w:val="auto"/>
          <w:sz w:val="22"/>
          <w:szCs w:val="22"/>
          <w:highlight w:val="none"/>
        </w:rPr>
        <w:t>；</w:t>
      </w:r>
    </w:p>
    <w:p w14:paraId="0DC2E1A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甲方审批乙方文件的期限：</w:t>
      </w:r>
      <w:r>
        <w:rPr>
          <w:rFonts w:hint="eastAsia" w:ascii="宋体" w:hAnsi="宋体" w:eastAsia="宋体" w:cs="宋体"/>
          <w:bCs/>
          <w:color w:val="auto"/>
          <w:sz w:val="22"/>
          <w:szCs w:val="22"/>
          <w:highlight w:val="none"/>
          <w:u w:val="single"/>
        </w:rPr>
        <w:t>收到报告后柒天内</w:t>
      </w:r>
      <w:r>
        <w:rPr>
          <w:rFonts w:hint="eastAsia" w:ascii="宋体" w:hAnsi="宋体" w:eastAsia="宋体" w:cs="宋体"/>
          <w:bCs/>
          <w:color w:val="auto"/>
          <w:sz w:val="22"/>
          <w:szCs w:val="22"/>
          <w:highlight w:val="none"/>
        </w:rPr>
        <w:t>。</w:t>
      </w:r>
    </w:p>
    <w:p w14:paraId="42E057A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1.6.5 现场图纸准备</w:t>
      </w:r>
    </w:p>
    <w:p w14:paraId="10E988A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关于现场图纸准备的约定：</w:t>
      </w:r>
      <w:r>
        <w:rPr>
          <w:rFonts w:hint="eastAsia" w:ascii="宋体" w:hAnsi="宋体" w:eastAsia="宋体" w:cs="宋体"/>
          <w:bCs/>
          <w:color w:val="auto"/>
          <w:sz w:val="22"/>
          <w:szCs w:val="22"/>
          <w:highlight w:val="none"/>
          <w:u w:val="single"/>
        </w:rPr>
        <w:t>按通用合同条款第1.6.5条规定执行</w:t>
      </w:r>
      <w:r>
        <w:rPr>
          <w:rFonts w:hint="eastAsia" w:ascii="宋体" w:hAnsi="宋体" w:eastAsia="宋体" w:cs="宋体"/>
          <w:bCs/>
          <w:color w:val="auto"/>
          <w:sz w:val="22"/>
          <w:szCs w:val="22"/>
          <w:highlight w:val="none"/>
        </w:rPr>
        <w:t>。</w:t>
      </w:r>
    </w:p>
    <w:p w14:paraId="5D9E7377">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 联络</w:t>
      </w:r>
    </w:p>
    <w:p w14:paraId="1D0E0F5E">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1.7.1甲方和乙方应当在</w:t>
      </w:r>
      <w:r>
        <w:rPr>
          <w:rFonts w:hint="eastAsia" w:ascii="宋体" w:hAnsi="宋体" w:eastAsia="宋体" w:cs="宋体"/>
          <w:bCs/>
          <w:color w:val="auto"/>
          <w:sz w:val="22"/>
          <w:szCs w:val="22"/>
          <w:highlight w:val="none"/>
          <w:u w:val="single"/>
        </w:rPr>
        <w:t>七</w:t>
      </w:r>
      <w:r>
        <w:rPr>
          <w:rFonts w:hint="eastAsia" w:ascii="宋体" w:hAnsi="宋体" w:eastAsia="宋体" w:cs="宋体"/>
          <w:bCs/>
          <w:color w:val="auto"/>
          <w:kern w:val="0"/>
          <w:sz w:val="22"/>
          <w:szCs w:val="22"/>
          <w:highlight w:val="none"/>
        </w:rPr>
        <w:t>天内将与合同有关的通知、批准、证明、证书、指示、指令、要求、请求、同意、意见、确定和决定等书面函件送达对方当事人。</w:t>
      </w:r>
    </w:p>
    <w:p w14:paraId="026F44FB">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1.7.2 甲方接收文件的地点：</w:t>
      </w:r>
      <w:r>
        <w:rPr>
          <w:rFonts w:hint="eastAsia" w:ascii="宋体" w:hAnsi="宋体" w:eastAsia="宋体" w:cs="宋体"/>
          <w:bCs/>
          <w:color w:val="auto"/>
          <w:sz w:val="22"/>
          <w:szCs w:val="22"/>
          <w:highlight w:val="none"/>
          <w:u w:val="single"/>
        </w:rPr>
        <w:t>施工现场</w:t>
      </w:r>
      <w:r>
        <w:rPr>
          <w:rFonts w:hint="eastAsia" w:ascii="宋体" w:hAnsi="宋体" w:eastAsia="宋体" w:cs="宋体"/>
          <w:bCs/>
          <w:color w:val="auto"/>
          <w:kern w:val="0"/>
          <w:sz w:val="22"/>
          <w:szCs w:val="22"/>
          <w:highlight w:val="none"/>
        </w:rPr>
        <w:t>；</w:t>
      </w:r>
    </w:p>
    <w:p w14:paraId="6603F6F1">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甲方指定的接收人为：</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rPr>
        <w:t>。</w:t>
      </w:r>
    </w:p>
    <w:p w14:paraId="08E53118">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乙方接收文件的地点：</w:t>
      </w:r>
      <w:r>
        <w:rPr>
          <w:rFonts w:hint="eastAsia" w:ascii="宋体" w:hAnsi="宋体" w:eastAsia="宋体" w:cs="宋体"/>
          <w:bCs/>
          <w:color w:val="auto"/>
          <w:sz w:val="22"/>
          <w:szCs w:val="22"/>
          <w:highlight w:val="none"/>
          <w:u w:val="single"/>
        </w:rPr>
        <w:t>施工现场</w:t>
      </w:r>
      <w:r>
        <w:rPr>
          <w:rFonts w:hint="eastAsia" w:ascii="宋体" w:hAnsi="宋体" w:eastAsia="宋体" w:cs="宋体"/>
          <w:bCs/>
          <w:color w:val="auto"/>
          <w:kern w:val="0"/>
          <w:sz w:val="22"/>
          <w:szCs w:val="22"/>
          <w:highlight w:val="none"/>
        </w:rPr>
        <w:t>；</w:t>
      </w:r>
    </w:p>
    <w:p w14:paraId="3161A44B">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乙方指定的接收人为：</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rPr>
        <w:t>。</w:t>
      </w:r>
    </w:p>
    <w:p w14:paraId="2054E339">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监理人接收文件的地点：</w:t>
      </w:r>
      <w:r>
        <w:rPr>
          <w:rFonts w:hint="eastAsia" w:ascii="宋体" w:hAnsi="宋体" w:eastAsia="宋体" w:cs="宋体"/>
          <w:bCs/>
          <w:color w:val="auto"/>
          <w:sz w:val="22"/>
          <w:szCs w:val="22"/>
          <w:highlight w:val="none"/>
          <w:u w:val="single"/>
        </w:rPr>
        <w:t>施工现场</w:t>
      </w:r>
      <w:r>
        <w:rPr>
          <w:rFonts w:hint="eastAsia" w:ascii="宋体" w:hAnsi="宋体" w:eastAsia="宋体" w:cs="宋体"/>
          <w:bCs/>
          <w:color w:val="auto"/>
          <w:kern w:val="0"/>
          <w:sz w:val="22"/>
          <w:szCs w:val="22"/>
          <w:highlight w:val="none"/>
        </w:rPr>
        <w:t>；</w:t>
      </w:r>
    </w:p>
    <w:p w14:paraId="63B3B4AB">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监理人指定的接收人为：</w:t>
      </w:r>
      <w:r>
        <w:rPr>
          <w:rFonts w:hint="eastAsia" w:ascii="宋体" w:hAnsi="宋体" w:eastAsia="宋体" w:cs="宋体"/>
          <w:bCs/>
          <w:color w:val="auto"/>
          <w:sz w:val="22"/>
          <w:szCs w:val="22"/>
          <w:highlight w:val="none"/>
          <w:u w:val="single"/>
        </w:rPr>
        <w:t>总监</w:t>
      </w:r>
      <w:r>
        <w:rPr>
          <w:rFonts w:hint="eastAsia" w:ascii="宋体" w:hAnsi="宋体" w:eastAsia="宋体" w:cs="宋体"/>
          <w:bCs/>
          <w:color w:val="auto"/>
          <w:kern w:val="0"/>
          <w:sz w:val="22"/>
          <w:szCs w:val="22"/>
          <w:highlight w:val="none"/>
        </w:rPr>
        <w:t>。</w:t>
      </w:r>
    </w:p>
    <w:p w14:paraId="46F953CF">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1.10 交通运输</w:t>
      </w:r>
    </w:p>
    <w:p w14:paraId="7D2D48F5">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Start w:id="41" w:name="_Toc318581155"/>
      <w:bookmarkStart w:id="42" w:name="_Toc312677986"/>
      <w:bookmarkStart w:id="43" w:name="_Toc300934943"/>
      <w:bookmarkStart w:id="44" w:name="_Toc304295521"/>
      <w:bookmarkStart w:id="45" w:name="_Toc303539100"/>
      <w:r>
        <w:rPr>
          <w:rFonts w:hint="eastAsia" w:ascii="宋体" w:hAnsi="宋体" w:eastAsia="宋体" w:cs="宋体"/>
          <w:bCs/>
          <w:color w:val="auto"/>
          <w:sz w:val="22"/>
          <w:szCs w:val="22"/>
          <w:highlight w:val="none"/>
        </w:rPr>
        <w:t>.10.1 出入现场的权利</w:t>
      </w:r>
    </w:p>
    <w:p w14:paraId="04DE8C17">
      <w:pPr>
        <w:adjustRightInd w:val="0"/>
        <w:snapToGrid w:val="0"/>
        <w:spacing w:line="312" w:lineRule="auto"/>
        <w:ind w:left="596" w:leftChars="284"/>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关于出入现场的权利的约定：</w:t>
      </w:r>
      <w:r>
        <w:rPr>
          <w:rFonts w:hint="eastAsia" w:ascii="宋体" w:hAnsi="宋体" w:eastAsia="宋体" w:cs="宋体"/>
          <w:bCs/>
          <w:color w:val="auto"/>
          <w:sz w:val="22"/>
          <w:szCs w:val="22"/>
          <w:highlight w:val="none"/>
          <w:u w:val="single"/>
        </w:rPr>
        <w:t>按通用合同条款第1.10.1条规定执行</w:t>
      </w:r>
      <w:r>
        <w:rPr>
          <w:rFonts w:hint="eastAsia" w:ascii="宋体" w:hAnsi="宋体" w:eastAsia="宋体" w:cs="宋体"/>
          <w:bCs/>
          <w:color w:val="auto"/>
          <w:sz w:val="22"/>
          <w:szCs w:val="22"/>
          <w:highlight w:val="none"/>
        </w:rPr>
        <w:t>。</w:t>
      </w:r>
    </w:p>
    <w:bookmarkEnd w:id="41"/>
    <w:bookmarkEnd w:id="42"/>
    <w:bookmarkEnd w:id="43"/>
    <w:bookmarkEnd w:id="44"/>
    <w:bookmarkEnd w:id="45"/>
    <w:p w14:paraId="539BCAF2">
      <w:pPr>
        <w:adjustRightInd w:val="0"/>
        <w:snapToGrid w:val="0"/>
        <w:spacing w:line="312" w:lineRule="auto"/>
        <w:ind w:firstLine="440" w:firstLineChars="200"/>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Start w:id="46" w:name="_Toc300934944"/>
      <w:bookmarkStart w:id="47" w:name="_Toc318581156"/>
      <w:bookmarkStart w:id="48" w:name="_Toc312677987"/>
      <w:bookmarkStart w:id="49" w:name="_Toc304295522"/>
      <w:bookmarkStart w:id="50" w:name="_Toc303539101"/>
      <w:r>
        <w:rPr>
          <w:rFonts w:hint="eastAsia" w:ascii="宋体" w:hAnsi="宋体" w:eastAsia="宋体" w:cs="宋体"/>
          <w:bCs/>
          <w:color w:val="auto"/>
          <w:sz w:val="22"/>
          <w:szCs w:val="22"/>
          <w:highlight w:val="none"/>
        </w:rPr>
        <w:t>.10.3 场内交通</w:t>
      </w:r>
    </w:p>
    <w:p w14:paraId="790C598F">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关于场外交通和场内交通的边界的约定：</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4AA2E9B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关于甲方向乙方免费提供满足工程施工需要的场内道路和交通设施的约定：</w:t>
      </w:r>
      <w:r>
        <w:rPr>
          <w:rFonts w:hint="eastAsia" w:ascii="宋体" w:hAnsi="宋体" w:eastAsia="宋体" w:cs="宋体"/>
          <w:bCs/>
          <w:color w:val="auto"/>
          <w:sz w:val="22"/>
          <w:szCs w:val="22"/>
          <w:highlight w:val="none"/>
          <w:u w:val="single"/>
        </w:rPr>
        <w:t>已开通，乙方应负责从甲方指定的场外公共道路至施工区及施工区内道路和交通设施的修建、维修、养护和管理，包括维修、养护和管理甲方提供的道路和交通设施，并承担相应费用</w:t>
      </w:r>
      <w:r>
        <w:rPr>
          <w:rFonts w:hint="eastAsia" w:ascii="宋体" w:hAnsi="宋体" w:eastAsia="宋体" w:cs="宋体"/>
          <w:bCs/>
          <w:color w:val="auto"/>
          <w:sz w:val="22"/>
          <w:szCs w:val="22"/>
          <w:highlight w:val="none"/>
        </w:rPr>
        <w:t>。</w:t>
      </w:r>
      <w:bookmarkEnd w:id="46"/>
      <w:bookmarkEnd w:id="47"/>
      <w:bookmarkEnd w:id="48"/>
      <w:bookmarkEnd w:id="49"/>
      <w:bookmarkEnd w:id="50"/>
      <w:bookmarkStart w:id="51" w:name="_Toc318581157"/>
    </w:p>
    <w:p w14:paraId="2C9411D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1.10.4超大件和超重件的运输</w:t>
      </w:r>
    </w:p>
    <w:p w14:paraId="2C9F2B7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运输超大件或超重件所需的道路和桥梁临时加固改造费用和其他有关费用由</w:t>
      </w:r>
      <w:r>
        <w:rPr>
          <w:rFonts w:hint="eastAsia" w:ascii="宋体" w:hAnsi="宋体" w:eastAsia="宋体" w:cs="宋体"/>
          <w:bCs/>
          <w:color w:val="auto"/>
          <w:sz w:val="22"/>
          <w:szCs w:val="22"/>
          <w:highlight w:val="none"/>
          <w:u w:val="single"/>
        </w:rPr>
        <w:t>乙方</w:t>
      </w:r>
      <w:r>
        <w:rPr>
          <w:rFonts w:hint="eastAsia" w:ascii="宋体" w:hAnsi="宋体" w:eastAsia="宋体" w:cs="宋体"/>
          <w:bCs/>
          <w:color w:val="auto"/>
          <w:sz w:val="22"/>
          <w:szCs w:val="22"/>
          <w:highlight w:val="none"/>
        </w:rPr>
        <w:t>承担。</w:t>
      </w:r>
    </w:p>
    <w:bookmarkEnd w:id="51"/>
    <w:p w14:paraId="18385A7F">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1.11 知识产权</w:t>
      </w:r>
    </w:p>
    <w:p w14:paraId="72F179D3">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1.11.1关于甲方提供给乙方的图纸、甲方为实施工程自行编制或委托编制的技术规范以及反映甲方关于合同要求或其他类似性质的文件的著作权的归属：</w:t>
      </w:r>
      <w:r>
        <w:rPr>
          <w:rFonts w:hint="eastAsia" w:ascii="宋体" w:hAnsi="宋体" w:eastAsia="宋体" w:cs="宋体"/>
          <w:bCs/>
          <w:color w:val="auto"/>
          <w:sz w:val="22"/>
          <w:szCs w:val="22"/>
          <w:highlight w:val="none"/>
          <w:u w:val="single"/>
        </w:rPr>
        <w:t>著作权属于甲方</w:t>
      </w:r>
      <w:r>
        <w:rPr>
          <w:rFonts w:hint="eastAsia" w:ascii="宋体" w:hAnsi="宋体" w:eastAsia="宋体" w:cs="宋体"/>
          <w:bCs/>
          <w:color w:val="auto"/>
          <w:sz w:val="22"/>
          <w:szCs w:val="22"/>
          <w:highlight w:val="none"/>
        </w:rPr>
        <w:t>。</w:t>
      </w:r>
    </w:p>
    <w:p w14:paraId="070AC7D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关于甲方提供的上述文件的使用限制的要求：</w:t>
      </w:r>
      <w:r>
        <w:rPr>
          <w:rFonts w:hint="eastAsia" w:ascii="宋体" w:hAnsi="宋体" w:eastAsia="宋体" w:cs="宋体"/>
          <w:bCs/>
          <w:color w:val="auto"/>
          <w:sz w:val="22"/>
          <w:szCs w:val="22"/>
          <w:highlight w:val="none"/>
          <w:u w:val="single"/>
        </w:rPr>
        <w:t>永久性限制 ，未经甲方事前书面同意，乙方不得以任何形式用于与本合同无关的其他用途，工程竣工后，除为履行保修义务而允许乙方保留一套竣工图外，乙方应将图纸返还甲方</w:t>
      </w:r>
      <w:r>
        <w:rPr>
          <w:rFonts w:hint="eastAsia" w:ascii="宋体" w:hAnsi="宋体" w:eastAsia="宋体" w:cs="宋体"/>
          <w:bCs/>
          <w:color w:val="auto"/>
          <w:sz w:val="22"/>
          <w:szCs w:val="22"/>
          <w:highlight w:val="none"/>
        </w:rPr>
        <w:t>。</w:t>
      </w:r>
    </w:p>
    <w:p w14:paraId="3D29A14C">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1.11.2 关于乙方为实施工程所编制文件的著作权的归属：</w:t>
      </w:r>
      <w:r>
        <w:rPr>
          <w:rFonts w:hint="eastAsia" w:ascii="宋体" w:hAnsi="宋体" w:eastAsia="宋体" w:cs="宋体"/>
          <w:bCs/>
          <w:color w:val="auto"/>
          <w:sz w:val="22"/>
          <w:szCs w:val="22"/>
          <w:highlight w:val="none"/>
          <w:u w:val="single"/>
        </w:rPr>
        <w:t>除署名权以外的著作权归甲方享有</w:t>
      </w:r>
      <w:r>
        <w:rPr>
          <w:rFonts w:hint="eastAsia" w:ascii="宋体" w:hAnsi="宋体" w:eastAsia="宋体" w:cs="宋体"/>
          <w:bCs/>
          <w:color w:val="auto"/>
          <w:sz w:val="22"/>
          <w:szCs w:val="22"/>
          <w:highlight w:val="none"/>
        </w:rPr>
        <w:t>。</w:t>
      </w:r>
    </w:p>
    <w:p w14:paraId="139431A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关于乙方提供的上述文件的使用限制的要求：</w:t>
      </w:r>
      <w:r>
        <w:rPr>
          <w:rFonts w:hint="eastAsia" w:ascii="宋体" w:hAnsi="宋体" w:eastAsia="宋体" w:cs="宋体"/>
          <w:bCs/>
          <w:color w:val="auto"/>
          <w:sz w:val="22"/>
          <w:szCs w:val="22"/>
          <w:highlight w:val="none"/>
          <w:u w:val="single"/>
        </w:rPr>
        <w:t>工程竣工验收后，经甲方事前书面同意，在不泄露甲方商业秘密或技术信息的情况下使用</w:t>
      </w:r>
      <w:r>
        <w:rPr>
          <w:rFonts w:hint="eastAsia" w:ascii="宋体" w:hAnsi="宋体" w:eastAsia="宋体" w:cs="宋体"/>
          <w:bCs/>
          <w:color w:val="auto"/>
          <w:sz w:val="22"/>
          <w:szCs w:val="22"/>
          <w:highlight w:val="none"/>
        </w:rPr>
        <w:t>。</w:t>
      </w:r>
    </w:p>
    <w:p w14:paraId="34D91414">
      <w:pPr>
        <w:adjustRightInd w:val="0"/>
        <w:snapToGrid w:val="0"/>
        <w:spacing w:line="312" w:lineRule="auto"/>
        <w:ind w:firstLine="440" w:firstLineChars="200"/>
        <w:outlineLvl w:val="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1.11.4 乙方在施工过程中所采用的专利、专有技术、技术秘密的使用费的承担方式：</w:t>
      </w:r>
      <w:r>
        <w:rPr>
          <w:rFonts w:hint="eastAsia" w:ascii="宋体" w:hAnsi="宋体" w:eastAsia="宋体" w:cs="宋体"/>
          <w:bCs/>
          <w:color w:val="auto"/>
          <w:sz w:val="22"/>
          <w:szCs w:val="22"/>
          <w:highlight w:val="none"/>
          <w:u w:val="single"/>
        </w:rPr>
        <w:t>乙方自行承担；（除甲方指明外）乙方在施工过程中所采用的专利、专有技术、技术秘密的使用费用均已包含在本合同价款内，甲方不再另行支付</w:t>
      </w:r>
      <w:r>
        <w:rPr>
          <w:rFonts w:hint="eastAsia" w:ascii="宋体" w:hAnsi="宋体" w:eastAsia="宋体" w:cs="宋体"/>
          <w:bCs/>
          <w:color w:val="auto"/>
          <w:kern w:val="0"/>
          <w:sz w:val="22"/>
          <w:szCs w:val="22"/>
          <w:highlight w:val="none"/>
        </w:rPr>
        <w:t>。</w:t>
      </w:r>
    </w:p>
    <w:p w14:paraId="66AB426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1.13工程量清单错误的修正</w:t>
      </w:r>
    </w:p>
    <w:p w14:paraId="22FF179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出现工程量清单错误时，是否调整合同价格：</w:t>
      </w:r>
      <w:r>
        <w:rPr>
          <w:rFonts w:hint="eastAsia" w:ascii="宋体" w:hAnsi="宋体" w:eastAsia="宋体" w:cs="宋体"/>
          <w:bCs/>
          <w:color w:val="auto"/>
          <w:sz w:val="22"/>
          <w:szCs w:val="22"/>
          <w:highlight w:val="none"/>
          <w:u w:val="single"/>
        </w:rPr>
        <w:t>参照本合同专用条款12.1执行</w:t>
      </w:r>
      <w:r>
        <w:rPr>
          <w:rFonts w:hint="eastAsia" w:ascii="宋体" w:hAnsi="宋体" w:eastAsia="宋体" w:cs="宋体"/>
          <w:bCs/>
          <w:color w:val="auto"/>
          <w:kern w:val="0"/>
          <w:sz w:val="22"/>
          <w:szCs w:val="22"/>
          <w:highlight w:val="none"/>
        </w:rPr>
        <w:t>。</w:t>
      </w:r>
    </w:p>
    <w:p w14:paraId="55B36C3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允许调整合同价格的工程量偏差范围：</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kern w:val="0"/>
          <w:sz w:val="22"/>
          <w:szCs w:val="22"/>
          <w:highlight w:val="none"/>
        </w:rPr>
        <w:t>。</w:t>
      </w:r>
    </w:p>
    <w:p w14:paraId="31DEA5EE">
      <w:pPr>
        <w:adjustRightInd w:val="0"/>
        <w:snapToGrid w:val="0"/>
        <w:spacing w:line="312" w:lineRule="auto"/>
        <w:rPr>
          <w:rFonts w:hint="eastAsia" w:ascii="宋体" w:hAnsi="宋体" w:eastAsia="宋体" w:cs="宋体"/>
          <w:bCs/>
          <w:color w:val="auto"/>
          <w:sz w:val="22"/>
          <w:szCs w:val="22"/>
          <w:highlight w:val="none"/>
        </w:rPr>
      </w:pPr>
      <w:bookmarkStart w:id="52" w:name="_Toc351203634"/>
      <w:r>
        <w:rPr>
          <w:rFonts w:hint="eastAsia" w:ascii="宋体" w:hAnsi="宋体" w:eastAsia="宋体" w:cs="宋体"/>
          <w:bCs/>
          <w:color w:val="auto"/>
          <w:sz w:val="22"/>
          <w:szCs w:val="22"/>
          <w:highlight w:val="none"/>
        </w:rPr>
        <w:t>2</w:t>
      </w:r>
      <w:bookmarkStart w:id="53" w:name="_Toc297048343"/>
      <w:bookmarkStart w:id="54" w:name="_Toc292559362"/>
      <w:bookmarkStart w:id="55" w:name="_Toc296944496"/>
      <w:bookmarkStart w:id="56" w:name="_Toc297120457"/>
      <w:bookmarkStart w:id="57" w:name="_Toc296346658"/>
      <w:bookmarkStart w:id="58" w:name="_Toc296890985"/>
      <w:bookmarkStart w:id="59" w:name="_Toc292559867"/>
      <w:bookmarkStart w:id="60" w:name="_Toc296503157"/>
      <w:bookmarkStart w:id="61" w:name="_Toc296891197"/>
      <w:bookmarkStart w:id="62" w:name="_Toc296347156"/>
      <w:r>
        <w:rPr>
          <w:rFonts w:hint="eastAsia" w:ascii="宋体" w:hAnsi="宋体" w:eastAsia="宋体" w:cs="宋体"/>
          <w:bCs/>
          <w:color w:val="auto"/>
          <w:sz w:val="22"/>
          <w:szCs w:val="22"/>
          <w:highlight w:val="none"/>
        </w:rPr>
        <w:t xml:space="preserve">. </w:t>
      </w:r>
      <w:bookmarkEnd w:id="52"/>
      <w:r>
        <w:rPr>
          <w:rFonts w:hint="eastAsia" w:ascii="宋体" w:hAnsi="宋体" w:eastAsia="宋体" w:cs="宋体"/>
          <w:bCs/>
          <w:color w:val="auto"/>
          <w:sz w:val="22"/>
          <w:szCs w:val="22"/>
          <w:highlight w:val="none"/>
        </w:rPr>
        <w:t>甲方</w:t>
      </w:r>
    </w:p>
    <w:bookmarkEnd w:id="53"/>
    <w:bookmarkEnd w:id="54"/>
    <w:bookmarkEnd w:id="55"/>
    <w:bookmarkEnd w:id="56"/>
    <w:bookmarkEnd w:id="57"/>
    <w:bookmarkEnd w:id="58"/>
    <w:bookmarkEnd w:id="59"/>
    <w:bookmarkEnd w:id="60"/>
    <w:bookmarkEnd w:id="61"/>
    <w:bookmarkEnd w:id="62"/>
    <w:p w14:paraId="18ECA86F">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 甲方代表</w:t>
      </w:r>
    </w:p>
    <w:p w14:paraId="5DA73C6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甲方代表：</w:t>
      </w:r>
    </w:p>
    <w:p w14:paraId="0F8EC8C3">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姓    名：</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DACD9E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身份证号：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3E7E7C2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职    务：</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0335554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3D92209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BF2792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通信地址：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99037E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甲方对甲方代表的授权范围如下：</w:t>
      </w:r>
      <w:r>
        <w:rPr>
          <w:rFonts w:hint="eastAsia" w:ascii="宋体" w:hAnsi="宋体" w:eastAsia="宋体" w:cs="宋体"/>
          <w:bCs/>
          <w:color w:val="auto"/>
          <w:sz w:val="22"/>
          <w:szCs w:val="22"/>
          <w:highlight w:val="none"/>
          <w:u w:val="single"/>
        </w:rPr>
        <w:t>负责本合同的履行与监督，负责本工程质量、进度、投资、安全等项目管理内容的协调管理工作，行使除监理工程师职权外的其他工程师的职权协调关系，签发进度款及现场鉴证</w:t>
      </w:r>
      <w:r>
        <w:rPr>
          <w:rFonts w:hint="eastAsia" w:ascii="宋体" w:hAnsi="宋体" w:eastAsia="宋体" w:cs="宋体"/>
          <w:bCs/>
          <w:color w:val="auto"/>
          <w:sz w:val="22"/>
          <w:szCs w:val="22"/>
          <w:highlight w:val="none"/>
        </w:rPr>
        <w:t>。</w:t>
      </w:r>
    </w:p>
    <w:p w14:paraId="3B2A9418">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 施工现场、施工条件和基础资料的提供</w:t>
      </w:r>
    </w:p>
    <w:p w14:paraId="6A4381C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2.4.1 提供施工现场</w:t>
      </w:r>
    </w:p>
    <w:p w14:paraId="4C31C20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关于甲方移交施工现场的期限要求：</w:t>
      </w:r>
      <w:r>
        <w:rPr>
          <w:rFonts w:hint="eastAsia" w:ascii="宋体" w:hAnsi="宋体" w:eastAsia="宋体" w:cs="宋体"/>
          <w:bCs/>
          <w:color w:val="auto"/>
          <w:sz w:val="22"/>
          <w:szCs w:val="22"/>
          <w:highlight w:val="none"/>
          <w:u w:val="single"/>
        </w:rPr>
        <w:t>开工前结合具体实际情况，施工场地具备主体工程施工条件，或具备局部施工条件且后续可连续施工</w:t>
      </w:r>
      <w:r>
        <w:rPr>
          <w:rFonts w:hint="eastAsia" w:ascii="宋体" w:hAnsi="宋体" w:eastAsia="宋体" w:cs="宋体"/>
          <w:bCs/>
          <w:color w:val="auto"/>
          <w:sz w:val="22"/>
          <w:szCs w:val="22"/>
          <w:highlight w:val="none"/>
        </w:rPr>
        <w:t>。</w:t>
      </w:r>
    </w:p>
    <w:p w14:paraId="301337E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2.4.2 提供施工条件</w:t>
      </w:r>
    </w:p>
    <w:p w14:paraId="3C04CE0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关于甲方应负责提供施工所需要的条件，包括：</w:t>
      </w:r>
    </w:p>
    <w:p w14:paraId="242EF47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u w:val="single"/>
        </w:rPr>
        <w:t>除选用通用合同条款第2.4.2条规定外，开工前七天，由甲方协助乙方办理好施工所需证件、批件；开工前七天，完成水准点与坐标点双方在施工现场的校验；开工前七天，完成图纸会审和设计交底</w:t>
      </w:r>
      <w:r>
        <w:rPr>
          <w:rFonts w:hint="eastAsia" w:ascii="宋体" w:hAnsi="宋体" w:eastAsia="宋体" w:cs="宋体"/>
          <w:bCs/>
          <w:color w:val="auto"/>
          <w:sz w:val="22"/>
          <w:szCs w:val="22"/>
          <w:highlight w:val="none"/>
        </w:rPr>
        <w:t>。</w:t>
      </w:r>
    </w:p>
    <w:p w14:paraId="1487BF2A">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（2）施工所需的水、电、电讯线路接至施工场地的时间、地点和供应要求：</w:t>
      </w:r>
    </w:p>
    <w:p w14:paraId="2552B6C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①所需正常施工的电源、水源已由发包方在开工前安装至施工现场边缘。</w:t>
      </w:r>
    </w:p>
    <w:p w14:paraId="191EAA69">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 xml:space="preserve">②施工用电：施工场内临时低压接电及线缆铺设费用要求乙方自理并包括在响应总价内。 </w:t>
      </w:r>
    </w:p>
    <w:p w14:paraId="1D6A15B4">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③施工用水：施工场内临时用水接水管铺设费用由乙方自理并包括在响应总价内。</w:t>
      </w:r>
    </w:p>
    <w:p w14:paraId="5D7164AE">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④施工用水、用电费用由乙方承担，费用包含在总价中。</w:t>
      </w:r>
    </w:p>
    <w:p w14:paraId="6CF7F4DB">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⑤用电与用水高峰期时供应不足由乙方自行设法解决，费用由乙方综合考虑在报价中，甲方不另支付相关费用。</w:t>
      </w:r>
    </w:p>
    <w:p w14:paraId="3EE05ABA">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2.5 资金来源证明及支付担保</w:t>
      </w:r>
    </w:p>
    <w:p w14:paraId="472E669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甲方提供资金来源证明的期限要求：</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3107E01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甲方是否提供支付担保：</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D61775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甲方提供支付担保的形式：</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6207AA29">
      <w:pPr>
        <w:adjustRightInd w:val="0"/>
        <w:snapToGrid w:val="0"/>
        <w:spacing w:line="312" w:lineRule="auto"/>
        <w:rPr>
          <w:rFonts w:hint="eastAsia" w:ascii="宋体" w:hAnsi="宋体" w:eastAsia="宋体" w:cs="宋体"/>
          <w:bCs/>
          <w:color w:val="auto"/>
          <w:sz w:val="22"/>
          <w:szCs w:val="22"/>
          <w:highlight w:val="none"/>
        </w:rPr>
      </w:pPr>
      <w:bookmarkStart w:id="63" w:name="_Toc351203635"/>
      <w:r>
        <w:rPr>
          <w:rFonts w:hint="eastAsia" w:ascii="宋体" w:hAnsi="宋体" w:eastAsia="宋体" w:cs="宋体"/>
          <w:bCs/>
          <w:color w:val="auto"/>
          <w:sz w:val="22"/>
          <w:szCs w:val="22"/>
          <w:highlight w:val="none"/>
        </w:rPr>
        <w:t>3</w:t>
      </w:r>
      <w:bookmarkStart w:id="64" w:name="_Toc296346659"/>
      <w:bookmarkStart w:id="65" w:name="_Toc296347157"/>
      <w:bookmarkStart w:id="66" w:name="_Toc297048344"/>
      <w:bookmarkStart w:id="67" w:name="_Toc296891198"/>
      <w:bookmarkStart w:id="68" w:name="_Toc297120458"/>
      <w:bookmarkStart w:id="69" w:name="_Toc292559868"/>
      <w:bookmarkStart w:id="70" w:name="_Toc296503158"/>
      <w:bookmarkStart w:id="71" w:name="_Toc296944497"/>
      <w:bookmarkStart w:id="72" w:name="_Toc296890986"/>
      <w:bookmarkStart w:id="73" w:name="_Toc292559363"/>
      <w:r>
        <w:rPr>
          <w:rFonts w:hint="eastAsia" w:ascii="宋体" w:hAnsi="宋体" w:eastAsia="宋体" w:cs="宋体"/>
          <w:bCs/>
          <w:color w:val="auto"/>
          <w:sz w:val="22"/>
          <w:szCs w:val="22"/>
          <w:highlight w:val="none"/>
        </w:rPr>
        <w:t xml:space="preserve">. </w:t>
      </w:r>
      <w:bookmarkEnd w:id="63"/>
      <w:r>
        <w:rPr>
          <w:rFonts w:hint="eastAsia" w:ascii="宋体" w:hAnsi="宋体" w:eastAsia="宋体" w:cs="宋体"/>
          <w:bCs/>
          <w:color w:val="auto"/>
          <w:sz w:val="22"/>
          <w:szCs w:val="22"/>
          <w:highlight w:val="none"/>
        </w:rPr>
        <w:t>乙方</w:t>
      </w:r>
    </w:p>
    <w:bookmarkEnd w:id="64"/>
    <w:bookmarkEnd w:id="65"/>
    <w:bookmarkEnd w:id="66"/>
    <w:bookmarkEnd w:id="67"/>
    <w:bookmarkEnd w:id="68"/>
    <w:bookmarkEnd w:id="69"/>
    <w:bookmarkEnd w:id="70"/>
    <w:bookmarkEnd w:id="71"/>
    <w:bookmarkEnd w:id="72"/>
    <w:bookmarkEnd w:id="73"/>
    <w:p w14:paraId="46941EE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 乙方的一般义务</w:t>
      </w:r>
    </w:p>
    <w:p w14:paraId="041F6EA9">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（1）应提供计划、报表的名称及完成时间：</w:t>
      </w:r>
    </w:p>
    <w:p w14:paraId="7418FD5F">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（2）承担施工安全保卫工作及非夜间施工照明的责任和要求：</w:t>
      </w:r>
      <w:r>
        <w:rPr>
          <w:rFonts w:hint="eastAsia" w:ascii="宋体" w:hAnsi="宋体" w:eastAsia="宋体" w:cs="宋体"/>
          <w:bCs/>
          <w:color w:val="auto"/>
          <w:sz w:val="22"/>
          <w:szCs w:val="22"/>
          <w:highlight w:val="none"/>
          <w:u w:val="single"/>
        </w:rPr>
        <w:t xml:space="preserve"> 施工现场的夜间照明线路必须单独敷设，承担所有安全保卫责任以及引起的所有经济和法律责任；承担各级政府管理部门所要求的一切责任以及引起的所有经济和法律责任。</w:t>
      </w:r>
    </w:p>
    <w:p w14:paraId="6DAA26F8">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（3）需乙方办理的有关施工场地交通、环卫和施工噪音管理等手续：</w:t>
      </w:r>
      <w:r>
        <w:rPr>
          <w:rFonts w:hint="eastAsia" w:ascii="宋体" w:hAnsi="宋体" w:eastAsia="宋体" w:cs="宋体"/>
          <w:bCs/>
          <w:color w:val="auto"/>
          <w:sz w:val="22"/>
          <w:szCs w:val="22"/>
          <w:highlight w:val="none"/>
          <w:u w:val="single"/>
        </w:rPr>
        <w:t>遵照政府有关部门对施工场地交通、环卫和施工噪音的管理规定，按规定办理相关手续，费用由乙方负责，甲方给予配合。如乙方未及时办理有关手续而造成的罚款由乙方承担。</w:t>
      </w:r>
    </w:p>
    <w:p w14:paraId="44CE0B5C">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（4）完工工程成品保护的特殊要求及费用承担：</w:t>
      </w:r>
      <w:r>
        <w:rPr>
          <w:rFonts w:hint="eastAsia" w:ascii="宋体" w:hAnsi="宋体" w:eastAsia="宋体" w:cs="宋体"/>
          <w:bCs/>
          <w:color w:val="auto"/>
          <w:sz w:val="22"/>
          <w:szCs w:val="22"/>
          <w:highlight w:val="none"/>
          <w:u w:val="single"/>
        </w:rPr>
        <w:t>按甲方的要求进行保护，所有费用乙方已在响应报价中包干。</w:t>
      </w:r>
    </w:p>
    <w:p w14:paraId="1E2969F6">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（5）施工现场清洁卫生的要求：</w:t>
      </w:r>
      <w:r>
        <w:rPr>
          <w:rFonts w:hint="eastAsia" w:ascii="宋体" w:hAnsi="宋体" w:eastAsia="宋体" w:cs="宋体"/>
          <w:bCs/>
          <w:color w:val="auto"/>
          <w:sz w:val="22"/>
          <w:szCs w:val="22"/>
          <w:highlight w:val="none"/>
          <w:u w:val="single"/>
        </w:rPr>
        <w:t>乙方结合《浙江省建设工程现场安全文明施工标准化工地管理办法》等省市相关规定，制定相应文明施工措施方案，保证施工现场清洁卫生。如乙方未按文明施工方案实施的，甲方有权责令乙方立即整改，对乙方拒不整改或未按规定期限完成整改的，甲方有权对乙方处以罚款、暂停施工等处罚。本工程乙方搭设的所有临时设施、施工便道等（包括借地范围内），在本工程交工验收合格后，必须在规定的期限内自行拆除清运完毕，达到监理和甲方认为合格的使用状态否则将不予结算。</w:t>
      </w:r>
    </w:p>
    <w:p w14:paraId="418288E5">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（6）乙方提交的竣工资料的内容：</w:t>
      </w:r>
      <w:r>
        <w:rPr>
          <w:rFonts w:hint="eastAsia" w:ascii="宋体" w:hAnsi="宋体" w:eastAsia="宋体" w:cs="宋体"/>
          <w:bCs/>
          <w:color w:val="auto"/>
          <w:sz w:val="22"/>
          <w:szCs w:val="22"/>
          <w:highlight w:val="none"/>
          <w:u w:val="single"/>
        </w:rPr>
        <w:t>向发包方提供竣工图（肆套）、竣工资料及竣工验收报告，并附光盘（含影像资料、图片等）</w:t>
      </w:r>
      <w:r>
        <w:rPr>
          <w:rFonts w:hint="eastAsia" w:ascii="宋体" w:hAnsi="宋体" w:eastAsia="宋体" w:cs="宋体"/>
          <w:bCs/>
          <w:color w:val="auto"/>
          <w:sz w:val="22"/>
          <w:szCs w:val="22"/>
          <w:highlight w:val="none"/>
        </w:rPr>
        <w:t>。</w:t>
      </w:r>
    </w:p>
    <w:p w14:paraId="1ABA850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乙方需要提交的竣工资料套数：</w:t>
      </w:r>
      <w:r>
        <w:rPr>
          <w:rFonts w:hint="eastAsia" w:ascii="宋体" w:hAnsi="宋体" w:eastAsia="宋体" w:cs="宋体"/>
          <w:bCs/>
          <w:color w:val="auto"/>
          <w:sz w:val="22"/>
          <w:szCs w:val="22"/>
          <w:highlight w:val="none"/>
          <w:u w:val="single"/>
        </w:rPr>
        <w:t>满足工程所在地建设行政主管部门和城市建设档案管理机构有关施工资料的要求</w:t>
      </w:r>
      <w:r>
        <w:rPr>
          <w:rFonts w:hint="eastAsia" w:ascii="宋体" w:hAnsi="宋体" w:eastAsia="宋体" w:cs="宋体"/>
          <w:bCs/>
          <w:color w:val="auto"/>
          <w:sz w:val="22"/>
          <w:szCs w:val="22"/>
          <w:highlight w:val="none"/>
        </w:rPr>
        <w:t>。</w:t>
      </w:r>
    </w:p>
    <w:p w14:paraId="07FB570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乙方提交的竣工资料的费用承担：</w:t>
      </w:r>
      <w:r>
        <w:rPr>
          <w:rFonts w:hint="eastAsia" w:ascii="宋体" w:hAnsi="宋体" w:eastAsia="宋体" w:cs="宋体"/>
          <w:bCs/>
          <w:color w:val="auto"/>
          <w:sz w:val="22"/>
          <w:szCs w:val="22"/>
          <w:highlight w:val="none"/>
          <w:u w:val="single"/>
        </w:rPr>
        <w:t>乙方承担</w:t>
      </w:r>
      <w:r>
        <w:rPr>
          <w:rFonts w:hint="eastAsia" w:ascii="宋体" w:hAnsi="宋体" w:eastAsia="宋体" w:cs="宋体"/>
          <w:bCs/>
          <w:color w:val="auto"/>
          <w:sz w:val="22"/>
          <w:szCs w:val="22"/>
          <w:highlight w:val="none"/>
        </w:rPr>
        <w:t>。</w:t>
      </w:r>
    </w:p>
    <w:p w14:paraId="4020415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乙方提交的竣工资料移交时间：</w:t>
      </w:r>
      <w:r>
        <w:rPr>
          <w:rFonts w:hint="eastAsia" w:ascii="宋体" w:hAnsi="宋体" w:eastAsia="宋体" w:cs="宋体"/>
          <w:bCs/>
          <w:color w:val="auto"/>
          <w:sz w:val="22"/>
          <w:szCs w:val="22"/>
          <w:highlight w:val="none"/>
          <w:u w:val="single"/>
        </w:rPr>
        <w:t>竣工验收前十天</w:t>
      </w:r>
      <w:r>
        <w:rPr>
          <w:rFonts w:hint="eastAsia" w:ascii="宋体" w:hAnsi="宋体" w:eastAsia="宋体" w:cs="宋体"/>
          <w:bCs/>
          <w:color w:val="auto"/>
          <w:sz w:val="22"/>
          <w:szCs w:val="22"/>
          <w:highlight w:val="none"/>
        </w:rPr>
        <w:t>。</w:t>
      </w:r>
    </w:p>
    <w:p w14:paraId="5004ADD0">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乙方提交的竣工资料形式要求：</w:t>
      </w:r>
      <w:r>
        <w:rPr>
          <w:rFonts w:hint="eastAsia" w:ascii="宋体" w:hAnsi="宋体" w:eastAsia="宋体" w:cs="宋体"/>
          <w:bCs/>
          <w:color w:val="auto"/>
          <w:sz w:val="22"/>
          <w:szCs w:val="22"/>
          <w:highlight w:val="none"/>
          <w:u w:val="single"/>
        </w:rPr>
        <w:t>甲方收到乙方提交的竣工验收报告及竣工验收资料后，认为工程尚不具备竣工验收条件或乙方提交人竣工验收资料不完整的，有权不组织竣工验收，直至工程符合工程竣工验收条件或竣工验收资料完整。若工程验收时，竣工验收资料尚不完整，或不完全符合主管部门要求的，工程竣工验收通过后，乙方仍应按要求提交完整的符合要求的竣工资料。乙方应在甲方指定的时间内向甲方提供符合存档备案要求的竣工图、竣工资料及竣工验收报告等，并有义务配合甲方将该些资料存档备案，否则，每逾期一天，乙方应按照人民币贰仟元向甲方支付违约金，且甲方有权拒付工程款。</w:t>
      </w:r>
    </w:p>
    <w:p w14:paraId="7BC3881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（7）乙方应履行的其他义务：</w:t>
      </w:r>
    </w:p>
    <w:p w14:paraId="16766328">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a、乙方在工程实施期间应对甲方提供的各项水电设施以及沿街户外广告进行必要的保护，相关费用在响应报价中综合考虑。若由于乙方未能妥善保护给甲方造成的损失由乙方承担。</w:t>
      </w:r>
    </w:p>
    <w:p w14:paraId="7E3AAEA7">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b、协助甲方和监理工程师避免合同文件各个部分之间的差异可能给工程带来的任何损失是乙方的义务，乙方故意隐瞒或不及时向监理工程师通报此类较为明显的差异，乙方应自费纠正或消除此类差异给工程带来的影响。</w:t>
      </w:r>
    </w:p>
    <w:p w14:paraId="552CE345">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c、乙方在施工中，有责任配合甲方或甲方委托的科研单位进行本工程有关的科研监测、测试和检测工作，并不得提出任何费用要求。</w:t>
      </w:r>
    </w:p>
    <w:p w14:paraId="0B1082C3">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d、乙方在使用地方道路过程中，必须采取一切措施确保车辆正常通行，做到施工、通车两不误，由于乙方措施不力，导致堵车和事故频发或损坏地方道路，影响交通安全和正常运行，并造成重大影响，引起索赔，赔偿，诉讼费用及工程拖延或施工费用增加时，因由乙方承担一切费用。</w:t>
      </w:r>
    </w:p>
    <w:p w14:paraId="7165839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e、乙方有责任按甲方、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乙方亦必须服从甲方和监理单位的同意协调、指令与要求，做好与其他多家单位的施工配合。</w:t>
      </w:r>
    </w:p>
    <w:p w14:paraId="17866470">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f、乙方的项目部、临时加工场地、项目参与人员的临时宿舍等临时设施的借地由乙方负责，并承担一切费用。因条件有限，甲方概不负责相关场地宿舍等。</w:t>
      </w:r>
    </w:p>
    <w:p w14:paraId="2B8C6B83">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g、乙方有责任维护甲方形象，若由于乙方的安全、文明施工问题而造成甲方被他人索赔，甲方保留向乙方索赔的权利。</w:t>
      </w:r>
    </w:p>
    <w:p w14:paraId="52C999C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h、作为一名有经验的乙方，有义务及时与电力部门协商，对于图纸设计中不满足现行验收规范要求的部分及时提出合理化的建议，若未及时发现并提出不利于今后施工及验收的问题，应承担相应的责任。</w:t>
      </w:r>
    </w:p>
    <w:p w14:paraId="6258DD0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 项目经理</w:t>
      </w:r>
    </w:p>
    <w:p w14:paraId="2EF5D2F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 xml:space="preserve">3.2.1 </w:t>
      </w:r>
      <w:r>
        <w:rPr>
          <w:rFonts w:hint="eastAsia" w:ascii="宋体" w:hAnsi="宋体" w:eastAsia="宋体" w:cs="宋体"/>
          <w:bCs/>
          <w:color w:val="auto"/>
          <w:sz w:val="22"/>
          <w:szCs w:val="22"/>
          <w:highlight w:val="none"/>
        </w:rPr>
        <w:t>项目经理：</w:t>
      </w:r>
    </w:p>
    <w:p w14:paraId="58BBC26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姓    名：</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40FA0B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身份证号：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4214D535">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建造师执业资格等级：</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4E5E85A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建造师注册证书号：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E89589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建造师执业印章号：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19259B2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安全生产考核合格证书号：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152FEA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7CF395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245A6BD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通信地址：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014BA255">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乙方对项目经理的授权范围如下：</w:t>
      </w:r>
      <w:r>
        <w:rPr>
          <w:rFonts w:hint="eastAsia" w:ascii="宋体" w:hAnsi="宋体" w:eastAsia="宋体" w:cs="宋体"/>
          <w:bCs/>
          <w:color w:val="auto"/>
          <w:sz w:val="22"/>
          <w:szCs w:val="22"/>
          <w:highlight w:val="none"/>
          <w:u w:val="single"/>
        </w:rPr>
        <w:t>授予项目经理在紧急情况下的临时处置权，但应受到以下四个方面的限制</w:t>
      </w:r>
      <w:r>
        <w:rPr>
          <w:rFonts w:hint="eastAsia" w:ascii="宋体" w:hAnsi="宋体" w:eastAsia="宋体" w:cs="宋体"/>
          <w:bCs/>
          <w:color w:val="auto"/>
          <w:sz w:val="22"/>
          <w:szCs w:val="22"/>
          <w:highlight w:val="none"/>
        </w:rPr>
        <w:t>。</w:t>
      </w:r>
    </w:p>
    <w:p w14:paraId="55122D73">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（1）只有在涉及工程及工程有关的人身和财产安全的情况下项目经理才能行使该项权力；</w:t>
      </w:r>
    </w:p>
    <w:p w14:paraId="65938A8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（2）项目经理只有在同时无法联系到甲方代表或总监理工程师的情况下才能行使该项权力；</w:t>
      </w:r>
    </w:p>
    <w:p w14:paraId="0543710C">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14:paraId="4E27632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4）项目经理在采取措施后及时向监理人和甲方代表报告全部情况。如果项目经理行使临时处置权不符合四项中的任何一项，甲方可以主张由乙方承担因项目经理行使临时处置权而增加的费用或延误的工期责任。</w:t>
      </w:r>
    </w:p>
    <w:p w14:paraId="6510E082">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关于项目经理每月在施工现场的时间要求：</w:t>
      </w:r>
      <w:r>
        <w:rPr>
          <w:rFonts w:hint="eastAsia" w:ascii="宋体" w:hAnsi="宋体" w:eastAsia="宋体" w:cs="宋体"/>
          <w:bCs/>
          <w:color w:val="auto"/>
          <w:sz w:val="22"/>
          <w:szCs w:val="22"/>
          <w:highlight w:val="none"/>
          <w:u w:val="single"/>
        </w:rPr>
        <w:t>出勤率按照为每月25天，每日工作时间8小时考勤。重要施工工序或环节时项目经理、技术负责人等必须到场</w:t>
      </w:r>
      <w:r>
        <w:rPr>
          <w:rFonts w:hint="eastAsia" w:ascii="宋体" w:hAnsi="宋体" w:eastAsia="宋体" w:cs="宋体"/>
          <w:bCs/>
          <w:color w:val="auto"/>
          <w:sz w:val="22"/>
          <w:szCs w:val="22"/>
          <w:highlight w:val="none"/>
        </w:rPr>
        <w:t>。</w:t>
      </w:r>
    </w:p>
    <w:p w14:paraId="30A62175">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乙方未提交劳动合同，以及没有为项目经理缴纳社会保险证明的违约责任：</w:t>
      </w:r>
      <w:r>
        <w:rPr>
          <w:rFonts w:hint="eastAsia" w:ascii="宋体" w:hAnsi="宋体" w:eastAsia="宋体" w:cs="宋体"/>
          <w:bCs/>
          <w:color w:val="auto"/>
          <w:sz w:val="22"/>
          <w:szCs w:val="22"/>
          <w:highlight w:val="none"/>
          <w:u w:val="single"/>
        </w:rPr>
        <w:t>由乙方承担违约责任</w:t>
      </w:r>
      <w:r>
        <w:rPr>
          <w:rFonts w:hint="eastAsia" w:ascii="宋体" w:hAnsi="宋体" w:eastAsia="宋体" w:cs="宋体"/>
          <w:bCs/>
          <w:color w:val="auto"/>
          <w:sz w:val="22"/>
          <w:szCs w:val="22"/>
          <w:highlight w:val="none"/>
        </w:rPr>
        <w:t>。</w:t>
      </w:r>
    </w:p>
    <w:p w14:paraId="2E9D33D3">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kern w:val="0"/>
          <w:sz w:val="22"/>
          <w:szCs w:val="22"/>
          <w:highlight w:val="none"/>
        </w:rPr>
        <w:t>项目经理未经批准，擅自离开施工现场的违约责任：</w:t>
      </w:r>
      <w:r>
        <w:rPr>
          <w:rFonts w:hint="eastAsia" w:ascii="宋体" w:hAnsi="宋体" w:eastAsia="宋体" w:cs="宋体"/>
          <w:bCs/>
          <w:color w:val="auto"/>
          <w:sz w:val="22"/>
          <w:szCs w:val="22"/>
          <w:highlight w:val="none"/>
          <w:u w:val="single"/>
        </w:rPr>
        <w:t>按不到位违约处理， 项目经理每月在施工现场的时间未达到要求的，每日应承担违约金 1000 元，并承担由此增加的费用和延误的工期</w:t>
      </w:r>
      <w:r>
        <w:rPr>
          <w:rFonts w:hint="eastAsia" w:ascii="宋体" w:hAnsi="宋体" w:eastAsia="宋体" w:cs="宋体"/>
          <w:bCs/>
          <w:color w:val="auto"/>
          <w:sz w:val="22"/>
          <w:szCs w:val="22"/>
          <w:highlight w:val="none"/>
        </w:rPr>
        <w:t>。</w:t>
      </w:r>
    </w:p>
    <w:p w14:paraId="13ECC41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3.2.3 乙方擅自更换项目经理的违约责任：</w:t>
      </w:r>
      <w:r>
        <w:rPr>
          <w:rFonts w:hint="eastAsia" w:ascii="宋体" w:hAnsi="宋体" w:eastAsia="宋体" w:cs="宋体"/>
          <w:bCs/>
          <w:color w:val="auto"/>
          <w:sz w:val="22"/>
          <w:szCs w:val="22"/>
          <w:highlight w:val="none"/>
          <w:u w:val="single"/>
        </w:rPr>
        <w:t>在施工期间不准更换，特殊情况要求更换的项目经理的，须经甲方书面同意，同时甲方有权从工程款中按以下标准处以违约金：更换项目经理，则处以违约金</w:t>
      </w:r>
      <w:r>
        <w:rPr>
          <w:rFonts w:hint="eastAsia" w:ascii="宋体" w:hAnsi="宋体" w:eastAsia="宋体" w:cs="宋体"/>
          <w:bCs/>
          <w:color w:val="auto"/>
          <w:sz w:val="22"/>
          <w:szCs w:val="22"/>
          <w:highlight w:val="none"/>
          <w:u w:val="single"/>
          <w:lang w:val="en-US" w:eastAsia="zh-CN"/>
        </w:rPr>
        <w:t>0.2</w:t>
      </w:r>
      <w:r>
        <w:rPr>
          <w:rFonts w:hint="eastAsia" w:ascii="宋体" w:hAnsi="宋体" w:eastAsia="宋体" w:cs="宋体"/>
          <w:bCs/>
          <w:color w:val="auto"/>
          <w:sz w:val="22"/>
          <w:szCs w:val="22"/>
          <w:highlight w:val="none"/>
          <w:u w:val="single"/>
        </w:rPr>
        <w:t>万元人民币/次</w:t>
      </w:r>
      <w:r>
        <w:rPr>
          <w:rFonts w:hint="eastAsia" w:ascii="宋体" w:hAnsi="宋体" w:eastAsia="宋体" w:cs="宋体"/>
          <w:bCs/>
          <w:color w:val="auto"/>
          <w:sz w:val="22"/>
          <w:szCs w:val="22"/>
          <w:highlight w:val="none"/>
        </w:rPr>
        <w:t>。</w:t>
      </w:r>
    </w:p>
    <w:p w14:paraId="65830CE4">
      <w:pPr>
        <w:adjustRightInd w:val="0"/>
        <w:snapToGrid w:val="0"/>
        <w:spacing w:line="312"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3.2.4 乙方无正当理由拒绝更换项目经理的违约责任：</w:t>
      </w:r>
      <w:r>
        <w:rPr>
          <w:rFonts w:hint="eastAsia" w:ascii="宋体" w:hAnsi="宋体" w:eastAsia="宋体" w:cs="宋体"/>
          <w:bCs/>
          <w:color w:val="auto"/>
          <w:sz w:val="22"/>
          <w:szCs w:val="22"/>
          <w:highlight w:val="none"/>
          <w:u w:val="single"/>
        </w:rPr>
        <w:t>乙方在接到甲方第二次更换项目经理的通知后28天内仍未更换的，甲方有权指示乙方暂停施工，乙方须支付违约金</w:t>
      </w:r>
      <w:r>
        <w:rPr>
          <w:rFonts w:hint="eastAsia" w:ascii="宋体" w:hAnsi="宋体" w:eastAsia="宋体" w:cs="宋体"/>
          <w:bCs/>
          <w:color w:val="auto"/>
          <w:sz w:val="22"/>
          <w:szCs w:val="22"/>
          <w:highlight w:val="none"/>
          <w:u w:val="single"/>
          <w:lang w:val="en-US" w:eastAsia="zh-CN"/>
        </w:rPr>
        <w:t>0.</w:t>
      </w:r>
      <w:r>
        <w:rPr>
          <w:rFonts w:hint="eastAsia" w:ascii="宋体" w:hAnsi="宋体" w:eastAsia="宋体" w:cs="宋体"/>
          <w:bCs/>
          <w:color w:val="auto"/>
          <w:sz w:val="22"/>
          <w:szCs w:val="22"/>
          <w:highlight w:val="none"/>
          <w:u w:val="single"/>
        </w:rPr>
        <w:t>2万元，并承担由此增加的费用和延误的工期；在暂停施工后14天内仍未更换项目经理的，甲方有权解除合同</w:t>
      </w:r>
      <w:r>
        <w:rPr>
          <w:rFonts w:hint="eastAsia" w:ascii="宋体" w:hAnsi="宋体" w:eastAsia="宋体" w:cs="宋体"/>
          <w:bCs/>
          <w:color w:val="auto"/>
          <w:sz w:val="22"/>
          <w:szCs w:val="22"/>
          <w:highlight w:val="none"/>
        </w:rPr>
        <w:t>。</w:t>
      </w:r>
    </w:p>
    <w:p w14:paraId="41395D7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 乙方人员</w:t>
      </w:r>
    </w:p>
    <w:p w14:paraId="2741672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3.3.1 乙方提交项目管理机构及施工现场管理人员安排报告的期限：</w:t>
      </w:r>
      <w:r>
        <w:rPr>
          <w:rFonts w:hint="eastAsia" w:ascii="宋体" w:hAnsi="宋体" w:eastAsia="宋体" w:cs="宋体"/>
          <w:bCs/>
          <w:color w:val="auto"/>
          <w:sz w:val="22"/>
          <w:szCs w:val="22"/>
          <w:highlight w:val="none"/>
          <w:u w:val="single"/>
        </w:rPr>
        <w:t>合同签订前</w:t>
      </w:r>
      <w:r>
        <w:rPr>
          <w:rFonts w:hint="eastAsia" w:ascii="宋体" w:hAnsi="宋体" w:eastAsia="宋体" w:cs="宋体"/>
          <w:bCs/>
          <w:color w:val="auto"/>
          <w:sz w:val="22"/>
          <w:szCs w:val="22"/>
          <w:highlight w:val="none"/>
        </w:rPr>
        <w:t>。</w:t>
      </w:r>
    </w:p>
    <w:p w14:paraId="0B8FED1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3.3.3 乙方无正当理由拒绝撤换主要施工管理人员的违约责任：</w:t>
      </w:r>
      <w:r>
        <w:rPr>
          <w:rFonts w:hint="eastAsia" w:ascii="宋体" w:hAnsi="宋体" w:eastAsia="宋体" w:cs="宋体"/>
          <w:bCs/>
          <w:color w:val="auto"/>
          <w:sz w:val="22"/>
          <w:szCs w:val="22"/>
          <w:highlight w:val="none"/>
          <w:u w:val="single"/>
        </w:rPr>
        <w:t>技术负责人、施工员，处以违约金</w:t>
      </w:r>
      <w:r>
        <w:rPr>
          <w:rFonts w:hint="eastAsia" w:ascii="宋体" w:hAnsi="宋体" w:eastAsia="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00元人民币/次/人；安全员、质检员、材料员，处以违约金</w:t>
      </w:r>
      <w:r>
        <w:rPr>
          <w:rFonts w:hint="eastAsia" w:ascii="宋体" w:hAnsi="宋体" w:eastAsia="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00元人民币/次/人</w:t>
      </w:r>
      <w:r>
        <w:rPr>
          <w:rFonts w:hint="eastAsia" w:ascii="宋体" w:hAnsi="宋体" w:eastAsia="宋体" w:cs="宋体"/>
          <w:bCs/>
          <w:color w:val="auto"/>
          <w:sz w:val="22"/>
          <w:szCs w:val="22"/>
          <w:highlight w:val="none"/>
        </w:rPr>
        <w:t>。</w:t>
      </w:r>
    </w:p>
    <w:p w14:paraId="3C306CBF">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3.3.4 乙方主要施工管理人员离开施工现场的批准要求：</w:t>
      </w:r>
      <w:r>
        <w:rPr>
          <w:rFonts w:hint="eastAsia" w:ascii="宋体" w:hAnsi="宋体" w:eastAsia="宋体" w:cs="宋体"/>
          <w:bCs/>
          <w:color w:val="auto"/>
          <w:sz w:val="22"/>
          <w:szCs w:val="22"/>
          <w:highlight w:val="none"/>
          <w:u w:val="single"/>
        </w:rPr>
        <w:t>按通用合同条款第3.3.4条规定执行</w:t>
      </w:r>
      <w:r>
        <w:rPr>
          <w:rFonts w:hint="eastAsia" w:ascii="宋体" w:hAnsi="宋体" w:eastAsia="宋体" w:cs="宋体"/>
          <w:bCs/>
          <w:color w:val="auto"/>
          <w:sz w:val="22"/>
          <w:szCs w:val="22"/>
          <w:highlight w:val="none"/>
        </w:rPr>
        <w:t>。</w:t>
      </w:r>
    </w:p>
    <w:p w14:paraId="7EEA25C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3.3.5乙方擅自更换主要施工管理人员的违约责任：</w:t>
      </w:r>
      <w:r>
        <w:rPr>
          <w:rFonts w:hint="eastAsia" w:ascii="宋体" w:hAnsi="宋体" w:eastAsia="宋体" w:cs="宋体"/>
          <w:bCs/>
          <w:color w:val="auto"/>
          <w:sz w:val="22"/>
          <w:szCs w:val="22"/>
          <w:highlight w:val="none"/>
          <w:u w:val="single"/>
        </w:rPr>
        <w:t>若更换技术负责人、施工员，处以违约金</w:t>
      </w:r>
      <w:r>
        <w:rPr>
          <w:rFonts w:hint="eastAsia" w:ascii="宋体" w:hAnsi="宋体" w:eastAsia="宋体" w:cs="宋体"/>
          <w:bCs/>
          <w:color w:val="auto"/>
          <w:sz w:val="22"/>
          <w:szCs w:val="22"/>
          <w:highlight w:val="none"/>
          <w:u w:val="single"/>
          <w:lang w:val="en-US" w:eastAsia="zh-CN"/>
        </w:rPr>
        <w:t>1</w:t>
      </w:r>
      <w:r>
        <w:rPr>
          <w:rFonts w:hint="eastAsia" w:ascii="宋体" w:hAnsi="宋体" w:eastAsia="宋体" w:cs="宋体"/>
          <w:bCs/>
          <w:color w:val="auto"/>
          <w:sz w:val="22"/>
          <w:szCs w:val="22"/>
          <w:highlight w:val="none"/>
          <w:u w:val="single"/>
        </w:rPr>
        <w:t>000元人民币/次/人；若更换安全员、质检员、材料员，处以违约金1000元人民币/次/人。除上述违约责任外，同时扣除履约保证金中的项目班子到位保证金</w:t>
      </w:r>
      <w:r>
        <w:rPr>
          <w:rFonts w:hint="eastAsia" w:ascii="宋体" w:hAnsi="宋体" w:eastAsia="宋体" w:cs="宋体"/>
          <w:bCs/>
          <w:color w:val="auto"/>
          <w:sz w:val="22"/>
          <w:szCs w:val="22"/>
          <w:highlight w:val="none"/>
        </w:rPr>
        <w:t>。</w:t>
      </w:r>
    </w:p>
    <w:p w14:paraId="238745B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乙方主要施工管理人员擅自离开施工现场的违约责任：</w:t>
      </w:r>
      <w:r>
        <w:rPr>
          <w:rFonts w:hint="eastAsia" w:ascii="宋体" w:hAnsi="宋体" w:eastAsia="宋体" w:cs="宋体"/>
          <w:bCs/>
          <w:color w:val="auto"/>
          <w:sz w:val="22"/>
          <w:szCs w:val="22"/>
          <w:highlight w:val="none"/>
          <w:u w:val="single"/>
        </w:rPr>
        <w:t>甲方有权要求更换管理人员</w:t>
      </w:r>
      <w:r>
        <w:rPr>
          <w:rFonts w:hint="eastAsia" w:ascii="宋体" w:hAnsi="宋体" w:eastAsia="宋体" w:cs="宋体"/>
          <w:bCs/>
          <w:color w:val="auto"/>
          <w:sz w:val="22"/>
          <w:szCs w:val="22"/>
          <w:highlight w:val="none"/>
        </w:rPr>
        <w:t>。</w:t>
      </w:r>
    </w:p>
    <w:p w14:paraId="46AEECC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bookmarkStart w:id="74" w:name="_Toc296944498"/>
      <w:bookmarkStart w:id="75" w:name="_Toc296890987"/>
      <w:bookmarkStart w:id="76" w:name="_Toc297123492"/>
      <w:bookmarkStart w:id="77" w:name="_Toc304295523"/>
      <w:bookmarkStart w:id="78" w:name="_Toc297216151"/>
      <w:bookmarkStart w:id="79" w:name="_Toc296503159"/>
      <w:bookmarkStart w:id="80" w:name="_Toc296347158"/>
      <w:bookmarkStart w:id="81" w:name="_Toc292559869"/>
      <w:bookmarkStart w:id="82" w:name="_Toc292559364"/>
      <w:bookmarkStart w:id="83" w:name="_Toc303539102"/>
      <w:bookmarkStart w:id="84" w:name="_Toc297048345"/>
      <w:bookmarkStart w:id="85" w:name="_Toc312677988"/>
      <w:bookmarkStart w:id="86" w:name="_Toc300934945"/>
      <w:bookmarkStart w:id="87" w:name="_Toc297120459"/>
      <w:bookmarkStart w:id="88" w:name="_Toc296891199"/>
      <w:bookmarkStart w:id="89" w:name="_Toc296346660"/>
      <w:r>
        <w:rPr>
          <w:rFonts w:hint="eastAsia" w:ascii="宋体" w:hAnsi="宋体" w:eastAsia="宋体" w:cs="宋体"/>
          <w:bCs/>
          <w:color w:val="auto"/>
          <w:sz w:val="22"/>
          <w:szCs w:val="22"/>
          <w:highlight w:val="none"/>
        </w:rPr>
        <w:t>.5 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3DC2ED2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bookmarkStart w:id="90" w:name="_Toc300934946"/>
      <w:bookmarkStart w:id="91" w:name="_Toc297048346"/>
      <w:bookmarkStart w:id="92" w:name="_Toc296346661"/>
      <w:bookmarkStart w:id="93" w:name="_Toc297120460"/>
      <w:bookmarkStart w:id="94" w:name="_Toc296890988"/>
      <w:bookmarkStart w:id="95" w:name="_Toc296944499"/>
      <w:bookmarkStart w:id="96" w:name="_Toc304295524"/>
      <w:bookmarkStart w:id="97" w:name="_Toc296503160"/>
      <w:bookmarkStart w:id="98" w:name="_Toc296347159"/>
      <w:bookmarkStart w:id="99" w:name="_Toc303539103"/>
      <w:bookmarkStart w:id="100" w:name="_Toc292559365"/>
      <w:bookmarkStart w:id="101" w:name="_Toc297123493"/>
      <w:bookmarkStart w:id="102" w:name="_Toc297216152"/>
      <w:bookmarkStart w:id="103" w:name="_Toc296891200"/>
      <w:bookmarkStart w:id="104" w:name="_Toc292559870"/>
      <w:bookmarkStart w:id="105" w:name="_Toc312677989"/>
      <w:bookmarkStart w:id="106" w:name="_Toc318581158"/>
      <w:r>
        <w:rPr>
          <w:rFonts w:hint="eastAsia" w:ascii="宋体" w:hAnsi="宋体" w:eastAsia="宋体" w:cs="宋体"/>
          <w:bCs/>
          <w:color w:val="auto"/>
          <w:sz w:val="22"/>
          <w:szCs w:val="22"/>
          <w:highlight w:val="none"/>
        </w:rPr>
        <w:t>.5.1 分包的一般约定</w:t>
      </w:r>
    </w:p>
    <w:p w14:paraId="7D2FCCF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禁止分包的工程包括：</w:t>
      </w:r>
      <w:r>
        <w:rPr>
          <w:rFonts w:hint="eastAsia" w:ascii="宋体" w:hAnsi="宋体" w:eastAsia="宋体" w:cs="宋体"/>
          <w:bCs/>
          <w:color w:val="auto"/>
          <w:sz w:val="22"/>
          <w:szCs w:val="22"/>
          <w:highlight w:val="none"/>
          <w:u w:val="single"/>
        </w:rPr>
        <w:t>未经甲方同意一律不得分包</w:t>
      </w:r>
      <w:r>
        <w:rPr>
          <w:rFonts w:hint="eastAsia" w:ascii="宋体" w:hAnsi="宋体" w:eastAsia="宋体" w:cs="宋体"/>
          <w:bCs/>
          <w:color w:val="auto"/>
          <w:sz w:val="22"/>
          <w:szCs w:val="22"/>
          <w:highlight w:val="none"/>
        </w:rPr>
        <w:t>。</w:t>
      </w:r>
    </w:p>
    <w:p w14:paraId="67E704A0">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主体结构、关键性工作的范围：</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297123494"/>
      <w:bookmarkStart w:id="108" w:name="_Toc296346662"/>
      <w:bookmarkStart w:id="109" w:name="_Toc296347160"/>
      <w:bookmarkStart w:id="110" w:name="_Toc303539104"/>
      <w:bookmarkStart w:id="111" w:name="_Toc297048347"/>
      <w:bookmarkStart w:id="112" w:name="_Toc296891201"/>
      <w:bookmarkStart w:id="113" w:name="_Toc296890989"/>
      <w:bookmarkStart w:id="114" w:name="_Toc297120461"/>
      <w:bookmarkStart w:id="115" w:name="_Toc297216153"/>
      <w:bookmarkStart w:id="116" w:name="_Toc300934947"/>
      <w:bookmarkStart w:id="117" w:name="_Toc296503161"/>
      <w:bookmarkStart w:id="118" w:name="_Toc296944500"/>
      <w:bookmarkStart w:id="119" w:name="_Toc304295525"/>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0AD01109">
      <w:pPr>
        <w:adjustRightInd w:val="0"/>
        <w:snapToGrid w:val="0"/>
        <w:spacing w:line="312"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3</w:t>
      </w:r>
      <w:bookmarkStart w:id="120" w:name="_Toc318581159"/>
      <w:bookmarkStart w:id="121" w:name="_Toc312677990"/>
      <w:r>
        <w:rPr>
          <w:rFonts w:hint="eastAsia" w:ascii="宋体" w:hAnsi="宋体" w:eastAsia="宋体" w:cs="宋体"/>
          <w:bCs/>
          <w:color w:val="auto"/>
          <w:sz w:val="22"/>
          <w:szCs w:val="22"/>
          <w:highlight w:val="none"/>
        </w:rPr>
        <w:t>.5.2分包的确定</w:t>
      </w:r>
    </w:p>
    <w:p w14:paraId="3FD34501">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允许分包的专业工程包括：</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95A942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其他关于分包的约定：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F224FE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3.5.4 分包合同价款</w:t>
      </w:r>
    </w:p>
    <w:p w14:paraId="6EF0EBF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关于分包合同价款支付的约定：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bookmarkEnd w:id="120"/>
    <w:bookmarkEnd w:id="121"/>
    <w:p w14:paraId="68A4BC2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 工程照管与成品、半成品保护</w:t>
      </w:r>
    </w:p>
    <w:p w14:paraId="0047261F">
      <w:pPr>
        <w:adjustRightInd w:val="0"/>
        <w:snapToGrid w:val="0"/>
        <w:spacing w:line="312" w:lineRule="auto"/>
        <w:ind w:firstLine="440" w:firstLineChars="200"/>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乙方负责照管工程及工程相关的材料、工程设备的起始时间：</w:t>
      </w:r>
      <w:r>
        <w:rPr>
          <w:rFonts w:hint="eastAsia" w:ascii="宋体" w:hAnsi="宋体" w:eastAsia="宋体" w:cs="宋体"/>
          <w:bCs/>
          <w:color w:val="auto"/>
          <w:kern w:val="0"/>
          <w:sz w:val="22"/>
          <w:szCs w:val="22"/>
          <w:highlight w:val="none"/>
          <w:u w:val="single"/>
        </w:rPr>
        <w:t>按通用合同条款第3.6条规定执行</w:t>
      </w:r>
      <w:r>
        <w:rPr>
          <w:rFonts w:hint="eastAsia" w:ascii="宋体" w:hAnsi="宋体" w:eastAsia="宋体" w:cs="宋体"/>
          <w:bCs/>
          <w:color w:val="auto"/>
          <w:kern w:val="0"/>
          <w:sz w:val="22"/>
          <w:szCs w:val="22"/>
          <w:highlight w:val="none"/>
        </w:rPr>
        <w:t>。</w:t>
      </w:r>
    </w:p>
    <w:p w14:paraId="3DC4A22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 履约保证金</w:t>
      </w:r>
    </w:p>
    <w:p w14:paraId="1345E51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乙方是否提供履约保证金：</w:t>
      </w:r>
      <w:r>
        <w:rPr>
          <w:rFonts w:hint="eastAsia" w:ascii="宋体" w:hAnsi="宋体" w:eastAsia="宋体" w:cs="宋体"/>
          <w:bCs/>
          <w:color w:val="auto"/>
          <w:sz w:val="22"/>
          <w:szCs w:val="22"/>
          <w:highlight w:val="none"/>
          <w:u w:val="single"/>
        </w:rPr>
        <w:t xml:space="preserve">     是   </w:t>
      </w:r>
      <w:r>
        <w:rPr>
          <w:rFonts w:hint="eastAsia" w:ascii="宋体" w:hAnsi="宋体" w:eastAsia="宋体" w:cs="宋体"/>
          <w:bCs/>
          <w:color w:val="auto"/>
          <w:sz w:val="22"/>
          <w:szCs w:val="22"/>
          <w:highlight w:val="none"/>
        </w:rPr>
        <w:t>。</w:t>
      </w:r>
    </w:p>
    <w:p w14:paraId="0091E7A7">
      <w:pPr>
        <w:pStyle w:val="11"/>
        <w:adjustRightInd w:val="0"/>
        <w:snapToGrid w:val="0"/>
        <w:spacing w:line="440" w:lineRule="atLeas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乙方提供履约保证金的形式、金额及期限的：</w:t>
      </w:r>
      <w:r>
        <w:rPr>
          <w:rFonts w:hint="eastAsia" w:ascii="宋体" w:hAnsi="宋体" w:eastAsia="宋体" w:cs="宋体"/>
          <w:bCs/>
          <w:color w:val="auto"/>
          <w:kern w:val="2"/>
          <w:sz w:val="22"/>
          <w:szCs w:val="22"/>
          <w:highlight w:val="none"/>
          <w:u w:val="single"/>
          <w:lang w:val="en-US" w:eastAsia="zh-CN" w:bidi="ar-SA"/>
        </w:rPr>
        <w:t>履约保证金的金额：成交金额的</w:t>
      </w:r>
      <w:r>
        <w:rPr>
          <w:rFonts w:hint="eastAsia" w:hAnsi="宋体" w:cs="宋体"/>
          <w:bCs/>
          <w:color w:val="auto"/>
          <w:kern w:val="2"/>
          <w:sz w:val="22"/>
          <w:szCs w:val="22"/>
          <w:highlight w:val="none"/>
          <w:u w:val="single"/>
          <w:lang w:val="en-US" w:eastAsia="zh-CN" w:bidi="ar-SA"/>
        </w:rPr>
        <w:t>1</w:t>
      </w:r>
      <w:r>
        <w:rPr>
          <w:rFonts w:hint="eastAsia" w:ascii="宋体" w:hAnsi="宋体" w:eastAsia="宋体" w:cs="宋体"/>
          <w:bCs/>
          <w:color w:val="auto"/>
          <w:kern w:val="2"/>
          <w:sz w:val="22"/>
          <w:szCs w:val="22"/>
          <w:highlight w:val="none"/>
          <w:u w:val="single"/>
          <w:lang w:val="en-US" w:eastAsia="zh-CN" w:bidi="ar-SA"/>
        </w:rPr>
        <w:t>%。履约保证金形式：银行汇票（电汇）、网银、履约保函等形式。</w:t>
      </w:r>
      <w:r>
        <w:rPr>
          <w:rFonts w:hint="eastAsia" w:ascii="宋体" w:hAnsi="宋体" w:eastAsia="宋体" w:cs="宋体"/>
          <w:bCs/>
          <w:color w:val="auto"/>
          <w:sz w:val="22"/>
          <w:szCs w:val="22"/>
          <w:highlight w:val="none"/>
          <w:u w:val="single"/>
        </w:rPr>
        <w:t>若提供履约保函则需经甲方确认。履约保证金有效期自履约保证金缴纳之日起至竣工验收合格后并完成全部竣工资料移交后30日内有效。如乙方未能履行合同约定的任何义务，甲方有权扣除乙方部分直至全部履约保证金。执行本条各项要求所需的费用由乙方承担。但如果此时存在合同争端并且未能解决，那么履约保证金有效期应延长到上诉争端最终解决且索赔完毕后终止。</w:t>
      </w:r>
    </w:p>
    <w:p w14:paraId="54C68D45">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a)</w:t>
      </w:r>
      <w:r>
        <w:rPr>
          <w:rFonts w:hint="eastAsia" w:ascii="宋体" w:hAnsi="宋体" w:eastAsia="宋体" w:cs="宋体"/>
          <w:bCs/>
          <w:color w:val="auto"/>
          <w:sz w:val="22"/>
          <w:szCs w:val="22"/>
          <w:highlight w:val="none"/>
          <w:u w:val="single"/>
          <w:lang w:val="en-US" w:eastAsia="zh-CN"/>
        </w:rPr>
        <w:t>工程质量保证金</w:t>
      </w:r>
      <w:r>
        <w:rPr>
          <w:rFonts w:hint="eastAsia" w:ascii="宋体" w:hAnsi="宋体" w:eastAsia="宋体" w:cs="宋体"/>
          <w:bCs/>
          <w:color w:val="auto"/>
          <w:sz w:val="22"/>
          <w:szCs w:val="22"/>
          <w:highlight w:val="none"/>
          <w:u w:val="single"/>
        </w:rPr>
        <w:t>占履约保证金的40%，视发生质量事故的严重程度处罚。若验收不合格或未达到合同约定质量目标，则按招标文件和合同中相关条款办理。</w:t>
      </w:r>
    </w:p>
    <w:p w14:paraId="6ABFB0AC">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b)工期保证金占履约保证金的30%，工期以合同工期和经批准的顺延工期为准，若不能按期竣工，则按招标文件和合同中相关条款办理。</w:t>
      </w:r>
    </w:p>
    <w:p w14:paraId="2E64117C">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c)项目经理及项目班子到位率保证金占履约保证金的20%。项目经理或项目班子若不能按要求到位，则按招标文件和合同中相关条款办理。</w:t>
      </w:r>
    </w:p>
    <w:p w14:paraId="2FAEC942">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d)文明安全生产保证金占履约保证金的10%，发生重大人身安全事故，罚没全部保证金。</w:t>
      </w:r>
    </w:p>
    <w:p w14:paraId="2B0DBFD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说明：乙方提供履约保证金的形式、上述履约保证金的内容构成系对履约保证金组成的说明，但不得构成对甲方处置履约保证金的限制，即对于上述任何一项违约情形，甲方均有权在履约保证金总额范围内处分保证金，而不受上述比例限制</w:t>
      </w:r>
      <w:r>
        <w:rPr>
          <w:rFonts w:hint="eastAsia" w:ascii="宋体" w:hAnsi="宋体" w:eastAsia="宋体" w:cs="宋体"/>
          <w:bCs/>
          <w:color w:val="auto"/>
          <w:sz w:val="22"/>
          <w:szCs w:val="22"/>
          <w:highlight w:val="none"/>
        </w:rPr>
        <w:t>。</w:t>
      </w:r>
    </w:p>
    <w:p w14:paraId="22ED73AC">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履约保证金的补足：甲方根据本合同约定行使处分履约保证金权利后应当及时书面通知乙方，乙方应当接到通知后5个工作日补足，以使整个合同期内的履约保证金始终维持在成交金额</w:t>
      </w:r>
      <w:r>
        <w:rPr>
          <w:rFonts w:hint="eastAsia" w:ascii="宋体" w:hAnsi="宋体" w:cs="宋体"/>
          <w:bCs/>
          <w:color w:val="auto"/>
          <w:sz w:val="22"/>
          <w:szCs w:val="22"/>
          <w:highlight w:val="none"/>
          <w:u w:val="single"/>
          <w:lang w:val="en-US" w:eastAsia="zh-CN"/>
        </w:rPr>
        <w:t>1</w:t>
      </w:r>
      <w:r>
        <w:rPr>
          <w:rFonts w:hint="eastAsia" w:ascii="宋体" w:hAnsi="宋体" w:eastAsia="宋体" w:cs="宋体"/>
          <w:bCs/>
          <w:color w:val="auto"/>
          <w:sz w:val="22"/>
          <w:szCs w:val="22"/>
          <w:highlight w:val="none"/>
          <w:u w:val="single"/>
        </w:rPr>
        <w:t>%的数额。逾期未能补足的，每日按应补而未补金额的万分之五支付逾期补交违约金。</w:t>
      </w:r>
    </w:p>
    <w:p w14:paraId="22624483">
      <w:pPr>
        <w:adjustRightInd w:val="0"/>
        <w:snapToGrid w:val="0"/>
        <w:spacing w:line="312" w:lineRule="auto"/>
        <w:ind w:firstLine="440" w:firstLineChars="200"/>
        <w:jc w:val="left"/>
        <w:rPr>
          <w:rFonts w:hint="default" w:ascii="宋体" w:hAnsi="宋体" w:eastAsia="宋体" w:cs="宋体"/>
          <w:bCs/>
          <w:color w:val="auto"/>
          <w:sz w:val="22"/>
          <w:szCs w:val="22"/>
          <w:highlight w:val="none"/>
          <w:u w:val="single"/>
          <w:lang w:val="en-US" w:eastAsia="zh-CN"/>
        </w:rPr>
      </w:pPr>
      <w:r>
        <w:rPr>
          <w:rFonts w:hint="eastAsia" w:ascii="宋体" w:hAnsi="宋体" w:eastAsia="宋体" w:cs="宋体"/>
          <w:bCs/>
          <w:color w:val="auto"/>
          <w:sz w:val="22"/>
          <w:szCs w:val="22"/>
          <w:highlight w:val="none"/>
          <w:u w:val="single"/>
          <w:lang w:val="en-US" w:eastAsia="zh-CN"/>
        </w:rPr>
        <w:t>3.8</w:t>
      </w:r>
      <w:r>
        <w:rPr>
          <w:rFonts w:hint="eastAsia" w:ascii="宋体" w:hAnsi="宋体" w:eastAsia="宋体" w:cs="宋体"/>
          <w:bCs/>
          <w:color w:val="auto"/>
          <w:sz w:val="22"/>
          <w:szCs w:val="22"/>
          <w:highlight w:val="none"/>
          <w:u w:val="single"/>
        </w:rPr>
        <w:t>项目</w:t>
      </w:r>
      <w:r>
        <w:rPr>
          <w:rFonts w:hint="eastAsia" w:ascii="宋体" w:hAnsi="宋体" w:eastAsia="宋体" w:cs="宋体"/>
          <w:bCs/>
          <w:color w:val="auto"/>
          <w:sz w:val="22"/>
          <w:szCs w:val="22"/>
          <w:highlight w:val="none"/>
          <w:u w:val="single"/>
          <w:lang w:val="zh-CN"/>
        </w:rPr>
        <w:t>通过竣工验收合格后</w:t>
      </w:r>
      <w:r>
        <w:rPr>
          <w:rFonts w:hint="eastAsia" w:ascii="宋体" w:hAnsi="宋体" w:eastAsia="宋体" w:cs="宋体"/>
          <w:bCs/>
          <w:color w:val="auto"/>
          <w:sz w:val="22"/>
          <w:szCs w:val="22"/>
          <w:highlight w:val="none"/>
          <w:u w:val="single"/>
          <w:lang w:val="en-US" w:eastAsia="zh-CN"/>
        </w:rPr>
        <w:t>无息退回</w:t>
      </w:r>
      <w:r>
        <w:rPr>
          <w:rFonts w:hint="eastAsia" w:ascii="宋体" w:hAnsi="宋体" w:eastAsia="宋体" w:cs="宋体"/>
          <w:bCs/>
          <w:color w:val="auto"/>
          <w:sz w:val="22"/>
          <w:szCs w:val="22"/>
          <w:highlight w:val="none"/>
          <w:u w:val="single"/>
        </w:rPr>
        <w:t>履约保证金</w:t>
      </w:r>
      <w:r>
        <w:rPr>
          <w:rFonts w:hint="eastAsia" w:ascii="宋体" w:hAnsi="宋体" w:eastAsia="宋体" w:cs="宋体"/>
          <w:bCs/>
          <w:color w:val="auto"/>
          <w:sz w:val="22"/>
          <w:szCs w:val="22"/>
          <w:highlight w:val="none"/>
          <w:u w:val="single"/>
          <w:lang w:val="zh-CN"/>
        </w:rPr>
        <w:t>。</w:t>
      </w:r>
    </w:p>
    <w:p w14:paraId="1DF5B3E1">
      <w:pPr>
        <w:adjustRightInd w:val="0"/>
        <w:snapToGrid w:val="0"/>
        <w:spacing w:line="312" w:lineRule="auto"/>
        <w:ind w:firstLine="440" w:firstLineChars="200"/>
        <w:rPr>
          <w:rFonts w:hint="eastAsia" w:ascii="宋体" w:hAnsi="宋体" w:eastAsia="宋体" w:cs="宋体"/>
          <w:bCs/>
          <w:color w:val="auto"/>
          <w:sz w:val="22"/>
          <w:szCs w:val="22"/>
          <w:highlight w:val="none"/>
        </w:rPr>
      </w:pPr>
      <w:bookmarkStart w:id="122" w:name="_Toc351203636"/>
      <w:r>
        <w:rPr>
          <w:rFonts w:hint="eastAsia" w:ascii="宋体" w:hAnsi="宋体" w:eastAsia="宋体" w:cs="宋体"/>
          <w:bCs/>
          <w:color w:val="auto"/>
          <w:sz w:val="22"/>
          <w:szCs w:val="22"/>
          <w:highlight w:val="none"/>
        </w:rPr>
        <w:t>4</w:t>
      </w:r>
      <w:bookmarkStart w:id="123" w:name="_Toc297048348"/>
      <w:bookmarkStart w:id="124" w:name="_Toc296944501"/>
      <w:bookmarkStart w:id="125" w:name="_Toc292559871"/>
      <w:bookmarkStart w:id="126" w:name="_Toc296347161"/>
      <w:bookmarkStart w:id="127" w:name="_Toc267251413"/>
      <w:bookmarkStart w:id="128" w:name="_Toc296346663"/>
      <w:bookmarkStart w:id="129" w:name="_Toc292559366"/>
      <w:bookmarkStart w:id="130" w:name="_Toc296503162"/>
      <w:bookmarkStart w:id="131" w:name="_Toc296890990"/>
      <w:bookmarkStart w:id="132" w:name="_Toc296891202"/>
      <w:bookmarkStart w:id="133" w:name="_Toc297120462"/>
      <w:r>
        <w:rPr>
          <w:rFonts w:hint="eastAsia" w:ascii="宋体" w:hAnsi="宋体" w:eastAsia="宋体" w:cs="宋体"/>
          <w:bCs/>
          <w:color w:val="auto"/>
          <w:sz w:val="22"/>
          <w:szCs w:val="22"/>
          <w:highlight w:val="none"/>
        </w:rPr>
        <w:t>. 监</w:t>
      </w:r>
      <w:bookmarkEnd w:id="123"/>
      <w:bookmarkEnd w:id="124"/>
      <w:bookmarkEnd w:id="125"/>
      <w:bookmarkEnd w:id="126"/>
      <w:bookmarkEnd w:id="127"/>
      <w:bookmarkEnd w:id="128"/>
      <w:bookmarkEnd w:id="129"/>
      <w:bookmarkEnd w:id="130"/>
      <w:bookmarkEnd w:id="131"/>
      <w:bookmarkEnd w:id="132"/>
      <w:bookmarkEnd w:id="133"/>
      <w:r>
        <w:rPr>
          <w:rFonts w:hint="eastAsia" w:ascii="宋体" w:hAnsi="宋体" w:eastAsia="宋体" w:cs="宋体"/>
          <w:bCs/>
          <w:color w:val="auto"/>
          <w:sz w:val="22"/>
          <w:szCs w:val="22"/>
          <w:highlight w:val="none"/>
        </w:rPr>
        <w:t>理人</w:t>
      </w:r>
      <w:bookmarkEnd w:id="122"/>
    </w:p>
    <w:p w14:paraId="1B871A5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4.1监理人的一般规定</w:t>
      </w:r>
    </w:p>
    <w:p w14:paraId="60472EA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关于监理人的监理内容：</w:t>
      </w:r>
      <w:r>
        <w:rPr>
          <w:rFonts w:hint="eastAsia" w:ascii="宋体" w:hAnsi="宋体" w:eastAsia="宋体" w:cs="宋体"/>
          <w:bCs/>
          <w:color w:val="auto"/>
          <w:sz w:val="22"/>
          <w:szCs w:val="22"/>
          <w:highlight w:val="none"/>
          <w:u w:val="single"/>
        </w:rPr>
        <w:t>现场全过程协调，负责质量、安全、进度监督，签证及技术服务</w:t>
      </w:r>
      <w:r>
        <w:rPr>
          <w:rFonts w:hint="eastAsia" w:ascii="宋体" w:hAnsi="宋体" w:eastAsia="宋体" w:cs="宋体"/>
          <w:bCs/>
          <w:color w:val="auto"/>
          <w:sz w:val="22"/>
          <w:szCs w:val="22"/>
          <w:highlight w:val="none"/>
        </w:rPr>
        <w:t>。</w:t>
      </w:r>
    </w:p>
    <w:p w14:paraId="10A6509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关于监理人的监理权限：</w:t>
      </w:r>
      <w:r>
        <w:rPr>
          <w:rFonts w:hint="eastAsia" w:ascii="宋体" w:hAnsi="宋体" w:eastAsia="宋体" w:cs="宋体"/>
          <w:bCs/>
          <w:color w:val="auto"/>
          <w:sz w:val="22"/>
          <w:szCs w:val="22"/>
          <w:highlight w:val="none"/>
          <w:u w:val="single"/>
        </w:rPr>
        <w:t>按监理合同约定实行</w:t>
      </w:r>
      <w:r>
        <w:rPr>
          <w:rFonts w:hint="eastAsia" w:ascii="宋体" w:hAnsi="宋体" w:eastAsia="宋体" w:cs="宋体"/>
          <w:bCs/>
          <w:color w:val="auto"/>
          <w:sz w:val="22"/>
          <w:szCs w:val="22"/>
          <w:highlight w:val="none"/>
        </w:rPr>
        <w:t xml:space="preserve">。 </w:t>
      </w:r>
    </w:p>
    <w:p w14:paraId="2A619F9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关于监理人在施工现场的办公场所、生活场所的提供和费用承担的约定：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C4CFAF8">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 监理人员</w:t>
      </w:r>
    </w:p>
    <w:p w14:paraId="6A69124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总监理工程师：</w:t>
      </w:r>
    </w:p>
    <w:p w14:paraId="73A914D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姓    名：</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D2F7F2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职    务：</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6E6FA8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监理工程师执业资格证书号：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7F06618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联系电话：</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0C91BBF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电子信箱：</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4277A7F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通信地址：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79C7CC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关于监理人的其他约定：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56E3E10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4.4 商定或确定</w:t>
      </w:r>
    </w:p>
    <w:p w14:paraId="33A61C5D">
      <w:pPr>
        <w:adjustRightInd w:val="0"/>
        <w:snapToGrid w:val="0"/>
        <w:spacing w:line="312" w:lineRule="auto"/>
        <w:ind w:firstLine="440" w:firstLineChars="200"/>
        <w:rPr>
          <w:rFonts w:hint="eastAsia" w:ascii="宋体" w:hAnsi="宋体" w:eastAsia="宋体" w:cs="宋体"/>
          <w:bCs/>
          <w:color w:val="auto"/>
          <w:sz w:val="22"/>
          <w:szCs w:val="22"/>
          <w:highlight w:val="none"/>
        </w:rPr>
      </w:pPr>
      <w:bookmarkStart w:id="134" w:name="_Toc267251418"/>
      <w:r>
        <w:rPr>
          <w:rFonts w:hint="eastAsia" w:ascii="宋体" w:hAnsi="宋体" w:eastAsia="宋体" w:cs="宋体"/>
          <w:bCs/>
          <w:color w:val="auto"/>
          <w:sz w:val="22"/>
          <w:szCs w:val="22"/>
          <w:highlight w:val="none"/>
        </w:rPr>
        <w:t>在甲方和乙方不能通过协商达成一致意见时，甲方授权监理人对以下事项进行确定：</w:t>
      </w:r>
    </w:p>
    <w:p w14:paraId="61728F26">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rPr>
        <w:t>；</w:t>
      </w:r>
    </w:p>
    <w:p w14:paraId="4D6CA03F">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rPr>
        <w:t>；</w:t>
      </w:r>
    </w:p>
    <w:p w14:paraId="0CF36ACC">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rPr>
        <w:t>。</w:t>
      </w:r>
    </w:p>
    <w:p w14:paraId="5BF2F144">
      <w:pPr>
        <w:adjustRightInd w:val="0"/>
        <w:snapToGrid w:val="0"/>
        <w:spacing w:line="312" w:lineRule="auto"/>
        <w:rPr>
          <w:rFonts w:hint="eastAsia" w:ascii="宋体" w:hAnsi="宋体" w:eastAsia="宋体" w:cs="宋体"/>
          <w:bCs/>
          <w:color w:val="auto"/>
          <w:sz w:val="22"/>
          <w:szCs w:val="22"/>
          <w:highlight w:val="none"/>
        </w:rPr>
      </w:pPr>
      <w:bookmarkStart w:id="135" w:name="_Toc351203637"/>
      <w:r>
        <w:rPr>
          <w:rFonts w:hint="eastAsia" w:ascii="宋体" w:hAnsi="宋体" w:eastAsia="宋体" w:cs="宋体"/>
          <w:bCs/>
          <w:color w:val="auto"/>
          <w:sz w:val="22"/>
          <w:szCs w:val="22"/>
          <w:highlight w:val="none"/>
        </w:rPr>
        <w:t>5</w:t>
      </w:r>
      <w:bookmarkEnd w:id="134"/>
      <w:bookmarkStart w:id="136" w:name="_Toc292559872"/>
      <w:bookmarkStart w:id="137" w:name="_Toc296891203"/>
      <w:bookmarkStart w:id="138" w:name="_Toc292559367"/>
      <w:bookmarkStart w:id="139" w:name="_Toc297048349"/>
      <w:bookmarkStart w:id="140" w:name="_Toc297120463"/>
      <w:bookmarkStart w:id="141" w:name="_Toc296944502"/>
      <w:bookmarkStart w:id="142" w:name="_Toc296503163"/>
      <w:bookmarkStart w:id="143" w:name="_Toc296347162"/>
      <w:bookmarkStart w:id="144" w:name="_Toc296890991"/>
      <w:bookmarkStart w:id="145" w:name="_Toc296346664"/>
      <w:r>
        <w:rPr>
          <w:rFonts w:hint="eastAsia" w:ascii="宋体" w:hAnsi="宋体" w:eastAsia="宋体" w:cs="宋体"/>
          <w:bCs/>
          <w:color w:val="auto"/>
          <w:sz w:val="22"/>
          <w:szCs w:val="22"/>
          <w:highlight w:val="none"/>
        </w:rPr>
        <w:t>. 工程质量</w:t>
      </w:r>
      <w:bookmarkEnd w:id="135"/>
    </w:p>
    <w:p w14:paraId="72247AE4">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5.1 质量要求</w:t>
      </w:r>
    </w:p>
    <w:p w14:paraId="79FBBC9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bookmarkStart w:id="146" w:name="_Toc300934949"/>
      <w:bookmarkStart w:id="147" w:name="_Toc297123496"/>
      <w:bookmarkStart w:id="148" w:name="_Toc312677997"/>
      <w:bookmarkStart w:id="149" w:name="_Toc304295527"/>
      <w:bookmarkStart w:id="150" w:name="_Toc303539106"/>
      <w:bookmarkStart w:id="151" w:name="_Toc297216155"/>
      <w:bookmarkStart w:id="152" w:name="_Toc318581164"/>
      <w:r>
        <w:rPr>
          <w:rFonts w:hint="eastAsia" w:ascii="宋体" w:hAnsi="宋体" w:eastAsia="宋体" w:cs="宋体"/>
          <w:bCs/>
          <w:color w:val="auto"/>
          <w:sz w:val="22"/>
          <w:szCs w:val="22"/>
          <w:highlight w:val="none"/>
        </w:rPr>
        <w:t>.1.1 特殊质量标准和要求：</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599813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关于工程奖项的约定：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17D0A1BE">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5.3 隐蔽工程检查</w:t>
      </w:r>
    </w:p>
    <w:p w14:paraId="1C359FE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5.3.2乙方提前通知监理人隐蔽工程检查的期限的约定：</w:t>
      </w:r>
      <w:r>
        <w:rPr>
          <w:rFonts w:hint="eastAsia" w:ascii="宋体" w:hAnsi="宋体" w:eastAsia="宋体" w:cs="宋体"/>
          <w:bCs/>
          <w:color w:val="auto"/>
          <w:sz w:val="22"/>
          <w:szCs w:val="22"/>
          <w:highlight w:val="none"/>
          <w:u w:val="single"/>
        </w:rPr>
        <w:t>乙方应在共同检查前48小时书面通知监理人检查，通知中应载明隐蔽检查的内容、时间和地点，并应附有自检记录和必要的检查资料</w:t>
      </w:r>
      <w:r>
        <w:rPr>
          <w:rFonts w:hint="eastAsia" w:ascii="宋体" w:hAnsi="宋体" w:eastAsia="宋体" w:cs="宋体"/>
          <w:bCs/>
          <w:color w:val="auto"/>
          <w:sz w:val="22"/>
          <w:szCs w:val="22"/>
          <w:highlight w:val="none"/>
        </w:rPr>
        <w:t>。</w:t>
      </w:r>
    </w:p>
    <w:p w14:paraId="706BE66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监理人不能按时进行检查时，应提前</w:t>
      </w:r>
      <w:r>
        <w:rPr>
          <w:rFonts w:hint="eastAsia" w:ascii="宋体" w:hAnsi="宋体" w:eastAsia="宋体" w:cs="宋体"/>
          <w:bCs/>
          <w:color w:val="auto"/>
          <w:sz w:val="22"/>
          <w:szCs w:val="22"/>
          <w:highlight w:val="none"/>
          <w:u w:val="single"/>
        </w:rPr>
        <w:t>24</w:t>
      </w:r>
      <w:r>
        <w:rPr>
          <w:rFonts w:hint="eastAsia" w:ascii="宋体" w:hAnsi="宋体" w:eastAsia="宋体" w:cs="宋体"/>
          <w:bCs/>
          <w:color w:val="auto"/>
          <w:sz w:val="22"/>
          <w:szCs w:val="22"/>
          <w:highlight w:val="none"/>
        </w:rPr>
        <w:t>小时提交书面延期要求。</w:t>
      </w:r>
    </w:p>
    <w:p w14:paraId="547A07A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关于延期最长不得超过：</w:t>
      </w:r>
      <w:r>
        <w:rPr>
          <w:rFonts w:hint="eastAsia" w:ascii="宋体" w:hAnsi="宋体" w:eastAsia="宋体" w:cs="宋体"/>
          <w:bCs/>
          <w:color w:val="auto"/>
          <w:sz w:val="22"/>
          <w:szCs w:val="22"/>
          <w:highlight w:val="none"/>
          <w:u w:val="single"/>
        </w:rPr>
        <w:t>48</w:t>
      </w:r>
      <w:r>
        <w:rPr>
          <w:rFonts w:hint="eastAsia" w:ascii="宋体" w:hAnsi="宋体" w:eastAsia="宋体" w:cs="宋体"/>
          <w:bCs/>
          <w:color w:val="auto"/>
          <w:sz w:val="22"/>
          <w:szCs w:val="22"/>
          <w:highlight w:val="none"/>
        </w:rPr>
        <w:t>小时。</w:t>
      </w:r>
    </w:p>
    <w:p w14:paraId="5E40892B">
      <w:pPr>
        <w:adjustRightInd w:val="0"/>
        <w:snapToGrid w:val="0"/>
        <w:spacing w:line="312" w:lineRule="auto"/>
        <w:rPr>
          <w:rFonts w:hint="eastAsia" w:ascii="宋体" w:hAnsi="宋体" w:eastAsia="宋体" w:cs="宋体"/>
          <w:bCs/>
          <w:color w:val="auto"/>
          <w:sz w:val="22"/>
          <w:szCs w:val="22"/>
          <w:highlight w:val="none"/>
        </w:rPr>
      </w:pPr>
      <w:bookmarkStart w:id="153" w:name="_Toc351203638"/>
      <w:r>
        <w:rPr>
          <w:rFonts w:hint="eastAsia" w:ascii="宋体" w:hAnsi="宋体" w:eastAsia="宋体" w:cs="宋体"/>
          <w:bCs/>
          <w:color w:val="auto"/>
          <w:sz w:val="22"/>
          <w:szCs w:val="22"/>
          <w:highlight w:val="none"/>
        </w:rPr>
        <w:t>6. 安全文明施工与环境保护</w:t>
      </w:r>
      <w:bookmarkEnd w:id="153"/>
    </w:p>
    <w:p w14:paraId="1625E44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6.1安全文明施工</w:t>
      </w:r>
    </w:p>
    <w:p w14:paraId="027DBB1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6.1.1 项目安全生产的达标目标及相应事项的约定：</w:t>
      </w:r>
      <w:r>
        <w:rPr>
          <w:rFonts w:hint="eastAsia" w:ascii="宋体" w:hAnsi="宋体" w:eastAsia="宋体" w:cs="宋体"/>
          <w:bCs/>
          <w:color w:val="auto"/>
          <w:sz w:val="22"/>
          <w:szCs w:val="22"/>
          <w:highlight w:val="none"/>
          <w:u w:val="single"/>
        </w:rPr>
        <w:t>按通用合同条款第6.1.1条规定执行</w:t>
      </w:r>
      <w:r>
        <w:rPr>
          <w:rFonts w:hint="eastAsia" w:ascii="宋体" w:hAnsi="宋体" w:eastAsia="宋体" w:cs="宋体"/>
          <w:bCs/>
          <w:color w:val="auto"/>
          <w:sz w:val="22"/>
          <w:szCs w:val="22"/>
          <w:highlight w:val="none"/>
        </w:rPr>
        <w:t>。</w:t>
      </w:r>
    </w:p>
    <w:p w14:paraId="0E5B255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6.1.4 关于治安保卫的特别约定：</w:t>
      </w:r>
      <w:r>
        <w:rPr>
          <w:rFonts w:hint="eastAsia" w:ascii="宋体" w:hAnsi="宋体" w:eastAsia="宋体" w:cs="宋体"/>
          <w:bCs/>
          <w:color w:val="auto"/>
          <w:sz w:val="22"/>
          <w:szCs w:val="22"/>
          <w:highlight w:val="none"/>
          <w:u w:val="single"/>
        </w:rPr>
        <w:t>按通用合同条款第6.1.4条规定执行</w:t>
      </w:r>
      <w:r>
        <w:rPr>
          <w:rFonts w:hint="eastAsia" w:ascii="宋体" w:hAnsi="宋体" w:eastAsia="宋体" w:cs="宋体"/>
          <w:bCs/>
          <w:color w:val="auto"/>
          <w:sz w:val="22"/>
          <w:szCs w:val="22"/>
          <w:highlight w:val="none"/>
        </w:rPr>
        <w:t>。</w:t>
      </w:r>
    </w:p>
    <w:p w14:paraId="7283083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关于编制施工场地治安管理计划的约定：</w:t>
      </w:r>
      <w:r>
        <w:rPr>
          <w:rFonts w:hint="eastAsia" w:ascii="宋体" w:hAnsi="宋体" w:eastAsia="宋体" w:cs="宋体"/>
          <w:bCs/>
          <w:color w:val="auto"/>
          <w:sz w:val="22"/>
          <w:szCs w:val="22"/>
          <w:highlight w:val="none"/>
          <w:u w:val="single"/>
        </w:rPr>
        <w:t>按通用合同条款第6.1.4条规定执行</w:t>
      </w:r>
      <w:r>
        <w:rPr>
          <w:rFonts w:hint="eastAsia" w:ascii="宋体" w:hAnsi="宋体" w:eastAsia="宋体" w:cs="宋体"/>
          <w:bCs/>
          <w:color w:val="auto"/>
          <w:sz w:val="22"/>
          <w:szCs w:val="22"/>
          <w:highlight w:val="none"/>
        </w:rPr>
        <w:t>。</w:t>
      </w:r>
    </w:p>
    <w:p w14:paraId="41DC666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6.1.5 文明施工</w:t>
      </w:r>
    </w:p>
    <w:p w14:paraId="769C922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合同当事人对文明施工的要求：</w:t>
      </w:r>
    </w:p>
    <w:p w14:paraId="34F74E2B">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乙方应严格按照省、市及地方安全生产和劳动保护的有关规定，认真落实各项安全保护措施及安全生产责任制，并随时接受甲方或监理工程师及有关部门的监督检查。甲方在进行巡查时发现工程质量或环境保护、文明施工、安全施工达不到要求，第一次发现给予乙方警告并责令整改，二次及以上发现乙方应立即整改并向甲方支付贰万元人民币的违约金。被上级主管部门通报批评，乙方按人民币贰万元/次向甲方支付违约金；被媒体曝光，视情节向甲方支付人民币贰至伍万元违约金。</w:t>
      </w:r>
    </w:p>
    <w:p w14:paraId="39460D0D">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（2）乙方应对进度施工现场的施工人员进行安全文明施工教育，持证上岗，配备必要的劳动保护用具，保证工程的施工安全和人身安全。</w:t>
      </w:r>
    </w:p>
    <w:p w14:paraId="31FF41E6">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乙方应强化安全意识，抓好安全生产，消除安全隐患，杜绝事故发生，施工中若发生安全及人身事故均由乙方自行负责处理，并承担全部费用。发现有违反安全生产操作规范的，甲方有权提出整改，乙方必须整改到位。</w:t>
      </w:r>
    </w:p>
    <w:p w14:paraId="4E928AB2">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安全施工所发生的费用乙方已在响应报价中包干，发生重大伤亡事故或其他事故，乙方应及时上报甲方，并承担全部赔偿责任（非乙方原因除外）。施工过程中若发生死亡事故，由乙方承担全部责任并支付全部费用，且必须在事发后立即启动应急预案，并在24小时内按事故等级通报上级，并做好事故处理和善后等各类事宜，否则甲方有权直接处理，相关费用在履约担保（或工程款）中直接扣除。</w:t>
      </w:r>
    </w:p>
    <w:p w14:paraId="4A730C7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5）乙方按规定自行向建设行政各主管部门、城市行政主管部门等相关职能部门办理相关手续，施工组织须符合管理部门的要求，甲方给予协调，费用不予增加。乙方必须做好安全文明施工、环境保护（扬尘、排污、泥浆外运等）工作。</w:t>
      </w:r>
    </w:p>
    <w:p w14:paraId="51F41C9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6.1.6 关于安全文明施工费支付比例和支付期限的约定：</w:t>
      </w:r>
      <w:r>
        <w:rPr>
          <w:rFonts w:hint="eastAsia" w:ascii="宋体" w:hAnsi="宋体" w:eastAsia="宋体" w:cs="宋体"/>
          <w:bCs/>
          <w:color w:val="auto"/>
          <w:sz w:val="22"/>
          <w:szCs w:val="22"/>
          <w:highlight w:val="none"/>
          <w:u w:val="single"/>
        </w:rPr>
        <w:t>按通用合同条款第6.1.6条规定执行</w:t>
      </w:r>
      <w:r>
        <w:rPr>
          <w:rFonts w:hint="eastAsia" w:ascii="宋体" w:hAnsi="宋体" w:eastAsia="宋体" w:cs="宋体"/>
          <w:bCs/>
          <w:color w:val="auto"/>
          <w:sz w:val="22"/>
          <w:szCs w:val="22"/>
          <w:highlight w:val="none"/>
        </w:rPr>
        <w:t>。</w:t>
      </w:r>
    </w:p>
    <w:bookmarkEnd w:id="146"/>
    <w:bookmarkEnd w:id="147"/>
    <w:bookmarkEnd w:id="148"/>
    <w:bookmarkEnd w:id="149"/>
    <w:bookmarkEnd w:id="150"/>
    <w:bookmarkEnd w:id="151"/>
    <w:bookmarkEnd w:id="152"/>
    <w:p w14:paraId="47A6F21D">
      <w:pPr>
        <w:adjustRightInd w:val="0"/>
        <w:snapToGrid w:val="0"/>
        <w:spacing w:line="312" w:lineRule="auto"/>
        <w:rPr>
          <w:rFonts w:hint="eastAsia" w:ascii="宋体" w:hAnsi="宋体" w:eastAsia="宋体" w:cs="宋体"/>
          <w:bCs/>
          <w:color w:val="auto"/>
          <w:sz w:val="22"/>
          <w:szCs w:val="22"/>
          <w:highlight w:val="none"/>
        </w:rPr>
      </w:pPr>
      <w:bookmarkStart w:id="154" w:name="_Toc351203639"/>
      <w:r>
        <w:rPr>
          <w:rFonts w:hint="eastAsia" w:ascii="宋体" w:hAnsi="宋体" w:eastAsia="宋体" w:cs="宋体"/>
          <w:bCs/>
          <w:color w:val="auto"/>
          <w:sz w:val="22"/>
          <w:szCs w:val="22"/>
          <w:highlight w:val="none"/>
        </w:rPr>
        <w:t>7. 工期和进度</w:t>
      </w:r>
      <w:bookmarkEnd w:id="154"/>
    </w:p>
    <w:p w14:paraId="536C190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7.1 施工组织设计</w:t>
      </w:r>
    </w:p>
    <w:p w14:paraId="71975417">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7.1.1 合</w:t>
      </w:r>
      <w:r>
        <w:rPr>
          <w:rFonts w:hint="eastAsia" w:ascii="宋体" w:hAnsi="宋体" w:eastAsia="宋体" w:cs="宋体"/>
          <w:bCs/>
          <w:color w:val="auto"/>
          <w:kern w:val="0"/>
          <w:sz w:val="22"/>
          <w:szCs w:val="22"/>
          <w:highlight w:val="none"/>
        </w:rPr>
        <w:t>同当事人约定的施工组织设计应包括的其他内容：</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50A05FEC">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 xml:space="preserve">7.1.2 </w:t>
      </w:r>
      <w:r>
        <w:rPr>
          <w:rFonts w:hint="eastAsia" w:ascii="宋体" w:hAnsi="宋体" w:eastAsia="宋体" w:cs="宋体"/>
          <w:bCs/>
          <w:color w:val="auto"/>
          <w:kern w:val="0"/>
          <w:sz w:val="22"/>
          <w:szCs w:val="22"/>
          <w:highlight w:val="none"/>
        </w:rPr>
        <w:t>施工组织设计的提交和修改</w:t>
      </w:r>
    </w:p>
    <w:p w14:paraId="4EDB38DB">
      <w:pPr>
        <w:autoSpaceDE w:val="0"/>
        <w:autoSpaceDN w:val="0"/>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乙方提交详细施工组织设计的期限的约定：</w:t>
      </w:r>
      <w:r>
        <w:rPr>
          <w:rFonts w:hint="eastAsia" w:ascii="宋体" w:hAnsi="宋体" w:eastAsia="宋体" w:cs="宋体"/>
          <w:bCs/>
          <w:color w:val="auto"/>
          <w:sz w:val="22"/>
          <w:szCs w:val="22"/>
          <w:highlight w:val="none"/>
          <w:u w:val="single"/>
        </w:rPr>
        <w:t>合同签订后叁天提供</w:t>
      </w:r>
      <w:r>
        <w:rPr>
          <w:rFonts w:hint="eastAsia" w:ascii="宋体" w:hAnsi="宋体" w:eastAsia="宋体" w:cs="宋体"/>
          <w:bCs/>
          <w:color w:val="auto"/>
          <w:sz w:val="22"/>
          <w:szCs w:val="22"/>
          <w:highlight w:val="none"/>
        </w:rPr>
        <w:t>。</w:t>
      </w:r>
    </w:p>
    <w:p w14:paraId="21F5365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甲方和监理人在收到详细的施工组织设计后确认或提出修改意见的期限：</w:t>
      </w:r>
      <w:r>
        <w:rPr>
          <w:rFonts w:hint="eastAsia" w:ascii="宋体" w:hAnsi="宋体" w:eastAsia="宋体" w:cs="宋体"/>
          <w:bCs/>
          <w:color w:val="auto"/>
          <w:sz w:val="22"/>
          <w:szCs w:val="22"/>
          <w:highlight w:val="none"/>
          <w:u w:val="single"/>
        </w:rPr>
        <w:t>接到报告后7天内予以批复。（甲方、监理单位对施工组织设计方案的确认只是对施工组织设计方案可行性的确认，并不是对所涉费用的确认，也不免除乙方对施工组织设计方案应承担的全部责任）</w:t>
      </w:r>
      <w:r>
        <w:rPr>
          <w:rFonts w:hint="eastAsia" w:ascii="宋体" w:hAnsi="宋体" w:eastAsia="宋体" w:cs="宋体"/>
          <w:bCs/>
          <w:color w:val="auto"/>
          <w:sz w:val="22"/>
          <w:szCs w:val="22"/>
          <w:highlight w:val="none"/>
        </w:rPr>
        <w:t>。</w:t>
      </w:r>
    </w:p>
    <w:p w14:paraId="3FE9A777">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bookmarkStart w:id="155" w:name="_Toc303539123"/>
      <w:bookmarkStart w:id="156" w:name="_Toc312678005"/>
      <w:bookmarkStart w:id="157" w:name="_Toc297216173"/>
      <w:bookmarkStart w:id="158" w:name="_Toc297123514"/>
      <w:bookmarkStart w:id="159" w:name="_Toc312677479"/>
      <w:bookmarkStart w:id="160" w:name="_Toc304295541"/>
      <w:bookmarkStart w:id="161" w:name="_Toc300934966"/>
      <w:r>
        <w:rPr>
          <w:rFonts w:hint="eastAsia" w:ascii="宋体" w:hAnsi="宋体" w:eastAsia="宋体" w:cs="宋体"/>
          <w:bCs/>
          <w:color w:val="auto"/>
          <w:sz w:val="22"/>
          <w:szCs w:val="22"/>
          <w:highlight w:val="none"/>
        </w:rPr>
        <w:t>.2 施工进度计划</w:t>
      </w:r>
    </w:p>
    <w:p w14:paraId="784E9A2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7.2.2 施工进度计划的修订</w:t>
      </w:r>
    </w:p>
    <w:p w14:paraId="00BD88F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甲方和监理人在收到修订的施工进度计划后确认或提出修改意见的期限：</w:t>
      </w:r>
      <w:r>
        <w:rPr>
          <w:rFonts w:hint="eastAsia" w:ascii="宋体" w:hAnsi="宋体" w:eastAsia="宋体" w:cs="宋体"/>
          <w:bCs/>
          <w:color w:val="auto"/>
          <w:sz w:val="22"/>
          <w:szCs w:val="22"/>
          <w:highlight w:val="none"/>
          <w:u w:val="single"/>
        </w:rPr>
        <w:t>接到报告后7天内予以批复</w:t>
      </w:r>
      <w:r>
        <w:rPr>
          <w:rFonts w:hint="eastAsia" w:ascii="宋体" w:hAnsi="宋体" w:eastAsia="宋体" w:cs="宋体"/>
          <w:bCs/>
          <w:color w:val="auto"/>
          <w:sz w:val="22"/>
          <w:szCs w:val="22"/>
          <w:highlight w:val="none"/>
        </w:rPr>
        <w:t>。</w:t>
      </w:r>
    </w:p>
    <w:p w14:paraId="4A6BD07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 开工</w:t>
      </w:r>
    </w:p>
    <w:p w14:paraId="29490B9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7.3.1 开工准备</w:t>
      </w:r>
    </w:p>
    <w:p w14:paraId="02A6CB00">
      <w:pPr>
        <w:adjustRightInd w:val="0"/>
        <w:snapToGrid w:val="0"/>
        <w:spacing w:line="312" w:lineRule="auto"/>
        <w:ind w:firstLine="645"/>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关于乙方提交</w:t>
      </w:r>
      <w:r>
        <w:rPr>
          <w:rFonts w:hint="eastAsia" w:ascii="宋体" w:hAnsi="宋体" w:eastAsia="宋体" w:cs="宋体"/>
          <w:bCs/>
          <w:color w:val="auto"/>
          <w:kern w:val="0"/>
          <w:sz w:val="22"/>
          <w:szCs w:val="22"/>
          <w:highlight w:val="none"/>
        </w:rPr>
        <w:t>工程开工报审表的期限：</w:t>
      </w:r>
      <w:r>
        <w:rPr>
          <w:rFonts w:hint="eastAsia" w:ascii="宋体" w:hAnsi="宋体" w:eastAsia="宋体" w:cs="宋体"/>
          <w:bCs/>
          <w:color w:val="auto"/>
          <w:sz w:val="22"/>
          <w:szCs w:val="22"/>
          <w:highlight w:val="none"/>
          <w:u w:val="single"/>
        </w:rPr>
        <w:t>开工前七天</w:t>
      </w:r>
      <w:r>
        <w:rPr>
          <w:rFonts w:hint="eastAsia" w:ascii="宋体" w:hAnsi="宋体" w:eastAsia="宋体" w:cs="宋体"/>
          <w:bCs/>
          <w:color w:val="auto"/>
          <w:sz w:val="22"/>
          <w:szCs w:val="22"/>
          <w:highlight w:val="none"/>
        </w:rPr>
        <w:t>。</w:t>
      </w:r>
    </w:p>
    <w:p w14:paraId="1A1989CE">
      <w:pPr>
        <w:adjustRightInd w:val="0"/>
        <w:snapToGrid w:val="0"/>
        <w:spacing w:line="312" w:lineRule="auto"/>
        <w:ind w:firstLine="645"/>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关于甲方应完成的其他开工准备工作及期限：</w:t>
      </w:r>
      <w:r>
        <w:rPr>
          <w:rFonts w:hint="eastAsia" w:ascii="宋体" w:hAnsi="宋体" w:eastAsia="宋体" w:cs="宋体"/>
          <w:bCs/>
          <w:color w:val="auto"/>
          <w:sz w:val="22"/>
          <w:szCs w:val="22"/>
          <w:highlight w:val="none"/>
          <w:u w:val="single"/>
        </w:rPr>
        <w:t>开工前七天</w:t>
      </w:r>
      <w:r>
        <w:rPr>
          <w:rFonts w:hint="eastAsia" w:ascii="宋体" w:hAnsi="宋体" w:eastAsia="宋体" w:cs="宋体"/>
          <w:bCs/>
          <w:color w:val="auto"/>
          <w:sz w:val="22"/>
          <w:szCs w:val="22"/>
          <w:highlight w:val="none"/>
        </w:rPr>
        <w:t>。</w:t>
      </w:r>
    </w:p>
    <w:p w14:paraId="70BC77C4">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关于乙方应完成的其他开工准备工作及期限：</w:t>
      </w:r>
      <w:r>
        <w:rPr>
          <w:rFonts w:hint="eastAsia" w:ascii="宋体" w:hAnsi="宋体" w:eastAsia="宋体" w:cs="宋体"/>
          <w:bCs/>
          <w:color w:val="auto"/>
          <w:sz w:val="22"/>
          <w:szCs w:val="22"/>
          <w:highlight w:val="none"/>
          <w:u w:val="single"/>
        </w:rPr>
        <w:t>开工前七天</w:t>
      </w:r>
      <w:r>
        <w:rPr>
          <w:rFonts w:hint="eastAsia" w:ascii="宋体" w:hAnsi="宋体" w:eastAsia="宋体" w:cs="宋体"/>
          <w:bCs/>
          <w:color w:val="auto"/>
          <w:sz w:val="22"/>
          <w:szCs w:val="22"/>
          <w:highlight w:val="none"/>
        </w:rPr>
        <w:t>。</w:t>
      </w:r>
    </w:p>
    <w:p w14:paraId="353EFAF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7.3.2开工通知</w:t>
      </w:r>
    </w:p>
    <w:p w14:paraId="5D0C21D4">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因甲方原因造成监理人未能在计划开工日期之日起</w:t>
      </w:r>
      <w:r>
        <w:rPr>
          <w:rFonts w:hint="eastAsia" w:ascii="宋体" w:hAnsi="宋体" w:eastAsia="宋体" w:cs="宋体"/>
          <w:bCs/>
          <w:color w:val="auto"/>
          <w:sz w:val="22"/>
          <w:szCs w:val="22"/>
          <w:highlight w:val="none"/>
          <w:u w:val="single"/>
        </w:rPr>
        <w:t xml:space="preserve"> 90 </w:t>
      </w:r>
      <w:r>
        <w:rPr>
          <w:rFonts w:hint="eastAsia" w:ascii="宋体" w:hAnsi="宋体" w:eastAsia="宋体" w:cs="宋体"/>
          <w:bCs/>
          <w:color w:val="auto"/>
          <w:sz w:val="22"/>
          <w:szCs w:val="22"/>
          <w:highlight w:val="none"/>
        </w:rPr>
        <w:t>天内发出开工通知的，乙方有权提出价格调整要求，或者解除合同。</w:t>
      </w:r>
    </w:p>
    <w:bookmarkEnd w:id="155"/>
    <w:bookmarkEnd w:id="156"/>
    <w:bookmarkEnd w:id="157"/>
    <w:bookmarkEnd w:id="158"/>
    <w:bookmarkEnd w:id="159"/>
    <w:bookmarkEnd w:id="160"/>
    <w:bookmarkEnd w:id="161"/>
    <w:p w14:paraId="6D227F0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7.4 测量放线</w:t>
      </w:r>
    </w:p>
    <w:p w14:paraId="734BD397">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7.4.1甲方通过监理人向乙方提供测量基准点、基准线和水准点及其书面资料的期限：</w:t>
      </w:r>
      <w:r>
        <w:rPr>
          <w:rFonts w:hint="eastAsia" w:ascii="宋体" w:hAnsi="宋体" w:eastAsia="宋体" w:cs="宋体"/>
          <w:bCs/>
          <w:color w:val="auto"/>
          <w:sz w:val="22"/>
          <w:szCs w:val="22"/>
          <w:highlight w:val="none"/>
          <w:u w:val="single"/>
        </w:rPr>
        <w:t>开工前七天</w:t>
      </w:r>
      <w:r>
        <w:rPr>
          <w:rFonts w:hint="eastAsia" w:ascii="宋体" w:hAnsi="宋体" w:eastAsia="宋体" w:cs="宋体"/>
          <w:bCs/>
          <w:color w:val="auto"/>
          <w:sz w:val="22"/>
          <w:szCs w:val="22"/>
          <w:highlight w:val="none"/>
        </w:rPr>
        <w:t>。</w:t>
      </w:r>
    </w:p>
    <w:p w14:paraId="42E9743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bookmarkStart w:id="162" w:name="_Toc312678010"/>
      <w:bookmarkStart w:id="163" w:name="_Toc303539125"/>
      <w:bookmarkStart w:id="164" w:name="_Toc304295546"/>
      <w:bookmarkStart w:id="165" w:name="_Toc297216175"/>
      <w:bookmarkStart w:id="166" w:name="_Toc297123516"/>
      <w:bookmarkStart w:id="167" w:name="_Toc300934968"/>
      <w:bookmarkStart w:id="168" w:name="_Toc312677484"/>
      <w:r>
        <w:rPr>
          <w:rFonts w:hint="eastAsia" w:ascii="宋体" w:hAnsi="宋体" w:eastAsia="宋体" w:cs="宋体"/>
          <w:bCs/>
          <w:color w:val="auto"/>
          <w:sz w:val="22"/>
          <w:szCs w:val="22"/>
          <w:highlight w:val="none"/>
        </w:rPr>
        <w:t>.5 工期延误</w:t>
      </w:r>
    </w:p>
    <w:bookmarkEnd w:id="162"/>
    <w:bookmarkEnd w:id="163"/>
    <w:bookmarkEnd w:id="164"/>
    <w:bookmarkEnd w:id="165"/>
    <w:bookmarkEnd w:id="166"/>
    <w:bookmarkEnd w:id="167"/>
    <w:bookmarkEnd w:id="168"/>
    <w:p w14:paraId="626F171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7.5.1 因甲方原因导致工期延误</w:t>
      </w:r>
    </w:p>
    <w:p w14:paraId="1FAE933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（7）因甲方原因导致工期延误的其他情形：</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6DFA710">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（8）双方约定工期顺延的其他情况：</w:t>
      </w:r>
      <w:r>
        <w:rPr>
          <w:rFonts w:hint="eastAsia" w:ascii="宋体" w:hAnsi="宋体" w:eastAsia="宋体" w:cs="宋体"/>
          <w:bCs/>
          <w:color w:val="auto"/>
          <w:sz w:val="22"/>
          <w:szCs w:val="22"/>
          <w:highlight w:val="none"/>
          <w:u w:val="single"/>
        </w:rPr>
        <w:t>乙方按协议条款约定的开工日期开始施工，具体开、停和复工的时间以甲方（或监理单位）的签证为准，如工程前期滞后</w:t>
      </w:r>
      <w:r>
        <w:rPr>
          <w:rFonts w:hint="eastAsia" w:ascii="宋体" w:hAnsi="宋体" w:eastAsia="宋体" w:cs="宋体"/>
          <w:bCs/>
          <w:color w:val="auto"/>
          <w:sz w:val="22"/>
          <w:szCs w:val="22"/>
          <w:highlight w:val="none"/>
          <w:u w:val="single"/>
          <w:lang w:val="en-US" w:eastAsia="zh-CN"/>
        </w:rPr>
        <w:t>等</w:t>
      </w:r>
      <w:r>
        <w:rPr>
          <w:rFonts w:hint="eastAsia" w:ascii="宋体" w:hAnsi="宋体" w:eastAsia="宋体" w:cs="宋体"/>
          <w:bCs/>
          <w:color w:val="auto"/>
          <w:sz w:val="22"/>
          <w:szCs w:val="22"/>
          <w:highlight w:val="none"/>
          <w:u w:val="single"/>
        </w:rPr>
        <w:t>而影响施工关键线路进度，工期顺延由乙方申请监理审核后报甲方签证为准。除经监理和甲方联系单签证同意外，工期一律不得顺延。乙方在响应时已充分考虑各项因素（包括但不限于周边环境、停电停水、物价波动、气候因素等）影响，保证工程连续施工，以上费用已含在乙方合同价款中。凡由于乙方造成的工期延误，则工期不能顺延，由此引起的赶工措施等费用增加均由乙方自行承担。因非乙方原因导致的工期延误，经工程师确认，工期相应顺延，但费用不予补偿。</w:t>
      </w:r>
    </w:p>
    <w:p w14:paraId="67318FE4">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（9）工程延期的审批：</w:t>
      </w:r>
      <w:r>
        <w:rPr>
          <w:rFonts w:hint="eastAsia" w:ascii="宋体" w:hAnsi="宋体" w:eastAsia="宋体" w:cs="宋体"/>
          <w:bCs/>
          <w:color w:val="auto"/>
          <w:sz w:val="22"/>
          <w:szCs w:val="22"/>
          <w:highlight w:val="none"/>
          <w:u w:val="single"/>
        </w:rPr>
        <w:t>必须是非乙方自身的原因造成的工期延误，甲方才可以考虑是否受理乙方的延期申请；若只是局部工程受到影响，乙方应采取措施并合理安排施工方案予以弥补，而不能影响工程的总工期。</w:t>
      </w:r>
    </w:p>
    <w:p w14:paraId="13B681E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bookmarkStart w:id="169" w:name="_Toc312678012"/>
      <w:bookmarkStart w:id="170" w:name="_Toc318581169"/>
      <w:bookmarkStart w:id="171" w:name="_Toc312677486"/>
      <w:bookmarkStart w:id="172" w:name="_Toc304295548"/>
      <w:bookmarkStart w:id="173" w:name="_Toc297216177"/>
      <w:bookmarkStart w:id="174" w:name="_Toc300934970"/>
      <w:bookmarkStart w:id="175" w:name="_Toc297123518"/>
      <w:bookmarkStart w:id="176" w:name="_Toc303539127"/>
      <w:r>
        <w:rPr>
          <w:rFonts w:hint="eastAsia" w:ascii="宋体" w:hAnsi="宋体" w:eastAsia="宋体" w:cs="宋体"/>
          <w:bCs/>
          <w:color w:val="auto"/>
          <w:sz w:val="22"/>
          <w:szCs w:val="22"/>
          <w:highlight w:val="none"/>
        </w:rPr>
        <w:t>.5.2 因乙方原因导致工期延误</w:t>
      </w:r>
    </w:p>
    <w:bookmarkEnd w:id="169"/>
    <w:bookmarkEnd w:id="170"/>
    <w:bookmarkEnd w:id="171"/>
    <w:p w14:paraId="70530817">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因</w:t>
      </w:r>
      <w:bookmarkStart w:id="177" w:name="_Toc312677487"/>
      <w:bookmarkStart w:id="178" w:name="_Toc312678013"/>
      <w:bookmarkStart w:id="179" w:name="_Toc318581170"/>
      <w:r>
        <w:rPr>
          <w:rFonts w:hint="eastAsia" w:ascii="宋体" w:hAnsi="宋体" w:eastAsia="宋体" w:cs="宋体"/>
          <w:bCs/>
          <w:color w:val="auto"/>
          <w:sz w:val="22"/>
          <w:szCs w:val="22"/>
          <w:highlight w:val="none"/>
        </w:rPr>
        <w:t>乙方原因造成工期延误，逾期竣工违约金的计算方法为：</w:t>
      </w:r>
    </w:p>
    <w:p w14:paraId="73452F6D">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①因乙方原因工程不能按合同约定工期竣工，每延误一天，乙方应按人民币</w:t>
      </w:r>
      <w:r>
        <w:rPr>
          <w:rFonts w:hint="eastAsia" w:ascii="宋体" w:hAnsi="宋体" w:cs="宋体"/>
          <w:bCs/>
          <w:color w:val="auto"/>
          <w:sz w:val="22"/>
          <w:szCs w:val="22"/>
          <w:highlight w:val="none"/>
          <w:u w:val="single"/>
          <w:lang w:val="en-US" w:eastAsia="zh-CN"/>
        </w:rPr>
        <w:t>8000</w:t>
      </w:r>
      <w:r>
        <w:rPr>
          <w:rFonts w:hint="eastAsia" w:ascii="宋体" w:hAnsi="宋体" w:eastAsia="宋体" w:cs="宋体"/>
          <w:bCs/>
          <w:color w:val="auto"/>
          <w:sz w:val="22"/>
          <w:szCs w:val="22"/>
          <w:highlight w:val="none"/>
          <w:u w:val="single"/>
        </w:rPr>
        <w:t>元向甲方支付违约金。该违约金甲方有权在乙方的工期保证金中扣除，不足部分在工程结算价款中扣除。</w:t>
      </w:r>
    </w:p>
    <w:p w14:paraId="3FF2CBC8">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②因乙方原因，乙方在施工过程中不能按施工总进度计划完成各项施工任务，实际施工进度比施工进度计划滞后超过30天（含30天）的，甲方有权解除合同，也有权仍选择由乙方继续履行合同，如甲方选择由乙方继续履行合同的，竣工工期每延误一天，乙方应按人民币贰仟元向甲方支付违约金。</w:t>
      </w:r>
      <w:bookmarkEnd w:id="172"/>
      <w:bookmarkEnd w:id="173"/>
      <w:bookmarkEnd w:id="174"/>
      <w:bookmarkEnd w:id="175"/>
      <w:bookmarkEnd w:id="176"/>
      <w:bookmarkEnd w:id="177"/>
      <w:bookmarkEnd w:id="178"/>
    </w:p>
    <w:bookmarkEnd w:id="179"/>
    <w:p w14:paraId="4225429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因乙方原因造成工期延误，逾</w:t>
      </w:r>
      <w:bookmarkStart w:id="180" w:name="_Toc318581171"/>
      <w:bookmarkStart w:id="181" w:name="_Toc312678014"/>
      <w:r>
        <w:rPr>
          <w:rFonts w:hint="eastAsia" w:ascii="宋体" w:hAnsi="宋体" w:eastAsia="宋体" w:cs="宋体"/>
          <w:bCs/>
          <w:color w:val="auto"/>
          <w:sz w:val="22"/>
          <w:szCs w:val="22"/>
          <w:highlight w:val="none"/>
        </w:rPr>
        <w:t>期竣工违约金的上限：</w:t>
      </w:r>
      <w:r>
        <w:rPr>
          <w:rFonts w:hint="eastAsia" w:ascii="宋体" w:hAnsi="宋体" w:eastAsia="宋体" w:cs="宋体"/>
          <w:bCs/>
          <w:color w:val="auto"/>
          <w:sz w:val="22"/>
          <w:szCs w:val="22"/>
          <w:highlight w:val="none"/>
          <w:u w:val="single"/>
        </w:rPr>
        <w:t>累计最高不超过合同总价的百分之二十</w:t>
      </w:r>
      <w:r>
        <w:rPr>
          <w:rFonts w:hint="eastAsia" w:ascii="宋体" w:hAnsi="宋体" w:eastAsia="宋体" w:cs="宋体"/>
          <w:bCs/>
          <w:color w:val="auto"/>
          <w:sz w:val="22"/>
          <w:szCs w:val="22"/>
          <w:highlight w:val="none"/>
        </w:rPr>
        <w:t>。</w:t>
      </w:r>
    </w:p>
    <w:bookmarkEnd w:id="180"/>
    <w:bookmarkEnd w:id="181"/>
    <w:p w14:paraId="44CC61B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bookmarkStart w:id="182" w:name="_Toc303539128"/>
      <w:bookmarkStart w:id="183" w:name="_Toc300934971"/>
      <w:bookmarkStart w:id="184" w:name="_Toc297123519"/>
      <w:bookmarkStart w:id="185" w:name="_Toc304295549"/>
      <w:bookmarkStart w:id="186" w:name="_Toc297216178"/>
      <w:bookmarkStart w:id="187" w:name="_Toc312678015"/>
      <w:r>
        <w:rPr>
          <w:rFonts w:hint="eastAsia" w:ascii="宋体" w:hAnsi="宋体" w:eastAsia="宋体" w:cs="宋体"/>
          <w:bCs/>
          <w:color w:val="auto"/>
          <w:sz w:val="22"/>
          <w:szCs w:val="22"/>
          <w:highlight w:val="none"/>
        </w:rPr>
        <w:t>.6 不</w:t>
      </w:r>
      <w:bookmarkEnd w:id="182"/>
      <w:bookmarkEnd w:id="183"/>
      <w:bookmarkEnd w:id="184"/>
      <w:bookmarkEnd w:id="185"/>
      <w:bookmarkEnd w:id="186"/>
      <w:bookmarkEnd w:id="187"/>
      <w:r>
        <w:rPr>
          <w:rFonts w:hint="eastAsia" w:ascii="宋体" w:hAnsi="宋体" w:eastAsia="宋体" w:cs="宋体"/>
          <w:bCs/>
          <w:color w:val="auto"/>
          <w:sz w:val="22"/>
          <w:szCs w:val="22"/>
          <w:highlight w:val="none"/>
        </w:rPr>
        <w:t>利物质条件</w:t>
      </w:r>
    </w:p>
    <w:p w14:paraId="558293F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bookmarkStart w:id="188" w:name="_Toc300934972"/>
      <w:bookmarkStart w:id="189" w:name="_Toc297216179"/>
      <w:bookmarkStart w:id="190" w:name="_Toc297123520"/>
      <w:bookmarkStart w:id="191" w:name="_Toc303539129"/>
      <w:bookmarkStart w:id="192" w:name="_Toc318581172"/>
      <w:bookmarkStart w:id="193" w:name="_Toc312678016"/>
      <w:bookmarkStart w:id="194" w:name="_Toc304295550"/>
      <w:r>
        <w:rPr>
          <w:rFonts w:hint="eastAsia" w:ascii="宋体" w:hAnsi="宋体" w:eastAsia="宋体" w:cs="宋体"/>
          <w:bCs/>
          <w:color w:val="auto"/>
          <w:sz w:val="22"/>
          <w:szCs w:val="22"/>
          <w:highlight w:val="none"/>
        </w:rPr>
        <w:t>不利物质条件的其他情形和有关约定：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bookmarkEnd w:id="188"/>
    <w:bookmarkEnd w:id="189"/>
    <w:bookmarkEnd w:id="190"/>
    <w:bookmarkEnd w:id="191"/>
    <w:bookmarkEnd w:id="192"/>
    <w:bookmarkEnd w:id="193"/>
    <w:bookmarkEnd w:id="194"/>
    <w:p w14:paraId="1963EA80">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bookmarkStart w:id="195" w:name="_Toc303539130"/>
      <w:bookmarkStart w:id="196" w:name="_Toc300934973"/>
      <w:bookmarkStart w:id="197" w:name="_Toc304295551"/>
      <w:bookmarkStart w:id="198" w:name="_Toc297123521"/>
      <w:bookmarkStart w:id="199" w:name="_Toc297216180"/>
      <w:bookmarkStart w:id="200" w:name="_Toc312678017"/>
      <w:r>
        <w:rPr>
          <w:rFonts w:hint="eastAsia" w:ascii="宋体" w:hAnsi="宋体" w:eastAsia="宋体" w:cs="宋体"/>
          <w:bCs/>
          <w:color w:val="auto"/>
          <w:sz w:val="22"/>
          <w:szCs w:val="22"/>
          <w:highlight w:val="none"/>
        </w:rPr>
        <w:t>.7异常恶劣的气候条件</w:t>
      </w:r>
    </w:p>
    <w:bookmarkEnd w:id="195"/>
    <w:bookmarkEnd w:id="196"/>
    <w:bookmarkEnd w:id="197"/>
    <w:bookmarkEnd w:id="198"/>
    <w:bookmarkEnd w:id="199"/>
    <w:bookmarkEnd w:id="200"/>
    <w:p w14:paraId="47117F3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甲方和乙方同意以下情形视为异常恶劣的气候条件：</w:t>
      </w:r>
    </w:p>
    <w:p w14:paraId="14283AA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4C74FDD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3A99BFC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310FCDBA">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7.9 提前竣工的奖励</w:t>
      </w:r>
    </w:p>
    <w:p w14:paraId="1826388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7.9.2提前竣工的奖励：</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2DBFD967">
      <w:pPr>
        <w:adjustRightInd w:val="0"/>
        <w:snapToGrid w:val="0"/>
        <w:spacing w:line="312" w:lineRule="auto"/>
        <w:rPr>
          <w:rFonts w:hint="eastAsia" w:ascii="宋体" w:hAnsi="宋体" w:eastAsia="宋体" w:cs="宋体"/>
          <w:bCs/>
          <w:color w:val="auto"/>
          <w:sz w:val="22"/>
          <w:szCs w:val="22"/>
          <w:highlight w:val="none"/>
        </w:rPr>
      </w:pPr>
      <w:bookmarkStart w:id="201" w:name="_Toc351203640"/>
      <w:r>
        <w:rPr>
          <w:rFonts w:hint="eastAsia" w:ascii="宋体" w:hAnsi="宋体" w:eastAsia="宋体" w:cs="宋体"/>
          <w:bCs/>
          <w:color w:val="auto"/>
          <w:sz w:val="22"/>
          <w:szCs w:val="22"/>
          <w:highlight w:val="none"/>
        </w:rPr>
        <w:t>8. 材料与设备</w:t>
      </w:r>
      <w:bookmarkEnd w:id="201"/>
    </w:p>
    <w:bookmarkEnd w:id="136"/>
    <w:bookmarkEnd w:id="137"/>
    <w:bookmarkEnd w:id="138"/>
    <w:bookmarkEnd w:id="139"/>
    <w:bookmarkEnd w:id="140"/>
    <w:bookmarkEnd w:id="141"/>
    <w:bookmarkEnd w:id="142"/>
    <w:bookmarkEnd w:id="143"/>
    <w:bookmarkEnd w:id="144"/>
    <w:bookmarkEnd w:id="145"/>
    <w:p w14:paraId="127336F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bookmarkStart w:id="202" w:name="_Toc296944506"/>
      <w:bookmarkStart w:id="203" w:name="_Toc292559877"/>
      <w:bookmarkStart w:id="204" w:name="_Toc280868654"/>
      <w:bookmarkStart w:id="205" w:name="_Toc312677493"/>
      <w:bookmarkStart w:id="206" w:name="_Toc304295556"/>
      <w:bookmarkStart w:id="207" w:name="_Toc300934979"/>
      <w:bookmarkStart w:id="208" w:name="_Toc297216186"/>
      <w:bookmarkStart w:id="209" w:name="_Toc296503167"/>
      <w:bookmarkStart w:id="210" w:name="_Toc297048353"/>
      <w:bookmarkStart w:id="211" w:name="_Toc312678019"/>
      <w:bookmarkStart w:id="212" w:name="_Toc296891207"/>
      <w:bookmarkStart w:id="213" w:name="_Toc296347166"/>
      <w:bookmarkStart w:id="214" w:name="_Toc303539136"/>
      <w:bookmarkStart w:id="215" w:name="_Toc296890995"/>
      <w:bookmarkStart w:id="216" w:name="_Toc297120467"/>
      <w:bookmarkStart w:id="217" w:name="_Toc297123527"/>
      <w:bookmarkStart w:id="218" w:name="_Toc292559372"/>
      <w:bookmarkStart w:id="219" w:name="_Toc296346668"/>
      <w:bookmarkStart w:id="220" w:name="_Toc267251424"/>
      <w:bookmarkStart w:id="221" w:name="_Toc280868656"/>
      <w:bookmarkStart w:id="222" w:name="_Toc280868655"/>
      <w:r>
        <w:rPr>
          <w:rFonts w:hint="eastAsia" w:ascii="宋体" w:hAnsi="宋体" w:eastAsia="宋体" w:cs="宋体"/>
          <w:bCs/>
          <w:color w:val="auto"/>
          <w:sz w:val="22"/>
          <w:szCs w:val="22"/>
          <w:highlight w:val="none"/>
        </w:rPr>
        <w:t>.4材料与工程设备的保管与使用</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23202F0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bookmarkStart w:id="223" w:name="_Toc292559878"/>
      <w:bookmarkStart w:id="224" w:name="_Toc292559373"/>
      <w:bookmarkStart w:id="225" w:name="_Toc297123528"/>
      <w:bookmarkStart w:id="226" w:name="_Toc303539137"/>
      <w:bookmarkStart w:id="227" w:name="_Toc297216187"/>
      <w:bookmarkStart w:id="228" w:name="_Toc296944507"/>
      <w:bookmarkStart w:id="229" w:name="_Toc300934980"/>
      <w:bookmarkStart w:id="230" w:name="_Toc318581173"/>
      <w:bookmarkStart w:id="231" w:name="_Toc297120468"/>
      <w:bookmarkStart w:id="232" w:name="_Toc296346669"/>
      <w:bookmarkStart w:id="233" w:name="_Toc297048354"/>
      <w:bookmarkStart w:id="234" w:name="_Toc296890996"/>
      <w:bookmarkStart w:id="235" w:name="_Toc296347167"/>
      <w:bookmarkStart w:id="236" w:name="_Toc296891208"/>
      <w:bookmarkStart w:id="237" w:name="_Toc312678020"/>
      <w:bookmarkStart w:id="238" w:name="_Toc304295557"/>
      <w:bookmarkStart w:id="239" w:name="_Toc296503168"/>
      <w:bookmarkStart w:id="240" w:name="_Toc312677494"/>
      <w:r>
        <w:rPr>
          <w:rFonts w:hint="eastAsia" w:ascii="宋体" w:hAnsi="宋体" w:eastAsia="宋体" w:cs="宋体"/>
          <w:bCs/>
          <w:color w:val="auto"/>
          <w:sz w:val="22"/>
          <w:szCs w:val="22"/>
          <w:highlight w:val="none"/>
        </w:rPr>
        <w:t>.4.1甲方供应的材料设备的保管费用的承担：</w:t>
      </w:r>
    </w:p>
    <w:p w14:paraId="551F2E9D">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（1）采购时已明确由甲方供应的材料设备保管费用、安装过程中的二次搬运和设备就位费、检验试验费由乙方响应时报价包干；</w:t>
      </w:r>
    </w:p>
    <w:p w14:paraId="1833A8C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（2）因乙方原因发生材料丢失损坏，由乙方负责赔偿。</w:t>
      </w:r>
      <w:bookmarkEnd w:id="223"/>
      <w:bookmarkEnd w:id="224"/>
    </w:p>
    <w:p w14:paraId="7D165B07">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8.6 样品</w:t>
      </w:r>
    </w:p>
    <w:p w14:paraId="73B8BCEB">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8.6.1</w:t>
      </w:r>
      <w:r>
        <w:rPr>
          <w:rFonts w:hint="eastAsia" w:ascii="宋体" w:hAnsi="宋体" w:eastAsia="宋体" w:cs="宋体"/>
          <w:bCs/>
          <w:color w:val="auto"/>
          <w:kern w:val="0"/>
          <w:sz w:val="22"/>
          <w:szCs w:val="22"/>
          <w:highlight w:val="none"/>
        </w:rPr>
        <w:tab/>
      </w:r>
      <w:r>
        <w:rPr>
          <w:rFonts w:hint="eastAsia" w:ascii="宋体" w:hAnsi="宋体" w:eastAsia="宋体" w:cs="宋体"/>
          <w:bCs/>
          <w:color w:val="auto"/>
          <w:kern w:val="0"/>
          <w:sz w:val="22"/>
          <w:szCs w:val="22"/>
          <w:highlight w:val="none"/>
        </w:rPr>
        <w:t>样品的报送与封存</w:t>
      </w:r>
    </w:p>
    <w:p w14:paraId="0B272D4D">
      <w:pPr>
        <w:autoSpaceDE w:val="0"/>
        <w:autoSpaceDN w:val="0"/>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需要乙方报送样品的材料或工程设备，样品的种类、名称、规格、数量要求：</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sz w:val="22"/>
          <w:szCs w:val="22"/>
          <w:highlight w:val="none"/>
        </w:rPr>
        <w:t>。</w:t>
      </w:r>
    </w:p>
    <w:p w14:paraId="0370ECCE">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8.8 施工设备和临时设施</w:t>
      </w:r>
    </w:p>
    <w:p w14:paraId="0269B53B">
      <w:pPr>
        <w:autoSpaceDE w:val="0"/>
        <w:autoSpaceDN w:val="0"/>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8.8.1 乙方提供的施工设备和临时设施</w:t>
      </w:r>
    </w:p>
    <w:p w14:paraId="14282BDD">
      <w:pPr>
        <w:autoSpaceDE w:val="0"/>
        <w:autoSpaceDN w:val="0"/>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关于修建临时设施费用承担的约定：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35F45567">
      <w:pPr>
        <w:adjustRightInd w:val="0"/>
        <w:snapToGrid w:val="0"/>
        <w:spacing w:line="312" w:lineRule="auto"/>
        <w:rPr>
          <w:rFonts w:hint="eastAsia" w:ascii="宋体" w:hAnsi="宋体" w:eastAsia="宋体" w:cs="宋体"/>
          <w:bCs/>
          <w:color w:val="auto"/>
          <w:sz w:val="22"/>
          <w:szCs w:val="22"/>
          <w:highlight w:val="none"/>
        </w:rPr>
      </w:pPr>
      <w:bookmarkStart w:id="241" w:name="_Toc351203641"/>
      <w:r>
        <w:rPr>
          <w:rFonts w:hint="eastAsia" w:ascii="宋体" w:hAnsi="宋体" w:eastAsia="宋体" w:cs="宋体"/>
          <w:bCs/>
          <w:color w:val="auto"/>
          <w:sz w:val="22"/>
          <w:szCs w:val="22"/>
          <w:highlight w:val="none"/>
        </w:rPr>
        <w:t>9</w:t>
      </w:r>
      <w:bookmarkEnd w:id="220"/>
      <w:bookmarkEnd w:id="221"/>
      <w:bookmarkEnd w:id="222"/>
      <w:bookmarkStart w:id="242" w:name="_Toc297123533"/>
      <w:bookmarkStart w:id="243" w:name="_Toc303539139"/>
      <w:bookmarkStart w:id="244" w:name="_Toc300934982"/>
      <w:bookmarkStart w:id="245" w:name="_Toc312677495"/>
      <w:bookmarkStart w:id="246" w:name="_Toc297216192"/>
      <w:bookmarkStart w:id="247" w:name="_Toc304295559"/>
      <w:bookmarkStart w:id="248" w:name="_Toc312678021"/>
      <w:bookmarkStart w:id="249" w:name="_Toc296347172"/>
      <w:bookmarkStart w:id="250" w:name="_Toc296891001"/>
      <w:bookmarkStart w:id="251" w:name="_Toc296944512"/>
      <w:bookmarkStart w:id="252" w:name="_Toc297048359"/>
      <w:bookmarkStart w:id="253" w:name="_Toc296891213"/>
      <w:bookmarkStart w:id="254" w:name="_Toc267251428"/>
      <w:bookmarkStart w:id="255" w:name="_Toc292559883"/>
      <w:bookmarkStart w:id="256" w:name="_Toc292559378"/>
      <w:bookmarkStart w:id="257" w:name="_Toc297120473"/>
      <w:bookmarkStart w:id="258" w:name="_Toc296503173"/>
      <w:bookmarkStart w:id="259" w:name="_Toc267251427"/>
      <w:bookmarkStart w:id="260" w:name="_Toc296346674"/>
      <w:r>
        <w:rPr>
          <w:rFonts w:hint="eastAsia" w:ascii="宋体" w:hAnsi="宋体" w:eastAsia="宋体" w:cs="宋体"/>
          <w:bCs/>
          <w:color w:val="auto"/>
          <w:sz w:val="22"/>
          <w:szCs w:val="22"/>
          <w:highlight w:val="none"/>
        </w:rPr>
        <w:t>. 试验与检验</w:t>
      </w:r>
      <w:bookmarkEnd w:id="241"/>
    </w:p>
    <w:bookmarkEnd w:id="242"/>
    <w:bookmarkEnd w:id="243"/>
    <w:bookmarkEnd w:id="244"/>
    <w:bookmarkEnd w:id="245"/>
    <w:bookmarkEnd w:id="246"/>
    <w:bookmarkEnd w:id="247"/>
    <w:bookmarkEnd w:id="248"/>
    <w:p w14:paraId="696025D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bookmarkStart w:id="261" w:name="_Toc304295560"/>
      <w:bookmarkStart w:id="262" w:name="_Toc312678022"/>
      <w:bookmarkStart w:id="263" w:name="_Toc297216193"/>
      <w:bookmarkStart w:id="264" w:name="_Toc303539140"/>
      <w:bookmarkStart w:id="265" w:name="_Toc300934983"/>
      <w:bookmarkStart w:id="266" w:name="_Toc312677496"/>
      <w:bookmarkStart w:id="267" w:name="_Toc297123534"/>
      <w:r>
        <w:rPr>
          <w:rFonts w:hint="eastAsia" w:ascii="宋体" w:hAnsi="宋体" w:eastAsia="宋体" w:cs="宋体"/>
          <w:bCs/>
          <w:color w:val="auto"/>
          <w:sz w:val="22"/>
          <w:szCs w:val="22"/>
          <w:highlight w:val="none"/>
        </w:rPr>
        <w:t>.1试验设备与试验人员</w:t>
      </w:r>
    </w:p>
    <w:bookmarkEnd w:id="261"/>
    <w:bookmarkEnd w:id="262"/>
    <w:bookmarkEnd w:id="263"/>
    <w:bookmarkEnd w:id="264"/>
    <w:bookmarkEnd w:id="265"/>
    <w:bookmarkEnd w:id="266"/>
    <w:bookmarkEnd w:id="267"/>
    <w:p w14:paraId="03B5FE8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bookmarkStart w:id="268" w:name="_Toc303539141"/>
      <w:bookmarkStart w:id="269" w:name="_Toc304295561"/>
      <w:bookmarkStart w:id="270" w:name="_Toc300934984"/>
      <w:bookmarkStart w:id="271" w:name="_Toc312677497"/>
      <w:bookmarkStart w:id="272" w:name="_Toc297123535"/>
      <w:bookmarkStart w:id="273" w:name="_Toc312678023"/>
      <w:bookmarkStart w:id="274" w:name="_Toc297216194"/>
      <w:bookmarkStart w:id="275" w:name="_Toc318581174"/>
      <w:r>
        <w:rPr>
          <w:rFonts w:hint="eastAsia" w:ascii="宋体" w:hAnsi="宋体" w:eastAsia="宋体" w:cs="宋体"/>
          <w:bCs/>
          <w:color w:val="auto"/>
          <w:sz w:val="22"/>
          <w:szCs w:val="22"/>
          <w:highlight w:val="none"/>
        </w:rPr>
        <w:t>.1.2 试验设备</w:t>
      </w:r>
    </w:p>
    <w:p w14:paraId="35CEFB3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施工现场需要配置的试验场所：</w:t>
      </w:r>
      <w:bookmarkEnd w:id="268"/>
      <w:bookmarkEnd w:id="269"/>
      <w:bookmarkEnd w:id="270"/>
      <w:bookmarkEnd w:id="271"/>
      <w:bookmarkEnd w:id="272"/>
      <w:bookmarkEnd w:id="273"/>
      <w:bookmarkEnd w:id="274"/>
      <w:bookmarkStart w:id="276" w:name="_Toc303539142"/>
      <w:bookmarkStart w:id="277" w:name="_Toc297216195"/>
      <w:bookmarkStart w:id="278" w:name="_Toc304295562"/>
      <w:bookmarkStart w:id="279" w:name="_Toc312677498"/>
      <w:bookmarkStart w:id="280" w:name="_Toc312678024"/>
      <w:bookmarkStart w:id="281" w:name="_Toc297123536"/>
      <w:bookmarkStart w:id="282" w:name="_Toc300934985"/>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 xml:space="preserve">。 </w:t>
      </w:r>
    </w:p>
    <w:p w14:paraId="5FD4AF5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施工现场需要配备的试验设备：</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2B75548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施工现场需要具备的其他试验条件：</w:t>
      </w:r>
      <w:r>
        <w:rPr>
          <w:rFonts w:hint="eastAsia" w:ascii="宋体" w:hAnsi="宋体" w:eastAsia="宋体" w:cs="宋体"/>
          <w:bCs/>
          <w:color w:val="auto"/>
          <w:sz w:val="22"/>
          <w:szCs w:val="22"/>
          <w:highlight w:val="none"/>
          <w:u w:val="single"/>
        </w:rPr>
        <w:t>所有试车费用乙方已在响应报价中包干</w:t>
      </w:r>
      <w:r>
        <w:rPr>
          <w:rFonts w:hint="eastAsia" w:ascii="宋体" w:hAnsi="宋体" w:eastAsia="宋体" w:cs="宋体"/>
          <w:bCs/>
          <w:color w:val="auto"/>
          <w:sz w:val="22"/>
          <w:szCs w:val="22"/>
          <w:highlight w:val="none"/>
        </w:rPr>
        <w:t>。</w:t>
      </w:r>
    </w:p>
    <w:p w14:paraId="0773B1F7">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9.4 现场工艺试验 </w:t>
      </w:r>
    </w:p>
    <w:p w14:paraId="5031A74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现场工艺试验的有关约定：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bookmarkEnd w:id="275"/>
    <w:bookmarkEnd w:id="276"/>
    <w:bookmarkEnd w:id="277"/>
    <w:bookmarkEnd w:id="278"/>
    <w:bookmarkEnd w:id="279"/>
    <w:bookmarkEnd w:id="280"/>
    <w:bookmarkEnd w:id="281"/>
    <w:bookmarkEnd w:id="282"/>
    <w:p w14:paraId="259CC5DE">
      <w:pPr>
        <w:adjustRightInd w:val="0"/>
        <w:snapToGrid w:val="0"/>
        <w:spacing w:line="312" w:lineRule="auto"/>
        <w:rPr>
          <w:rFonts w:hint="eastAsia" w:ascii="宋体" w:hAnsi="宋体" w:eastAsia="宋体" w:cs="宋体"/>
          <w:bCs/>
          <w:color w:val="auto"/>
          <w:sz w:val="22"/>
          <w:szCs w:val="22"/>
          <w:highlight w:val="none"/>
        </w:rPr>
      </w:pPr>
      <w:bookmarkStart w:id="283" w:name="_Toc351203642"/>
      <w:r>
        <w:rPr>
          <w:rFonts w:hint="eastAsia" w:ascii="宋体" w:hAnsi="宋体" w:eastAsia="宋体" w:cs="宋体"/>
          <w:bCs/>
          <w:color w:val="auto"/>
          <w:sz w:val="22"/>
          <w:szCs w:val="22"/>
          <w:highlight w:val="none"/>
        </w:rPr>
        <w:t>1</w:t>
      </w:r>
      <w:bookmarkEnd w:id="249"/>
      <w:bookmarkEnd w:id="250"/>
      <w:bookmarkEnd w:id="251"/>
      <w:bookmarkEnd w:id="252"/>
      <w:bookmarkEnd w:id="253"/>
      <w:bookmarkEnd w:id="254"/>
      <w:bookmarkEnd w:id="255"/>
      <w:bookmarkEnd w:id="256"/>
      <w:bookmarkEnd w:id="257"/>
      <w:bookmarkEnd w:id="258"/>
      <w:bookmarkEnd w:id="259"/>
      <w:bookmarkEnd w:id="260"/>
      <w:bookmarkStart w:id="284" w:name="_Toc297048379"/>
      <w:bookmarkStart w:id="285" w:name="_Toc297216199"/>
      <w:bookmarkStart w:id="286" w:name="_Toc296346694"/>
      <w:bookmarkStart w:id="287" w:name="_Toc296944532"/>
      <w:bookmarkStart w:id="288" w:name="_Toc296503193"/>
      <w:bookmarkStart w:id="289" w:name="_Toc300934989"/>
      <w:bookmarkStart w:id="290" w:name="_Toc292559903"/>
      <w:bookmarkStart w:id="291" w:name="_Toc296891233"/>
      <w:bookmarkStart w:id="292" w:name="_Toc296347192"/>
      <w:bookmarkStart w:id="293" w:name="_Toc296891021"/>
      <w:bookmarkStart w:id="294" w:name="_Toc303539146"/>
      <w:bookmarkStart w:id="295" w:name="_Toc292559398"/>
      <w:bookmarkStart w:id="296" w:name="_Toc297123540"/>
      <w:bookmarkStart w:id="297" w:name="_Toc297120493"/>
      <w:bookmarkStart w:id="298" w:name="_Toc304295566"/>
      <w:bookmarkStart w:id="299" w:name="_Toc312677499"/>
      <w:bookmarkStart w:id="300" w:name="_Toc312678025"/>
      <w:bookmarkStart w:id="301" w:name="_Toc267251433"/>
      <w:bookmarkStart w:id="302" w:name="_Toc267251437"/>
      <w:bookmarkStart w:id="303" w:name="_Toc267251435"/>
      <w:bookmarkStart w:id="304" w:name="_Toc267251439"/>
      <w:bookmarkStart w:id="305" w:name="_Toc267251440"/>
      <w:bookmarkStart w:id="306" w:name="_Toc267251441"/>
      <w:bookmarkStart w:id="307" w:name="_Toc267251442"/>
      <w:r>
        <w:rPr>
          <w:rFonts w:hint="eastAsia" w:ascii="宋体" w:hAnsi="宋体" w:eastAsia="宋体" w:cs="宋体"/>
          <w:bCs/>
          <w:color w:val="auto"/>
          <w:sz w:val="22"/>
          <w:szCs w:val="22"/>
          <w:highlight w:val="none"/>
        </w:rPr>
        <w:t>0. 变更</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bookmarkEnd w:id="299"/>
    <w:bookmarkEnd w:id="300"/>
    <w:p w14:paraId="4B054EE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Start w:id="308" w:name="_Toc297048380"/>
      <w:bookmarkStart w:id="309" w:name="_Toc296944533"/>
      <w:bookmarkStart w:id="310" w:name="_Toc296346695"/>
      <w:bookmarkStart w:id="311" w:name="_Toc296347193"/>
      <w:bookmarkStart w:id="312" w:name="_Toc312677500"/>
      <w:bookmarkStart w:id="313" w:name="_Toc303539147"/>
      <w:bookmarkStart w:id="314" w:name="_Toc304295567"/>
      <w:bookmarkStart w:id="315" w:name="_Toc297123541"/>
      <w:bookmarkStart w:id="316" w:name="_Toc296503194"/>
      <w:bookmarkStart w:id="317" w:name="_Toc296891022"/>
      <w:bookmarkStart w:id="318" w:name="_Toc300934990"/>
      <w:bookmarkStart w:id="319" w:name="_Toc312678026"/>
      <w:bookmarkStart w:id="320" w:name="_Toc292559399"/>
      <w:bookmarkStart w:id="321" w:name="_Toc297120494"/>
      <w:bookmarkStart w:id="322" w:name="_Toc292559904"/>
      <w:bookmarkStart w:id="323" w:name="_Toc297216200"/>
      <w:bookmarkStart w:id="324" w:name="_Toc296891234"/>
      <w:r>
        <w:rPr>
          <w:rFonts w:hint="eastAsia" w:ascii="宋体" w:hAnsi="宋体" w:eastAsia="宋体" w:cs="宋体"/>
          <w:bCs/>
          <w:color w:val="auto"/>
          <w:sz w:val="22"/>
          <w:szCs w:val="22"/>
          <w:highlight w:val="none"/>
        </w:rPr>
        <w:t>0.1变更的范围</w:t>
      </w:r>
    </w:p>
    <w:p w14:paraId="4C3AD2F1">
      <w:pPr>
        <w:adjustRightInd w:val="0"/>
        <w:snapToGrid w:val="0"/>
        <w:spacing w:line="312" w:lineRule="auto"/>
        <w:ind w:firstLine="600"/>
        <w:jc w:val="left"/>
        <w:rPr>
          <w:rFonts w:hint="default" w:ascii="宋体" w:hAnsi="宋体" w:eastAsia="宋体" w:cs="宋体"/>
          <w:bCs/>
          <w:color w:val="auto"/>
          <w:sz w:val="22"/>
          <w:szCs w:val="22"/>
          <w:highlight w:val="none"/>
          <w:u w:val="single"/>
          <w:lang w:val="en-US" w:eastAsia="zh-CN"/>
        </w:rPr>
      </w:pPr>
      <w:r>
        <w:rPr>
          <w:rFonts w:hint="eastAsia" w:ascii="宋体" w:hAnsi="宋体" w:eastAsia="宋体" w:cs="宋体"/>
          <w:bCs/>
          <w:color w:val="auto"/>
          <w:sz w:val="22"/>
          <w:szCs w:val="22"/>
          <w:highlight w:val="none"/>
        </w:rPr>
        <w:t>关于变更的范围的约定：</w:t>
      </w:r>
      <w:r>
        <w:rPr>
          <w:rFonts w:hint="eastAsia" w:ascii="宋体" w:hAnsi="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u w:val="single"/>
          <w:lang w:val="en-US" w:eastAsia="zh-CN"/>
        </w:rPr>
        <w:t>。</w:t>
      </w:r>
    </w:p>
    <w:p w14:paraId="203B6A96">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10.4 变更估价</w:t>
      </w:r>
    </w:p>
    <w:p w14:paraId="7FF090A4">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10.4.1 变更估价原则</w:t>
      </w:r>
    </w:p>
    <w:p w14:paraId="248C5D76">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关于变更估价的约定:</w:t>
      </w:r>
      <w:r>
        <w:rPr>
          <w:rFonts w:hint="eastAsia" w:ascii="宋体" w:hAnsi="宋体" w:eastAsia="宋体" w:cs="宋体"/>
          <w:bCs/>
          <w:color w:val="auto"/>
          <w:sz w:val="22"/>
          <w:szCs w:val="22"/>
          <w:highlight w:val="none"/>
          <w:u w:val="single"/>
        </w:rPr>
        <w:t xml:space="preserve">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14:paraId="3C07CA86">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5" w:name="_Toc300934993"/>
      <w:bookmarkStart w:id="326" w:name="_Toc296891025"/>
      <w:bookmarkStart w:id="327" w:name="_Toc296503197"/>
      <w:bookmarkStart w:id="328" w:name="_Toc292559907"/>
      <w:bookmarkStart w:id="329" w:name="_Toc297048383"/>
      <w:bookmarkStart w:id="330" w:name="_Toc296891237"/>
      <w:bookmarkStart w:id="331" w:name="_Toc297216203"/>
      <w:bookmarkStart w:id="332" w:name="_Toc296346698"/>
      <w:bookmarkStart w:id="333" w:name="_Toc303539150"/>
      <w:bookmarkStart w:id="334" w:name="_Toc296944536"/>
      <w:bookmarkStart w:id="335" w:name="_Toc296347196"/>
      <w:bookmarkStart w:id="336" w:name="_Toc297123544"/>
      <w:bookmarkStart w:id="337" w:name="_Toc292559402"/>
      <w:bookmarkStart w:id="338" w:name="_Toc297120497"/>
      <w:bookmarkStart w:id="339" w:name="_Toc304295570"/>
      <w:bookmarkStart w:id="340" w:name="_Toc312678029"/>
      <w:bookmarkStart w:id="341" w:name="_Toc312677503"/>
      <w:r>
        <w:rPr>
          <w:rFonts w:hint="eastAsia" w:ascii="宋体" w:hAnsi="宋体" w:eastAsia="宋体" w:cs="宋体"/>
          <w:bCs/>
          <w:color w:val="auto"/>
          <w:sz w:val="22"/>
          <w:szCs w:val="22"/>
          <w:highlight w:val="none"/>
        </w:rPr>
        <w:t>0.5</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42" w:name="_Toc296347202"/>
      <w:bookmarkStart w:id="343" w:name="_Toc297120503"/>
      <w:bookmarkStart w:id="344" w:name="_Toc296944542"/>
      <w:bookmarkStart w:id="345" w:name="_Toc296503203"/>
      <w:bookmarkStart w:id="346" w:name="_Toc297216204"/>
      <w:bookmarkStart w:id="347" w:name="_Toc297048389"/>
      <w:bookmarkStart w:id="348" w:name="_Toc296891243"/>
      <w:bookmarkStart w:id="349" w:name="_Toc297123545"/>
      <w:bookmarkStart w:id="350" w:name="_Toc296346704"/>
      <w:bookmarkStart w:id="351" w:name="_Toc292559408"/>
      <w:bookmarkStart w:id="352" w:name="_Toc303539151"/>
      <w:bookmarkStart w:id="353" w:name="_Toc296891031"/>
      <w:bookmarkStart w:id="354" w:name="_Toc292559913"/>
      <w:bookmarkStart w:id="355" w:name="_Toc300934994"/>
      <w:r>
        <w:rPr>
          <w:rFonts w:hint="eastAsia" w:ascii="宋体" w:hAnsi="宋体" w:eastAsia="宋体" w:cs="宋体"/>
          <w:bCs/>
          <w:color w:val="auto"/>
          <w:sz w:val="22"/>
          <w:szCs w:val="22"/>
          <w:highlight w:val="none"/>
        </w:rPr>
        <w:t>乙方的合理化建议</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22A166A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监理人审查乙方合理化建议的期限：</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0ABE628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甲方审批乙方合理化建议的期限：</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p w14:paraId="6DEF087E">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bookmarkStart w:id="356" w:name="_Toc296891032"/>
      <w:bookmarkStart w:id="357" w:name="_Toc296347203"/>
      <w:bookmarkStart w:id="358" w:name="_Toc300934995"/>
      <w:bookmarkStart w:id="359" w:name="_Toc292559409"/>
      <w:bookmarkStart w:id="360" w:name="_Toc297123546"/>
      <w:bookmarkStart w:id="361" w:name="_Toc303539152"/>
      <w:bookmarkStart w:id="362" w:name="_Toc297216205"/>
      <w:bookmarkStart w:id="363" w:name="_Toc297120504"/>
      <w:bookmarkStart w:id="364" w:name="_Toc296346705"/>
      <w:bookmarkStart w:id="365" w:name="_Toc296891244"/>
      <w:bookmarkStart w:id="366" w:name="_Toc296944543"/>
      <w:bookmarkStart w:id="367" w:name="_Toc318581175"/>
      <w:bookmarkStart w:id="368" w:name="_Toc312678030"/>
      <w:bookmarkStart w:id="369" w:name="_Toc304295571"/>
      <w:bookmarkStart w:id="370" w:name="_Toc296503204"/>
      <w:bookmarkStart w:id="371" w:name="_Toc297048390"/>
      <w:bookmarkStart w:id="372" w:name="_Toc312677504"/>
      <w:bookmarkStart w:id="373" w:name="_Toc292559914"/>
      <w:r>
        <w:rPr>
          <w:rFonts w:hint="eastAsia" w:ascii="宋体" w:hAnsi="宋体" w:eastAsia="宋体" w:cs="宋体"/>
          <w:bCs/>
          <w:color w:val="auto"/>
          <w:sz w:val="22"/>
          <w:szCs w:val="22"/>
          <w:highlight w:val="none"/>
        </w:rPr>
        <w:t>乙方提出的合理化建议降低了合同价格或者提高了工程经济效益的奖励的方法和金额为：</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5875F795">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Start w:id="374" w:name="_Toc296347198"/>
      <w:bookmarkStart w:id="375" w:name="_Toc300934997"/>
      <w:bookmarkStart w:id="376" w:name="_Toc296503199"/>
      <w:bookmarkStart w:id="377" w:name="_Toc297216207"/>
      <w:bookmarkStart w:id="378" w:name="_Toc312677507"/>
      <w:bookmarkStart w:id="379" w:name="_Toc292559909"/>
      <w:bookmarkStart w:id="380" w:name="_Toc292559404"/>
      <w:bookmarkStart w:id="381" w:name="_Toc297120499"/>
      <w:bookmarkStart w:id="382" w:name="_Toc296891027"/>
      <w:bookmarkStart w:id="383" w:name="_Toc304295574"/>
      <w:bookmarkStart w:id="384" w:name="_Toc303539154"/>
      <w:bookmarkStart w:id="385" w:name="_Toc296944538"/>
      <w:bookmarkStart w:id="386" w:name="_Toc296346700"/>
      <w:bookmarkStart w:id="387" w:name="_Toc312678033"/>
      <w:bookmarkStart w:id="388" w:name="_Toc296891239"/>
      <w:bookmarkStart w:id="389" w:name="_Toc297048385"/>
      <w:bookmarkStart w:id="390" w:name="_Toc297123548"/>
      <w:r>
        <w:rPr>
          <w:rFonts w:hint="eastAsia" w:ascii="宋体" w:hAnsi="宋体" w:eastAsia="宋体" w:cs="宋体"/>
          <w:bCs/>
          <w:color w:val="auto"/>
          <w:sz w:val="22"/>
          <w:szCs w:val="22"/>
          <w:highlight w:val="none"/>
        </w:rPr>
        <w:t>0.7 暂估价</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6EA0050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Start w:id="391" w:name="_Toc312677509"/>
      <w:bookmarkStart w:id="392" w:name="_Toc318581177"/>
      <w:bookmarkStart w:id="393" w:name="_Toc312678035"/>
      <w:r>
        <w:rPr>
          <w:rFonts w:hint="eastAsia" w:ascii="宋体" w:hAnsi="宋体" w:eastAsia="宋体" w:cs="宋体"/>
          <w:bCs/>
          <w:color w:val="auto"/>
          <w:sz w:val="22"/>
          <w:szCs w:val="22"/>
          <w:highlight w:val="none"/>
        </w:rPr>
        <w:t>0.7.1 依法必须采购的暂估价项目</w:t>
      </w:r>
    </w:p>
    <w:bookmarkEnd w:id="391"/>
    <w:bookmarkEnd w:id="392"/>
    <w:bookmarkEnd w:id="393"/>
    <w:p w14:paraId="7D9C2A7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对于依法必须采购的暂估价项目的确认和批准采取第</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种方式确定。</w:t>
      </w:r>
    </w:p>
    <w:p w14:paraId="74BCDDA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10.7.2 不属于依法必须采购的暂估价项目</w:t>
      </w:r>
    </w:p>
    <w:p w14:paraId="69D4433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对于不属于依法必须采购的暂估价项目的确认和批准采取第</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 xml:space="preserve"> 种方式确定。</w:t>
      </w:r>
    </w:p>
    <w:p w14:paraId="523525E9">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第3种方式：</w:t>
      </w:r>
      <w:r>
        <w:rPr>
          <w:rFonts w:hint="eastAsia" w:ascii="宋体" w:hAnsi="宋体" w:eastAsia="宋体" w:cs="宋体"/>
          <w:bCs/>
          <w:color w:val="auto"/>
          <w:kern w:val="0"/>
          <w:sz w:val="22"/>
          <w:szCs w:val="22"/>
          <w:highlight w:val="none"/>
        </w:rPr>
        <w:t>乙方直接实施的暂估价项目</w:t>
      </w:r>
    </w:p>
    <w:p w14:paraId="52E9385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乙方直接实施的暂估价项目的约定：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2E7E2DD4">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10.8 暂列金额</w:t>
      </w:r>
    </w:p>
    <w:p w14:paraId="42230F95">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合同当事人关于暂列金额使用的约定：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kern w:val="0"/>
          <w:sz w:val="22"/>
          <w:szCs w:val="22"/>
          <w:highlight w:val="none"/>
        </w:rPr>
        <w:t>。</w:t>
      </w:r>
    </w:p>
    <w:p w14:paraId="3AB5E944">
      <w:pPr>
        <w:adjustRightInd w:val="0"/>
        <w:snapToGrid w:val="0"/>
        <w:spacing w:line="312" w:lineRule="auto"/>
        <w:rPr>
          <w:rFonts w:hint="eastAsia" w:ascii="宋体" w:hAnsi="宋体" w:eastAsia="宋体" w:cs="宋体"/>
          <w:bCs/>
          <w:color w:val="auto"/>
          <w:sz w:val="22"/>
          <w:szCs w:val="22"/>
          <w:highlight w:val="none"/>
        </w:rPr>
      </w:pPr>
      <w:bookmarkStart w:id="394" w:name="_Toc351203643"/>
      <w:r>
        <w:rPr>
          <w:rFonts w:hint="eastAsia" w:ascii="宋体" w:hAnsi="宋体" w:eastAsia="宋体" w:cs="宋体"/>
          <w:bCs/>
          <w:color w:val="auto"/>
          <w:sz w:val="22"/>
          <w:szCs w:val="22"/>
          <w:highlight w:val="none"/>
        </w:rPr>
        <w:t>11. 价格调整</w:t>
      </w:r>
      <w:bookmarkEnd w:id="394"/>
    </w:p>
    <w:p w14:paraId="178386A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bookmarkEnd w:id="301"/>
    <w:bookmarkEnd w:id="302"/>
    <w:bookmarkEnd w:id="303"/>
    <w:bookmarkEnd w:id="304"/>
    <w:bookmarkEnd w:id="305"/>
    <w:bookmarkEnd w:id="306"/>
    <w:p w14:paraId="692BF049">
      <w:pPr>
        <w:adjustRightInd w:val="0"/>
        <w:snapToGrid w:val="0"/>
        <w:spacing w:line="312" w:lineRule="auto"/>
        <w:rPr>
          <w:rFonts w:hint="eastAsia" w:ascii="宋体" w:hAnsi="宋体" w:eastAsia="宋体" w:cs="宋体"/>
          <w:bCs/>
          <w:color w:val="auto"/>
          <w:sz w:val="22"/>
          <w:szCs w:val="22"/>
          <w:highlight w:val="none"/>
        </w:rPr>
      </w:pPr>
      <w:bookmarkStart w:id="395" w:name="_Toc296891033"/>
      <w:bookmarkStart w:id="396" w:name="_Toc297048391"/>
      <w:bookmarkStart w:id="397" w:name="_Toc296346706"/>
      <w:bookmarkStart w:id="398" w:name="_Toc297120505"/>
      <w:bookmarkStart w:id="399" w:name="_Toc296891245"/>
      <w:bookmarkStart w:id="400" w:name="_Toc296503205"/>
      <w:bookmarkStart w:id="401" w:name="_Toc296347204"/>
      <w:bookmarkStart w:id="402" w:name="_Toc292559410"/>
      <w:bookmarkStart w:id="403" w:name="_Toc292559915"/>
      <w:bookmarkStart w:id="404" w:name="_Toc296944544"/>
      <w:bookmarkStart w:id="405" w:name="_Toc351203644"/>
      <w:bookmarkStart w:id="406" w:name="_Toc300935002"/>
      <w:bookmarkStart w:id="407" w:name="_Toc304295579"/>
      <w:bookmarkStart w:id="408" w:name="_Toc303539159"/>
      <w:bookmarkStart w:id="409" w:name="_Toc297216211"/>
      <w:bookmarkStart w:id="410" w:name="_Toc312678040"/>
      <w:bookmarkStart w:id="411" w:name="_Toc297123552"/>
      <w:r>
        <w:rPr>
          <w:rFonts w:hint="eastAsia" w:ascii="宋体" w:hAnsi="宋体" w:eastAsia="宋体" w:cs="宋体"/>
          <w:bCs/>
          <w:color w:val="auto"/>
          <w:sz w:val="22"/>
          <w:szCs w:val="22"/>
          <w:highlight w:val="none"/>
        </w:rPr>
        <w:t xml:space="preserve">12. </w:t>
      </w:r>
      <w:bookmarkEnd w:id="395"/>
      <w:bookmarkEnd w:id="396"/>
      <w:bookmarkEnd w:id="397"/>
      <w:bookmarkEnd w:id="398"/>
      <w:bookmarkEnd w:id="399"/>
      <w:bookmarkEnd w:id="400"/>
      <w:bookmarkEnd w:id="401"/>
      <w:bookmarkEnd w:id="402"/>
      <w:bookmarkEnd w:id="403"/>
      <w:bookmarkEnd w:id="404"/>
      <w:r>
        <w:rPr>
          <w:rFonts w:hint="eastAsia" w:ascii="宋体" w:hAnsi="宋体" w:eastAsia="宋体" w:cs="宋体"/>
          <w:bCs/>
          <w:color w:val="auto"/>
          <w:sz w:val="22"/>
          <w:szCs w:val="22"/>
          <w:highlight w:val="none"/>
        </w:rPr>
        <w:t>合同价格、计量与支付</w:t>
      </w:r>
      <w:bookmarkEnd w:id="405"/>
    </w:p>
    <w:bookmarkEnd w:id="406"/>
    <w:bookmarkEnd w:id="407"/>
    <w:bookmarkEnd w:id="408"/>
    <w:bookmarkEnd w:id="409"/>
    <w:bookmarkEnd w:id="410"/>
    <w:bookmarkEnd w:id="411"/>
    <w:p w14:paraId="08A6F548">
      <w:pPr>
        <w:adjustRightInd w:val="0"/>
        <w:snapToGrid w:val="0"/>
        <w:spacing w:line="312" w:lineRule="auto"/>
        <w:ind w:firstLine="440" w:firstLineChars="200"/>
        <w:rPr>
          <w:rFonts w:hint="eastAsia" w:ascii="宋体" w:hAnsi="宋体" w:eastAsia="宋体" w:cs="宋体"/>
          <w:bCs/>
          <w:color w:val="auto"/>
          <w:sz w:val="22"/>
          <w:szCs w:val="22"/>
          <w:highlight w:val="none"/>
        </w:rPr>
      </w:pPr>
      <w:bookmarkStart w:id="412" w:name="_Toc292559916"/>
      <w:bookmarkStart w:id="413" w:name="_Toc292559411"/>
      <w:bookmarkStart w:id="414" w:name="_Toc267251461"/>
      <w:bookmarkStart w:id="415" w:name="_Toc296503206"/>
      <w:bookmarkStart w:id="416" w:name="_Toc297048392"/>
      <w:bookmarkStart w:id="417" w:name="_Toc296891246"/>
      <w:bookmarkStart w:id="418" w:name="_Toc296891034"/>
      <w:bookmarkStart w:id="419" w:name="_Toc296347205"/>
      <w:bookmarkStart w:id="420" w:name="_Toc296944545"/>
      <w:bookmarkStart w:id="421" w:name="_Toc296346707"/>
      <w:bookmarkStart w:id="422" w:name="_Toc297120506"/>
      <w:bookmarkStart w:id="423" w:name="_Toc303539160"/>
      <w:bookmarkStart w:id="424" w:name="_Toc297216212"/>
      <w:bookmarkStart w:id="425" w:name="_Toc300935003"/>
      <w:bookmarkStart w:id="426" w:name="_Toc312678041"/>
      <w:bookmarkStart w:id="427" w:name="_Toc304295580"/>
      <w:bookmarkStart w:id="428" w:name="_Toc297123553"/>
      <w:r>
        <w:rPr>
          <w:rFonts w:hint="eastAsia" w:ascii="宋体" w:hAnsi="宋体" w:eastAsia="宋体" w:cs="宋体"/>
          <w:bCs/>
          <w:color w:val="auto"/>
          <w:sz w:val="22"/>
          <w:szCs w:val="22"/>
          <w:highlight w:val="none"/>
        </w:rPr>
        <w:t>12.1 合</w:t>
      </w:r>
      <w:bookmarkEnd w:id="412"/>
      <w:bookmarkEnd w:id="413"/>
      <w:bookmarkEnd w:id="414"/>
      <w:r>
        <w:rPr>
          <w:rFonts w:hint="eastAsia" w:ascii="宋体" w:hAnsi="宋体" w:eastAsia="宋体" w:cs="宋体"/>
          <w:bCs/>
          <w:color w:val="auto"/>
          <w:sz w:val="22"/>
          <w:szCs w:val="22"/>
          <w:highlight w:val="none"/>
        </w:rPr>
        <w:t>同价</w:t>
      </w:r>
      <w:bookmarkEnd w:id="415"/>
      <w:bookmarkEnd w:id="416"/>
      <w:bookmarkEnd w:id="417"/>
      <w:bookmarkEnd w:id="418"/>
      <w:bookmarkEnd w:id="419"/>
      <w:bookmarkEnd w:id="420"/>
      <w:bookmarkEnd w:id="421"/>
      <w:bookmarkEnd w:id="422"/>
      <w:r>
        <w:rPr>
          <w:rFonts w:hint="eastAsia" w:ascii="宋体" w:hAnsi="宋体" w:eastAsia="宋体" w:cs="宋体"/>
          <w:bCs/>
          <w:color w:val="auto"/>
          <w:sz w:val="22"/>
          <w:szCs w:val="22"/>
          <w:highlight w:val="none"/>
        </w:rPr>
        <w:t>格形式</w:t>
      </w:r>
    </w:p>
    <w:bookmarkEnd w:id="423"/>
    <w:bookmarkEnd w:id="424"/>
    <w:bookmarkEnd w:id="425"/>
    <w:bookmarkEnd w:id="426"/>
    <w:bookmarkEnd w:id="427"/>
    <w:bookmarkEnd w:id="428"/>
    <w:p w14:paraId="031A3BE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1、本合同为</w:t>
      </w:r>
      <w:r>
        <w:rPr>
          <w:rFonts w:hint="eastAsia" w:ascii="宋体" w:hAnsi="宋体" w:eastAsia="宋体" w:cs="宋体"/>
          <w:bCs/>
          <w:color w:val="auto"/>
          <w:sz w:val="22"/>
          <w:szCs w:val="22"/>
          <w:highlight w:val="none"/>
          <w:u w:val="single"/>
          <w:lang w:eastAsia="zh-CN"/>
        </w:rPr>
        <w:t>统一中标折扣率</w:t>
      </w:r>
      <w:r>
        <w:rPr>
          <w:rFonts w:hint="eastAsia" w:ascii="宋体" w:hAnsi="宋体" w:eastAsia="宋体" w:cs="宋体"/>
          <w:bCs/>
          <w:color w:val="auto"/>
          <w:sz w:val="22"/>
          <w:szCs w:val="22"/>
          <w:highlight w:val="none"/>
        </w:rPr>
        <w:t>。</w:t>
      </w:r>
    </w:p>
    <w:p w14:paraId="67D4825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综合单价包含的风险范围：</w:t>
      </w:r>
    </w:p>
    <w:p w14:paraId="57D59431">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a、除不可抗力外的各种自然灾害；</w:t>
      </w:r>
    </w:p>
    <w:p w14:paraId="435F8519">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b、安全生产文明施工不当引起的责任；</w:t>
      </w:r>
    </w:p>
    <w:p w14:paraId="63B21750">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c、所有招标文件或工程量清单明示要求报价的内容而乙方未予报价的，将被认为包含在合同总价中，结算时合同价款不再增加；</w:t>
      </w:r>
    </w:p>
    <w:p w14:paraId="1274BDD0">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d、工程要素（含人工、材料（设备）、机械台班）价格的涨跌风险；</w:t>
      </w:r>
    </w:p>
    <w:p w14:paraId="41BF8991">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e、乙方对工程现场环境以及甲方提供的招标文件、图纸等资料作出错误的推论、理解而导致的报价失误；</w:t>
      </w:r>
    </w:p>
    <w:p w14:paraId="3ABC1452">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f、招标文件约定的工程量清单数量误差引起的综合单价成本差异（风险范围及范围外调整方法见本条款第2）条的规定）；</w:t>
      </w:r>
    </w:p>
    <w:p w14:paraId="77B22B63">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g、施工组织措施费和技术措施费在成交以后，在合同施工范围内，无论现场施工条件如何变化、也无论工程量增减的幅度如何，均不再调整；</w:t>
      </w:r>
    </w:p>
    <w:p w14:paraId="79278AD3">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h、施工期间停水、停电引起的费用增加；</w:t>
      </w:r>
    </w:p>
    <w:p w14:paraId="4308F88C">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i、清单描述中有按图集或规范施工的，综合单价必须满足规范和图集要求，综合单价不作调整；</w:t>
      </w:r>
    </w:p>
    <w:p w14:paraId="2865AE96">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j、本工程拆除和垃圾外运费用一次性包干，包括所有垃圾清理、搬运、外运与消纳所产生的费用，施工过程及结算时不予增加。</w:t>
      </w:r>
    </w:p>
    <w:p w14:paraId="31C9AA9A">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k、所有招标文件或工程量清单明示要求报价包干或费率包干（指规费、税金、意外伤害保险费、总承包服务费）的内容；</w:t>
      </w:r>
    </w:p>
    <w:p w14:paraId="4A2C0F98">
      <w:pPr>
        <w:adjustRightInd w:val="0"/>
        <w:snapToGrid w:val="0"/>
        <w:spacing w:line="312" w:lineRule="auto"/>
        <w:ind w:firstLine="622" w:firstLineChars="283"/>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l、除本条明确允许调整内容以外的其他风险因素；</w:t>
      </w:r>
    </w:p>
    <w:p w14:paraId="30DDB07E">
      <w:pPr>
        <w:adjustRightInd w:val="0"/>
        <w:snapToGrid w:val="0"/>
        <w:spacing w:line="312" w:lineRule="auto"/>
        <w:ind w:firstLine="622" w:firstLineChars="283"/>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m、若同一工程中出现清单项目相同而报价或取费不一致者，按最低者执行。</w:t>
      </w:r>
    </w:p>
    <w:p w14:paraId="289971E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风险费用的计算方法：</w:t>
      </w:r>
      <w:r>
        <w:rPr>
          <w:rFonts w:hint="eastAsia" w:ascii="宋体" w:hAnsi="宋体" w:eastAsia="宋体" w:cs="宋体"/>
          <w:bCs/>
          <w:color w:val="auto"/>
          <w:sz w:val="22"/>
          <w:szCs w:val="22"/>
          <w:highlight w:val="none"/>
          <w:u w:val="single"/>
        </w:rPr>
        <w:t>风险因素范围内的费用由乙方自行考虑计列，不再另行计列、调整</w:t>
      </w:r>
      <w:r>
        <w:rPr>
          <w:rFonts w:hint="eastAsia" w:ascii="宋体" w:hAnsi="宋体" w:eastAsia="宋体" w:cs="宋体"/>
          <w:bCs/>
          <w:color w:val="auto"/>
          <w:sz w:val="22"/>
          <w:szCs w:val="22"/>
          <w:highlight w:val="none"/>
        </w:rPr>
        <w:t>。</w:t>
      </w:r>
    </w:p>
    <w:p w14:paraId="429E415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风险范围以外合同价格的调整方法：</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6559C34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2、总价合同。</w:t>
      </w:r>
    </w:p>
    <w:p w14:paraId="71C3DE8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总价包含的风险范围：</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7DEBDF6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风险费用的计算方法：</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53AEA1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风险范围以外合同价格的调整方法：</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658D05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3、其他价格方式：</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13FBC687">
      <w:pPr>
        <w:adjustRightInd w:val="0"/>
        <w:snapToGrid w:val="0"/>
        <w:spacing w:line="312" w:lineRule="auto"/>
        <w:ind w:firstLine="440" w:firstLineChars="200"/>
        <w:rPr>
          <w:rFonts w:hint="eastAsia" w:ascii="宋体" w:hAnsi="宋体" w:eastAsia="宋体" w:cs="宋体"/>
          <w:bCs/>
          <w:color w:val="auto"/>
          <w:sz w:val="22"/>
          <w:szCs w:val="22"/>
          <w:highlight w:val="none"/>
        </w:rPr>
      </w:pPr>
      <w:bookmarkStart w:id="429" w:name="_Toc300935004"/>
      <w:bookmarkStart w:id="430" w:name="_Toc297216213"/>
      <w:bookmarkStart w:id="431" w:name="_Toc303539161"/>
      <w:bookmarkStart w:id="432" w:name="_Toc312678042"/>
      <w:bookmarkStart w:id="433" w:name="_Toc304295581"/>
      <w:bookmarkStart w:id="434" w:name="_Toc297123554"/>
      <w:bookmarkStart w:id="435" w:name="_Toc292559917"/>
      <w:bookmarkStart w:id="436" w:name="_Toc296944546"/>
      <w:bookmarkStart w:id="437" w:name="_Toc296503207"/>
      <w:bookmarkStart w:id="438" w:name="_Toc296891035"/>
      <w:bookmarkStart w:id="439" w:name="_Toc296891247"/>
      <w:bookmarkStart w:id="440" w:name="_Toc297048393"/>
      <w:bookmarkStart w:id="441" w:name="_Toc296346708"/>
      <w:bookmarkStart w:id="442" w:name="_Toc292559412"/>
      <w:bookmarkStart w:id="443" w:name="_Toc297120507"/>
      <w:bookmarkStart w:id="444" w:name="_Toc296347206"/>
      <w:r>
        <w:rPr>
          <w:rFonts w:hint="eastAsia" w:ascii="宋体" w:hAnsi="宋体" w:eastAsia="宋体" w:cs="宋体"/>
          <w:bCs/>
          <w:color w:val="auto"/>
          <w:sz w:val="22"/>
          <w:szCs w:val="22"/>
          <w:highlight w:val="none"/>
        </w:rPr>
        <w:t>12.2 预付款</w:t>
      </w:r>
    </w:p>
    <w:bookmarkEnd w:id="429"/>
    <w:bookmarkEnd w:id="430"/>
    <w:bookmarkEnd w:id="431"/>
    <w:bookmarkEnd w:id="432"/>
    <w:bookmarkEnd w:id="433"/>
    <w:bookmarkEnd w:id="434"/>
    <w:p w14:paraId="54BFC3B4">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12.2.1 预付款的支付</w:t>
      </w:r>
    </w:p>
    <w:p w14:paraId="6B3231C0">
      <w:pPr>
        <w:adjustRightInd w:val="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预付款支付期限</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支付比例或金额：</w:t>
      </w:r>
      <w:r>
        <w:rPr>
          <w:rFonts w:hint="eastAsia" w:ascii="宋体" w:hAnsi="宋体" w:eastAsia="宋体" w:cs="宋体"/>
          <w:bCs/>
          <w:color w:val="auto"/>
          <w:sz w:val="22"/>
          <w:szCs w:val="22"/>
          <w:highlight w:val="none"/>
          <w:u w:val="single"/>
        </w:rPr>
        <w:t>在合同签订后，且中标供应商投标文件中承诺的人员、机械设备、车辆、材料投入等均配备到位后的7个工作日内，</w:t>
      </w:r>
      <w:r>
        <w:rPr>
          <w:rFonts w:hint="eastAsia" w:ascii="宋体" w:hAnsi="宋体" w:eastAsia="宋体" w:cs="宋体"/>
          <w:bCs/>
          <w:color w:val="auto"/>
          <w:sz w:val="22"/>
          <w:szCs w:val="22"/>
          <w:highlight w:val="none"/>
        </w:rPr>
        <w:t>采购人向供应商支付合同价的</w:t>
      </w:r>
      <w:r>
        <w:rPr>
          <w:rFonts w:hint="eastAsia" w:ascii="宋体" w:hAnsi="宋体" w:cs="宋体"/>
          <w:bCs/>
          <w:color w:val="auto"/>
          <w:sz w:val="22"/>
          <w:szCs w:val="22"/>
          <w:highlight w:val="none"/>
          <w:lang w:val="en-US" w:eastAsia="zh-CN"/>
        </w:rPr>
        <w:t>40</w:t>
      </w:r>
      <w:r>
        <w:rPr>
          <w:rFonts w:hint="eastAsia" w:ascii="宋体" w:hAnsi="宋体" w:eastAsia="宋体" w:cs="宋体"/>
          <w:bCs/>
          <w:color w:val="auto"/>
          <w:sz w:val="22"/>
          <w:szCs w:val="22"/>
          <w:highlight w:val="none"/>
        </w:rPr>
        <w:t>%作为预付款</w:t>
      </w:r>
      <w:r>
        <w:rPr>
          <w:rFonts w:hint="eastAsia" w:ascii="宋体" w:hAnsi="宋体" w:eastAsia="宋体" w:cs="Times New Roman"/>
          <w:b w:val="0"/>
          <w:bCs w:val="0"/>
          <w:snapToGrid w:val="0"/>
          <w:color w:val="auto"/>
          <w:sz w:val="22"/>
          <w:szCs w:val="22"/>
          <w:highlight w:val="none"/>
          <w:lang w:val="en-US" w:eastAsia="zh-CN"/>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32EEB84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预付款扣回的方式：</w:t>
      </w:r>
      <w:r>
        <w:rPr>
          <w:rFonts w:hint="eastAsia" w:ascii="宋体" w:hAnsi="宋体" w:eastAsia="宋体" w:cs="宋体"/>
          <w:bCs/>
          <w:color w:val="auto"/>
          <w:sz w:val="22"/>
          <w:szCs w:val="22"/>
          <w:highlight w:val="none"/>
          <w:u w:val="single"/>
        </w:rPr>
        <w:t>扣回，进度款支付至合同金额的</w:t>
      </w:r>
      <w:r>
        <w:rPr>
          <w:rFonts w:hint="eastAsia" w:ascii="宋体" w:hAnsi="宋体" w:eastAsia="宋体" w:cs="宋体"/>
          <w:bCs/>
          <w:color w:val="auto"/>
          <w:sz w:val="22"/>
          <w:szCs w:val="22"/>
          <w:highlight w:val="none"/>
          <w:u w:val="single"/>
          <w:lang w:val="en-US" w:eastAsia="zh-CN"/>
        </w:rPr>
        <w:t>80</w:t>
      </w:r>
      <w:r>
        <w:rPr>
          <w:rFonts w:hint="eastAsia" w:ascii="宋体" w:hAnsi="宋体" w:eastAsia="宋体" w:cs="宋体"/>
          <w:bCs/>
          <w:color w:val="auto"/>
          <w:sz w:val="22"/>
          <w:szCs w:val="22"/>
          <w:highlight w:val="none"/>
          <w:u w:val="single"/>
        </w:rPr>
        <w:t>%时，一次性扣回全部预付款</w:t>
      </w:r>
      <w:r>
        <w:rPr>
          <w:rFonts w:hint="eastAsia" w:ascii="宋体" w:hAnsi="宋体" w:eastAsia="宋体" w:cs="宋体"/>
          <w:bCs/>
          <w:color w:val="auto"/>
          <w:sz w:val="22"/>
          <w:szCs w:val="22"/>
          <w:highlight w:val="none"/>
        </w:rPr>
        <w:t>。</w:t>
      </w:r>
    </w:p>
    <w:p w14:paraId="365C296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12.2.2 预付款担保</w:t>
      </w:r>
    </w:p>
    <w:p w14:paraId="464D268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乙方提交预付款担保的期限：</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15B6EBC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预付款担保的形式为：</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bookmarkEnd w:id="435"/>
    <w:bookmarkEnd w:id="436"/>
    <w:bookmarkEnd w:id="437"/>
    <w:bookmarkEnd w:id="438"/>
    <w:bookmarkEnd w:id="439"/>
    <w:bookmarkEnd w:id="440"/>
    <w:bookmarkEnd w:id="441"/>
    <w:bookmarkEnd w:id="442"/>
    <w:bookmarkEnd w:id="443"/>
    <w:bookmarkEnd w:id="444"/>
    <w:p w14:paraId="1683B6C1">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 计量</w:t>
      </w:r>
    </w:p>
    <w:p w14:paraId="698C7F1E">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12.3.1 计量原则</w:t>
      </w:r>
    </w:p>
    <w:p w14:paraId="1AF6E06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工程量计算规则：</w:t>
      </w:r>
      <w:r>
        <w:rPr>
          <w:rFonts w:hint="eastAsia" w:ascii="宋体" w:hAnsi="宋体" w:eastAsia="宋体" w:cs="宋体"/>
          <w:bCs/>
          <w:color w:val="auto"/>
          <w:sz w:val="22"/>
          <w:szCs w:val="22"/>
          <w:highlight w:val="none"/>
          <w:u w:val="single"/>
        </w:rPr>
        <w:t>按施工图纸实际计算，并按《浙江省建设工程计价规则》﹙2018版﹚、《浙江省房屋建筑与装饰工程预算定额》﹙2018版﹚、《浙江省通用安装工程预算定额》﹙2018版﹚、《浙江省建设工程施工机械台班费用定额》﹙2018版﹚、《浙江省市政工程预算定额》﹙2018版﹚、浙建站定〔2016〕23号；建建发[2016]144号；台建价[2016]31号; 台建〔2016〕52号文件等及现行有关规定计算规则计算</w:t>
      </w:r>
      <w:r>
        <w:rPr>
          <w:rFonts w:hint="eastAsia" w:ascii="宋体" w:hAnsi="宋体" w:eastAsia="宋体" w:cs="宋体"/>
          <w:bCs/>
          <w:color w:val="auto"/>
          <w:sz w:val="22"/>
          <w:szCs w:val="22"/>
          <w:highlight w:val="none"/>
        </w:rPr>
        <w:t>。</w:t>
      </w:r>
    </w:p>
    <w:p w14:paraId="3203827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12.3.2 计量周期</w:t>
      </w:r>
    </w:p>
    <w:p w14:paraId="09734DE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关于计量周期的约定：</w:t>
      </w:r>
      <w:r>
        <w:rPr>
          <w:rFonts w:hint="eastAsia" w:ascii="宋体" w:hAnsi="宋体" w:eastAsia="宋体" w:cs="宋体"/>
          <w:bCs/>
          <w:color w:val="auto"/>
          <w:sz w:val="22"/>
          <w:szCs w:val="22"/>
          <w:highlight w:val="none"/>
          <w:u w:val="single"/>
        </w:rPr>
        <w:t>工程量的计量按月进行</w:t>
      </w:r>
      <w:r>
        <w:rPr>
          <w:rFonts w:hint="eastAsia" w:ascii="宋体" w:hAnsi="宋体" w:eastAsia="宋体" w:cs="宋体"/>
          <w:bCs/>
          <w:color w:val="auto"/>
          <w:sz w:val="22"/>
          <w:szCs w:val="22"/>
          <w:highlight w:val="none"/>
        </w:rPr>
        <w:t>。</w:t>
      </w:r>
    </w:p>
    <w:p w14:paraId="59BF017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12.3.3 单价合同的计量</w:t>
      </w:r>
    </w:p>
    <w:p w14:paraId="29CF9E8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关于单价合同计量的约定：</w:t>
      </w:r>
      <w:r>
        <w:rPr>
          <w:rFonts w:hint="eastAsia" w:ascii="宋体" w:hAnsi="宋体" w:eastAsia="宋体" w:cs="宋体"/>
          <w:bCs/>
          <w:color w:val="auto"/>
          <w:sz w:val="22"/>
          <w:szCs w:val="22"/>
          <w:highlight w:val="none"/>
          <w:u w:val="single"/>
        </w:rPr>
        <w:t>按通用合同条款第12.3.3条规定执行</w:t>
      </w:r>
      <w:r>
        <w:rPr>
          <w:rFonts w:hint="eastAsia" w:ascii="宋体" w:hAnsi="宋体" w:eastAsia="宋体" w:cs="宋体"/>
          <w:bCs/>
          <w:color w:val="auto"/>
          <w:sz w:val="22"/>
          <w:szCs w:val="22"/>
          <w:highlight w:val="none"/>
        </w:rPr>
        <w:t>。</w:t>
      </w:r>
    </w:p>
    <w:p w14:paraId="3F6BAEF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12.3.4 总价合同的计量</w:t>
      </w:r>
    </w:p>
    <w:p w14:paraId="177642D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关于总价合同计量的约定：</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34AC79B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12.3.5总价合同采用支付分解表计量支付的，是否适用第</w:t>
      </w:r>
      <w:r>
        <w:rPr>
          <w:rFonts w:hint="eastAsia" w:ascii="宋体" w:hAnsi="宋体" w:eastAsia="宋体" w:cs="宋体"/>
          <w:bCs/>
          <w:color w:val="auto"/>
          <w:kern w:val="0"/>
          <w:sz w:val="22"/>
          <w:szCs w:val="22"/>
          <w:highlight w:val="none"/>
        </w:rPr>
        <w:t xml:space="preserve">12.3.4 </w:t>
      </w:r>
      <w:r>
        <w:rPr>
          <w:rFonts w:hint="eastAsia" w:ascii="宋体" w:hAnsi="宋体" w:eastAsia="宋体" w:cs="宋体"/>
          <w:bCs/>
          <w:color w:val="auto"/>
          <w:sz w:val="22"/>
          <w:szCs w:val="22"/>
          <w:highlight w:val="none"/>
        </w:rPr>
        <w:t>项</w:t>
      </w:r>
      <w:r>
        <w:rPr>
          <w:rFonts w:hint="eastAsia" w:ascii="宋体" w:hAnsi="宋体" w:eastAsia="宋体" w:cs="宋体"/>
          <w:bCs/>
          <w:color w:val="auto"/>
          <w:kern w:val="0"/>
          <w:sz w:val="22"/>
          <w:szCs w:val="22"/>
          <w:highlight w:val="none"/>
        </w:rPr>
        <w:t>〔总价合同的计量〕</w:t>
      </w:r>
      <w:r>
        <w:rPr>
          <w:rFonts w:hint="eastAsia" w:ascii="宋体" w:hAnsi="宋体" w:eastAsia="宋体" w:cs="宋体"/>
          <w:bCs/>
          <w:color w:val="auto"/>
          <w:sz w:val="22"/>
          <w:szCs w:val="22"/>
          <w:highlight w:val="none"/>
        </w:rPr>
        <w:t>约定进行计量：</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35AFB34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12.3.6 其他价格形式合同的计量</w:t>
      </w:r>
    </w:p>
    <w:p w14:paraId="3B4171F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其他价格形式的计量方式和程序：</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3F9C48DA">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12.4 工程进度款支付</w:t>
      </w:r>
    </w:p>
    <w:p w14:paraId="313B0B9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bookmarkStart w:id="445" w:name="_Toc297123556"/>
      <w:bookmarkStart w:id="446" w:name="_Toc303539163"/>
      <w:bookmarkStart w:id="447" w:name="_Toc296891039"/>
      <w:bookmarkStart w:id="448" w:name="_Toc296346712"/>
      <w:bookmarkStart w:id="449" w:name="_Toc296347210"/>
      <w:bookmarkStart w:id="450" w:name="_Toc297048397"/>
      <w:bookmarkStart w:id="451" w:name="_Toc292559416"/>
      <w:bookmarkStart w:id="452" w:name="_Toc297120511"/>
      <w:bookmarkStart w:id="453" w:name="_Toc296891251"/>
      <w:bookmarkStart w:id="454" w:name="_Toc296503211"/>
      <w:bookmarkStart w:id="455" w:name="_Toc296944550"/>
      <w:bookmarkStart w:id="456" w:name="_Toc300935006"/>
      <w:bookmarkStart w:id="457" w:name="_Toc297216215"/>
      <w:bookmarkStart w:id="458" w:name="_Toc292559921"/>
      <w:r>
        <w:rPr>
          <w:rFonts w:hint="eastAsia" w:ascii="宋体" w:hAnsi="宋体" w:eastAsia="宋体" w:cs="宋体"/>
          <w:bCs/>
          <w:color w:val="auto"/>
          <w:sz w:val="22"/>
          <w:szCs w:val="22"/>
          <w:highlight w:val="none"/>
        </w:rPr>
        <w:t>12.4.1 付款周期</w:t>
      </w:r>
    </w:p>
    <w:p w14:paraId="62705A9E">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关于付款周期的约定：</w:t>
      </w:r>
    </w:p>
    <w:p w14:paraId="4B8BAD89">
      <w:pPr>
        <w:numPr>
          <w:ilvl w:val="0"/>
          <w:numId w:val="13"/>
        </w:numPr>
        <w:tabs>
          <w:tab w:val="left" w:pos="567"/>
        </w:tabs>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、工程进度款按每月进度报表由</w:t>
      </w:r>
      <w:r>
        <w:rPr>
          <w:rFonts w:hint="eastAsia" w:ascii="宋体" w:hAnsi="宋体" w:eastAsia="宋体" w:cs="宋体"/>
          <w:bCs/>
          <w:color w:val="auto"/>
          <w:sz w:val="22"/>
          <w:szCs w:val="22"/>
          <w:highlight w:val="none"/>
          <w:u w:val="single"/>
          <w:lang w:val="en-US" w:eastAsia="zh-CN"/>
        </w:rPr>
        <w:t>采购人</w:t>
      </w:r>
      <w:r>
        <w:rPr>
          <w:rFonts w:hint="eastAsia" w:ascii="宋体" w:hAnsi="宋体" w:eastAsia="宋体" w:cs="宋体"/>
          <w:bCs/>
          <w:color w:val="auto"/>
          <w:sz w:val="22"/>
          <w:szCs w:val="22"/>
          <w:highlight w:val="none"/>
          <w:u w:val="single"/>
        </w:rPr>
        <w:t>、监理审核后5日内支付当月已核工程量的80%，待完工并验收合格后，付至合同总额的80%（含预付款）；结算经有资质的造价机构审定并出具审计报告后，付至审计价款的97.5%，剩余2.5%为质量保证金，在质保期内如出现质量问题整改不到位，质量保证金予以扣除或不予退还，待质保期满2年后无质量问题无息退还。</w:t>
      </w:r>
    </w:p>
    <w:p w14:paraId="128765B8">
      <w:pPr>
        <w:tabs>
          <w:tab w:val="left" w:pos="567"/>
        </w:tabs>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2</w:t>
      </w:r>
      <w:r>
        <w:rPr>
          <w:rFonts w:hint="eastAsia" w:ascii="宋体" w:hAnsi="宋体" w:eastAsia="宋体" w:cs="宋体"/>
          <w:bCs/>
          <w:color w:val="auto"/>
          <w:sz w:val="22"/>
          <w:szCs w:val="22"/>
          <w:highlight w:val="none"/>
          <w:u w:val="single"/>
        </w:rPr>
        <w:t>）、上述工程进度款支付时，应即时扣除同一时段内发生的各项应扣款项如代付费用、违约处罚等；</w:t>
      </w:r>
    </w:p>
    <w:p w14:paraId="55BE664B">
      <w:pPr>
        <w:tabs>
          <w:tab w:val="left" w:pos="567"/>
        </w:tabs>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）、甲方审核的工程量仅作为进度款支付依据，不作为结算依据；</w:t>
      </w:r>
    </w:p>
    <w:p w14:paraId="0E9402E2">
      <w:pPr>
        <w:tabs>
          <w:tab w:val="left" w:pos="567"/>
        </w:tabs>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4</w:t>
      </w:r>
      <w:r>
        <w:rPr>
          <w:rFonts w:hint="eastAsia" w:ascii="宋体" w:hAnsi="宋体" w:eastAsia="宋体" w:cs="宋体"/>
          <w:bCs/>
          <w:color w:val="auto"/>
          <w:sz w:val="22"/>
          <w:szCs w:val="22"/>
          <w:highlight w:val="none"/>
          <w:u w:val="single"/>
        </w:rPr>
        <w:t>）、甲方拨付的工程款，必须汇入乙方指定的公司账户，户名：         ，开户银行：         ，账号：          ，不得以任何名义汇入其他账户或账号，不得以任何人名义代领，否则乙方不予认可，并由甲方承担违约责任及经济损失，乙方有权单方解除合同。</w:t>
      </w:r>
    </w:p>
    <w:p w14:paraId="330302C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12.4.2 进度付款申请单的编制</w:t>
      </w:r>
    </w:p>
    <w:p w14:paraId="1D17D03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关于进度付款申请单编制的约定：</w:t>
      </w:r>
      <w:r>
        <w:rPr>
          <w:rFonts w:hint="eastAsia" w:ascii="宋体" w:hAnsi="宋体" w:eastAsia="宋体" w:cs="宋体"/>
          <w:bCs/>
          <w:color w:val="auto"/>
          <w:sz w:val="22"/>
          <w:szCs w:val="22"/>
          <w:highlight w:val="none"/>
          <w:u w:val="single"/>
        </w:rPr>
        <w:t>按通用合同条款第12.4.2条规定执行</w:t>
      </w:r>
      <w:r>
        <w:rPr>
          <w:rFonts w:hint="eastAsia" w:ascii="宋体" w:hAnsi="宋体" w:eastAsia="宋体" w:cs="宋体"/>
          <w:bCs/>
          <w:color w:val="auto"/>
          <w:sz w:val="22"/>
          <w:szCs w:val="22"/>
          <w:highlight w:val="none"/>
        </w:rPr>
        <w:t>。</w:t>
      </w:r>
    </w:p>
    <w:p w14:paraId="3C1FB93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bCs/>
          <w:color w:val="auto"/>
          <w:sz w:val="22"/>
          <w:szCs w:val="22"/>
          <w:highlight w:val="none"/>
        </w:rPr>
        <w:t>2.4.3 进度付款申请单的提交</w:t>
      </w:r>
    </w:p>
    <w:p w14:paraId="74A1709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（1）单价合同进度付款申请单提交的约定：</w:t>
      </w:r>
      <w:r>
        <w:rPr>
          <w:rFonts w:hint="eastAsia" w:ascii="宋体" w:hAnsi="宋体" w:eastAsia="宋体" w:cs="宋体"/>
          <w:bCs/>
          <w:color w:val="auto"/>
          <w:sz w:val="22"/>
          <w:szCs w:val="22"/>
          <w:highlight w:val="none"/>
          <w:u w:val="single"/>
        </w:rPr>
        <w:t>按通用合同条款第12.4.3条第（1）项规定执行</w:t>
      </w:r>
      <w:r>
        <w:rPr>
          <w:rFonts w:hint="eastAsia" w:ascii="宋体" w:hAnsi="宋体" w:eastAsia="宋体" w:cs="宋体"/>
          <w:bCs/>
          <w:color w:val="auto"/>
          <w:sz w:val="22"/>
          <w:szCs w:val="22"/>
          <w:highlight w:val="none"/>
        </w:rPr>
        <w:t>。</w:t>
      </w:r>
    </w:p>
    <w:p w14:paraId="0197BC7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（2）总价合同进度付款申请单提交的约定：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6BFD55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（3）其他价格形式合同进度付款申请单提交的约定：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1433237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12.4.4 进度款审核和支付</w:t>
      </w:r>
    </w:p>
    <w:p w14:paraId="7BF52630">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（1）监理人审查并报送甲方的期限：</w:t>
      </w:r>
      <w:r>
        <w:rPr>
          <w:rFonts w:hint="eastAsia" w:ascii="宋体" w:hAnsi="宋体" w:eastAsia="宋体" w:cs="宋体"/>
          <w:bCs/>
          <w:color w:val="auto"/>
          <w:sz w:val="22"/>
          <w:szCs w:val="22"/>
          <w:highlight w:val="none"/>
          <w:u w:val="single"/>
        </w:rPr>
        <w:t>7天内完成审查</w:t>
      </w:r>
      <w:r>
        <w:rPr>
          <w:rFonts w:hint="eastAsia" w:ascii="宋体" w:hAnsi="宋体" w:eastAsia="宋体" w:cs="宋体"/>
          <w:bCs/>
          <w:color w:val="auto"/>
          <w:sz w:val="22"/>
          <w:szCs w:val="22"/>
          <w:highlight w:val="none"/>
        </w:rPr>
        <w:t>。</w:t>
      </w:r>
    </w:p>
    <w:p w14:paraId="66FDFC2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甲方完成审批并签发进度款支付证书的期限：</w:t>
      </w:r>
      <w:r>
        <w:rPr>
          <w:rFonts w:hint="eastAsia" w:ascii="宋体" w:hAnsi="宋体" w:eastAsia="宋体" w:cs="宋体"/>
          <w:bCs/>
          <w:color w:val="auto"/>
          <w:sz w:val="22"/>
          <w:szCs w:val="22"/>
          <w:highlight w:val="none"/>
          <w:u w:val="single"/>
        </w:rPr>
        <w:t>收到监理人报送的进度付款申请单及相关资料后7天内</w:t>
      </w:r>
      <w:r>
        <w:rPr>
          <w:rFonts w:hint="eastAsia" w:ascii="宋体" w:hAnsi="宋体" w:eastAsia="宋体" w:cs="宋体"/>
          <w:bCs/>
          <w:color w:val="auto"/>
          <w:sz w:val="22"/>
          <w:szCs w:val="22"/>
          <w:highlight w:val="none"/>
        </w:rPr>
        <w:t>。</w:t>
      </w:r>
    </w:p>
    <w:p w14:paraId="1FE13D0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（2）甲方支付进度款的期限：</w:t>
      </w:r>
      <w:r>
        <w:rPr>
          <w:rFonts w:hint="eastAsia" w:ascii="宋体" w:hAnsi="宋体" w:eastAsia="宋体" w:cs="宋体"/>
          <w:bCs/>
          <w:color w:val="auto"/>
          <w:sz w:val="22"/>
          <w:szCs w:val="22"/>
          <w:highlight w:val="none"/>
          <w:u w:val="single"/>
        </w:rPr>
        <w:t>在进度款支付证书或临时进度款支付证书签发后30天内完成支付</w:t>
      </w:r>
      <w:r>
        <w:rPr>
          <w:rFonts w:hint="eastAsia" w:ascii="宋体" w:hAnsi="宋体" w:eastAsia="宋体" w:cs="宋体"/>
          <w:bCs/>
          <w:color w:val="auto"/>
          <w:sz w:val="22"/>
          <w:szCs w:val="22"/>
          <w:highlight w:val="none"/>
        </w:rPr>
        <w:t>。</w:t>
      </w:r>
    </w:p>
    <w:p w14:paraId="33B4ECB9">
      <w:pPr>
        <w:adjustRightInd w:val="0"/>
        <w:snapToGrid w:val="0"/>
        <w:spacing w:line="312" w:lineRule="auto"/>
        <w:ind w:firstLine="550" w:firstLineChars="2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甲方逾期支付进度款的违约金的计算方式：</w:t>
      </w:r>
      <w:r>
        <w:rPr>
          <w:rFonts w:hint="eastAsia" w:ascii="宋体" w:hAnsi="宋体" w:eastAsia="宋体" w:cs="宋体"/>
          <w:bCs/>
          <w:color w:val="auto"/>
          <w:sz w:val="22"/>
          <w:szCs w:val="22"/>
          <w:highlight w:val="none"/>
          <w:u w:val="single"/>
        </w:rPr>
        <w:t>承担违约责任，每延期一天按当期应付工程进度款金额的的万分之五向乙方支付违约金</w:t>
      </w:r>
      <w:r>
        <w:rPr>
          <w:rFonts w:hint="eastAsia" w:ascii="宋体" w:hAnsi="宋体" w:eastAsia="宋体" w:cs="宋体"/>
          <w:bCs/>
          <w:color w:val="auto"/>
          <w:sz w:val="22"/>
          <w:szCs w:val="22"/>
          <w:highlight w:val="none"/>
        </w:rPr>
        <w:t>。</w:t>
      </w:r>
    </w:p>
    <w:p w14:paraId="430D4872">
      <w:pPr>
        <w:adjustRightInd w:val="0"/>
        <w:snapToGrid w:val="0"/>
        <w:spacing w:line="312" w:lineRule="auto"/>
        <w:ind w:firstLine="550" w:firstLineChars="2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12.4.6 支付分解表的编制</w:t>
      </w:r>
    </w:p>
    <w:p w14:paraId="497EE64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2、总价合同支付分解表的编制与审批：</w:t>
      </w:r>
      <w:r>
        <w:rPr>
          <w:rFonts w:hint="eastAsia" w:ascii="宋体" w:hAnsi="宋体" w:eastAsia="宋体" w:cs="宋体"/>
          <w:bCs/>
          <w:color w:val="auto"/>
          <w:sz w:val="22"/>
          <w:szCs w:val="22"/>
          <w:highlight w:val="none"/>
          <w:u w:val="single"/>
        </w:rPr>
        <w:t>按通用合同条款第12.4.6条第2项规定执行</w:t>
      </w:r>
      <w:r>
        <w:rPr>
          <w:rFonts w:hint="eastAsia" w:ascii="宋体" w:hAnsi="宋体" w:eastAsia="宋体" w:cs="宋体"/>
          <w:bCs/>
          <w:color w:val="auto"/>
          <w:sz w:val="22"/>
          <w:szCs w:val="22"/>
          <w:highlight w:val="none"/>
        </w:rPr>
        <w:t>。</w:t>
      </w:r>
    </w:p>
    <w:p w14:paraId="0874F47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3、单价合同的总价项目支付分解表的编制与审批：</w:t>
      </w:r>
      <w:r>
        <w:rPr>
          <w:rFonts w:hint="eastAsia" w:ascii="宋体" w:hAnsi="宋体" w:eastAsia="宋体" w:cs="宋体"/>
          <w:bCs/>
          <w:color w:val="auto"/>
          <w:sz w:val="22"/>
          <w:szCs w:val="22"/>
          <w:highlight w:val="none"/>
          <w:u w:val="single"/>
        </w:rPr>
        <w:t>按通用合同条款第12.4.6条第3项规定执行</w:t>
      </w:r>
      <w:r>
        <w:rPr>
          <w:rFonts w:hint="eastAsia" w:ascii="宋体" w:hAnsi="宋体" w:eastAsia="宋体" w:cs="宋体"/>
          <w:bCs/>
          <w:color w:val="auto"/>
          <w:sz w:val="22"/>
          <w:szCs w:val="22"/>
          <w:highlight w:val="none"/>
        </w:rPr>
        <w:t>。</w:t>
      </w:r>
    </w:p>
    <w:bookmarkEnd w:id="307"/>
    <w:p w14:paraId="393847EA">
      <w:pPr>
        <w:adjustRightInd w:val="0"/>
        <w:snapToGrid w:val="0"/>
        <w:spacing w:line="312" w:lineRule="auto"/>
        <w:rPr>
          <w:rFonts w:hint="eastAsia" w:ascii="宋体" w:hAnsi="宋体" w:eastAsia="宋体" w:cs="宋体"/>
          <w:bCs/>
          <w:color w:val="auto"/>
          <w:sz w:val="22"/>
          <w:szCs w:val="22"/>
          <w:highlight w:val="none"/>
        </w:rPr>
      </w:pPr>
      <w:bookmarkStart w:id="459" w:name="_Toc351203645"/>
      <w:bookmarkStart w:id="460" w:name="_Toc297216223"/>
      <w:bookmarkStart w:id="461" w:name="_Toc292559424"/>
      <w:bookmarkStart w:id="462" w:name="_Toc296346720"/>
      <w:bookmarkStart w:id="463" w:name="_Toc297120519"/>
      <w:bookmarkStart w:id="464" w:name="_Toc292559929"/>
      <w:bookmarkStart w:id="465" w:name="_Toc303539172"/>
      <w:bookmarkStart w:id="466" w:name="_Toc312678053"/>
      <w:bookmarkStart w:id="467" w:name="_Toc297123564"/>
      <w:bookmarkStart w:id="468" w:name="_Toc296944558"/>
      <w:bookmarkStart w:id="469" w:name="_Toc304295593"/>
      <w:bookmarkStart w:id="470" w:name="_Toc300935015"/>
      <w:bookmarkStart w:id="471" w:name="_Toc296347218"/>
      <w:bookmarkStart w:id="472" w:name="_Toc297048405"/>
      <w:bookmarkStart w:id="473" w:name="_Toc296891259"/>
      <w:bookmarkStart w:id="474" w:name="_Toc296891047"/>
      <w:bookmarkStart w:id="475" w:name="_Toc296503219"/>
      <w:r>
        <w:rPr>
          <w:rFonts w:hint="eastAsia" w:ascii="宋体" w:hAnsi="宋体" w:eastAsia="宋体" w:cs="宋体"/>
          <w:bCs/>
          <w:color w:val="auto"/>
          <w:sz w:val="22"/>
          <w:szCs w:val="22"/>
          <w:highlight w:val="none"/>
        </w:rPr>
        <w:t>13. 验收和工程试车</w:t>
      </w:r>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14:paraId="660C83DB">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13.1 分部分项工程验收</w:t>
      </w:r>
    </w:p>
    <w:p w14:paraId="7955054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13.1.2监理人不能按时进行验收时，应提前</w:t>
      </w:r>
      <w:r>
        <w:rPr>
          <w:rFonts w:hint="eastAsia" w:ascii="宋体" w:hAnsi="宋体" w:eastAsia="宋体" w:cs="宋体"/>
          <w:bCs/>
          <w:color w:val="auto"/>
          <w:sz w:val="22"/>
          <w:szCs w:val="22"/>
          <w:highlight w:val="none"/>
          <w:u w:val="single"/>
        </w:rPr>
        <w:t>24</w:t>
      </w:r>
      <w:r>
        <w:rPr>
          <w:rFonts w:hint="eastAsia" w:ascii="宋体" w:hAnsi="宋体" w:eastAsia="宋体" w:cs="宋体"/>
          <w:bCs/>
          <w:color w:val="auto"/>
          <w:sz w:val="22"/>
          <w:szCs w:val="22"/>
          <w:highlight w:val="none"/>
        </w:rPr>
        <w:t>小时提交书面延期要求。</w:t>
      </w:r>
    </w:p>
    <w:p w14:paraId="2AD9DB3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关于延期最长不得超过：</w:t>
      </w:r>
      <w:r>
        <w:rPr>
          <w:rFonts w:hint="eastAsia" w:ascii="宋体" w:hAnsi="宋体" w:eastAsia="宋体" w:cs="宋体"/>
          <w:bCs/>
          <w:color w:val="auto"/>
          <w:sz w:val="22"/>
          <w:szCs w:val="22"/>
          <w:highlight w:val="none"/>
          <w:u w:val="single"/>
        </w:rPr>
        <w:t>48</w:t>
      </w:r>
      <w:r>
        <w:rPr>
          <w:rFonts w:hint="eastAsia" w:ascii="宋体" w:hAnsi="宋体" w:eastAsia="宋体" w:cs="宋体"/>
          <w:bCs/>
          <w:color w:val="auto"/>
          <w:sz w:val="22"/>
          <w:szCs w:val="22"/>
          <w:highlight w:val="none"/>
        </w:rPr>
        <w:t>小时。</w:t>
      </w:r>
    </w:p>
    <w:p w14:paraId="5BDB7F6E">
      <w:pPr>
        <w:adjustRightInd w:val="0"/>
        <w:snapToGrid w:val="0"/>
        <w:spacing w:line="312" w:lineRule="auto"/>
        <w:ind w:firstLine="440" w:firstLineChars="200"/>
        <w:rPr>
          <w:rFonts w:hint="eastAsia" w:ascii="宋体" w:hAnsi="宋体" w:eastAsia="宋体" w:cs="宋体"/>
          <w:bCs/>
          <w:color w:val="auto"/>
          <w:sz w:val="22"/>
          <w:szCs w:val="22"/>
          <w:highlight w:val="none"/>
        </w:rPr>
      </w:pPr>
      <w:bookmarkStart w:id="476" w:name="_Toc304295596"/>
      <w:bookmarkStart w:id="477" w:name="_Toc297216224"/>
      <w:bookmarkStart w:id="478" w:name="_Toc296346724"/>
      <w:bookmarkStart w:id="479" w:name="_Toc296503223"/>
      <w:bookmarkStart w:id="480" w:name="_Toc297120523"/>
      <w:bookmarkStart w:id="481" w:name="_Toc296891051"/>
      <w:bookmarkStart w:id="482" w:name="_Toc296944562"/>
      <w:bookmarkStart w:id="483" w:name="_Toc296891263"/>
      <w:bookmarkStart w:id="484" w:name="_Toc292559933"/>
      <w:bookmarkStart w:id="485" w:name="_Toc303539173"/>
      <w:bookmarkStart w:id="486" w:name="_Toc297123565"/>
      <w:bookmarkStart w:id="487" w:name="_Toc296347222"/>
      <w:bookmarkStart w:id="488" w:name="_Toc292559428"/>
      <w:bookmarkStart w:id="489" w:name="_Toc300935016"/>
      <w:bookmarkStart w:id="490" w:name="_Toc297048409"/>
      <w:bookmarkStart w:id="491" w:name="_Toc312678056"/>
      <w:bookmarkStart w:id="492" w:name="_Toc267251470"/>
      <w:bookmarkStart w:id="493" w:name="_Toc267251472"/>
      <w:bookmarkStart w:id="494" w:name="_Toc267251476"/>
      <w:bookmarkStart w:id="495" w:name="_Toc267251475"/>
      <w:bookmarkStart w:id="496" w:name="_Toc267251471"/>
      <w:bookmarkStart w:id="497" w:name="_Toc267251473"/>
      <w:bookmarkStart w:id="498" w:name="_Toc267251474"/>
      <w:r>
        <w:rPr>
          <w:rFonts w:hint="eastAsia" w:ascii="宋体" w:hAnsi="宋体" w:eastAsia="宋体" w:cs="宋体"/>
          <w:bCs/>
          <w:color w:val="auto"/>
          <w:sz w:val="22"/>
          <w:szCs w:val="22"/>
          <w:highlight w:val="none"/>
        </w:rPr>
        <w:t>13.2 竣工验收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63ACB49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bookmarkStart w:id="499" w:name="_Toc280868704"/>
      <w:bookmarkStart w:id="500" w:name="_Toc280868705"/>
      <w:bookmarkStart w:id="501" w:name="_Toc280868706"/>
      <w:bookmarkStart w:id="502" w:name="_Toc280868707"/>
      <w:bookmarkStart w:id="503" w:name="_Toc280868708"/>
      <w:bookmarkStart w:id="504" w:name="_Toc280868709"/>
      <w:r>
        <w:rPr>
          <w:rFonts w:hint="eastAsia" w:ascii="宋体" w:hAnsi="宋体" w:eastAsia="宋体" w:cs="宋体"/>
          <w:bCs/>
          <w:color w:val="auto"/>
          <w:sz w:val="22"/>
          <w:szCs w:val="22"/>
          <w:highlight w:val="none"/>
        </w:rPr>
        <w:t>13.2.2竣工验收程序</w:t>
      </w:r>
    </w:p>
    <w:bookmarkEnd w:id="499"/>
    <w:p w14:paraId="2F71A12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关于竣工验收程序的约定：</w:t>
      </w:r>
      <w:r>
        <w:rPr>
          <w:rFonts w:hint="eastAsia" w:ascii="宋体" w:hAnsi="宋体" w:eastAsia="宋体" w:cs="宋体"/>
          <w:bCs/>
          <w:color w:val="auto"/>
          <w:sz w:val="22"/>
          <w:szCs w:val="22"/>
          <w:highlight w:val="none"/>
          <w:u w:val="single"/>
        </w:rPr>
        <w:t>按通用合同条款第13.2.2条规定执行</w:t>
      </w:r>
      <w:r>
        <w:rPr>
          <w:rFonts w:hint="eastAsia" w:ascii="宋体" w:hAnsi="宋体" w:eastAsia="宋体" w:cs="宋体"/>
          <w:bCs/>
          <w:color w:val="auto"/>
          <w:sz w:val="22"/>
          <w:szCs w:val="22"/>
          <w:highlight w:val="none"/>
        </w:rPr>
        <w:t>。</w:t>
      </w:r>
    </w:p>
    <w:p w14:paraId="30F1F748">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甲方不按照本项约定组织竣工验收、颁发工程接收证书的违约金的计算方法：</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w:t>
      </w:r>
    </w:p>
    <w:bookmarkEnd w:id="500"/>
    <w:p w14:paraId="1A07620C">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13.2.5移交、接收全部与部分工程</w:t>
      </w:r>
    </w:p>
    <w:bookmarkEnd w:id="501"/>
    <w:p w14:paraId="09737E91">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乙方向甲方移交工程的期限：</w:t>
      </w:r>
      <w:r>
        <w:rPr>
          <w:rFonts w:hint="eastAsia" w:ascii="宋体" w:hAnsi="宋体" w:eastAsia="宋体" w:cs="宋体"/>
          <w:bCs/>
          <w:color w:val="auto"/>
          <w:sz w:val="22"/>
          <w:szCs w:val="22"/>
          <w:highlight w:val="none"/>
          <w:u w:val="single"/>
        </w:rPr>
        <w:t>颁发工程接收证书后7天内完成工程的移交</w:t>
      </w:r>
      <w:r>
        <w:rPr>
          <w:rFonts w:hint="eastAsia" w:ascii="宋体" w:hAnsi="宋体" w:eastAsia="宋体" w:cs="宋体"/>
          <w:bCs/>
          <w:color w:val="auto"/>
          <w:sz w:val="22"/>
          <w:szCs w:val="22"/>
          <w:highlight w:val="none"/>
        </w:rPr>
        <w:t>。</w:t>
      </w:r>
    </w:p>
    <w:p w14:paraId="6BFDA6BB">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kern w:val="0"/>
          <w:sz w:val="22"/>
          <w:szCs w:val="22"/>
          <w:highlight w:val="none"/>
        </w:rPr>
        <w:t>甲方未按本合同约定接收全部或部分工程的，违约金的计算方法为：</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bookmarkEnd w:id="502"/>
    <w:p w14:paraId="037B519E">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乙方未按时移交工程的，违约金的计算方法为：</w:t>
      </w:r>
      <w:r>
        <w:rPr>
          <w:rFonts w:hint="eastAsia" w:ascii="宋体" w:hAnsi="宋体" w:eastAsia="宋体" w:cs="宋体"/>
          <w:bCs/>
          <w:color w:val="auto"/>
          <w:sz w:val="22"/>
          <w:szCs w:val="22"/>
          <w:highlight w:val="none"/>
          <w:u w:val="single"/>
        </w:rPr>
        <w:t>承担违约责任，每延期一天按人民币贰</w:t>
      </w:r>
      <w:r>
        <w:rPr>
          <w:rFonts w:hint="eastAsia" w:ascii="宋体" w:hAnsi="宋体" w:cs="宋体"/>
          <w:bCs/>
          <w:color w:val="auto"/>
          <w:sz w:val="22"/>
          <w:szCs w:val="22"/>
          <w:highlight w:val="none"/>
          <w:u w:val="single"/>
          <w:lang w:val="en-US" w:eastAsia="zh-CN"/>
        </w:rPr>
        <w:t>8000</w:t>
      </w:r>
      <w:r>
        <w:rPr>
          <w:rFonts w:hint="eastAsia" w:ascii="宋体" w:hAnsi="宋体" w:eastAsia="宋体" w:cs="宋体"/>
          <w:bCs/>
          <w:color w:val="auto"/>
          <w:sz w:val="22"/>
          <w:szCs w:val="22"/>
          <w:highlight w:val="none"/>
          <w:u w:val="single"/>
        </w:rPr>
        <w:t>元向甲方支付违约金</w:t>
      </w:r>
      <w:r>
        <w:rPr>
          <w:rFonts w:hint="eastAsia" w:ascii="宋体" w:hAnsi="宋体" w:eastAsia="宋体" w:cs="宋体"/>
          <w:bCs/>
          <w:color w:val="auto"/>
          <w:sz w:val="22"/>
          <w:szCs w:val="22"/>
          <w:highlight w:val="none"/>
        </w:rPr>
        <w:t>。</w:t>
      </w:r>
    </w:p>
    <w:p w14:paraId="2B9DE6A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13.3 工程试车</w:t>
      </w:r>
    </w:p>
    <w:bookmarkEnd w:id="503"/>
    <w:p w14:paraId="614D1061">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13.3.1 试车程序</w:t>
      </w:r>
    </w:p>
    <w:p w14:paraId="4AC5BD67">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工程试车内容：</w:t>
      </w:r>
      <w:r>
        <w:rPr>
          <w:rFonts w:hint="eastAsia" w:ascii="宋体" w:hAnsi="宋体" w:eastAsia="宋体" w:cs="宋体"/>
          <w:bCs/>
          <w:color w:val="auto"/>
          <w:sz w:val="22"/>
          <w:szCs w:val="22"/>
          <w:highlight w:val="none"/>
          <w:u w:val="single"/>
        </w:rPr>
        <w:t>试车内容应与乙方承包范围相一致，试车费用由乙方承担</w:t>
      </w:r>
      <w:r>
        <w:rPr>
          <w:rFonts w:hint="eastAsia" w:ascii="宋体" w:hAnsi="宋体" w:eastAsia="宋体" w:cs="宋体"/>
          <w:bCs/>
          <w:color w:val="auto"/>
          <w:sz w:val="22"/>
          <w:szCs w:val="22"/>
          <w:highlight w:val="none"/>
        </w:rPr>
        <w:t>。</w:t>
      </w:r>
    </w:p>
    <w:p w14:paraId="1EF534A0">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（1）单机无负荷试车费用由</w:t>
      </w:r>
      <w:r>
        <w:rPr>
          <w:rFonts w:hint="eastAsia" w:ascii="宋体" w:hAnsi="宋体" w:eastAsia="宋体" w:cs="宋体"/>
          <w:bCs/>
          <w:color w:val="auto"/>
          <w:sz w:val="22"/>
          <w:szCs w:val="22"/>
          <w:highlight w:val="none"/>
          <w:u w:val="single"/>
        </w:rPr>
        <w:t>乙方</w:t>
      </w:r>
      <w:r>
        <w:rPr>
          <w:rFonts w:hint="eastAsia" w:ascii="宋体" w:hAnsi="宋体" w:eastAsia="宋体" w:cs="宋体"/>
          <w:bCs/>
          <w:color w:val="auto"/>
          <w:kern w:val="0"/>
          <w:sz w:val="22"/>
          <w:szCs w:val="22"/>
          <w:highlight w:val="none"/>
        </w:rPr>
        <w:t>承担；</w:t>
      </w:r>
    </w:p>
    <w:p w14:paraId="145BABBD">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（2）无负荷联动试车费用由</w:t>
      </w:r>
      <w:r>
        <w:rPr>
          <w:rFonts w:hint="eastAsia" w:ascii="宋体" w:hAnsi="宋体" w:eastAsia="宋体" w:cs="宋体"/>
          <w:bCs/>
          <w:color w:val="auto"/>
          <w:sz w:val="22"/>
          <w:szCs w:val="22"/>
          <w:highlight w:val="none"/>
          <w:u w:val="single"/>
        </w:rPr>
        <w:t>乙方</w:t>
      </w:r>
      <w:r>
        <w:rPr>
          <w:rFonts w:hint="eastAsia" w:ascii="宋体" w:hAnsi="宋体" w:eastAsia="宋体" w:cs="宋体"/>
          <w:bCs/>
          <w:color w:val="auto"/>
          <w:kern w:val="0"/>
          <w:sz w:val="22"/>
          <w:szCs w:val="22"/>
          <w:highlight w:val="none"/>
        </w:rPr>
        <w:t>承担。</w:t>
      </w:r>
    </w:p>
    <w:p w14:paraId="4E068B3B">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13.3.3 投料试车</w:t>
      </w:r>
    </w:p>
    <w:p w14:paraId="41E29AF8">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关于投料试车相关事项的约定：</w:t>
      </w:r>
      <w:r>
        <w:rPr>
          <w:rFonts w:hint="eastAsia" w:ascii="宋体" w:hAnsi="宋体" w:eastAsia="宋体" w:cs="宋体"/>
          <w:bCs/>
          <w:color w:val="auto"/>
          <w:sz w:val="22"/>
          <w:szCs w:val="22"/>
          <w:highlight w:val="none"/>
          <w:u w:val="single"/>
        </w:rPr>
        <w:t>按通用合同条款第13.3.3条规定执行</w:t>
      </w:r>
      <w:r>
        <w:rPr>
          <w:rFonts w:hint="eastAsia" w:ascii="宋体" w:hAnsi="宋体" w:eastAsia="宋体" w:cs="宋体"/>
          <w:bCs/>
          <w:color w:val="auto"/>
          <w:sz w:val="22"/>
          <w:szCs w:val="22"/>
          <w:highlight w:val="none"/>
        </w:rPr>
        <w:t>。</w:t>
      </w:r>
    </w:p>
    <w:p w14:paraId="7BABF25E">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13.6 竣工退场</w:t>
      </w:r>
    </w:p>
    <w:p w14:paraId="143BFFB4">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13.6.1 竣工退场</w:t>
      </w:r>
    </w:p>
    <w:p w14:paraId="75CD889F">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乙方完成竣工退场的期限：。</w:t>
      </w:r>
    </w:p>
    <w:p w14:paraId="3756C9BF">
      <w:pPr>
        <w:adjustRightInd w:val="0"/>
        <w:snapToGrid w:val="0"/>
        <w:spacing w:line="312" w:lineRule="auto"/>
        <w:rPr>
          <w:rFonts w:hint="eastAsia" w:ascii="宋体" w:hAnsi="宋体" w:eastAsia="宋体" w:cs="宋体"/>
          <w:bCs/>
          <w:color w:val="auto"/>
          <w:sz w:val="22"/>
          <w:szCs w:val="22"/>
          <w:highlight w:val="none"/>
        </w:rPr>
      </w:pPr>
      <w:bookmarkStart w:id="505" w:name="_Toc351203646"/>
      <w:r>
        <w:rPr>
          <w:rFonts w:hint="eastAsia" w:ascii="宋体" w:hAnsi="宋体" w:eastAsia="宋体" w:cs="宋体"/>
          <w:bCs/>
          <w:color w:val="auto"/>
          <w:sz w:val="22"/>
          <w:szCs w:val="22"/>
          <w:highlight w:val="none"/>
        </w:rPr>
        <w:t>14. 竣工结算</w:t>
      </w:r>
      <w:bookmarkEnd w:id="505"/>
    </w:p>
    <w:p w14:paraId="7832C32E">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14.1 竣工结算申请</w:t>
      </w:r>
    </w:p>
    <w:p w14:paraId="5AF148F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乙方提交竣工结算申请单的期限：</w:t>
      </w:r>
      <w:r>
        <w:rPr>
          <w:rFonts w:hint="eastAsia" w:ascii="宋体" w:hAnsi="宋体" w:eastAsia="宋体" w:cs="宋体"/>
          <w:bCs/>
          <w:color w:val="auto"/>
          <w:sz w:val="22"/>
          <w:szCs w:val="22"/>
          <w:highlight w:val="none"/>
          <w:u w:val="single"/>
        </w:rPr>
        <w:t>在工程竣工验收合格后28天内</w:t>
      </w:r>
      <w:r>
        <w:rPr>
          <w:rFonts w:hint="eastAsia" w:ascii="宋体" w:hAnsi="宋体" w:eastAsia="宋体" w:cs="宋体"/>
          <w:bCs/>
          <w:color w:val="auto"/>
          <w:sz w:val="22"/>
          <w:szCs w:val="22"/>
          <w:highlight w:val="none"/>
        </w:rPr>
        <w:t>。</w:t>
      </w:r>
    </w:p>
    <w:p w14:paraId="742A51E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竣工结算申请单应包括的内容：</w:t>
      </w:r>
    </w:p>
    <w:p w14:paraId="7D0D353D">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（1）竣工结算合同价格；</w:t>
      </w:r>
    </w:p>
    <w:p w14:paraId="433C2E02">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（2）甲方已支付乙方的款项；</w:t>
      </w:r>
    </w:p>
    <w:p w14:paraId="18AE9750">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 xml:space="preserve">（3）应扣留的质量保证金等； </w:t>
      </w:r>
    </w:p>
    <w:p w14:paraId="7D19EBA3">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（4）甲方应支付乙方的合同价款。</w:t>
      </w:r>
    </w:p>
    <w:p w14:paraId="7E8FA41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5）本工程结算造价以审计部门的最终审计结果为准，甲方根据国家造价管理的有关规定以及审计部门审定的价款进行结算，与乙方办理最终价款结算手续。甲方、审计部门应在竣工验收合格、乙方提供完整结算资料以及具备其它结算条件后及时按有关规定核实乙方递交的结算报告及结算资料，但并不受通用条款所述的时间约束。结算审核费用按甲方与结算审核单位的合同约定支付，其中核增额和超过5%以外的核减额的审计费用由乙方按浙价服[2009]84号文件规定的收费标准支付。</w:t>
      </w:r>
    </w:p>
    <w:p w14:paraId="20464DCF">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14.2 竣工结算审核</w:t>
      </w:r>
    </w:p>
    <w:p w14:paraId="05994080">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甲方审批竣工付款申请单的期限：</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2687EE6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甲方完成竣工付款的期限：</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D31555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关于竣工付款证书异议部分复核的方式和程序：</w:t>
      </w:r>
      <w:r>
        <w:rPr>
          <w:rFonts w:hint="eastAsia" w:ascii="宋体" w:hAnsi="宋体" w:eastAsia="宋体" w:cs="宋体"/>
          <w:bCs/>
          <w:color w:val="auto"/>
          <w:sz w:val="22"/>
          <w:szCs w:val="22"/>
          <w:highlight w:val="none"/>
          <w:u w:val="single"/>
        </w:rPr>
        <w:t>按通用合同条款第14.2条第（3）项规定执行</w:t>
      </w:r>
      <w:r>
        <w:rPr>
          <w:rFonts w:hint="eastAsia" w:ascii="宋体" w:hAnsi="宋体" w:eastAsia="宋体" w:cs="宋体"/>
          <w:bCs/>
          <w:color w:val="auto"/>
          <w:sz w:val="22"/>
          <w:szCs w:val="22"/>
          <w:highlight w:val="none"/>
        </w:rPr>
        <w:t>。</w:t>
      </w:r>
    </w:p>
    <w:p w14:paraId="2F59C42F">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14.4 最终结清</w:t>
      </w:r>
    </w:p>
    <w:p w14:paraId="0E49A387">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14.4.1 最终结清申请单</w:t>
      </w:r>
    </w:p>
    <w:p w14:paraId="006F2FD1">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乙方提交最终结清申请单的份数：</w:t>
      </w:r>
      <w:r>
        <w:rPr>
          <w:rFonts w:hint="eastAsia" w:ascii="宋体" w:hAnsi="宋体" w:eastAsia="宋体" w:cs="宋体"/>
          <w:bCs/>
          <w:color w:val="auto"/>
          <w:sz w:val="22"/>
          <w:szCs w:val="22"/>
          <w:highlight w:val="none"/>
          <w:u w:val="single"/>
        </w:rPr>
        <w:t>叁份</w:t>
      </w:r>
      <w:r>
        <w:rPr>
          <w:rFonts w:hint="eastAsia" w:ascii="宋体" w:hAnsi="宋体" w:eastAsia="宋体" w:cs="宋体"/>
          <w:bCs/>
          <w:color w:val="auto"/>
          <w:sz w:val="22"/>
          <w:szCs w:val="22"/>
          <w:highlight w:val="none"/>
        </w:rPr>
        <w:t>。</w:t>
      </w:r>
    </w:p>
    <w:p w14:paraId="722F3D4E">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乙方提交最终结算申请单的期限：</w:t>
      </w:r>
      <w:r>
        <w:rPr>
          <w:rFonts w:hint="eastAsia" w:ascii="宋体" w:hAnsi="宋体" w:eastAsia="宋体" w:cs="宋体"/>
          <w:bCs/>
          <w:color w:val="auto"/>
          <w:sz w:val="22"/>
          <w:szCs w:val="22"/>
          <w:highlight w:val="none"/>
          <w:u w:val="single"/>
        </w:rPr>
        <w:t>在缺陷责任期终止证书颁发后7天内</w:t>
      </w:r>
      <w:r>
        <w:rPr>
          <w:rFonts w:hint="eastAsia" w:ascii="宋体" w:hAnsi="宋体" w:eastAsia="宋体" w:cs="宋体"/>
          <w:bCs/>
          <w:color w:val="auto"/>
          <w:sz w:val="22"/>
          <w:szCs w:val="22"/>
          <w:highlight w:val="none"/>
        </w:rPr>
        <w:t xml:space="preserve">。 </w:t>
      </w:r>
    </w:p>
    <w:p w14:paraId="4335D57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14.4.2 最终结清证书和支付</w:t>
      </w:r>
    </w:p>
    <w:p w14:paraId="6A216239">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（1）甲方完成最终结清申请单的审批并颁发最终结清证书的期限：</w:t>
      </w:r>
      <w:r>
        <w:rPr>
          <w:rFonts w:hint="eastAsia" w:ascii="宋体" w:hAnsi="宋体" w:eastAsia="宋体" w:cs="宋体"/>
          <w:bCs/>
          <w:color w:val="auto"/>
          <w:sz w:val="22"/>
          <w:szCs w:val="22"/>
          <w:highlight w:val="none"/>
          <w:u w:val="single"/>
        </w:rPr>
        <w:t>在收到乙方提交的最终结清申请单后90天内完</w:t>
      </w:r>
      <w:r>
        <w:rPr>
          <w:rFonts w:hint="eastAsia" w:ascii="宋体" w:hAnsi="宋体" w:eastAsia="宋体" w:cs="宋体"/>
          <w:bCs/>
          <w:color w:val="auto"/>
          <w:sz w:val="22"/>
          <w:szCs w:val="22"/>
          <w:highlight w:val="none"/>
        </w:rPr>
        <w:t>。</w:t>
      </w:r>
    </w:p>
    <w:p w14:paraId="5C1E422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（2）甲方完成支付的期限：</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bookmarkEnd w:id="492"/>
    <w:bookmarkEnd w:id="493"/>
    <w:bookmarkEnd w:id="494"/>
    <w:bookmarkEnd w:id="495"/>
    <w:bookmarkEnd w:id="496"/>
    <w:bookmarkEnd w:id="497"/>
    <w:bookmarkEnd w:id="498"/>
    <w:bookmarkEnd w:id="504"/>
    <w:p w14:paraId="0CD977DD">
      <w:pPr>
        <w:adjustRightInd w:val="0"/>
        <w:snapToGrid w:val="0"/>
        <w:spacing w:line="312" w:lineRule="auto"/>
        <w:rPr>
          <w:rFonts w:hint="eastAsia" w:ascii="宋体" w:hAnsi="宋体" w:eastAsia="宋体" w:cs="宋体"/>
          <w:bCs/>
          <w:color w:val="auto"/>
          <w:sz w:val="22"/>
          <w:szCs w:val="22"/>
          <w:highlight w:val="none"/>
        </w:rPr>
      </w:pPr>
      <w:bookmarkStart w:id="506" w:name="_Toc351203647"/>
      <w:bookmarkStart w:id="507" w:name="_Toc267251483"/>
      <w:bookmarkStart w:id="508" w:name="_Toc267251482"/>
      <w:bookmarkStart w:id="509" w:name="_Toc267251484"/>
      <w:bookmarkStart w:id="510" w:name="_Toc267251485"/>
      <w:bookmarkStart w:id="511" w:name="_Toc267251488"/>
      <w:bookmarkStart w:id="512" w:name="_Toc267251490"/>
      <w:bookmarkStart w:id="513" w:name="_Toc267251489"/>
      <w:bookmarkStart w:id="514" w:name="_Toc267251486"/>
      <w:bookmarkStart w:id="515" w:name="_Toc267251496"/>
      <w:bookmarkStart w:id="516" w:name="_Toc267251501"/>
      <w:bookmarkStart w:id="517" w:name="_Toc267251503"/>
      <w:bookmarkStart w:id="518" w:name="_Toc267251491"/>
      <w:bookmarkStart w:id="519" w:name="_Toc267251492"/>
      <w:bookmarkStart w:id="520" w:name="_Toc267251494"/>
      <w:bookmarkStart w:id="521" w:name="_Toc267251499"/>
      <w:bookmarkStart w:id="522" w:name="_Toc267251502"/>
      <w:bookmarkStart w:id="523" w:name="_Toc267251497"/>
      <w:bookmarkStart w:id="524" w:name="_Toc267251493"/>
      <w:bookmarkStart w:id="525" w:name="_Toc267251498"/>
      <w:bookmarkStart w:id="526" w:name="_Toc267251495"/>
      <w:bookmarkStart w:id="527" w:name="_Toc267251504"/>
      <w:bookmarkStart w:id="528" w:name="_Toc267251506"/>
      <w:bookmarkStart w:id="529" w:name="_Toc267251507"/>
      <w:bookmarkStart w:id="530" w:name="_Toc267251508"/>
      <w:bookmarkStart w:id="531" w:name="_Toc267251511"/>
      <w:bookmarkStart w:id="532" w:name="_Toc267251509"/>
      <w:bookmarkStart w:id="533" w:name="_Toc267251513"/>
      <w:bookmarkStart w:id="534" w:name="_Toc267251515"/>
      <w:bookmarkStart w:id="535" w:name="_Toc267251510"/>
      <w:bookmarkStart w:id="536" w:name="_Toc267251514"/>
      <w:r>
        <w:rPr>
          <w:rFonts w:hint="eastAsia" w:ascii="宋体" w:hAnsi="宋体" w:eastAsia="宋体" w:cs="宋体"/>
          <w:bCs/>
          <w:color w:val="auto"/>
          <w:sz w:val="22"/>
          <w:szCs w:val="22"/>
          <w:highlight w:val="none"/>
        </w:rPr>
        <w:t>15. 缺陷责任期与保修</w:t>
      </w:r>
      <w:bookmarkEnd w:id="506"/>
    </w:p>
    <w:p w14:paraId="158C3992">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15.2缺陷责任期</w:t>
      </w:r>
      <w:bookmarkEnd w:id="507"/>
    </w:p>
    <w:p w14:paraId="7CDF8EEA">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缺陷责任期的具体期限：</w:t>
      </w:r>
      <w:r>
        <w:rPr>
          <w:rFonts w:hint="eastAsia" w:ascii="宋体" w:hAnsi="宋体" w:eastAsia="宋体" w:cs="宋体"/>
          <w:bCs/>
          <w:color w:val="auto"/>
          <w:sz w:val="22"/>
          <w:szCs w:val="22"/>
          <w:highlight w:val="none"/>
          <w:u w:val="single"/>
        </w:rPr>
        <w:t>24个月，自工程竣工验收合格（指验收时发现的所有质量缺陷均整改完毕并经验收合格）之日起计算</w:t>
      </w:r>
      <w:r>
        <w:rPr>
          <w:rFonts w:hint="eastAsia" w:ascii="宋体" w:hAnsi="宋体" w:eastAsia="宋体" w:cs="宋体"/>
          <w:bCs/>
          <w:color w:val="auto"/>
          <w:sz w:val="22"/>
          <w:szCs w:val="22"/>
          <w:highlight w:val="none"/>
        </w:rPr>
        <w:t>。</w:t>
      </w:r>
    </w:p>
    <w:p w14:paraId="7BE406F3">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15.3 质量保证金</w:t>
      </w:r>
    </w:p>
    <w:p w14:paraId="07A77CC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关于是否扣留质量保证金的约定：</w:t>
      </w:r>
      <w:r>
        <w:rPr>
          <w:rFonts w:hint="eastAsia" w:ascii="宋体" w:hAnsi="宋体" w:eastAsia="宋体" w:cs="宋体"/>
          <w:bCs/>
          <w:color w:val="auto"/>
          <w:sz w:val="22"/>
          <w:szCs w:val="22"/>
          <w:highlight w:val="none"/>
          <w:u w:val="single"/>
        </w:rPr>
        <w:t xml:space="preserve">   是  </w:t>
      </w:r>
      <w:r>
        <w:rPr>
          <w:rFonts w:hint="eastAsia" w:ascii="宋体" w:hAnsi="宋体" w:eastAsia="宋体" w:cs="宋体"/>
          <w:bCs/>
          <w:color w:val="auto"/>
          <w:sz w:val="22"/>
          <w:szCs w:val="22"/>
          <w:highlight w:val="none"/>
        </w:rPr>
        <w:t>。</w:t>
      </w:r>
    </w:p>
    <w:p w14:paraId="47730111">
      <w:pPr>
        <w:adjustRightInd w:val="0"/>
        <w:snapToGrid w:val="0"/>
        <w:spacing w:line="312" w:lineRule="auto"/>
        <w:ind w:firstLine="440" w:firstLineChars="200"/>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15.3.1 乙方提供质量保证金的方式</w:t>
      </w:r>
    </w:p>
    <w:p w14:paraId="5DA7B38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质量保证金采用以下第</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2</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种方式：</w:t>
      </w:r>
    </w:p>
    <w:p w14:paraId="177165B8">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（1）质量保证金保函，保证金额为：</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 xml:space="preserve">； </w:t>
      </w:r>
    </w:p>
    <w:p w14:paraId="4D0B724E">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r>
        <w:rPr>
          <w:rFonts w:hint="eastAsia" w:ascii="宋体" w:hAnsi="宋体" w:eastAsia="宋体" w:cs="宋体"/>
          <w:bCs/>
          <w:color w:val="auto"/>
          <w:kern w:val="0"/>
          <w:sz w:val="22"/>
          <w:szCs w:val="22"/>
          <w:highlight w:val="none"/>
          <w:u w:val="single"/>
        </w:rPr>
        <w:t xml:space="preserve">  </w:t>
      </w:r>
      <w:r>
        <w:rPr>
          <w:rFonts w:hint="eastAsia" w:ascii="宋体" w:hAnsi="宋体" w:eastAsia="宋体" w:cs="宋体"/>
          <w:bCs/>
          <w:color w:val="auto"/>
          <w:kern w:val="0"/>
          <w:sz w:val="22"/>
          <w:szCs w:val="22"/>
          <w:highlight w:val="none"/>
          <w:u w:val="single"/>
          <w:lang w:val="en-US" w:eastAsia="zh-CN"/>
        </w:rPr>
        <w:t>2</w:t>
      </w:r>
      <w:r>
        <w:rPr>
          <w:rFonts w:hint="eastAsia" w:ascii="宋体" w:hAnsi="宋体" w:eastAsia="宋体" w:cs="宋体"/>
          <w:bCs/>
          <w:color w:val="auto"/>
          <w:kern w:val="0"/>
          <w:sz w:val="22"/>
          <w:szCs w:val="22"/>
          <w:highlight w:val="none"/>
          <w:u w:val="single"/>
        </w:rPr>
        <w:t xml:space="preserve">.5 </w:t>
      </w:r>
      <w:r>
        <w:rPr>
          <w:rFonts w:hint="eastAsia" w:ascii="宋体" w:hAnsi="宋体" w:eastAsia="宋体" w:cs="宋体"/>
          <w:bCs/>
          <w:color w:val="auto"/>
          <w:kern w:val="0"/>
          <w:sz w:val="22"/>
          <w:szCs w:val="22"/>
          <w:highlight w:val="none"/>
        </w:rPr>
        <w:t>%的工程款；</w:t>
      </w:r>
    </w:p>
    <w:p w14:paraId="6902A22D">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（3）其他方式:</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5F568933">
      <w:pPr>
        <w:adjustRightInd w:val="0"/>
        <w:snapToGrid w:val="0"/>
        <w:spacing w:line="312" w:lineRule="auto"/>
        <w:ind w:firstLine="440" w:firstLineChars="200"/>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15.3.2 质量保证金的扣留 </w:t>
      </w:r>
    </w:p>
    <w:p w14:paraId="736F0DA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质量保证金的扣留采取以下第</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种方式：</w:t>
      </w:r>
    </w:p>
    <w:p w14:paraId="3BC70240">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（1）在支付工程进度款时逐次扣留，在此情形下，质量保证金的计算基数不包括预付款的支付、扣回以及价格调整的金额；</w:t>
      </w:r>
    </w:p>
    <w:p w14:paraId="50568212">
      <w:pPr>
        <w:autoSpaceDE w:val="0"/>
        <w:autoSpaceDN w:val="0"/>
        <w:adjustRightInd w:val="0"/>
        <w:snapToGrid w:val="0"/>
        <w:spacing w:line="312" w:lineRule="auto"/>
        <w:ind w:firstLine="440" w:firstLineChars="200"/>
        <w:jc w:val="left"/>
        <w:outlineLvl w:val="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（2）工程竣工结算时一次性扣留质量保证金；</w:t>
      </w:r>
    </w:p>
    <w:p w14:paraId="79FABB7C">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（3）其他扣留方式:</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06BEF64D">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关于质量保证金的补充约定：</w:t>
      </w:r>
      <w:r>
        <w:rPr>
          <w:rFonts w:hint="eastAsia" w:ascii="宋体" w:hAnsi="宋体" w:eastAsia="宋体" w:cs="宋体"/>
          <w:bCs/>
          <w:color w:val="auto"/>
          <w:sz w:val="22"/>
          <w:szCs w:val="22"/>
          <w:highlight w:val="none"/>
          <w:u w:val="single"/>
          <w:lang w:eastAsia="zh-CN"/>
        </w:rPr>
        <w:t>结算经有资质的造价机构审定并出具审计报告后，付至审计价款的97.5%，剩余2.5%为质量保证金，在质保期内如出现质量问题整改不到位，质量保证金予以扣除或不予退还，待质保期满2年后无质量问题无息退还</w:t>
      </w:r>
      <w:r>
        <w:rPr>
          <w:rFonts w:hint="eastAsia" w:ascii="宋体" w:hAnsi="宋体" w:eastAsia="宋体" w:cs="宋体"/>
          <w:bCs/>
          <w:color w:val="auto"/>
          <w:kern w:val="0"/>
          <w:sz w:val="22"/>
          <w:szCs w:val="22"/>
          <w:highlight w:val="none"/>
        </w:rPr>
        <w:t>。</w:t>
      </w:r>
    </w:p>
    <w:bookmarkEnd w:id="508"/>
    <w:bookmarkEnd w:id="509"/>
    <w:p w14:paraId="578638D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15.4保修</w:t>
      </w:r>
    </w:p>
    <w:bookmarkEnd w:id="510"/>
    <w:p w14:paraId="7FA9282F">
      <w:pPr>
        <w:adjustRightInd w:val="0"/>
        <w:snapToGrid w:val="0"/>
        <w:spacing w:line="312" w:lineRule="auto"/>
        <w:ind w:firstLine="429" w:firstLineChars="195"/>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15.4.1 保修责任</w:t>
      </w:r>
    </w:p>
    <w:p w14:paraId="6594012F">
      <w:pPr>
        <w:adjustRightInd w:val="0"/>
        <w:snapToGrid w:val="0"/>
        <w:spacing w:line="312" w:lineRule="auto"/>
        <w:ind w:firstLine="429" w:firstLineChars="195"/>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工程保修期为：</w:t>
      </w:r>
      <w:r>
        <w:rPr>
          <w:rFonts w:hint="eastAsia" w:ascii="宋体" w:hAnsi="宋体" w:eastAsia="宋体" w:cs="宋体"/>
          <w:bCs/>
          <w:color w:val="auto"/>
          <w:kern w:val="0"/>
          <w:sz w:val="22"/>
          <w:szCs w:val="22"/>
          <w:highlight w:val="none"/>
          <w:u w:val="single"/>
        </w:rPr>
        <w:t>按工程质量保修书规定执行</w:t>
      </w:r>
      <w:r>
        <w:rPr>
          <w:rFonts w:hint="eastAsia" w:ascii="宋体" w:hAnsi="宋体" w:eastAsia="宋体" w:cs="宋体"/>
          <w:bCs/>
          <w:color w:val="auto"/>
          <w:kern w:val="0"/>
          <w:sz w:val="22"/>
          <w:szCs w:val="22"/>
          <w:highlight w:val="none"/>
        </w:rPr>
        <w:t>。</w:t>
      </w:r>
    </w:p>
    <w:p w14:paraId="6BC45107">
      <w:pPr>
        <w:adjustRightInd w:val="0"/>
        <w:snapToGrid w:val="0"/>
        <w:spacing w:line="312" w:lineRule="auto"/>
        <w:ind w:firstLine="429" w:firstLineChars="195"/>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15.4.3 修复通知</w:t>
      </w:r>
    </w:p>
    <w:p w14:paraId="262BB315">
      <w:pPr>
        <w:adjustRightInd w:val="0"/>
        <w:snapToGrid w:val="0"/>
        <w:spacing w:line="312" w:lineRule="auto"/>
        <w:ind w:firstLine="429" w:firstLineChars="195"/>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乙方收到保修通知并到达工程现场的合理时间：</w:t>
      </w:r>
      <w:r>
        <w:rPr>
          <w:rFonts w:hint="eastAsia" w:ascii="宋体" w:hAnsi="宋体" w:eastAsia="宋体" w:cs="宋体"/>
          <w:bCs/>
          <w:color w:val="auto"/>
          <w:kern w:val="0"/>
          <w:sz w:val="22"/>
          <w:szCs w:val="22"/>
          <w:highlight w:val="none"/>
          <w:u w:val="single"/>
        </w:rPr>
        <w:t>3日内</w:t>
      </w:r>
      <w:r>
        <w:rPr>
          <w:rFonts w:hint="eastAsia" w:ascii="宋体" w:hAnsi="宋体" w:eastAsia="宋体" w:cs="宋体"/>
          <w:bCs/>
          <w:color w:val="auto"/>
          <w:kern w:val="0"/>
          <w:sz w:val="22"/>
          <w:szCs w:val="22"/>
          <w:highlight w:val="none"/>
        </w:rPr>
        <w:t>。</w:t>
      </w:r>
    </w:p>
    <w:bookmarkEnd w:id="511"/>
    <w:bookmarkEnd w:id="512"/>
    <w:bookmarkEnd w:id="513"/>
    <w:bookmarkEnd w:id="514"/>
    <w:p w14:paraId="43BCEAC6">
      <w:pPr>
        <w:adjustRightInd w:val="0"/>
        <w:snapToGrid w:val="0"/>
        <w:spacing w:line="312" w:lineRule="auto"/>
        <w:rPr>
          <w:rFonts w:hint="eastAsia" w:ascii="宋体" w:hAnsi="宋体" w:eastAsia="宋体" w:cs="宋体"/>
          <w:bCs/>
          <w:color w:val="auto"/>
          <w:sz w:val="22"/>
          <w:szCs w:val="22"/>
          <w:highlight w:val="none"/>
        </w:rPr>
      </w:pPr>
      <w:bookmarkStart w:id="537" w:name="_Toc351203648"/>
      <w:bookmarkStart w:id="538" w:name="_Toc280868717"/>
      <w:bookmarkStart w:id="539" w:name="_Toc280868718"/>
      <w:r>
        <w:rPr>
          <w:rFonts w:hint="eastAsia" w:ascii="宋体" w:hAnsi="宋体" w:eastAsia="宋体" w:cs="宋体"/>
          <w:bCs/>
          <w:color w:val="auto"/>
          <w:sz w:val="22"/>
          <w:szCs w:val="22"/>
          <w:highlight w:val="none"/>
        </w:rPr>
        <w:t>16. 违约</w:t>
      </w:r>
      <w:bookmarkEnd w:id="537"/>
    </w:p>
    <w:p w14:paraId="052B2263">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16.1 甲方违约</w:t>
      </w:r>
    </w:p>
    <w:p w14:paraId="43950A8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16.1.1甲方违约的情形</w:t>
      </w:r>
    </w:p>
    <w:p w14:paraId="57433D38">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甲方违约的其他情形：</w:t>
      </w:r>
      <w:r>
        <w:rPr>
          <w:rFonts w:hint="eastAsia" w:ascii="宋体" w:hAnsi="宋体" w:eastAsia="宋体" w:cs="宋体"/>
          <w:bCs/>
          <w:color w:val="auto"/>
          <w:kern w:val="0"/>
          <w:sz w:val="22"/>
          <w:szCs w:val="22"/>
          <w:highlight w:val="none"/>
          <w:u w:val="single"/>
        </w:rPr>
        <w:t>按通用合同条款第16.1.1条第（3）项规定执行</w:t>
      </w:r>
      <w:r>
        <w:rPr>
          <w:rFonts w:hint="eastAsia" w:ascii="宋体" w:hAnsi="宋体" w:eastAsia="宋体" w:cs="宋体"/>
          <w:bCs/>
          <w:color w:val="auto"/>
          <w:kern w:val="0"/>
          <w:sz w:val="22"/>
          <w:szCs w:val="22"/>
          <w:highlight w:val="none"/>
        </w:rPr>
        <w:t>。</w:t>
      </w:r>
    </w:p>
    <w:p w14:paraId="7ABF04AA">
      <w:pPr>
        <w:adjustRightInd w:val="0"/>
        <w:snapToGrid w:val="0"/>
        <w:spacing w:line="312" w:lineRule="auto"/>
        <w:ind w:left="1100" w:hanging="1100" w:hangingChars="5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16.1.2 甲方违约的责任</w:t>
      </w:r>
    </w:p>
    <w:p w14:paraId="6B3FB4D4">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甲方违约责任的承担方式和计算方法：</w:t>
      </w:r>
    </w:p>
    <w:p w14:paraId="6C96C69C">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（1）因甲方原因未能在计划开工日期前7天内下达开工通知的违约责任：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23A5CA70">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（2）因甲方原因未能按合同约定支付合同价款的违约责任：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73E16FE9">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（3）甲方违反第10.1款〔变更的范围〕第（2）项约定，自行实施被取消的工作或转由他人实施的违约责任：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426A96E1">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（4）甲方提供的材料、工程设备的规格、数量或质量不符合合同约定，或因甲方原因导致交货日期延误或交货地点变更等情况的违约责任：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612E98D2">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（5）因甲方违反合同约定造成暂停施工的违约责任：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73E20021">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（6）甲方无正当理由没有在约定期限内发出复工指示，导致乙方无法复工的违约责任：</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64FD5B2E">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（7）其他：</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7C4A0F8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16.1.3 因甲方违约解除合同</w:t>
      </w:r>
    </w:p>
    <w:p w14:paraId="0EDBEE08">
      <w:pPr>
        <w:autoSpaceDE w:val="0"/>
        <w:autoSpaceDN w:val="0"/>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乙方按16.1.1项〔甲方违约的情形〕约定暂停施工满天后甲方仍不纠正其违约行为并致使合同目的不能实现的，乙方有权解除合同。</w:t>
      </w:r>
    </w:p>
    <w:p w14:paraId="217F0F19">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16.2 乙方违约</w:t>
      </w:r>
    </w:p>
    <w:p w14:paraId="763FB15E">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16.2.1 乙方违约的情形</w:t>
      </w:r>
    </w:p>
    <w:p w14:paraId="4BB9194D">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乙方违约的其他情形：</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04EF0F8B">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16.2.2乙方违约的责任</w:t>
      </w:r>
    </w:p>
    <w:p w14:paraId="640C5DE9">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kern w:val="0"/>
          <w:sz w:val="22"/>
          <w:szCs w:val="22"/>
          <w:highlight w:val="none"/>
        </w:rPr>
        <w:t>乙方违约责任的承担方式和计算方法：</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30E45FF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16.2.3 因乙方违约解除合同</w:t>
      </w:r>
    </w:p>
    <w:p w14:paraId="406FF986">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关于乙方违约解除合同的特别约定：</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28E2B78A">
      <w:pPr>
        <w:adjustRightInd w:val="0"/>
        <w:snapToGrid w:val="0"/>
        <w:spacing w:line="312"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甲方继续使用乙方在施工现场的材料、设备、临时工程、乙方文件和由乙方或以其名义编制的其他文件的费用承担方式：</w:t>
      </w:r>
      <w:r>
        <w:rPr>
          <w:rFonts w:hint="eastAsia" w:ascii="宋体" w:hAnsi="宋体" w:eastAsia="宋体" w:cs="宋体"/>
          <w:bCs/>
          <w:color w:val="auto"/>
          <w:kern w:val="0"/>
          <w:sz w:val="22"/>
          <w:szCs w:val="22"/>
          <w:highlight w:val="none"/>
          <w:u w:val="single"/>
        </w:rPr>
        <w:t>费用另行约定由甲方承担</w:t>
      </w:r>
      <w:r>
        <w:rPr>
          <w:rFonts w:hint="eastAsia" w:ascii="宋体" w:hAnsi="宋体" w:eastAsia="宋体" w:cs="宋体"/>
          <w:bCs/>
          <w:color w:val="auto"/>
          <w:kern w:val="0"/>
          <w:sz w:val="22"/>
          <w:szCs w:val="22"/>
          <w:highlight w:val="none"/>
        </w:rPr>
        <w:t>。</w:t>
      </w:r>
    </w:p>
    <w:p w14:paraId="18CFE263">
      <w:pPr>
        <w:adjustRightInd w:val="0"/>
        <w:snapToGrid w:val="0"/>
        <w:spacing w:line="312" w:lineRule="auto"/>
        <w:rPr>
          <w:rFonts w:hint="eastAsia" w:ascii="宋体" w:hAnsi="宋体" w:eastAsia="宋体" w:cs="宋体"/>
          <w:bCs/>
          <w:color w:val="auto"/>
          <w:sz w:val="22"/>
          <w:szCs w:val="22"/>
          <w:highlight w:val="none"/>
        </w:rPr>
      </w:pPr>
      <w:bookmarkStart w:id="540" w:name="_Toc351203649"/>
      <w:r>
        <w:rPr>
          <w:rFonts w:hint="eastAsia" w:ascii="宋体" w:hAnsi="宋体" w:eastAsia="宋体" w:cs="宋体"/>
          <w:bCs/>
          <w:color w:val="auto"/>
          <w:sz w:val="22"/>
          <w:szCs w:val="22"/>
          <w:highlight w:val="none"/>
        </w:rPr>
        <w:t>17. 不可抗力</w:t>
      </w:r>
      <w:bookmarkEnd w:id="538"/>
      <w:bookmarkEnd w:id="540"/>
    </w:p>
    <w:p w14:paraId="7F9433BC">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17.1 不可抗力的确认</w:t>
      </w:r>
    </w:p>
    <w:p w14:paraId="1D435BD8">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sz w:val="22"/>
          <w:szCs w:val="22"/>
          <w:highlight w:val="none"/>
        </w:rPr>
        <w:t xml:space="preserve">除通用合同条款约定的不可抗力事件之外，视为不可抗力的其他情形： </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7B61D437">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17.4 因不可抗力解除合同</w:t>
      </w:r>
    </w:p>
    <w:p w14:paraId="3A9BD3A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合同解除后，甲方应在商定或确定甲方应支付款项后天内完成款项的支付。</w:t>
      </w:r>
    </w:p>
    <w:p w14:paraId="33698B98">
      <w:pPr>
        <w:adjustRightInd w:val="0"/>
        <w:snapToGrid w:val="0"/>
        <w:spacing w:line="312" w:lineRule="auto"/>
        <w:rPr>
          <w:rFonts w:hint="eastAsia" w:ascii="宋体" w:hAnsi="宋体" w:eastAsia="宋体" w:cs="宋体"/>
          <w:bCs/>
          <w:color w:val="auto"/>
          <w:sz w:val="22"/>
          <w:szCs w:val="22"/>
          <w:highlight w:val="none"/>
        </w:rPr>
      </w:pPr>
      <w:bookmarkStart w:id="541" w:name="_Toc351203650"/>
      <w:r>
        <w:rPr>
          <w:rFonts w:hint="eastAsia" w:ascii="宋体" w:hAnsi="宋体" w:eastAsia="宋体" w:cs="宋体"/>
          <w:bCs/>
          <w:color w:val="auto"/>
          <w:sz w:val="22"/>
          <w:szCs w:val="22"/>
          <w:highlight w:val="none"/>
        </w:rPr>
        <w:t>18. 保险</w:t>
      </w:r>
      <w:bookmarkEnd w:id="541"/>
    </w:p>
    <w:bookmarkEnd w:id="539"/>
    <w:p w14:paraId="5F9F16E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18.1 工程保险</w:t>
      </w:r>
    </w:p>
    <w:p w14:paraId="602CD4B6">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关于工程保险的特别约定：</w:t>
      </w:r>
      <w:r>
        <w:rPr>
          <w:rFonts w:hint="eastAsia" w:ascii="宋体" w:hAnsi="宋体" w:eastAsia="宋体" w:cs="宋体"/>
          <w:bCs/>
          <w:color w:val="auto"/>
          <w:kern w:val="0"/>
          <w:sz w:val="22"/>
          <w:szCs w:val="22"/>
          <w:highlight w:val="none"/>
          <w:u w:val="single"/>
        </w:rPr>
        <w:t xml:space="preserve">      /     </w:t>
      </w:r>
      <w:r>
        <w:rPr>
          <w:rFonts w:hint="eastAsia" w:ascii="宋体" w:hAnsi="宋体" w:eastAsia="宋体" w:cs="宋体"/>
          <w:bCs/>
          <w:color w:val="auto"/>
          <w:kern w:val="0"/>
          <w:sz w:val="22"/>
          <w:szCs w:val="22"/>
          <w:highlight w:val="none"/>
        </w:rPr>
        <w:t>。</w:t>
      </w:r>
    </w:p>
    <w:p w14:paraId="2ECAFB0C">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18.3 其他保险</w:t>
      </w:r>
    </w:p>
    <w:p w14:paraId="5DF0E7C5">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关于其他保险的约定：</w:t>
      </w:r>
      <w:r>
        <w:rPr>
          <w:rFonts w:hint="eastAsia" w:ascii="宋体" w:hAnsi="宋体" w:eastAsia="宋体" w:cs="宋体"/>
          <w:bCs/>
          <w:color w:val="auto"/>
          <w:kern w:val="0"/>
          <w:sz w:val="22"/>
          <w:szCs w:val="22"/>
          <w:highlight w:val="none"/>
          <w:u w:val="single"/>
        </w:rPr>
        <w:t>乙方投保建筑工人及管理人员意外伤害保险</w:t>
      </w:r>
      <w:r>
        <w:rPr>
          <w:rFonts w:hint="eastAsia" w:ascii="宋体" w:hAnsi="宋体" w:eastAsia="宋体" w:cs="宋体"/>
          <w:bCs/>
          <w:color w:val="auto"/>
          <w:kern w:val="0"/>
          <w:sz w:val="22"/>
          <w:szCs w:val="22"/>
          <w:highlight w:val="none"/>
        </w:rPr>
        <w:t>。</w:t>
      </w:r>
    </w:p>
    <w:p w14:paraId="67855266">
      <w:pPr>
        <w:adjustRightInd w:val="0"/>
        <w:snapToGrid w:val="0"/>
        <w:spacing w:line="312" w:lineRule="auto"/>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乙方是否应为其施工设备等办理财产保险：</w:t>
      </w:r>
      <w:r>
        <w:rPr>
          <w:rFonts w:hint="eastAsia" w:ascii="宋体" w:hAnsi="宋体" w:eastAsia="宋体" w:cs="宋体"/>
          <w:bCs/>
          <w:color w:val="auto"/>
          <w:sz w:val="22"/>
          <w:szCs w:val="22"/>
          <w:highlight w:val="none"/>
          <w:u w:val="single"/>
        </w:rPr>
        <w:t>是</w:t>
      </w:r>
      <w:r>
        <w:rPr>
          <w:rFonts w:hint="eastAsia" w:ascii="宋体" w:hAnsi="宋体" w:eastAsia="宋体" w:cs="宋体"/>
          <w:bCs/>
          <w:color w:val="auto"/>
          <w:sz w:val="22"/>
          <w:szCs w:val="22"/>
          <w:highlight w:val="none"/>
        </w:rPr>
        <w:t>。</w:t>
      </w:r>
    </w:p>
    <w:p w14:paraId="1DC6776D">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18.7 通知义务</w:t>
      </w:r>
    </w:p>
    <w:p w14:paraId="6D6C832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关于变更保险合同时的通知义务的约定：</w:t>
      </w:r>
      <w:r>
        <w:rPr>
          <w:rFonts w:hint="eastAsia" w:ascii="宋体" w:hAnsi="宋体" w:eastAsia="宋体" w:cs="宋体"/>
          <w:bCs/>
          <w:color w:val="auto"/>
          <w:sz w:val="22"/>
          <w:szCs w:val="22"/>
          <w:highlight w:val="none"/>
          <w:u w:val="single"/>
        </w:rPr>
        <w:t>按通用合同条款第18.7条项规定执行</w:t>
      </w:r>
      <w:r>
        <w:rPr>
          <w:rFonts w:hint="eastAsia" w:ascii="宋体" w:hAnsi="宋体" w:eastAsia="宋体" w:cs="宋体"/>
          <w:bCs/>
          <w:color w:val="auto"/>
          <w:sz w:val="22"/>
          <w:szCs w:val="22"/>
          <w:highlight w:val="none"/>
        </w:rPr>
        <w:t>。</w:t>
      </w:r>
    </w:p>
    <w:bookmarkEnd w:id="515"/>
    <w:bookmarkEnd w:id="516"/>
    <w:bookmarkEnd w:id="517"/>
    <w:bookmarkEnd w:id="518"/>
    <w:bookmarkEnd w:id="519"/>
    <w:bookmarkEnd w:id="520"/>
    <w:bookmarkEnd w:id="521"/>
    <w:bookmarkEnd w:id="522"/>
    <w:bookmarkEnd w:id="523"/>
    <w:bookmarkEnd w:id="524"/>
    <w:bookmarkEnd w:id="525"/>
    <w:bookmarkEnd w:id="526"/>
    <w:p w14:paraId="75AC4C8D">
      <w:pPr>
        <w:adjustRightInd w:val="0"/>
        <w:snapToGrid w:val="0"/>
        <w:spacing w:line="312" w:lineRule="auto"/>
        <w:rPr>
          <w:rFonts w:hint="eastAsia" w:ascii="宋体" w:hAnsi="宋体" w:eastAsia="宋体" w:cs="宋体"/>
          <w:bCs/>
          <w:color w:val="auto"/>
          <w:sz w:val="22"/>
          <w:szCs w:val="22"/>
          <w:highlight w:val="none"/>
        </w:rPr>
      </w:pPr>
      <w:bookmarkStart w:id="542" w:name="_Toc351203651"/>
      <w:r>
        <w:rPr>
          <w:rFonts w:hint="eastAsia" w:ascii="宋体" w:hAnsi="宋体" w:eastAsia="宋体" w:cs="宋体"/>
          <w:bCs/>
          <w:color w:val="auto"/>
          <w:sz w:val="22"/>
          <w:szCs w:val="22"/>
          <w:highlight w:val="none"/>
        </w:rPr>
        <w:t>20. 争议解决</w:t>
      </w:r>
      <w:bookmarkEnd w:id="542"/>
    </w:p>
    <w:bookmarkEnd w:id="527"/>
    <w:bookmarkEnd w:id="528"/>
    <w:p w14:paraId="4CA8969A">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20.3 争</w:t>
      </w:r>
      <w:bookmarkEnd w:id="529"/>
      <w:r>
        <w:rPr>
          <w:rFonts w:hint="eastAsia" w:ascii="宋体" w:hAnsi="宋体" w:eastAsia="宋体" w:cs="宋体"/>
          <w:bCs/>
          <w:color w:val="auto"/>
          <w:sz w:val="22"/>
          <w:szCs w:val="22"/>
          <w:highlight w:val="none"/>
        </w:rPr>
        <w:t>议评审</w:t>
      </w:r>
    </w:p>
    <w:p w14:paraId="20DE9336">
      <w:pPr>
        <w:adjustRightInd w:val="0"/>
        <w:snapToGrid w:val="0"/>
        <w:spacing w:line="312" w:lineRule="auto"/>
        <w:ind w:left="149" w:leftChars="71" w:firstLine="330" w:firstLineChars="15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合同当事人是否同意将工程争议提交争议评审小组决定：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 xml:space="preserve">。  </w:t>
      </w:r>
    </w:p>
    <w:p w14:paraId="31C06344">
      <w:pPr>
        <w:adjustRightInd w:val="0"/>
        <w:snapToGrid w:val="0"/>
        <w:spacing w:line="312" w:lineRule="auto"/>
        <w:ind w:firstLine="440" w:firstLineChars="200"/>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20.3.1 争议评审小组的确定</w:t>
      </w:r>
    </w:p>
    <w:p w14:paraId="71280B8F">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争议评审小组成员的确定：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35CE29F3">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选定争议评审员的期限：</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759E7615">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争议评审小组成员的报酬承担方式：</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4BE6FC77">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其他事项的约定：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3A37AE8D">
      <w:pPr>
        <w:autoSpaceDE w:val="0"/>
        <w:autoSpaceDN w:val="0"/>
        <w:adjustRightInd w:val="0"/>
        <w:snapToGrid w:val="0"/>
        <w:spacing w:line="312" w:lineRule="auto"/>
        <w:ind w:firstLine="440" w:firstLineChars="200"/>
        <w:jc w:val="left"/>
        <w:outlineLvl w:val="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20.3.2 争议评审小组的决定</w:t>
      </w:r>
    </w:p>
    <w:p w14:paraId="7E51DDB2">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合同当事人关于本项的约定：</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3517036">
      <w:pPr>
        <w:adjustRightInd w:val="0"/>
        <w:snapToGrid w:val="0"/>
        <w:spacing w:line="312"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20.4仲裁或诉讼</w:t>
      </w:r>
      <w:bookmarkEnd w:id="530"/>
    </w:p>
    <w:p w14:paraId="06D9ED49">
      <w:pPr>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因合同及合同有关事项发生的争议，按下列第</w:t>
      </w:r>
      <w:r>
        <w:rPr>
          <w:rFonts w:hint="eastAsia" w:ascii="宋体" w:hAnsi="宋体" w:eastAsia="宋体" w:cs="宋体"/>
          <w:bCs/>
          <w:color w:val="auto"/>
          <w:sz w:val="22"/>
          <w:szCs w:val="22"/>
          <w:highlight w:val="none"/>
          <w:u w:val="single"/>
        </w:rPr>
        <w:t xml:space="preserve">  （2） </w:t>
      </w:r>
      <w:r>
        <w:rPr>
          <w:rFonts w:hint="eastAsia" w:ascii="宋体" w:hAnsi="宋体" w:eastAsia="宋体" w:cs="宋体"/>
          <w:bCs/>
          <w:color w:val="auto"/>
          <w:sz w:val="22"/>
          <w:szCs w:val="22"/>
          <w:highlight w:val="none"/>
        </w:rPr>
        <w:t>种方式解决：</w:t>
      </w:r>
    </w:p>
    <w:p w14:paraId="015C757F">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（1）向</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仲裁委员会申请仲裁；</w:t>
      </w:r>
    </w:p>
    <w:p w14:paraId="126599B1">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（2）向</w:t>
      </w:r>
      <w:r>
        <w:rPr>
          <w:rFonts w:hint="eastAsia" w:ascii="宋体" w:hAnsi="宋体" w:eastAsia="宋体" w:cs="宋体"/>
          <w:bCs/>
          <w:color w:val="auto"/>
          <w:sz w:val="22"/>
          <w:szCs w:val="22"/>
          <w:highlight w:val="none"/>
          <w:u w:val="single"/>
        </w:rPr>
        <w:t>工程所在地</w:t>
      </w:r>
      <w:r>
        <w:rPr>
          <w:rFonts w:hint="eastAsia" w:ascii="宋体" w:hAnsi="宋体" w:eastAsia="宋体" w:cs="宋体"/>
          <w:bCs/>
          <w:color w:val="auto"/>
          <w:sz w:val="22"/>
          <w:szCs w:val="22"/>
          <w:highlight w:val="none"/>
        </w:rPr>
        <w:t>人民法院起诉。</w:t>
      </w:r>
      <w:bookmarkEnd w:id="531"/>
      <w:bookmarkEnd w:id="532"/>
      <w:bookmarkEnd w:id="533"/>
      <w:bookmarkEnd w:id="534"/>
      <w:bookmarkEnd w:id="535"/>
      <w:bookmarkEnd w:id="536"/>
    </w:p>
    <w:p w14:paraId="5F82C89F">
      <w:pPr>
        <w:adjustRightInd w:val="0"/>
        <w:snapToGrid w:val="0"/>
        <w:spacing w:line="312"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21.补充条款</w:t>
      </w:r>
    </w:p>
    <w:p w14:paraId="64D1B7BF">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21.1工程质量要求的其他约定</w:t>
      </w:r>
    </w:p>
    <w:p w14:paraId="0C67EDBB">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21.1.1</w:t>
      </w:r>
      <w:r>
        <w:rPr>
          <w:rFonts w:hint="eastAsia" w:ascii="宋体" w:hAnsi="宋体" w:eastAsia="宋体" w:cs="宋体"/>
          <w:bCs/>
          <w:color w:val="auto"/>
          <w:sz w:val="22"/>
          <w:szCs w:val="22"/>
          <w:highlight w:val="none"/>
          <w:u w:val="single"/>
        </w:rPr>
        <w:t>乙方必须严格按合同条款、施工图纸及设计说明文件、施工验收规范、国家和省市的有关质量验收标准，精心组织施工，确保工程质量达到国家合格验收标准。乙方应详细编制施工方案，详细叙述关键部位的质量保证措施，并在响应文件中对质量目标进行承诺。</w:t>
      </w:r>
    </w:p>
    <w:p w14:paraId="1F85F3CD">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工程经各方验收，质量未达到合同约定“合格”标准的，由乙方负责整改直至通过验收，乙方承担由此产生的所有费用及给甲方造成的损失，且工期不予顺延；工程经过乙方的全面整改后，经各方验收仍然未达到合同约定“合格”标准的，乙方必须按工程总造价的5%向甲方支付违约金，该违约金从工程款中扣除。若乙方不按甲方要求整改或整改后仍不合格的，甲方有权委托第三方进行整改，整改费用由乙方承担，在工程款中扣除。甲方委托第三方整改不能免除乙方根据合同约定应当承担的工程保维修责任。</w:t>
      </w:r>
    </w:p>
    <w:p w14:paraId="27F3AB9B">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21.1.2</w:t>
      </w:r>
      <w:r>
        <w:rPr>
          <w:rFonts w:hint="eastAsia" w:ascii="宋体" w:hAnsi="宋体" w:eastAsia="宋体" w:cs="宋体"/>
          <w:bCs/>
          <w:color w:val="auto"/>
          <w:sz w:val="22"/>
          <w:szCs w:val="22"/>
          <w:highlight w:val="none"/>
          <w:u w:val="single"/>
        </w:rPr>
        <w:t>因工程施工交叉进行，乙方应积极配合，并无条件服从甲方或监理工程师的合理安排。</w:t>
      </w:r>
    </w:p>
    <w:p w14:paraId="0E2319F8">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21.2工期要求的其他约定</w:t>
      </w:r>
    </w:p>
    <w:p w14:paraId="7DF5FB00">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21.2.1乙方应详细踏勘、了解现场实际情况，应充分考虑现场情况对施工工期的影响，该部分内容在施工工期中包干，成交后不予调整。</w:t>
      </w:r>
    </w:p>
    <w:p w14:paraId="4EDBAEFB">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21.2.2合同工期为进场施工开始至竣工验收时止，乙方必须做好配合协调工作，因协调配合不当引起的工期等所有损失均由乙方承担。</w:t>
      </w:r>
    </w:p>
    <w:p w14:paraId="4420F24B">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21.2.3如乙方认为发生了可顺延工期情形的，乙方必须于工期延误情形发生后14天内向甲方提出顺延工期申请，经甲方签证后按甲方签证的工期顺延。乙方逾期未申请顺延工期的，工期不予以顺延。</w:t>
      </w:r>
    </w:p>
    <w:p w14:paraId="1BECDB76">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21.3安全文明施工要求的其他约定</w:t>
      </w:r>
    </w:p>
    <w:p w14:paraId="0BA2A96F">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 xml:space="preserve">21.3.1乙方与甲方必须签定《安全生产责任协议书》和《文明施工责任协议书》（见附件），且必须按照浙江省及甲方安全生产、文明施工标准化工地要求，做好安全生产、文明施工。 </w:t>
      </w:r>
    </w:p>
    <w:p w14:paraId="5CA4A26D">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安全生产、文明施工相关费用在工程实施过程中必须足额投入，否则甲方有权拒绝支付该项费用。</w:t>
      </w:r>
    </w:p>
    <w:p w14:paraId="0B861B1A">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安全生产、文明施工维护及宣传方案需征得甲方同意方可实施。</w:t>
      </w:r>
    </w:p>
    <w:p w14:paraId="2429E96A">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21.4人员到位要求的其他约定</w:t>
      </w:r>
    </w:p>
    <w:p w14:paraId="29A24F80">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21.4.1乙方在响应文件中承诺的管理人员（项目经理、技术负责人、施工员、安全员、质检员、材料员）配备数量应满足本工程管理的需要和相应规范、文件要求。</w:t>
      </w:r>
    </w:p>
    <w:p w14:paraId="4B3E631F">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本项目采用指纹考勤，在响应文件中需对管理人员的出勤率作出承诺。若项目经理、技术负责人出勤率不足响应承诺，处罚1000元人民币/天；施工员、安全员、质检员、材料员出勤率不足响应承诺，处罚500元人民币/天/人（出勤率按照为每月25天，每日工作时间8小时考勤）。重要施工工序或环节时项目经理、技术负责人等必须到场，否则处罚5000元人民币/每次。</w:t>
      </w:r>
    </w:p>
    <w:p w14:paraId="530197A0">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21.5合同价款的其他约定</w:t>
      </w:r>
    </w:p>
    <w:p w14:paraId="6F4D3F60">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21.5.1在工程通过竣工验收前，对已完成工程成品的保护工作由乙方负责，费用在响应报价中包干。</w:t>
      </w:r>
    </w:p>
    <w:p w14:paraId="0DF5DEA9">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21.5.2本工程工期较紧，相应赶工措施费用包含在响应报价中。</w:t>
      </w:r>
    </w:p>
    <w:p w14:paraId="50B2E0FF">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21.5.3乙方应做好安全防护措施。如因乙方安全防护措施不当造成的人员伤害，由乙方承担全部责任。上述费用包含在报价中，成交后不予调整。</w:t>
      </w:r>
    </w:p>
    <w:p w14:paraId="65D3B8B1">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乙方所报的费用中必须包含危险作业意外伤害保险费用，否则视同乙方优惠。</w:t>
      </w:r>
    </w:p>
    <w:p w14:paraId="6272EBE9">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21.5.4施工组织措施费和技术措施费在成交以后，在合同施工范围内，无论现场施工条件如何变化、也无论工程量增减的幅度如何，均不再调整；</w:t>
      </w:r>
    </w:p>
    <w:p w14:paraId="4D7104AE">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21.5.5响应报价必须与施工组织设计相一致，对施工组织设计的内容未在响应报价中体现的均视同乙方优惠。施工期间由于乙方原因造成施工方案的更改，所增加的工程费用及工期一概不予调整，属施工技术组织措施失误造成的费用及延误工期均由乙方承担。</w:t>
      </w:r>
    </w:p>
    <w:p w14:paraId="5836374B">
      <w:pPr>
        <w:pStyle w:val="11"/>
        <w:adjustRightInd w:val="0"/>
        <w:snapToGrid w:val="0"/>
        <w:spacing w:line="312"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21.6其他方面的约定</w:t>
      </w:r>
    </w:p>
    <w:p w14:paraId="1F7689B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乙方的响应文件必须完全响应招标文件的要求，响应文件中一切有悖于招标文件的条款均视作无效条款；乙方在响应文件中单方面设置限制甲方的条款和内容均将被视作无效内容，并且出现上述现象时，乙方应自行承担被否决风险。响应文件中所有在招标文件约定内容之外的与费用、进度、质量、索赔等有关的制约性内容在乙方成交后，经甲方作出书面确认之前，均视作无效。</w:t>
      </w:r>
    </w:p>
    <w:p w14:paraId="744263EE">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21.6.2如乙方在响应时选择的备选材料设备品牌不在甲方推荐范围内，其材料设备进场前必须报甲方、监理审核，经审核如存在材料不满足甲方要求的，则甲方有权在甲方推荐的范围内任意选择或社会上相关产品进行指定，且价格不予调整。</w:t>
      </w:r>
    </w:p>
    <w:p w14:paraId="0C9E93E8">
      <w:pPr>
        <w:adjustRightInd w:val="0"/>
        <w:snapToGrid w:val="0"/>
        <w:spacing w:line="312"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21.6.3乙方应充分响应</w:t>
      </w:r>
      <w:r>
        <w:rPr>
          <w:rFonts w:hint="eastAsia" w:ascii="宋体" w:hAnsi="宋体" w:eastAsia="宋体" w:cs="宋体"/>
          <w:bCs/>
          <w:color w:val="auto"/>
          <w:sz w:val="22"/>
          <w:szCs w:val="22"/>
          <w:highlight w:val="none"/>
          <w:u w:val="single"/>
          <w:lang w:eastAsia="zh-CN"/>
        </w:rPr>
        <w:t>温州</w:t>
      </w:r>
      <w:r>
        <w:rPr>
          <w:rFonts w:hint="eastAsia" w:ascii="宋体" w:hAnsi="宋体" w:eastAsia="宋体" w:cs="宋体"/>
          <w:bCs/>
          <w:color w:val="auto"/>
          <w:sz w:val="22"/>
          <w:szCs w:val="22"/>
          <w:highlight w:val="none"/>
          <w:u w:val="single"/>
        </w:rPr>
        <w:t>市委、市政府及当地政府关于工程运输车安全整治有关问题的相关意见，落实好工程安全运输责任制。</w:t>
      </w:r>
    </w:p>
    <w:p w14:paraId="4EECEF75">
      <w:pPr>
        <w:adjustRightInd w:val="0"/>
        <w:snapToGrid w:val="0"/>
        <w:spacing w:line="312"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21.6.4对于工程车出现过重大交通事故的施工单位，甲方保留处罚以及拒绝其在本单位组织的其他工程中投标的权利。</w:t>
      </w:r>
    </w:p>
    <w:p w14:paraId="3AA9BC2C">
      <w:pPr>
        <w:adjustRightInd w:val="0"/>
        <w:snapToGrid w:val="0"/>
        <w:spacing w:line="312" w:lineRule="auto"/>
        <w:ind w:firstLine="431" w:firstLineChars="196"/>
        <w:rPr>
          <w:rFonts w:hint="eastAsia" w:ascii="宋体" w:hAnsi="宋体" w:eastAsia="宋体" w:cs="宋体"/>
          <w:bCs/>
          <w:color w:val="auto"/>
          <w:kern w:val="0"/>
          <w:sz w:val="22"/>
          <w:szCs w:val="22"/>
          <w:highlight w:val="none"/>
          <w:u w:val="single"/>
        </w:rPr>
      </w:pPr>
      <w:r>
        <w:rPr>
          <w:rFonts w:hint="eastAsia" w:ascii="宋体" w:hAnsi="宋体" w:eastAsia="宋体" w:cs="宋体"/>
          <w:bCs/>
          <w:color w:val="auto"/>
          <w:sz w:val="22"/>
          <w:szCs w:val="22"/>
          <w:highlight w:val="none"/>
          <w:u w:val="single"/>
        </w:rPr>
        <w:t>21.6.5</w:t>
      </w:r>
      <w:r>
        <w:rPr>
          <w:rFonts w:hint="eastAsia" w:ascii="宋体" w:hAnsi="宋体" w:eastAsia="宋体" w:cs="宋体"/>
          <w:bCs/>
          <w:color w:val="auto"/>
          <w:kern w:val="0"/>
          <w:sz w:val="22"/>
          <w:szCs w:val="22"/>
          <w:highlight w:val="none"/>
          <w:u w:val="single"/>
        </w:rPr>
        <w:t>当乙方未按合同约定履行义务，造成质量低下、进度迟缓、管理混乱或将成交项目转让（转包给他人），发包方有权解除合同，没收履约担保，如给甲方造成的损失超过保证金数额的还应当对超过部份予以赔偿，并依法承担相应的法律责任；</w:t>
      </w:r>
    </w:p>
    <w:p w14:paraId="306A04AC">
      <w:pPr>
        <w:adjustRightInd w:val="0"/>
        <w:snapToGrid w:val="0"/>
        <w:spacing w:line="312"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21.6.6</w:t>
      </w:r>
      <w:r>
        <w:rPr>
          <w:rFonts w:hint="eastAsia" w:ascii="宋体" w:hAnsi="宋体" w:eastAsia="宋体" w:cs="宋体"/>
          <w:bCs/>
          <w:color w:val="auto"/>
          <w:kern w:val="0"/>
          <w:sz w:val="22"/>
          <w:szCs w:val="22"/>
          <w:highlight w:val="none"/>
          <w:u w:val="single"/>
        </w:rPr>
        <w:t>乙方应确保民工工资的及时支付，如不及时支付，视作违约，乙方应按合同价款的1%向甲方支付违约金且由此造成的后果与损失应由乙方承担，同时，甲方有权在工程款中扣除相应费用代为支付民工工资。</w:t>
      </w:r>
    </w:p>
    <w:p w14:paraId="177BDBCC">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21.6.7乙方需加强维修服务意识，信守维修服务承诺书中的各项承诺，维修服务承诺书作为合同附件。</w:t>
      </w:r>
    </w:p>
    <w:p w14:paraId="58647B1A">
      <w:pPr>
        <w:pStyle w:val="11"/>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21.6.8工程实施期间，乙方必须确保本工程项目进度款专款专用，甲方（或甲方委托的中介机构）随时有权到乙方处核查工程进度款使用情况，乙方须全力配合不得以任何理由拒绝。</w:t>
      </w:r>
    </w:p>
    <w:p w14:paraId="1A52AF50">
      <w:pPr>
        <w:pStyle w:val="11"/>
        <w:adjustRightInd w:val="0"/>
        <w:snapToGrid w:val="0"/>
        <w:spacing w:line="312"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21.6.9乙方应提供所有分部分项工程量清单和技术措施清单项目的综合单价分析表和工料机分析表（工料机分析表由乙方在收到成交通知书两天内提供（须与电子文本完全一致），但电子文本需与响应文件同时提交）。</w:t>
      </w:r>
    </w:p>
    <w:p w14:paraId="3DB749E6">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21.6.10乙方应在响应文件中列出所有乙方认为需提供的工日、材料（设备）、机械台班价格，若乙方未列出，在施工期间可由甲方根据招响应文件及其它的合同文件确定价格。</w:t>
      </w:r>
    </w:p>
    <w:p w14:paraId="419E647C">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21.6.11乙方应在响应文件中列出所有乙方认为需列出的材料（设备）的规格、型号、品牌、档次等，若乙方未列出，在施工期间甲方可根据工程需要提出要求，乙方必须按照甲方的要求提供材料（设备）。</w:t>
      </w:r>
    </w:p>
    <w:p w14:paraId="2C628FDC">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21.6.12如果乙方提供的工日、材料（设备）、机械台班价格及综合单价分析表和工料机分析表与综合单价有矛盾，结算时应以综合单价为准。</w:t>
      </w:r>
    </w:p>
    <w:p w14:paraId="7AA6F6FD">
      <w:pPr>
        <w:pStyle w:val="11"/>
        <w:adjustRightInd w:val="0"/>
        <w:snapToGrid w:val="0"/>
        <w:spacing w:line="312"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21.6.13乙方应服从甲方的协调组织安排，不得因交叉交错施工影响本工程总体进度。</w:t>
      </w:r>
    </w:p>
    <w:p w14:paraId="3E2C3296">
      <w:pPr>
        <w:tabs>
          <w:tab w:val="left" w:pos="8080"/>
        </w:tabs>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21.6.14本工程在实施过程中，如乙方的施工队伍素质、力量、现场管理班子、施工设备、不能很好满足实际施工的需要，现场文明安全施工不符合响应文件的承诺，造成现场管理混乱、工程质量和进度达不到响应所承诺的要求时，甲方有权要求其调整充实施工力量，乙方必须接受，如措施不力，将视作乙方违约处理直至终止合同,并按本合同的约定追究违约责任。</w:t>
      </w:r>
    </w:p>
    <w:p w14:paraId="0880FDEE">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21.6.15中介机构（审计部门）对乙方提交的竣工结算报告进行审核（计）时，乙方必须根据甲方及中介机构（审计部门）的要求履行配合义务，因乙方不配合中介机构（审计部门），导致中介机构（审计部门）无法及时完成造价审核（审计）的，责任由乙方承担，乙方不得以此要求甲方承担逾期付款违约责任。</w:t>
      </w:r>
    </w:p>
    <w:p w14:paraId="78F17482">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21.6.16本合同所涉及的所有处罚违约金将以现金形式缴纳，月罚月交，如未按时递交违约金，本月工程款暂停支付。</w:t>
      </w:r>
    </w:p>
    <w:p w14:paraId="1F4563E5">
      <w:pPr>
        <w:adjustRightInd w:val="0"/>
        <w:snapToGrid w:val="0"/>
        <w:spacing w:line="312"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21.6.17本项目涉及到的检测、监测、质检费用由乙方在响应报价中综合考虑。</w:t>
      </w:r>
    </w:p>
    <w:p w14:paraId="48194A0C">
      <w:pPr>
        <w:adjustRightInd w:val="0"/>
        <w:snapToGrid w:val="0"/>
        <w:spacing w:line="312" w:lineRule="auto"/>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21.6.18合同双方确认，本合同及本合同约定的其它文件组成部分中的各项约定都是通过法定采购过程形成的合法成果，不存在与招标文件和乙方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等内容与本合同内容不一致的，以补充合同内容为准。</w:t>
      </w:r>
    </w:p>
    <w:p w14:paraId="235F33CB">
      <w:pPr>
        <w:adjustRightInd w:val="0"/>
        <w:snapToGri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21.6.19如遇国家政府法规调整税费，按规定调整当月工程价款相关费用（含进度款）。</w:t>
      </w:r>
    </w:p>
    <w:p w14:paraId="4812CDA5">
      <w:pPr>
        <w:adjustRightInd w:val="0"/>
        <w:snapToGrid w:val="0"/>
        <w:spacing w:line="360" w:lineRule="auto"/>
        <w:jc w:val="left"/>
        <w:rPr>
          <w:rFonts w:hint="eastAsia" w:ascii="宋体" w:hAnsi="宋体" w:eastAsia="宋体" w:cs="宋体"/>
          <w:bCs/>
          <w:color w:val="auto"/>
          <w:sz w:val="22"/>
          <w:szCs w:val="22"/>
          <w:highlight w:val="none"/>
        </w:rPr>
      </w:pPr>
    </w:p>
    <w:p w14:paraId="2E97B757">
      <w:pPr>
        <w:adjustRightInd w:val="0"/>
        <w:snapToGrid w:val="0"/>
        <w:spacing w:line="360" w:lineRule="auto"/>
        <w:jc w:val="left"/>
        <w:rPr>
          <w:rFonts w:hint="eastAsia" w:ascii="宋体" w:hAnsi="宋体" w:eastAsia="宋体" w:cs="宋体"/>
          <w:bCs/>
          <w:color w:val="auto"/>
          <w:sz w:val="22"/>
          <w:szCs w:val="22"/>
          <w:highlight w:val="none"/>
        </w:rPr>
        <w:sectPr>
          <w:footerReference r:id="rId5" w:type="first"/>
          <w:pgSz w:w="11906" w:h="16838"/>
          <w:pgMar w:top="1418" w:right="1555" w:bottom="1418" w:left="1531" w:header="851" w:footer="992" w:gutter="0"/>
          <w:cols w:space="720" w:num="1"/>
          <w:titlePg/>
          <w:docGrid w:type="lines" w:linePitch="312" w:charSpace="0"/>
        </w:sectPr>
      </w:pPr>
    </w:p>
    <w:p w14:paraId="4129E483">
      <w:pPr>
        <w:spacing w:before="120" w:beforeLines="50" w:after="120" w:afterLines="50" w:line="4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lang w:val="zh-CN"/>
        </w:rPr>
        <w:t>附件一：</w:t>
      </w:r>
    </w:p>
    <w:p w14:paraId="491E601F">
      <w:pPr>
        <w:spacing w:before="120" w:beforeLines="50" w:after="120" w:afterLines="50" w:line="44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w:t>
      </w:r>
    </w:p>
    <w:p w14:paraId="062B8100">
      <w:pPr>
        <w:pStyle w:val="7"/>
        <w:rPr>
          <w:rFonts w:hint="eastAsia" w:ascii="宋体" w:hAnsi="宋体" w:eastAsia="宋体" w:cs="宋体"/>
          <w:color w:val="auto"/>
          <w:sz w:val="22"/>
          <w:szCs w:val="22"/>
          <w:highlight w:val="none"/>
        </w:rPr>
      </w:pPr>
    </w:p>
    <w:p w14:paraId="2E92908A">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甲方（全称）：</w:t>
      </w:r>
      <w:r>
        <w:rPr>
          <w:rFonts w:hint="eastAsia" w:ascii="宋体" w:hAnsi="宋体" w:eastAsia="宋体" w:cs="宋体"/>
          <w:bCs/>
          <w:color w:val="auto"/>
          <w:sz w:val="22"/>
          <w:szCs w:val="22"/>
          <w:highlight w:val="none"/>
          <w:u w:val="single"/>
        </w:rPr>
        <w:t xml:space="preserve">                </w:t>
      </w:r>
    </w:p>
    <w:p w14:paraId="3AB4C462">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w:t>
      </w:r>
    </w:p>
    <w:p w14:paraId="52A58E77">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乙方（全称）：</w:t>
      </w:r>
      <w:r>
        <w:rPr>
          <w:rFonts w:hint="eastAsia" w:ascii="宋体" w:hAnsi="宋体" w:eastAsia="宋体" w:cs="宋体"/>
          <w:bCs/>
          <w:color w:val="auto"/>
          <w:sz w:val="22"/>
          <w:szCs w:val="22"/>
          <w:highlight w:val="none"/>
          <w:u w:val="single"/>
        </w:rPr>
        <w:t xml:space="preserve">                   </w:t>
      </w:r>
    </w:p>
    <w:p w14:paraId="4B94AFF3">
      <w:pPr>
        <w:snapToGrid w:val="0"/>
        <w:spacing w:line="360" w:lineRule="auto"/>
        <w:rPr>
          <w:rFonts w:hint="eastAsia" w:ascii="宋体" w:hAnsi="宋体" w:eastAsia="宋体" w:cs="宋体"/>
          <w:bCs/>
          <w:color w:val="auto"/>
          <w:sz w:val="22"/>
          <w:szCs w:val="22"/>
          <w:highlight w:val="none"/>
        </w:rPr>
      </w:pPr>
    </w:p>
    <w:p w14:paraId="3EF6F7EA">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甲方和乙方根据《中华人民共和国建筑法》和《建设工程质量管理条例》，经协商一致就（工程全称）签订工程质量保修书。</w:t>
      </w:r>
    </w:p>
    <w:p w14:paraId="725E64C7">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一、工程质量保修范围和内容</w:t>
      </w:r>
    </w:p>
    <w:p w14:paraId="16B36870">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乙方在质量保修期内，按照有关法律规定和合同约定，承担工程质量保修责任。</w:t>
      </w:r>
    </w:p>
    <w:p w14:paraId="3F5A5386">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color w:val="auto"/>
          <w:sz w:val="22"/>
          <w:szCs w:val="22"/>
          <w:highlight w:val="none"/>
          <w:u w:val="single"/>
        </w:rPr>
        <w:t>本合同承包范围内的全部工程内容</w:t>
      </w:r>
      <w:r>
        <w:rPr>
          <w:rFonts w:hint="eastAsia" w:ascii="宋体" w:hAnsi="宋体" w:eastAsia="宋体" w:cs="宋体"/>
          <w:bCs/>
          <w:color w:val="auto"/>
          <w:sz w:val="22"/>
          <w:szCs w:val="22"/>
          <w:highlight w:val="none"/>
        </w:rPr>
        <w:t>。</w:t>
      </w:r>
    </w:p>
    <w:p w14:paraId="2B5FD528">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二、质量保修期</w:t>
      </w:r>
    </w:p>
    <w:p w14:paraId="7A7A6F4B">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根据《建设工程质量管理条例》及有关规定，工程的质量保修期如下：</w:t>
      </w:r>
    </w:p>
    <w:p w14:paraId="6E90F523">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1．地基基础工程和主体结构工程为设计文件规定的工程合理使用年限；</w:t>
      </w:r>
    </w:p>
    <w:p w14:paraId="51BFBCF2">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2．屋面防水工程、有防水要求的卫生间、房间和外墙面的防渗为5年；</w:t>
      </w:r>
    </w:p>
    <w:p w14:paraId="7AC91AF2">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3．装修工程为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60546E3A">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4．电气管线、给排水管道、设备安装工程为</w:t>
      </w:r>
      <w:r>
        <w:rPr>
          <w:rFonts w:hint="eastAsia" w:ascii="宋体" w:hAnsi="宋体" w:eastAsia="宋体" w:cs="宋体"/>
          <w:bCs/>
          <w:color w:val="auto"/>
          <w:sz w:val="22"/>
          <w:szCs w:val="22"/>
          <w:highlight w:val="none"/>
          <w:u w:val="single"/>
        </w:rPr>
        <w:t xml:space="preserve"> 2 </w:t>
      </w:r>
      <w:r>
        <w:rPr>
          <w:rFonts w:hint="eastAsia" w:ascii="宋体" w:hAnsi="宋体" w:eastAsia="宋体" w:cs="宋体"/>
          <w:bCs/>
          <w:color w:val="auto"/>
          <w:sz w:val="22"/>
          <w:szCs w:val="22"/>
          <w:highlight w:val="none"/>
        </w:rPr>
        <w:t>年；</w:t>
      </w:r>
    </w:p>
    <w:p w14:paraId="5ADCC036">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5．供热与供冷系统为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个采暖期、供冷期；</w:t>
      </w:r>
    </w:p>
    <w:p w14:paraId="614E53D8">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6．住宅小区内的给排水设施、道路等配套工程为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6E6F32DD">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7．其他项目保修期限约定如下：</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351098F2">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质量保修期自工程竣工验收合格之日起计算。</w:t>
      </w:r>
    </w:p>
    <w:p w14:paraId="6C0E7494">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三、缺陷责任期</w:t>
      </w:r>
    </w:p>
    <w:p w14:paraId="77B9BFC1">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工程缺陷责任期为</w:t>
      </w:r>
      <w:r>
        <w:rPr>
          <w:rFonts w:hint="eastAsia" w:ascii="宋体" w:hAnsi="宋体" w:eastAsia="宋体" w:cs="宋体"/>
          <w:bCs/>
          <w:color w:val="auto"/>
          <w:sz w:val="22"/>
          <w:szCs w:val="22"/>
          <w:highlight w:val="none"/>
          <w:u w:val="single"/>
        </w:rPr>
        <w:t xml:space="preserve">  24 </w:t>
      </w:r>
      <w:r>
        <w:rPr>
          <w:rFonts w:hint="eastAsia" w:ascii="宋体" w:hAnsi="宋体" w:eastAsia="宋体" w:cs="宋体"/>
          <w:bCs/>
          <w:color w:val="auto"/>
          <w:sz w:val="22"/>
          <w:szCs w:val="22"/>
          <w:highlight w:val="none"/>
        </w:rPr>
        <w:t>个月，缺陷责任期自工程通过竣工验收之日起计算。单位工程先于全部工程进行验收，单位工程缺陷责任期自单位工程验收合格之日起算。</w:t>
      </w:r>
    </w:p>
    <w:p w14:paraId="172E32EF">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缺陷责任期终止后，甲方应退还剩余的质量保证金。</w:t>
      </w:r>
    </w:p>
    <w:p w14:paraId="0908A180">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四、质量保修责任</w:t>
      </w:r>
    </w:p>
    <w:p w14:paraId="5D3FDB51">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1．属于保修范围、内容的项目，乙方应当在接到保修通知之日起3天内派人保修。乙方不在约定期限内派人保修的，甲方可以委托他人修理。</w:t>
      </w:r>
    </w:p>
    <w:p w14:paraId="6AC279A3">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2．发生紧急事故需抢修的，乙方在接到事故通知后，应当立即到达事故现场抢修。</w:t>
      </w:r>
    </w:p>
    <w:p w14:paraId="3A015BCB">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676208EA">
      <w:pPr>
        <w:snapToGrid w:val="0"/>
        <w:spacing w:line="360" w:lineRule="auto"/>
        <w:ind w:left="420" w:leftChars="200" w:firstLine="110" w:firstLineChars="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4．质量保修完成后，由甲方组织验收。</w:t>
      </w:r>
    </w:p>
    <w:p w14:paraId="3B7E1778">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五、保修费用</w:t>
      </w:r>
    </w:p>
    <w:p w14:paraId="341DCD67">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保修费用由造成质量缺陷的责任方承担。</w:t>
      </w:r>
    </w:p>
    <w:p w14:paraId="1FA21F04">
      <w:pPr>
        <w:snapToGrid w:val="0"/>
        <w:spacing w:line="360" w:lineRule="auto"/>
        <w:ind w:firstLine="431" w:firstLineChars="196"/>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六、双方约定的其他工程质量保修事项：</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02ADC93F">
      <w:pPr>
        <w:snapToGrid w:val="0"/>
        <w:spacing w:line="360" w:lineRule="auto"/>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工程质量保修书由甲方、乙方在工程竣工验收前共同签署，作为施工合同附件，其有效期限至保修期满。</w:t>
      </w:r>
    </w:p>
    <w:p w14:paraId="43CBA727">
      <w:pPr>
        <w:snapToGrid w:val="0"/>
        <w:spacing w:line="360" w:lineRule="auto"/>
        <w:ind w:firstLine="420"/>
        <w:rPr>
          <w:rFonts w:hint="eastAsia" w:ascii="宋体" w:hAnsi="宋体" w:eastAsia="宋体" w:cs="宋体"/>
          <w:bCs/>
          <w:color w:val="auto"/>
          <w:sz w:val="22"/>
          <w:szCs w:val="22"/>
          <w:highlight w:val="none"/>
        </w:rPr>
      </w:pPr>
    </w:p>
    <w:p w14:paraId="1E75F9C1">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甲方(公章)：                       乙方(公章)：</w:t>
      </w:r>
    </w:p>
    <w:p w14:paraId="7D3E360D">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  址：                             地  址：</w:t>
      </w:r>
    </w:p>
    <w:p w14:paraId="38F6246C">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法定代表人(签字)：                   法定代表人(签字)：</w:t>
      </w:r>
    </w:p>
    <w:p w14:paraId="0796BAF1">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委托代理人(签字)：                   委托代理人(签字)：</w:t>
      </w:r>
    </w:p>
    <w:p w14:paraId="7DCBFB78">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                             电  话：</w:t>
      </w:r>
    </w:p>
    <w:p w14:paraId="2D31FBD0">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  真：                             传  真：</w:t>
      </w:r>
    </w:p>
    <w:p w14:paraId="3C62389A">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开户银行：                           开户银行：</w:t>
      </w:r>
    </w:p>
    <w:p w14:paraId="06D84EDB">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账  号：                             账  号：</w:t>
      </w:r>
    </w:p>
    <w:p w14:paraId="067076BD">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邮政编码：                           邮政编码：</w:t>
      </w:r>
    </w:p>
    <w:p w14:paraId="30851E23">
      <w:pPr>
        <w:snapToGrid w:val="0"/>
        <w:spacing w:line="360" w:lineRule="auto"/>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br w:type="page"/>
      </w:r>
      <w:r>
        <w:rPr>
          <w:rFonts w:hint="eastAsia" w:ascii="宋体" w:hAnsi="宋体" w:eastAsia="宋体" w:cs="宋体"/>
          <w:bCs/>
          <w:color w:val="auto"/>
          <w:sz w:val="22"/>
          <w:szCs w:val="22"/>
          <w:highlight w:val="none"/>
        </w:rPr>
        <w:t>附件二：</w:t>
      </w:r>
    </w:p>
    <w:p w14:paraId="6AD4AA7C">
      <w:pPr>
        <w:snapToGrid w:val="0"/>
        <w:spacing w:line="360" w:lineRule="auto"/>
        <w:ind w:firstLine="440" w:firstLineChars="20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安全生产责任协议书</w:t>
      </w:r>
    </w:p>
    <w:p w14:paraId="201EAD82">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甲方（甲方）：</w:t>
      </w:r>
    </w:p>
    <w:p w14:paraId="1F23D515">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乙方（乙方）： </w:t>
      </w:r>
    </w:p>
    <w:p w14:paraId="712E2553">
      <w:pPr>
        <w:snapToGrid w:val="0"/>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工程项目名称：</w:t>
      </w:r>
    </w:p>
    <w:p w14:paraId="1A12C45C">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为落实安全生产的管理要求，确保工程建设的顺利进行，按《浙江省建筑安全文明施工标准化工地管理办法》（浙建建[2005]41号)规定，甲乙双方共同协商，一致同意如下：</w:t>
      </w:r>
    </w:p>
    <w:p w14:paraId="6E5E3A78">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14:paraId="431D223E">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二、甲方应积极组织和督促乙方开展安全达标活动，及时传达和部署上级的有关安全生产精神和要求，定期听取乙方的意见和要求。加强安全生产的指导和协调。</w:t>
      </w:r>
    </w:p>
    <w:p w14:paraId="1B4DE09E">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14:paraId="52FCBC1E">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3DC97CE2">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责任违约的经济处理的约定：</w:t>
      </w:r>
    </w:p>
    <w:p w14:paraId="34CA8B3F">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依据国家和地方相关法律法规、政策、规定、制度以及本工程施工合同执行。</w:t>
      </w:r>
    </w:p>
    <w:p w14:paraId="1A8D4ECC">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乙方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2956F31C">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A073A71">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3EAE55D2">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7A6A7177">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九、乙方要按照“安全自查，隐患自改、责任自负”的原则加强对施工责任区的日常安全检查。及叫制上和处理各类违章违法行为。对查获的隐患要及时落实整改措施，消除隐患。</w:t>
      </w:r>
    </w:p>
    <w:p w14:paraId="1C0ECF93">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0CD95A4F">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14:paraId="1CFB5C8A">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十二、乙方须参加由甲方召集的每周一次的工程工作列会，对工程进度、工程质量、安全施工等情况向会议进行汇报，并接受甲方的安全检查。</w:t>
      </w:r>
    </w:p>
    <w:p w14:paraId="29678C02">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十三、乙方不准将工程项目进行整体转包。</w:t>
      </w:r>
    </w:p>
    <w:p w14:paraId="25FAA234">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14:paraId="28ECBC2D">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十五、乙方须将施工作业人员名册报甲方备案，乙方的施工作业人员必须接受甲方组织的安全培训，培训合格后由甲方发给盖有甲方印章的“施工出入证”。持有“施工出入证”的人员方可进场施工作业。</w:t>
      </w:r>
    </w:p>
    <w:p w14:paraId="74EAC5D5">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十六、乙方须为施工作业人员缴纳相关保险，并在合同签订之日起的 个工作日内将缴纳保险凭证复印件交甲方。</w:t>
      </w:r>
    </w:p>
    <w:p w14:paraId="7B7E5830">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十七、乙方必须严格按医院管理规范要求进场施工：必须报医院后勤处、安保处备案，并接受医院安保处的安全教育；进场施工必须佩戴胸牌，统一着装；施工垃圾及时清运，垃圾密闭包装，不得裸露在外。</w:t>
      </w:r>
    </w:p>
    <w:p w14:paraId="17FFD8BC">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十八、本协议中木涉及的有关条款，甲乙双方可根据需要协商补充修改。</w:t>
      </w:r>
    </w:p>
    <w:p w14:paraId="6D830B83">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如遇有国家和本市的有关法规不符的，应按国家和本市的有关法规执行。</w:t>
      </w:r>
    </w:p>
    <w:p w14:paraId="1E9545F5">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十九、本协议作为甲乙双方工程承包合同的附件，在工程承包合同签约后生效，与工程承包合同具有同等法律效力。工程承包合同期满，本协议终上。</w:t>
      </w:r>
    </w:p>
    <w:p w14:paraId="049EA66D">
      <w:pPr>
        <w:snapToGrid w:val="0"/>
        <w:spacing w:line="360" w:lineRule="auto"/>
        <w:ind w:firstLine="440" w:firstLineChars="200"/>
        <w:rPr>
          <w:rFonts w:hint="eastAsia" w:ascii="宋体" w:hAnsi="宋体" w:eastAsia="宋体" w:cs="宋体"/>
          <w:bCs/>
          <w:color w:val="auto"/>
          <w:sz w:val="22"/>
          <w:szCs w:val="22"/>
          <w:highlight w:val="none"/>
        </w:rPr>
      </w:pPr>
    </w:p>
    <w:p w14:paraId="1CAFCFF0">
      <w:pPr>
        <w:snapToGrid w:val="0"/>
        <w:spacing w:line="360" w:lineRule="auto"/>
        <w:ind w:firstLine="440" w:firstLineChars="200"/>
        <w:rPr>
          <w:rFonts w:hint="eastAsia" w:ascii="宋体" w:hAnsi="宋体" w:eastAsia="宋体" w:cs="宋体"/>
          <w:bCs/>
          <w:color w:val="auto"/>
          <w:sz w:val="22"/>
          <w:szCs w:val="22"/>
          <w:highlight w:val="none"/>
        </w:rPr>
      </w:pPr>
    </w:p>
    <w:p w14:paraId="1A374B9A">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甲方（公章）：                                 乙方（公章）：</w:t>
      </w:r>
    </w:p>
    <w:p w14:paraId="252B5631">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                                    法定代表人：</w:t>
      </w:r>
    </w:p>
    <w:p w14:paraId="239240B3">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或委托代理人：                                  或委托代理人：</w:t>
      </w:r>
    </w:p>
    <w:p w14:paraId="3439BB51">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年    月    日                                  年    月    日</w:t>
      </w:r>
    </w:p>
    <w:p w14:paraId="5A617AFE">
      <w:pPr>
        <w:snapToGrid w:val="0"/>
        <w:spacing w:line="360" w:lineRule="auto"/>
        <w:ind w:firstLine="440" w:firstLineChars="200"/>
        <w:rPr>
          <w:rFonts w:hint="eastAsia" w:ascii="宋体" w:hAnsi="宋体" w:eastAsia="宋体" w:cs="宋体"/>
          <w:bCs/>
          <w:color w:val="auto"/>
          <w:sz w:val="22"/>
          <w:szCs w:val="22"/>
          <w:highlight w:val="none"/>
        </w:rPr>
      </w:pPr>
    </w:p>
    <w:p w14:paraId="56854164">
      <w:pPr>
        <w:snapToGrid w:val="0"/>
        <w:spacing w:line="360" w:lineRule="auto"/>
        <w:ind w:firstLine="440" w:firstLineChars="200"/>
        <w:jc w:val="center"/>
        <w:rPr>
          <w:rFonts w:hint="eastAsia" w:ascii="宋体" w:hAnsi="宋体" w:eastAsia="宋体" w:cs="宋体"/>
          <w:bCs/>
          <w:color w:val="auto"/>
          <w:sz w:val="22"/>
          <w:szCs w:val="22"/>
          <w:highlight w:val="none"/>
        </w:rPr>
        <w:sectPr>
          <w:footerReference r:id="rId6" w:type="default"/>
          <w:type w:val="nextColumn"/>
          <w:pgSz w:w="11906" w:h="16838"/>
          <w:pgMar w:top="1418" w:right="1588" w:bottom="1418" w:left="1588" w:header="851" w:footer="992" w:gutter="0"/>
          <w:cols w:space="720" w:num="1"/>
          <w:docGrid w:linePitch="312" w:charSpace="0"/>
        </w:sectPr>
      </w:pPr>
    </w:p>
    <w:p w14:paraId="704316AA">
      <w:pPr>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 xml:space="preserve">附件三 </w:t>
      </w:r>
    </w:p>
    <w:p w14:paraId="0D157934">
      <w:pPr>
        <w:snapToGrid w:val="0"/>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文明施工责任协议书</w:t>
      </w:r>
    </w:p>
    <w:p w14:paraId="16E9A558">
      <w:pPr>
        <w:snapToGrid w:val="0"/>
        <w:spacing w:line="360" w:lineRule="auto"/>
        <w:ind w:firstLine="440" w:firstLineChars="200"/>
        <w:rPr>
          <w:rFonts w:hint="eastAsia" w:ascii="宋体" w:hAnsi="宋体" w:eastAsia="宋体" w:cs="宋体"/>
          <w:color w:val="auto"/>
          <w:sz w:val="22"/>
          <w:szCs w:val="22"/>
          <w:highlight w:val="none"/>
        </w:rPr>
      </w:pPr>
    </w:p>
    <w:p w14:paraId="70419EC4">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甲方（甲方）：乙方（乙方）： </w:t>
      </w:r>
    </w:p>
    <w:p w14:paraId="032DD3C8">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工程项目名称：</w:t>
      </w:r>
    </w:p>
    <w:p w14:paraId="70D6F89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为认真做好工程建设施工区域内的文明施工，现经甲、乙双方协商同意，明确在文明施工和文明施工管理中的各自职责，并签订如下协议。</w:t>
      </w:r>
    </w:p>
    <w:p w14:paraId="3E4B95F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7D69375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CA5C45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三、乙方应遵守如下规定：</w:t>
      </w:r>
    </w:p>
    <w:p w14:paraId="77FC895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1、根据工程的特点，编制文明施工实施方案，在开工前5日内，将文明施工实施方案报甲方和市安全监督部门备案。</w:t>
      </w:r>
    </w:p>
    <w:p w14:paraId="4BF9D6C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2、乙方按有关规定专项包干使用文明施工费，不得挪作他用。</w:t>
      </w:r>
    </w:p>
    <w:p w14:paraId="0262368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3、工地应设置专职文明施工安全员，做到佩证上岗、动态管理，及时收集、记录、整理、管理台帐等技术资料。</w:t>
      </w:r>
    </w:p>
    <w:p w14:paraId="196D506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4、施工现场应按文明施工安全生产的要求，设置各项临时设施，并达到下列要求：</w:t>
      </w:r>
    </w:p>
    <w:p w14:paraId="1C174E0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（1）施工区域与非施工区域严格分隔。</w:t>
      </w:r>
    </w:p>
    <w:p w14:paraId="33AED59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（2）施工区域内应设置能保证施工安全的夜间照明和警示标志，并采取安全防护措施。</w:t>
      </w:r>
    </w:p>
    <w:p w14:paraId="7297190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（3）各类材料、机具设备按工地总平面图的布置，在固定场地整齐堆放，不得侵占场内道路及安全防护等设施。</w:t>
      </w:r>
    </w:p>
    <w:p w14:paraId="531C6B1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5、工地民工宿舍应符合卫生要求和居住条件，地面应用砼硬化，照明电线敷设应符合规范，不得任意拉线接电。宿舍应保持整洁有序，不得男女混杂居住及居住与施工无关的人员。</w:t>
      </w:r>
    </w:p>
    <w:p w14:paraId="0D47EEF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6、施工现场设有食堂的，应符合</w:t>
      </w:r>
      <w:r>
        <w:rPr>
          <w:rFonts w:hint="eastAsia" w:ascii="宋体" w:hAnsi="宋体" w:eastAsia="宋体" w:cs="宋体"/>
          <w:color w:val="auto"/>
          <w:sz w:val="22"/>
          <w:szCs w:val="22"/>
          <w:highlight w:val="none"/>
          <w:lang w:eastAsia="zh-CN"/>
        </w:rPr>
        <w:t>温州</w:t>
      </w:r>
      <w:r>
        <w:rPr>
          <w:rFonts w:hint="eastAsia" w:ascii="宋体" w:hAnsi="宋体" w:eastAsia="宋体" w:cs="宋体"/>
          <w:color w:val="auto"/>
          <w:sz w:val="22"/>
          <w:szCs w:val="22"/>
          <w:highlight w:val="none"/>
        </w:rPr>
        <w:t>市职工食堂管理的有关规定，并配备冷冻、冷藏设备，其位置应远离厕所、垃圾容器等污染源，炊事员应持有效健康证明及岗位培训合格证。</w:t>
      </w:r>
    </w:p>
    <w:p w14:paraId="79534FD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施工现场应设置茶桶、保障茶水供应。</w:t>
      </w:r>
    </w:p>
    <w:p w14:paraId="187C779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7、建筑垃圾和其他散体物料装运应实行车辆密闭式运输，冲洗干净后出场，运输过程中严禁沿途抛、洒、滴、漏。</w:t>
      </w:r>
    </w:p>
    <w:p w14:paraId="001A06B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8、乙方应当严格依照《中华人民共和国消防条例》的规定，在工地建立和执行防火管理制度，重点部位设置符合消防要求的消防设施，并保持完好的备用状态。　</w:t>
      </w:r>
    </w:p>
    <w:p w14:paraId="21179A1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9、遵守建设地的现场管理要求。</w:t>
      </w:r>
    </w:p>
    <w:p w14:paraId="09D8171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10、施工单位在施工中应遵守下列规定：</w:t>
      </w:r>
    </w:p>
    <w:p w14:paraId="516858B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（1）完善技术和操作管理规程，确保防汛设施和地下管线通畅、安全。</w:t>
      </w:r>
    </w:p>
    <w:p w14:paraId="734B94A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（2）采取各种有效措施，控制扬尘、噪声。</w:t>
      </w:r>
    </w:p>
    <w:p w14:paraId="219BE39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（3）设置各种防护设施，防止施工中废弃物、杂物影响周围环境，伤害过往行人。</w:t>
      </w:r>
    </w:p>
    <w:p w14:paraId="3DA8AC8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（4）随时清理建筑垃圾，控制工地污染。</w:t>
      </w:r>
    </w:p>
    <w:p w14:paraId="7E380C7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（5）控制夜间施工作业，确需夜间作业的，必须事先向环保部门申办《夜间施工许可证》。</w:t>
      </w:r>
    </w:p>
    <w:p w14:paraId="1AD01F4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（6）运用其他有效方式，减少施工时对市容、绿化和环境的不良影响。</w:t>
      </w:r>
    </w:p>
    <w:p w14:paraId="59FF798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（7）遵守交通管理规定，不得使用人力车、三轮车向场外运输建筑垃圾、废土、物料。</w:t>
      </w:r>
    </w:p>
    <w:p w14:paraId="5A020F8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11、施工人员在施工中应严格遵守下列规定:</w:t>
      </w:r>
    </w:p>
    <w:p w14:paraId="4B5DB50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（1）施工中产生的各类垃圾应及时清运到市容环境卫生管理部门指定的地点，严禁随意倾倒在城市道路、河道、绿化带、空旷地带和居民生活垃圾容器内。</w:t>
      </w:r>
    </w:p>
    <w:p w14:paraId="392DF9F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（2）施工中不得随意丢弃废物、旧料和其他杂物。</w:t>
      </w:r>
    </w:p>
    <w:p w14:paraId="1FF70BD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（3）施工中应注意清理施工场地，做到随做随清。</w:t>
      </w:r>
    </w:p>
    <w:p w14:paraId="144A99A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p w14:paraId="0ED769B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12、乙方应确保工地出入口和道路的畅通、安全。施工中造成沿线单位、人员的出入口障碍和道路交通堵塞，应及时采取有效措施。</w:t>
      </w:r>
    </w:p>
    <w:p w14:paraId="0964A1F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13、施工中造成下水道和其他地下管线堵塞或损坏的，应立即疏浚或修复；对工地周围的单位及人员财产造成损失的，应承担经济赔偿责任。</w:t>
      </w:r>
    </w:p>
    <w:p w14:paraId="32A23BF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1F1235B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五、因乙方违反文明施工管理要求，被地方政府有关部门查获而受到的经济处罚，以及由此而使甲方受到的经济损失，均由乙方承担。</w:t>
      </w:r>
    </w:p>
    <w:p w14:paraId="33E5A35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六、本协议作为甲乙双方工程合同的附件，在工程合同正式签约后有效，与工程合同具有同等法律效力。工程合同期满，本协议终止。</w:t>
      </w:r>
    </w:p>
    <w:p w14:paraId="7FC0382F">
      <w:pPr>
        <w:snapToGrid w:val="0"/>
        <w:spacing w:line="360" w:lineRule="auto"/>
        <w:ind w:firstLine="440" w:firstLineChars="200"/>
        <w:rPr>
          <w:rFonts w:hint="eastAsia" w:ascii="宋体" w:hAnsi="宋体" w:eastAsia="宋体" w:cs="宋体"/>
          <w:color w:val="auto"/>
          <w:sz w:val="22"/>
          <w:szCs w:val="22"/>
          <w:highlight w:val="none"/>
        </w:rPr>
      </w:pPr>
    </w:p>
    <w:p w14:paraId="7F6E719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甲方（公章）：                                   乙方（公章）：</w:t>
      </w:r>
    </w:p>
    <w:p w14:paraId="042CF79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14:paraId="05D419DA">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或委托代理人：                                    或委托代理人：</w:t>
      </w:r>
    </w:p>
    <w:p w14:paraId="46E18964">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                                年    月    日</w:t>
      </w:r>
    </w:p>
    <w:p w14:paraId="6284DF92">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br w:type="page"/>
      </w:r>
      <w:r>
        <w:rPr>
          <w:rFonts w:hint="eastAsia" w:ascii="宋体" w:hAnsi="宋体" w:eastAsia="宋体" w:cs="宋体"/>
          <w:color w:val="auto"/>
          <w:kern w:val="0"/>
          <w:sz w:val="22"/>
          <w:szCs w:val="22"/>
          <w:highlight w:val="none"/>
          <w:lang w:val="zh-CN"/>
        </w:rPr>
        <w:t xml:space="preserve">附件四 </w:t>
      </w:r>
    </w:p>
    <w:p w14:paraId="0991E0F1">
      <w:pPr>
        <w:adjustRightInd w:val="0"/>
        <w:snapToGrid w:val="0"/>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建设工程廉洁协议书</w:t>
      </w:r>
    </w:p>
    <w:p w14:paraId="3D2596A8">
      <w:pPr>
        <w:adjustRightInd w:val="0"/>
        <w:snapToGrid w:val="0"/>
        <w:spacing w:line="360" w:lineRule="auto"/>
        <w:ind w:firstLine="440" w:firstLineChars="200"/>
        <w:rPr>
          <w:rFonts w:hint="eastAsia" w:ascii="宋体" w:hAnsi="宋体" w:eastAsia="宋体" w:cs="宋体"/>
          <w:color w:val="auto"/>
          <w:sz w:val="22"/>
          <w:szCs w:val="22"/>
          <w:highlight w:val="none"/>
        </w:rPr>
      </w:pPr>
    </w:p>
    <w:p w14:paraId="2EA1D332">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甲方（甲方）：乙方（乙方）： </w:t>
      </w:r>
    </w:p>
    <w:p w14:paraId="6D4C4266">
      <w:pPr>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工程项目名称：</w:t>
      </w:r>
    </w:p>
    <w:p w14:paraId="5833FC5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为了在工程建设中保持廉政自律的工作作风，防止各种不正当行为的发生，根据国家和省市有关建设工程承发包和廉政建设的各项规定，结合工程建设的特点，订立本协议如下：</w:t>
      </w:r>
    </w:p>
    <w:p w14:paraId="62782D4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一、甲乙双方应当自觉遵守国家和市关于建设工程承发包工作规则以及有关廉政建设的各项规定。</w:t>
      </w:r>
    </w:p>
    <w:p w14:paraId="61BB148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二、甲方及其工作人员不得以任何形式向乙方索要和收受回扣等好处费。</w:t>
      </w:r>
    </w:p>
    <w:p w14:paraId="03A895F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三、甲方工作人员应当保持与乙方的正常业务交往，不得接受乙方的现金、有价证券和贵重物品，不得在乙方报销任何应有个人支付的费用。</w:t>
      </w:r>
    </w:p>
    <w:p w14:paraId="3C993384">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四、甲方工作人员不得参加可能对公正执行公务有影响的宴请和娱乐活动。</w:t>
      </w:r>
    </w:p>
    <w:p w14:paraId="75C42134">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五、甲方工作人员不得要求接受乙方为其住房装修、婚丧嫁娶、家属和子女的工作安排以及出国等提供方便。</w:t>
      </w:r>
    </w:p>
    <w:p w14:paraId="4FAA8849">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六、甲方工作人员不得向乙方介绍家属或者亲友从事与甲方工程有关的材料设备供应、工程分包等经济活动。</w:t>
      </w:r>
    </w:p>
    <w:p w14:paraId="253573A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七、乙方应当通过正常途径开展相对业务工作，不得为获取某些不正当利益而向甲方工作人员赠送礼金、有价证券和贵重物品等。</w:t>
      </w:r>
    </w:p>
    <w:p w14:paraId="61E85FD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八、乙方不得为谋取私利擅自与甲方工作人员就工程承包、工程费用、材料设备供应、工程量变动、工程验收、工程质量问题处理等进行私下商谈或者达成默契。</w:t>
      </w:r>
    </w:p>
    <w:p w14:paraId="02A4DDA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九、乙方不得以洽谈业务、签订经济合同为借口，邀请甲方工作人员外出旅游和进入高档娱乐性场所。</w:t>
      </w:r>
    </w:p>
    <w:p w14:paraId="04BBA72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十、乙方不得为甲方和个人购置或者提供通讯工具、家电、高档办公用品等物品。</w:t>
      </w:r>
    </w:p>
    <w:p w14:paraId="4612BD8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1128B50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48D857C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十三、严格执行中纪委下发的中纪发【2007】7号《中共中央纪委关于严格禁止利用职务上的便利谋取不正当利益的若干规定》。</w:t>
      </w:r>
    </w:p>
    <w:p w14:paraId="2FDC6C6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十四、本廉政协议作为工程承发包合同的附件，与工程承发包合同具有同等法律效力，经协议双方签署后立即生效。</w:t>
      </w:r>
    </w:p>
    <w:p w14:paraId="33DC3E8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十五、本协议一式三份，甲、乙双方各执一份，送交见证部门一份。</w:t>
      </w:r>
    </w:p>
    <w:p w14:paraId="24AB67F6">
      <w:pPr>
        <w:adjustRightInd w:val="0"/>
        <w:snapToGrid w:val="0"/>
        <w:spacing w:line="360" w:lineRule="auto"/>
        <w:ind w:firstLine="440" w:firstLineChars="200"/>
        <w:rPr>
          <w:rFonts w:hint="eastAsia" w:ascii="宋体" w:hAnsi="宋体" w:eastAsia="宋体" w:cs="宋体"/>
          <w:color w:val="auto"/>
          <w:sz w:val="22"/>
          <w:szCs w:val="22"/>
          <w:highlight w:val="none"/>
        </w:rPr>
      </w:pPr>
    </w:p>
    <w:p w14:paraId="267EABC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甲方（公章）：                                   乙方（公章）：</w:t>
      </w:r>
    </w:p>
    <w:p w14:paraId="5B5C09C1">
      <w:pPr>
        <w:adjustRightInd w:val="0"/>
        <w:snapToGrid w:val="0"/>
        <w:spacing w:line="360" w:lineRule="auto"/>
        <w:ind w:firstLine="440" w:firstLineChars="200"/>
        <w:rPr>
          <w:rFonts w:hint="eastAsia" w:ascii="宋体" w:hAnsi="宋体" w:eastAsia="宋体" w:cs="宋体"/>
          <w:color w:val="auto"/>
          <w:sz w:val="22"/>
          <w:szCs w:val="22"/>
          <w:highlight w:val="none"/>
        </w:rPr>
      </w:pPr>
    </w:p>
    <w:p w14:paraId="77B8FE9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14:paraId="4BF09417">
      <w:pPr>
        <w:adjustRightInd w:val="0"/>
        <w:snapToGrid w:val="0"/>
        <w:spacing w:line="360" w:lineRule="auto"/>
        <w:ind w:firstLine="440" w:firstLineChars="200"/>
        <w:rPr>
          <w:rFonts w:hint="eastAsia" w:ascii="宋体" w:hAnsi="宋体" w:eastAsia="宋体" w:cs="宋体"/>
          <w:color w:val="auto"/>
          <w:sz w:val="22"/>
          <w:szCs w:val="22"/>
          <w:highlight w:val="none"/>
        </w:rPr>
      </w:pPr>
    </w:p>
    <w:p w14:paraId="33A492B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或委托代理人：                                    或委托代理人：</w:t>
      </w:r>
    </w:p>
    <w:p w14:paraId="585BCD6F">
      <w:pPr>
        <w:adjustRightInd w:val="0"/>
        <w:snapToGrid w:val="0"/>
        <w:spacing w:line="360" w:lineRule="auto"/>
        <w:ind w:firstLine="440" w:firstLineChars="200"/>
        <w:rPr>
          <w:rFonts w:hint="eastAsia" w:ascii="宋体" w:hAnsi="宋体" w:eastAsia="宋体" w:cs="宋体"/>
          <w:color w:val="auto"/>
          <w:sz w:val="22"/>
          <w:szCs w:val="22"/>
          <w:highlight w:val="none"/>
        </w:rPr>
      </w:pPr>
    </w:p>
    <w:p w14:paraId="29653569">
      <w:pPr>
        <w:adjustRightInd w:val="0"/>
        <w:snapToGrid w:val="0"/>
        <w:spacing w:line="360" w:lineRule="auto"/>
        <w:ind w:firstLine="990" w:firstLineChars="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                                     年    月   日</w:t>
      </w:r>
    </w:p>
    <w:p w14:paraId="738B8A0F">
      <w:pPr>
        <w:snapToGrid w:val="0"/>
        <w:spacing w:line="340" w:lineRule="exact"/>
        <w:rPr>
          <w:rFonts w:hint="eastAsia" w:ascii="宋体" w:hAnsi="宋体" w:eastAsia="宋体" w:cs="宋体"/>
          <w:b/>
          <w:color w:val="auto"/>
          <w:sz w:val="22"/>
          <w:highlight w:val="none"/>
        </w:rPr>
      </w:pPr>
    </w:p>
    <w:p w14:paraId="04A20E4F">
      <w:pPr>
        <w:snapToGrid w:val="0"/>
        <w:spacing w:line="400" w:lineRule="exact"/>
        <w:ind w:firstLine="437" w:firstLineChars="198"/>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注：本合同作为示范文本，具体以中标供应商与采购人所签定正式合同为准。</w:t>
      </w:r>
    </w:p>
    <w:p w14:paraId="730E49DD">
      <w:pPr>
        <w:ind w:firstLine="420" w:firstLineChars="200"/>
        <w:rPr>
          <w:rFonts w:hint="eastAsia" w:ascii="宋体" w:hAnsi="宋体" w:eastAsia="宋体" w:cs="宋体"/>
          <w:color w:val="auto"/>
          <w:szCs w:val="21"/>
          <w:highlight w:val="none"/>
        </w:rPr>
        <w:sectPr>
          <w:footerReference r:id="rId7" w:type="default"/>
          <w:pgSz w:w="11906" w:h="16838"/>
          <w:pgMar w:top="1134" w:right="680" w:bottom="1134" w:left="737" w:header="397" w:footer="482" w:gutter="0"/>
          <w:pgNumType w:start="77"/>
          <w:cols w:space="720" w:num="1"/>
          <w:docGrid w:linePitch="323" w:charSpace="0"/>
        </w:sectPr>
      </w:pPr>
    </w:p>
    <w:p w14:paraId="1D46848F">
      <w:pPr>
        <w:autoSpaceDE w:val="0"/>
        <w:autoSpaceDN w:val="0"/>
        <w:snapToGrid w:val="0"/>
        <w:spacing w:line="420" w:lineRule="exact"/>
        <w:jc w:val="center"/>
        <w:rPr>
          <w:rFonts w:hint="eastAsia" w:hAnsi="宋体"/>
          <w:color w:val="auto"/>
          <w:sz w:val="36"/>
          <w:szCs w:val="36"/>
          <w:highlight w:val="none"/>
        </w:rPr>
      </w:pPr>
    </w:p>
    <w:p w14:paraId="02AE1511">
      <w:pPr>
        <w:autoSpaceDE w:val="0"/>
        <w:autoSpaceDN w:val="0"/>
        <w:snapToGrid w:val="0"/>
        <w:spacing w:line="420" w:lineRule="exact"/>
        <w:jc w:val="center"/>
        <w:rPr>
          <w:rFonts w:hint="eastAsia" w:hAnsi="宋体"/>
          <w:color w:val="auto"/>
          <w:sz w:val="36"/>
          <w:szCs w:val="36"/>
          <w:highlight w:val="none"/>
        </w:rPr>
      </w:pPr>
    </w:p>
    <w:p w14:paraId="74316CF6">
      <w:pPr>
        <w:autoSpaceDE w:val="0"/>
        <w:autoSpaceDN w:val="0"/>
        <w:snapToGrid w:val="0"/>
        <w:spacing w:line="420" w:lineRule="exact"/>
        <w:jc w:val="center"/>
        <w:rPr>
          <w:rFonts w:hint="eastAsia" w:hAnsi="宋体"/>
          <w:color w:val="auto"/>
          <w:sz w:val="36"/>
          <w:szCs w:val="36"/>
          <w:highlight w:val="none"/>
        </w:rPr>
      </w:pPr>
    </w:p>
    <w:p w14:paraId="1FC02118">
      <w:pPr>
        <w:autoSpaceDE w:val="0"/>
        <w:autoSpaceDN w:val="0"/>
        <w:snapToGrid w:val="0"/>
        <w:spacing w:line="420" w:lineRule="exact"/>
        <w:jc w:val="center"/>
        <w:rPr>
          <w:rFonts w:hint="eastAsia" w:hAnsi="宋体"/>
          <w:color w:val="auto"/>
          <w:sz w:val="36"/>
          <w:szCs w:val="36"/>
          <w:highlight w:val="none"/>
        </w:rPr>
      </w:pPr>
    </w:p>
    <w:p w14:paraId="4D0D11A2">
      <w:pPr>
        <w:autoSpaceDE w:val="0"/>
        <w:autoSpaceDN w:val="0"/>
        <w:snapToGrid w:val="0"/>
        <w:spacing w:line="420" w:lineRule="exact"/>
        <w:jc w:val="center"/>
        <w:rPr>
          <w:rFonts w:hint="eastAsia" w:hAnsi="宋体"/>
          <w:color w:val="auto"/>
          <w:sz w:val="36"/>
          <w:szCs w:val="36"/>
          <w:highlight w:val="none"/>
        </w:rPr>
      </w:pPr>
    </w:p>
    <w:p w14:paraId="5D69A1A0">
      <w:pPr>
        <w:autoSpaceDE w:val="0"/>
        <w:autoSpaceDN w:val="0"/>
        <w:snapToGrid w:val="0"/>
        <w:spacing w:line="420" w:lineRule="exact"/>
        <w:jc w:val="center"/>
        <w:rPr>
          <w:rFonts w:hint="eastAsia" w:hAnsi="宋体"/>
          <w:color w:val="auto"/>
          <w:sz w:val="36"/>
          <w:szCs w:val="36"/>
          <w:highlight w:val="none"/>
        </w:rPr>
      </w:pPr>
    </w:p>
    <w:p w14:paraId="013F0428">
      <w:pPr>
        <w:autoSpaceDE w:val="0"/>
        <w:autoSpaceDN w:val="0"/>
        <w:snapToGrid w:val="0"/>
        <w:spacing w:line="420" w:lineRule="exact"/>
        <w:jc w:val="center"/>
        <w:rPr>
          <w:rFonts w:hint="eastAsia" w:hAnsi="宋体"/>
          <w:color w:val="auto"/>
          <w:sz w:val="36"/>
          <w:szCs w:val="36"/>
          <w:highlight w:val="none"/>
        </w:rPr>
      </w:pPr>
    </w:p>
    <w:p w14:paraId="4A02FA2B">
      <w:pPr>
        <w:autoSpaceDE w:val="0"/>
        <w:autoSpaceDN w:val="0"/>
        <w:snapToGrid w:val="0"/>
        <w:spacing w:line="420" w:lineRule="exact"/>
        <w:jc w:val="center"/>
        <w:rPr>
          <w:rFonts w:hint="eastAsia" w:hAnsi="宋体"/>
          <w:color w:val="auto"/>
          <w:sz w:val="36"/>
          <w:szCs w:val="36"/>
          <w:highlight w:val="none"/>
        </w:rPr>
      </w:pPr>
    </w:p>
    <w:p w14:paraId="7DDBE36D">
      <w:pPr>
        <w:autoSpaceDE w:val="0"/>
        <w:autoSpaceDN w:val="0"/>
        <w:snapToGrid w:val="0"/>
        <w:spacing w:line="420" w:lineRule="exact"/>
        <w:jc w:val="both"/>
        <w:rPr>
          <w:rFonts w:hint="eastAsia" w:hAnsi="宋体"/>
          <w:color w:val="auto"/>
          <w:sz w:val="36"/>
          <w:szCs w:val="36"/>
          <w:highlight w:val="none"/>
        </w:rPr>
      </w:pPr>
    </w:p>
    <w:p w14:paraId="55C9A54D">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844EC9F">
      <w:pPr>
        <w:pStyle w:val="40"/>
        <w:snapToGrid w:val="0"/>
        <w:spacing w:line="500" w:lineRule="exact"/>
        <w:rPr>
          <w:rFonts w:hAnsi="宋体"/>
          <w:color w:val="auto"/>
          <w:sz w:val="30"/>
          <w:highlight w:val="none"/>
        </w:rPr>
      </w:pPr>
    </w:p>
    <w:p w14:paraId="3C3BFED1">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7C938715">
      <w:pPr>
        <w:spacing w:line="360" w:lineRule="auto"/>
        <w:ind w:firstLine="424" w:firstLineChars="151"/>
        <w:rPr>
          <w:rFonts w:ascii="仿宋" w:hAnsi="仿宋" w:eastAsia="仿宋"/>
          <w:b/>
          <w:color w:val="auto"/>
          <w:sz w:val="28"/>
          <w:szCs w:val="22"/>
          <w:highlight w:val="none"/>
        </w:rPr>
      </w:pPr>
    </w:p>
    <w:p w14:paraId="064C45CC">
      <w:pPr>
        <w:spacing w:line="360" w:lineRule="auto"/>
        <w:ind w:firstLine="424" w:firstLineChars="151"/>
        <w:rPr>
          <w:rFonts w:ascii="仿宋" w:hAnsi="仿宋" w:eastAsia="仿宋"/>
          <w:b/>
          <w:color w:val="auto"/>
          <w:sz w:val="28"/>
          <w:szCs w:val="22"/>
          <w:highlight w:val="none"/>
        </w:rPr>
      </w:pPr>
    </w:p>
    <w:p w14:paraId="66AFD6DF">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5D3657D7">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0D2AA16">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539158A5">
      <w:pPr>
        <w:pStyle w:val="27"/>
        <w:rPr>
          <w:color w:val="auto"/>
          <w:highlight w:val="none"/>
        </w:rPr>
      </w:pPr>
      <w:bookmarkStart w:id="543" w:name="_Toc24550049"/>
      <w:bookmarkStart w:id="544" w:name="_Toc30408914"/>
    </w:p>
    <w:p w14:paraId="3E19462F">
      <w:pPr>
        <w:pStyle w:val="33"/>
        <w:rPr>
          <w:color w:val="auto"/>
          <w:highlight w:val="none"/>
        </w:rPr>
      </w:pPr>
    </w:p>
    <w:bookmarkEnd w:id="543"/>
    <w:bookmarkEnd w:id="544"/>
    <w:p w14:paraId="0AEF75AF">
      <w:pPr>
        <w:pStyle w:val="27"/>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5F24F7F">
      <w:pPr>
        <w:pStyle w:val="28"/>
        <w:rPr>
          <w:rFonts w:hint="eastAsia"/>
          <w:color w:val="auto"/>
          <w:highlight w:val="none"/>
        </w:rPr>
      </w:pPr>
      <w:r>
        <w:rPr>
          <w:rFonts w:hint="eastAsia"/>
          <w:color w:val="auto"/>
          <w:highlight w:val="none"/>
        </w:rPr>
        <w:t>1.1 “资格文件”封面</w:t>
      </w:r>
    </w:p>
    <w:p w14:paraId="477F8DD1">
      <w:pPr>
        <w:spacing w:line="360" w:lineRule="auto"/>
        <w:jc w:val="right"/>
        <w:rPr>
          <w:rFonts w:ascii="Arial" w:hAnsi="Arial" w:eastAsia="新宋体"/>
          <w:b/>
          <w:color w:val="auto"/>
          <w:sz w:val="32"/>
          <w:szCs w:val="22"/>
          <w:highlight w:val="none"/>
        </w:rPr>
      </w:pPr>
    </w:p>
    <w:p w14:paraId="3E1A24DE">
      <w:pPr>
        <w:pStyle w:val="79"/>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农村综合生活配套提升项目</w:t>
      </w:r>
    </w:p>
    <w:p w14:paraId="2A41FF66">
      <w:pPr>
        <w:spacing w:line="360" w:lineRule="auto"/>
        <w:jc w:val="center"/>
        <w:rPr>
          <w:rFonts w:ascii="Arial" w:hAnsi="Arial" w:eastAsia="新宋体"/>
          <w:b/>
          <w:color w:val="auto"/>
          <w:sz w:val="52"/>
          <w:szCs w:val="22"/>
          <w:highlight w:val="none"/>
        </w:rPr>
      </w:pPr>
    </w:p>
    <w:p w14:paraId="6A0B407D">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7D5886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5C1CF32B">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2BC633E8">
        <w:tblPrEx>
          <w:tblCellMar>
            <w:top w:w="0" w:type="dxa"/>
            <w:left w:w="108" w:type="dxa"/>
            <w:bottom w:w="0" w:type="dxa"/>
            <w:right w:w="108" w:type="dxa"/>
          </w:tblCellMar>
        </w:tblPrEx>
        <w:trPr>
          <w:trHeight w:val="680" w:hRule="atLeast"/>
        </w:trPr>
        <w:tc>
          <w:tcPr>
            <w:tcW w:w="8789" w:type="dxa"/>
            <w:vAlign w:val="center"/>
          </w:tcPr>
          <w:p w14:paraId="698AD9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0280FC5">
        <w:tblPrEx>
          <w:tblCellMar>
            <w:top w:w="0" w:type="dxa"/>
            <w:left w:w="108" w:type="dxa"/>
            <w:bottom w:w="0" w:type="dxa"/>
            <w:right w:w="108" w:type="dxa"/>
          </w:tblCellMar>
        </w:tblPrEx>
        <w:trPr>
          <w:trHeight w:val="680" w:hRule="atLeast"/>
        </w:trPr>
        <w:tc>
          <w:tcPr>
            <w:tcW w:w="8789" w:type="dxa"/>
            <w:vAlign w:val="center"/>
          </w:tcPr>
          <w:p w14:paraId="4A1D2E8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52D6D71B">
        <w:tblPrEx>
          <w:tblCellMar>
            <w:top w:w="0" w:type="dxa"/>
            <w:left w:w="108" w:type="dxa"/>
            <w:bottom w:w="0" w:type="dxa"/>
            <w:right w:w="108" w:type="dxa"/>
          </w:tblCellMar>
        </w:tblPrEx>
        <w:trPr>
          <w:trHeight w:val="680" w:hRule="atLeast"/>
        </w:trPr>
        <w:tc>
          <w:tcPr>
            <w:tcW w:w="8789" w:type="dxa"/>
            <w:vAlign w:val="center"/>
          </w:tcPr>
          <w:p w14:paraId="5108465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3B2D73F">
        <w:tblPrEx>
          <w:tblCellMar>
            <w:top w:w="0" w:type="dxa"/>
            <w:left w:w="108" w:type="dxa"/>
            <w:bottom w:w="0" w:type="dxa"/>
            <w:right w:w="108" w:type="dxa"/>
          </w:tblCellMar>
        </w:tblPrEx>
        <w:trPr>
          <w:trHeight w:val="680" w:hRule="atLeast"/>
        </w:trPr>
        <w:tc>
          <w:tcPr>
            <w:tcW w:w="8789" w:type="dxa"/>
            <w:vAlign w:val="center"/>
          </w:tcPr>
          <w:p w14:paraId="51A552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FE687E2">
        <w:tblPrEx>
          <w:tblCellMar>
            <w:top w:w="0" w:type="dxa"/>
            <w:left w:w="108" w:type="dxa"/>
            <w:bottom w:w="0" w:type="dxa"/>
            <w:right w:w="108" w:type="dxa"/>
          </w:tblCellMar>
        </w:tblPrEx>
        <w:trPr>
          <w:trHeight w:val="680" w:hRule="atLeast"/>
        </w:trPr>
        <w:tc>
          <w:tcPr>
            <w:tcW w:w="8789" w:type="dxa"/>
            <w:vAlign w:val="center"/>
          </w:tcPr>
          <w:p w14:paraId="571DFB2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69724863">
      <w:pPr>
        <w:pStyle w:val="28"/>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6D08EAC4">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5849F5B1">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平阳县萧江新农村建设投资有限公司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2364E37">
      <w:pPr>
        <w:pStyle w:val="50"/>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2539A32C">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1656026E">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1B43EDD0">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7971DD73">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17DD7135">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02033D0A">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51A22FB2">
      <w:pPr>
        <w:pStyle w:val="5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2B8A86">
      <w:pPr>
        <w:pStyle w:val="50"/>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3DE8721E">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3123162B">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0FE67436">
      <w:pPr>
        <w:pStyle w:val="28"/>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81CB8FE">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2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EB144D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43AC04EC">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2CD5DA09">
            <w:pPr>
              <w:spacing w:line="276" w:lineRule="auto"/>
              <w:rPr>
                <w:rFonts w:ascii="仿宋" w:hAnsi="仿宋" w:eastAsia="仿宋"/>
                <w:b/>
                <w:color w:val="auto"/>
                <w:sz w:val="22"/>
                <w:szCs w:val="28"/>
                <w:highlight w:val="none"/>
              </w:rPr>
            </w:pPr>
          </w:p>
          <w:p w14:paraId="739DD362">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74ADE303">
            <w:pPr>
              <w:spacing w:line="276" w:lineRule="auto"/>
              <w:rPr>
                <w:rFonts w:ascii="仿宋" w:hAnsi="仿宋" w:eastAsia="仿宋"/>
                <w:color w:val="auto"/>
                <w:sz w:val="22"/>
                <w:szCs w:val="28"/>
                <w:highlight w:val="none"/>
              </w:rPr>
            </w:pPr>
          </w:p>
          <w:p w14:paraId="5EE92F7A">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9D09ED1">
      <w:pPr>
        <w:spacing w:line="360" w:lineRule="auto"/>
        <w:rPr>
          <w:rFonts w:ascii="Arial" w:hAnsi="Arial" w:eastAsia="新宋体"/>
          <w:i/>
          <w:color w:val="auto"/>
          <w:sz w:val="22"/>
          <w:szCs w:val="22"/>
          <w:highlight w:val="none"/>
        </w:rPr>
      </w:pPr>
    </w:p>
    <w:p w14:paraId="7CD6EA8B">
      <w:pPr>
        <w:rPr>
          <w:color w:val="auto"/>
          <w:highlight w:val="none"/>
        </w:rPr>
      </w:pPr>
    </w:p>
    <w:p w14:paraId="02479585">
      <w:pPr>
        <w:autoSpaceDE w:val="0"/>
        <w:autoSpaceDN w:val="0"/>
        <w:adjustRightInd w:val="0"/>
        <w:snapToGrid w:val="0"/>
        <w:spacing w:line="460" w:lineRule="exact"/>
        <w:textAlignment w:val="bottom"/>
        <w:rPr>
          <w:rFonts w:hint="eastAsia" w:ascii="Calibri" w:hAnsi="Calibri" w:eastAsia="宋体" w:cs="Times New Roman"/>
          <w:b/>
          <w:bCs/>
          <w:color w:val="auto"/>
          <w:kern w:val="2"/>
          <w:sz w:val="32"/>
          <w:szCs w:val="32"/>
          <w:highlight w:val="none"/>
          <w:lang w:val="en-US" w:eastAsia="zh-CN" w:bidi="ar-SA"/>
        </w:rPr>
      </w:pPr>
    </w:p>
    <w:p w14:paraId="1A17CF83">
      <w:pPr>
        <w:autoSpaceDE w:val="0"/>
        <w:autoSpaceDN w:val="0"/>
        <w:adjustRightInd w:val="0"/>
        <w:snapToGrid w:val="0"/>
        <w:spacing w:line="460" w:lineRule="exact"/>
        <w:textAlignment w:val="bottom"/>
        <w:rPr>
          <w:rFonts w:hint="eastAsia" w:ascii="Times New Roman" w:hAnsi="Times New Roman" w:eastAsia="宋体" w:cs="Times New Roman"/>
          <w:color w:val="auto"/>
          <w:sz w:val="22"/>
          <w:szCs w:val="22"/>
          <w:highlight w:val="none"/>
          <w:lang w:val="en-US" w:eastAsia="zh-CN"/>
        </w:rPr>
      </w:pPr>
      <w:r>
        <w:rPr>
          <w:rFonts w:hint="eastAsia" w:ascii="Calibri" w:hAnsi="Calibri" w:eastAsia="宋体" w:cs="Times New Roman"/>
          <w:b/>
          <w:bCs/>
          <w:color w:val="auto"/>
          <w:kern w:val="2"/>
          <w:sz w:val="32"/>
          <w:szCs w:val="32"/>
          <w:highlight w:val="none"/>
          <w:lang w:val="en-US" w:eastAsia="zh-CN" w:bidi="ar-SA"/>
        </w:rPr>
        <w:t>1.4、建筑装修装饰工程专业承包二级及以上资质，且具有有效期内的安全生产许可证。</w:t>
      </w:r>
    </w:p>
    <w:p w14:paraId="4463EF6B">
      <w:pPr>
        <w:spacing w:line="360" w:lineRule="auto"/>
        <w:jc w:val="center"/>
        <w:rPr>
          <w:rFonts w:ascii="华文中宋" w:hAnsi="华文中宋" w:eastAsia="华文中宋"/>
          <w:b/>
          <w:color w:val="auto"/>
          <w:sz w:val="44"/>
          <w:szCs w:val="44"/>
          <w:highlight w:val="none"/>
        </w:rPr>
      </w:pPr>
      <w:r>
        <w:rPr>
          <w:rFonts w:hint="eastAsia" w:ascii="Calibri" w:hAnsi="Calibri" w:eastAsia="宋体" w:cs="Times New Roman"/>
          <w:b/>
          <w:bCs/>
          <w:color w:val="auto"/>
          <w:kern w:val="2"/>
          <w:sz w:val="32"/>
          <w:szCs w:val="32"/>
          <w:highlight w:val="none"/>
          <w:lang w:val="en-US" w:eastAsia="zh-CN" w:bidi="ar-SA"/>
        </w:rPr>
        <w:t>建筑装修装饰工程专业承包二级及以上资质，且具有有效期内的安全生产许可证。</w:t>
      </w:r>
    </w:p>
    <w:tbl>
      <w:tblPr>
        <w:tblStyle w:val="2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ED9FB3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D638FFB">
            <w:pPr>
              <w:spacing w:line="276" w:lineRule="auto"/>
              <w:rPr>
                <w:rFonts w:hint="eastAsia" w:ascii="仿宋" w:hAnsi="仿宋" w:eastAsia="仿宋" w:cs="Arial"/>
                <w:b/>
                <w:color w:val="auto"/>
                <w:sz w:val="22"/>
                <w:szCs w:val="28"/>
                <w:highlight w:val="none"/>
              </w:rPr>
            </w:pPr>
            <w:r>
              <w:rPr>
                <w:rFonts w:hint="eastAsia" w:ascii="仿宋" w:hAnsi="仿宋" w:eastAsia="仿宋" w:cs="Arial"/>
                <w:b/>
                <w:color w:val="auto"/>
                <w:sz w:val="22"/>
                <w:szCs w:val="28"/>
                <w:highlight w:val="none"/>
              </w:rPr>
              <w:t>资格要求：</w:t>
            </w:r>
            <w:r>
              <w:rPr>
                <w:rFonts w:hint="eastAsia" w:ascii="仿宋" w:hAnsi="仿宋" w:eastAsia="仿宋" w:cs="Arial"/>
                <w:b/>
                <w:color w:val="auto"/>
                <w:sz w:val="22"/>
                <w:szCs w:val="28"/>
                <w:highlight w:val="none"/>
                <w:lang w:val="en-US" w:eastAsia="zh-CN"/>
              </w:rPr>
              <w:t>具有有效期内的建筑装修装饰工程专业承包二级及以上资质，且具有有效期内的安全生产许可证。</w:t>
            </w:r>
          </w:p>
          <w:p w14:paraId="7B27391D">
            <w:pPr>
              <w:spacing w:line="276" w:lineRule="auto"/>
              <w:rPr>
                <w:rFonts w:ascii="仿宋" w:hAnsi="仿宋" w:eastAsia="仿宋"/>
                <w:b/>
                <w:color w:val="auto"/>
                <w:sz w:val="22"/>
                <w:szCs w:val="28"/>
                <w:highlight w:val="none"/>
              </w:rPr>
            </w:pPr>
          </w:p>
          <w:p w14:paraId="64F5CEAC">
            <w:pPr>
              <w:spacing w:line="360" w:lineRule="auto"/>
              <w:rPr>
                <w:rFonts w:ascii="仿宋" w:hAnsi="仿宋" w:eastAsia="仿宋" w:cs="Arial"/>
                <w:color w:val="auto"/>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lang w:val="en-US" w:eastAsia="zh-CN"/>
              </w:rPr>
              <w:t>资质证书及安全生产许可证</w:t>
            </w:r>
            <w:r>
              <w:rPr>
                <w:rFonts w:hint="eastAsia" w:ascii="仿宋" w:hAnsi="仿宋" w:eastAsia="仿宋"/>
                <w:color w:val="auto"/>
                <w:sz w:val="22"/>
                <w:szCs w:val="28"/>
                <w:highlight w:val="none"/>
              </w:rPr>
              <w:t>（提供</w:t>
            </w:r>
            <w:r>
              <w:rPr>
                <w:rFonts w:hint="eastAsia" w:ascii="仿宋" w:hAnsi="仿宋" w:eastAsia="仿宋" w:cs="Arial"/>
                <w:color w:val="auto"/>
                <w:sz w:val="22"/>
                <w:szCs w:val="28"/>
                <w:highlight w:val="none"/>
              </w:rPr>
              <w:t>复制件</w:t>
            </w:r>
            <w:r>
              <w:rPr>
                <w:rFonts w:hint="eastAsia" w:ascii="仿宋" w:hAnsi="仿宋" w:eastAsia="仿宋"/>
                <w:color w:val="auto"/>
                <w:sz w:val="22"/>
                <w:szCs w:val="28"/>
                <w:highlight w:val="none"/>
              </w:rPr>
              <w:t>加盖供应商公章）</w:t>
            </w:r>
            <w:r>
              <w:rPr>
                <w:rFonts w:hint="eastAsia" w:ascii="仿宋" w:hAnsi="仿宋" w:eastAsia="仿宋" w:cs="Arial"/>
                <w:color w:val="auto"/>
                <w:sz w:val="22"/>
                <w:szCs w:val="28"/>
                <w:highlight w:val="none"/>
              </w:rPr>
              <w:t>。</w:t>
            </w:r>
          </w:p>
        </w:tc>
      </w:tr>
    </w:tbl>
    <w:p w14:paraId="6693D1E6">
      <w:pPr>
        <w:pStyle w:val="18"/>
        <w:rPr>
          <w:rFonts w:hint="eastAsia"/>
          <w:color w:val="auto"/>
          <w:highlight w:val="none"/>
          <w:lang w:val="en-US" w:eastAsia="zh-CN"/>
        </w:rPr>
      </w:pPr>
    </w:p>
    <w:p w14:paraId="2F759A6E">
      <w:pPr>
        <w:shd w:val="clear" w:color="auto" w:fill="FFFFFF"/>
        <w:snapToGrid w:val="0"/>
        <w:spacing w:line="360" w:lineRule="auto"/>
        <w:jc w:val="both"/>
        <w:rPr>
          <w:rFonts w:ascii="Arial" w:hAnsi="新宋体" w:eastAsia="新宋体"/>
          <w:color w:val="auto"/>
          <w:sz w:val="22"/>
          <w:szCs w:val="22"/>
          <w:highlight w:val="none"/>
        </w:rPr>
      </w:pPr>
    </w:p>
    <w:p w14:paraId="2DABCCD4">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3E8264F1">
      <w:pPr>
        <w:pStyle w:val="29"/>
        <w:rPr>
          <w:rFonts w:hint="eastAsia"/>
          <w:color w:val="auto"/>
          <w:highlight w:val="none"/>
        </w:rPr>
      </w:pPr>
      <w:r>
        <w:rPr>
          <w:rFonts w:hint="eastAsia"/>
          <w:color w:val="auto"/>
          <w:highlight w:val="none"/>
        </w:rPr>
        <w:t>2.1 “报价文件”封面</w:t>
      </w:r>
    </w:p>
    <w:p w14:paraId="7CDB839C">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农村综合生活配套提升项目</w:t>
      </w:r>
    </w:p>
    <w:p w14:paraId="3BF406AD">
      <w:pPr>
        <w:pStyle w:val="72"/>
        <w:rPr>
          <w:color w:val="auto"/>
          <w:highlight w:val="none"/>
        </w:rPr>
      </w:pPr>
    </w:p>
    <w:p w14:paraId="68FB1676">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2CD0927">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691AD24C">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04A95E37">
        <w:tblPrEx>
          <w:tblCellMar>
            <w:top w:w="0" w:type="dxa"/>
            <w:left w:w="108" w:type="dxa"/>
            <w:bottom w:w="0" w:type="dxa"/>
            <w:right w:w="108" w:type="dxa"/>
          </w:tblCellMar>
        </w:tblPrEx>
        <w:trPr>
          <w:trHeight w:val="680" w:hRule="atLeast"/>
        </w:trPr>
        <w:tc>
          <w:tcPr>
            <w:tcW w:w="8789" w:type="dxa"/>
            <w:vAlign w:val="center"/>
          </w:tcPr>
          <w:p w14:paraId="3072AAE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45BE3F33">
        <w:tblPrEx>
          <w:tblCellMar>
            <w:top w:w="0" w:type="dxa"/>
            <w:left w:w="108" w:type="dxa"/>
            <w:bottom w:w="0" w:type="dxa"/>
            <w:right w:w="108" w:type="dxa"/>
          </w:tblCellMar>
        </w:tblPrEx>
        <w:trPr>
          <w:trHeight w:val="680" w:hRule="atLeast"/>
        </w:trPr>
        <w:tc>
          <w:tcPr>
            <w:tcW w:w="8789" w:type="dxa"/>
            <w:vAlign w:val="center"/>
          </w:tcPr>
          <w:p w14:paraId="5FB753A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55AC712">
        <w:tblPrEx>
          <w:tblCellMar>
            <w:top w:w="0" w:type="dxa"/>
            <w:left w:w="108" w:type="dxa"/>
            <w:bottom w:w="0" w:type="dxa"/>
            <w:right w:w="108" w:type="dxa"/>
          </w:tblCellMar>
        </w:tblPrEx>
        <w:trPr>
          <w:trHeight w:val="680" w:hRule="atLeast"/>
        </w:trPr>
        <w:tc>
          <w:tcPr>
            <w:tcW w:w="8789" w:type="dxa"/>
            <w:vAlign w:val="center"/>
          </w:tcPr>
          <w:p w14:paraId="46E3FB0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72F93DC">
        <w:tblPrEx>
          <w:tblCellMar>
            <w:top w:w="0" w:type="dxa"/>
            <w:left w:w="108" w:type="dxa"/>
            <w:bottom w:w="0" w:type="dxa"/>
            <w:right w:w="108" w:type="dxa"/>
          </w:tblCellMar>
        </w:tblPrEx>
        <w:trPr>
          <w:trHeight w:val="680" w:hRule="atLeast"/>
        </w:trPr>
        <w:tc>
          <w:tcPr>
            <w:tcW w:w="8789" w:type="dxa"/>
            <w:vAlign w:val="center"/>
          </w:tcPr>
          <w:p w14:paraId="3251B9A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1EA76EC5">
        <w:tblPrEx>
          <w:tblCellMar>
            <w:top w:w="0" w:type="dxa"/>
            <w:left w:w="108" w:type="dxa"/>
            <w:bottom w:w="0" w:type="dxa"/>
            <w:right w:w="108" w:type="dxa"/>
          </w:tblCellMar>
        </w:tblPrEx>
        <w:trPr>
          <w:trHeight w:val="680" w:hRule="atLeast"/>
        </w:trPr>
        <w:tc>
          <w:tcPr>
            <w:tcW w:w="8789" w:type="dxa"/>
            <w:vAlign w:val="center"/>
          </w:tcPr>
          <w:p w14:paraId="6A8D200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61439A07">
        <w:tblPrEx>
          <w:tblCellMar>
            <w:top w:w="0" w:type="dxa"/>
            <w:left w:w="108" w:type="dxa"/>
            <w:bottom w:w="0" w:type="dxa"/>
            <w:right w:w="108" w:type="dxa"/>
          </w:tblCellMar>
        </w:tblPrEx>
        <w:trPr>
          <w:trHeight w:val="335" w:hRule="atLeast"/>
        </w:trPr>
        <w:tc>
          <w:tcPr>
            <w:tcW w:w="8789" w:type="dxa"/>
            <w:vAlign w:val="center"/>
          </w:tcPr>
          <w:p w14:paraId="49927CB1">
            <w:pPr>
              <w:rPr>
                <w:rFonts w:ascii="仿宋" w:hAnsi="仿宋" w:eastAsia="仿宋"/>
                <w:color w:val="auto"/>
                <w:sz w:val="28"/>
                <w:szCs w:val="28"/>
                <w:highlight w:val="none"/>
              </w:rPr>
            </w:pPr>
          </w:p>
        </w:tc>
      </w:tr>
      <w:tr w14:paraId="25506A6C">
        <w:tblPrEx>
          <w:tblCellMar>
            <w:top w:w="0" w:type="dxa"/>
            <w:left w:w="108" w:type="dxa"/>
            <w:bottom w:w="0" w:type="dxa"/>
            <w:right w:w="108" w:type="dxa"/>
          </w:tblCellMar>
        </w:tblPrEx>
        <w:trPr>
          <w:trHeight w:val="680" w:hRule="atLeast"/>
        </w:trPr>
        <w:tc>
          <w:tcPr>
            <w:tcW w:w="8789" w:type="dxa"/>
            <w:vAlign w:val="center"/>
          </w:tcPr>
          <w:p w14:paraId="176A894C">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28544D53">
      <w:pPr>
        <w:autoSpaceDE w:val="0"/>
        <w:autoSpaceDN w:val="0"/>
        <w:snapToGrid w:val="0"/>
        <w:spacing w:line="360" w:lineRule="atLeast"/>
        <w:rPr>
          <w:color w:val="auto"/>
          <w:highlight w:val="none"/>
        </w:rPr>
        <w:sectPr>
          <w:headerReference r:id="rId9" w:type="first"/>
          <w:footerReference r:id="rId11" w:type="first"/>
          <w:headerReference r:id="rId8" w:type="default"/>
          <w:footerReference r:id="rId10"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88C5624">
      <w:pPr>
        <w:pStyle w:val="40"/>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6103AC99">
      <w:pPr>
        <w:pStyle w:val="40"/>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45522423">
      <w:pPr>
        <w:pStyle w:val="40"/>
        <w:snapToGrid w:val="0"/>
        <w:spacing w:line="400" w:lineRule="exact"/>
        <w:rPr>
          <w:rFonts w:hAnsi="宋体"/>
          <w:color w:val="auto"/>
          <w:sz w:val="36"/>
          <w:szCs w:val="36"/>
          <w:highlight w:val="none"/>
        </w:rPr>
      </w:pPr>
    </w:p>
    <w:p w14:paraId="0BF30110">
      <w:pPr>
        <w:pStyle w:val="40"/>
        <w:snapToGrid w:val="0"/>
        <w:spacing w:line="400" w:lineRule="exact"/>
        <w:rPr>
          <w:rFonts w:hint="eastAsia" w:hAnsi="宋体"/>
          <w:color w:val="auto"/>
          <w:sz w:val="24"/>
          <w:highlight w:val="none"/>
        </w:rPr>
      </w:pPr>
    </w:p>
    <w:p w14:paraId="2303384D">
      <w:pPr>
        <w:pStyle w:val="40"/>
        <w:snapToGrid w:val="0"/>
        <w:spacing w:line="400" w:lineRule="exact"/>
        <w:rPr>
          <w:rFonts w:hint="eastAsia" w:hAnsi="宋体"/>
          <w:color w:val="auto"/>
          <w:sz w:val="24"/>
          <w:highlight w:val="none"/>
        </w:rPr>
      </w:pPr>
    </w:p>
    <w:p w14:paraId="0D3F24AF">
      <w:pPr>
        <w:pStyle w:val="40"/>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PYCG250731079</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6A1CB7">
      <w:pPr>
        <w:pStyle w:val="40"/>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农村综合生活配套提升项目</w:t>
      </w:r>
    </w:p>
    <w:tbl>
      <w:tblPr>
        <w:tblStyle w:val="20"/>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5225F3E7">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CD56D8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20E05599">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折扣率</w:t>
            </w:r>
          </w:p>
        </w:tc>
        <w:tc>
          <w:tcPr>
            <w:tcW w:w="2831" w:type="dxa"/>
            <w:tcBorders>
              <w:top w:val="single" w:color="000000" w:sz="4" w:space="0"/>
              <w:left w:val="single" w:color="000000" w:sz="4" w:space="0"/>
              <w:bottom w:val="single" w:color="000000" w:sz="4" w:space="0"/>
              <w:right w:val="single" w:color="000000" w:sz="4" w:space="0"/>
            </w:tcBorders>
            <w:vAlign w:val="center"/>
          </w:tcPr>
          <w:p w14:paraId="5B4E9055">
            <w:pPr>
              <w:jc w:val="center"/>
              <w:rPr>
                <w:rFonts w:hint="eastAsia" w:ascii="宋体" w:hAnsi="宋体"/>
                <w:color w:val="auto"/>
                <w:sz w:val="24"/>
                <w:highlight w:val="none"/>
              </w:rPr>
            </w:pPr>
            <w:r>
              <w:rPr>
                <w:rFonts w:hint="eastAsia" w:ascii="宋体" w:hAnsi="宋体"/>
                <w:color w:val="auto"/>
                <w:sz w:val="24"/>
                <w:highlight w:val="none"/>
              </w:rPr>
              <w:t>备注</w:t>
            </w:r>
          </w:p>
        </w:tc>
      </w:tr>
      <w:tr w14:paraId="3EE5C30D">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6B81940F">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农村综合生活配套提升项目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30CAC15A">
            <w:pPr>
              <w:pStyle w:val="26"/>
              <w:jc w:val="center"/>
              <w:rPr>
                <w:rFonts w:hint="eastAsia" w:ascii="宋体" w:hAnsi="宋体" w:eastAsia="宋体"/>
                <w:b w:val="0"/>
                <w:color w:val="auto"/>
                <w:sz w:val="24"/>
                <w:highlight w:val="none"/>
                <w:lang w:eastAsia="zh-CN"/>
              </w:rPr>
            </w:pPr>
            <w:r>
              <w:rPr>
                <w:rFonts w:hint="eastAsia"/>
                <w:color w:val="auto"/>
                <w:sz w:val="24"/>
                <w:highlight w:val="none"/>
                <w:lang w:val="en-US" w:eastAsia="zh-CN"/>
              </w:rPr>
              <w:t>%</w:t>
            </w:r>
          </w:p>
        </w:tc>
        <w:tc>
          <w:tcPr>
            <w:tcW w:w="2831" w:type="dxa"/>
            <w:tcBorders>
              <w:top w:val="single" w:color="000000" w:sz="4" w:space="0"/>
              <w:left w:val="single" w:color="000000" w:sz="4" w:space="0"/>
              <w:bottom w:val="single" w:color="000000" w:sz="4" w:space="0"/>
              <w:right w:val="single" w:color="000000" w:sz="4" w:space="0"/>
            </w:tcBorders>
            <w:vAlign w:val="center"/>
          </w:tcPr>
          <w:p w14:paraId="6E1C4707">
            <w:pPr>
              <w:jc w:val="center"/>
              <w:rPr>
                <w:rFonts w:hint="eastAsia" w:ascii="宋体" w:hAnsi="宋体" w:eastAsia="宋体"/>
                <w:color w:val="auto"/>
                <w:sz w:val="24"/>
                <w:highlight w:val="none"/>
              </w:rPr>
            </w:pPr>
          </w:p>
        </w:tc>
      </w:tr>
    </w:tbl>
    <w:p w14:paraId="354C20F2">
      <w:pPr>
        <w:autoSpaceDE w:val="0"/>
        <w:autoSpaceDN w:val="0"/>
        <w:adjustRightInd w:val="0"/>
        <w:snapToGrid w:val="0"/>
        <w:spacing w:line="480" w:lineRule="exact"/>
        <w:textAlignment w:val="baseline"/>
        <w:rPr>
          <w:rFonts w:hint="eastAsia"/>
          <w:bCs/>
          <w:color w:val="auto"/>
          <w:sz w:val="22"/>
          <w:szCs w:val="22"/>
          <w:highlight w:val="none"/>
        </w:rPr>
      </w:pPr>
      <w:r>
        <w:rPr>
          <w:rFonts w:hint="eastAsia"/>
          <w:bCs/>
          <w:color w:val="auto"/>
          <w:sz w:val="22"/>
          <w:szCs w:val="22"/>
          <w:highlight w:val="none"/>
        </w:rPr>
        <w:t>▲投标供应商的报价包含在承包区域内所需的一切人员工资、奖金、各种加班费、餐费、饮用水、各种社会保险、食宿与交通、服装、安全、仓储、运输（包括垃圾外运）、管理费用、税费、利润、招标代理服务费、完成合同所需的一切本身和不可或缺的所有工作开支、政策性文件规定及合同包含的所有风险、责任等各项全部费用并承担一切风险责任。</w:t>
      </w:r>
    </w:p>
    <w:p w14:paraId="55C1EBBC">
      <w:pPr>
        <w:autoSpaceDE w:val="0"/>
        <w:autoSpaceDN w:val="0"/>
        <w:adjustRightInd w:val="0"/>
        <w:snapToGrid w:val="0"/>
        <w:spacing w:line="480" w:lineRule="exact"/>
        <w:textAlignment w:val="baseline"/>
        <w:rPr>
          <w:rFonts w:hint="eastAsia"/>
          <w:bCs/>
          <w:color w:val="auto"/>
          <w:sz w:val="22"/>
          <w:szCs w:val="22"/>
          <w:highlight w:val="none"/>
        </w:rPr>
      </w:pPr>
      <w:r>
        <w:rPr>
          <w:rFonts w:hint="eastAsia"/>
          <w:bCs/>
          <w:color w:val="auto"/>
          <w:sz w:val="22"/>
          <w:szCs w:val="22"/>
          <w:highlight w:val="none"/>
        </w:rPr>
        <w:t>▲不提供此表格的将视为没有实质性响应招标文件。</w:t>
      </w:r>
    </w:p>
    <w:p w14:paraId="3E2CCB14">
      <w:pPr>
        <w:autoSpaceDE w:val="0"/>
        <w:autoSpaceDN w:val="0"/>
        <w:adjustRightInd w:val="0"/>
        <w:spacing w:line="440" w:lineRule="atLeast"/>
        <w:rPr>
          <w:rFonts w:hint="eastAsia"/>
          <w:b/>
          <w:bCs/>
          <w:color w:val="auto"/>
          <w:sz w:val="22"/>
          <w:szCs w:val="22"/>
          <w:highlight w:val="none"/>
          <w:lang w:val="zh-CN"/>
        </w:rPr>
      </w:pPr>
      <w:r>
        <w:rPr>
          <w:rFonts w:hint="eastAsia"/>
          <w:bCs/>
          <w:color w:val="auto"/>
          <w:sz w:val="22"/>
          <w:szCs w:val="22"/>
          <w:highlight w:val="none"/>
        </w:rPr>
        <w:t>▲本项目实行统一</w:t>
      </w:r>
      <w:r>
        <w:rPr>
          <w:rFonts w:hint="eastAsia"/>
          <w:bCs/>
          <w:color w:val="auto"/>
          <w:sz w:val="22"/>
          <w:szCs w:val="22"/>
          <w:highlight w:val="none"/>
          <w:lang w:val="en-US" w:eastAsia="zh-CN"/>
        </w:rPr>
        <w:t>折扣率</w:t>
      </w:r>
      <w:r>
        <w:rPr>
          <w:rFonts w:hint="eastAsia"/>
          <w:bCs/>
          <w:color w:val="auto"/>
          <w:sz w:val="22"/>
          <w:szCs w:val="22"/>
          <w:highlight w:val="none"/>
        </w:rPr>
        <w:t>报价方式。最终根据各项服务项目（内容）、工作量及其所对应的中标</w:t>
      </w:r>
      <w:r>
        <w:rPr>
          <w:rFonts w:hint="eastAsia"/>
          <w:bCs/>
          <w:color w:val="auto"/>
          <w:sz w:val="22"/>
          <w:szCs w:val="22"/>
          <w:highlight w:val="none"/>
          <w:lang w:val="en-US" w:eastAsia="zh-CN"/>
        </w:rPr>
        <w:t>折扣率折扣</w:t>
      </w:r>
      <w:r>
        <w:rPr>
          <w:rFonts w:hint="eastAsia"/>
          <w:bCs/>
          <w:color w:val="auto"/>
          <w:sz w:val="22"/>
          <w:szCs w:val="22"/>
          <w:highlight w:val="none"/>
        </w:rPr>
        <w:t>后的单价进行结算。</w:t>
      </w:r>
      <w:r>
        <w:rPr>
          <w:rFonts w:hint="eastAsia"/>
          <w:b/>
          <w:bCs/>
          <w:color w:val="auto"/>
          <w:sz w:val="22"/>
          <w:szCs w:val="22"/>
          <w:highlight w:val="none"/>
        </w:rPr>
        <w:t>本项目结算方式为：中标折扣率*与之对应项目的招标控制价*实际工程量</w:t>
      </w:r>
      <w:r>
        <w:rPr>
          <w:rFonts w:hint="eastAsia"/>
          <w:b/>
          <w:bCs/>
          <w:color w:val="auto"/>
          <w:sz w:val="22"/>
          <w:szCs w:val="22"/>
          <w:highlight w:val="none"/>
          <w:lang w:eastAsia="zh-CN"/>
        </w:rPr>
        <w:t>（</w:t>
      </w:r>
      <w:r>
        <w:rPr>
          <w:rFonts w:hint="eastAsia"/>
          <w:b/>
          <w:bCs/>
          <w:color w:val="auto"/>
          <w:sz w:val="22"/>
          <w:szCs w:val="22"/>
          <w:highlight w:val="none"/>
          <w:lang w:val="en-US" w:eastAsia="zh-CN"/>
        </w:rPr>
        <w:t>若投标折扣率报价=85%，即</w:t>
      </w:r>
      <w:r>
        <w:rPr>
          <w:rFonts w:hint="eastAsia"/>
          <w:b/>
          <w:bCs/>
          <w:color w:val="auto"/>
          <w:sz w:val="22"/>
          <w:szCs w:val="22"/>
          <w:highlight w:val="none"/>
        </w:rPr>
        <w:t>结算方式=0.85*与之对应项目的招标控制价*实际工程量</w:t>
      </w:r>
      <w:r>
        <w:rPr>
          <w:rFonts w:hint="eastAsia"/>
          <w:b/>
          <w:bCs/>
          <w:color w:val="auto"/>
          <w:sz w:val="22"/>
          <w:szCs w:val="22"/>
          <w:highlight w:val="none"/>
          <w:lang w:eastAsia="zh-CN"/>
        </w:rPr>
        <w:t>）</w:t>
      </w:r>
      <w:r>
        <w:rPr>
          <w:rFonts w:hint="eastAsia"/>
          <w:b/>
          <w:bCs/>
          <w:color w:val="auto"/>
          <w:sz w:val="22"/>
          <w:szCs w:val="22"/>
          <w:highlight w:val="none"/>
        </w:rPr>
        <w:t>。招标控制价中的工程量为暂定量，工程完工后按实结算。</w:t>
      </w:r>
    </w:p>
    <w:p w14:paraId="4A10146B">
      <w:pPr>
        <w:autoSpaceDE w:val="0"/>
        <w:autoSpaceDN w:val="0"/>
        <w:adjustRightInd w:val="0"/>
        <w:spacing w:line="440" w:lineRule="atLeast"/>
        <w:rPr>
          <w:rFonts w:hint="eastAsia"/>
          <w:b/>
          <w:bCs/>
          <w:color w:val="auto"/>
          <w:szCs w:val="22"/>
          <w:highlight w:val="none"/>
          <w:lang w:val="zh-CN"/>
        </w:rPr>
      </w:pPr>
      <w:r>
        <w:rPr>
          <w:rFonts w:hint="eastAsia"/>
          <w:b/>
          <w:bCs/>
          <w:color w:val="auto"/>
          <w:sz w:val="22"/>
          <w:szCs w:val="22"/>
          <w:highlight w:val="none"/>
        </w:rPr>
        <w:t>本次采购本项目按照中标价（合同价）一次包干，合同期内采购人不再</w:t>
      </w:r>
      <w:r>
        <w:rPr>
          <w:rFonts w:hint="eastAsia"/>
          <w:b/>
          <w:color w:val="auto"/>
          <w:sz w:val="22"/>
          <w:szCs w:val="22"/>
          <w:highlight w:val="none"/>
        </w:rPr>
        <w:t>另行支付其他费用。</w:t>
      </w:r>
    </w:p>
    <w:p w14:paraId="4285C600">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供应商名称（盖章）：</w:t>
      </w:r>
    </w:p>
    <w:p w14:paraId="44C2CFFF">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法定代表人或授权代表（签字或签章）：</w:t>
      </w:r>
    </w:p>
    <w:p w14:paraId="1B23F949">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47416E2">
      <w:pPr>
        <w:pStyle w:val="40"/>
        <w:snapToGrid w:val="0"/>
        <w:spacing w:line="400" w:lineRule="exact"/>
        <w:jc w:val="left"/>
        <w:rPr>
          <w:rFonts w:hint="eastAsia" w:ascii="宋体" w:hAnsi="宋体" w:eastAsia="宋体"/>
          <w:color w:val="auto"/>
          <w:sz w:val="24"/>
          <w:szCs w:val="24"/>
          <w:highlight w:val="none"/>
        </w:rPr>
      </w:pPr>
    </w:p>
    <w:p w14:paraId="2BFADD83">
      <w:pPr>
        <w:pStyle w:val="40"/>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85CDDBC">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20581359">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03885F8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5AEF741">
      <w:pPr>
        <w:spacing w:line="440" w:lineRule="atLeast"/>
        <w:jc w:val="left"/>
        <w:rPr>
          <w:rFonts w:hint="eastAsia" w:ascii="宋体" w:hAnsi="宋体" w:eastAsia="宋体"/>
          <w:color w:val="auto"/>
          <w:sz w:val="22"/>
          <w:szCs w:val="22"/>
          <w:highlight w:val="none"/>
        </w:rPr>
      </w:pPr>
    </w:p>
    <w:p w14:paraId="0C0C5F13">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61EC657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7A74D2C">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建筑业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AD64CC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CC5718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013B7E3">
      <w:pPr>
        <w:spacing w:line="400" w:lineRule="exact"/>
        <w:ind w:firstLine="440" w:firstLineChars="200"/>
        <w:rPr>
          <w:rFonts w:hint="eastAsia" w:ascii="宋体" w:hAnsi="宋体" w:eastAsia="宋体"/>
          <w:color w:val="auto"/>
          <w:sz w:val="22"/>
          <w:szCs w:val="22"/>
          <w:highlight w:val="none"/>
        </w:rPr>
      </w:pPr>
    </w:p>
    <w:p w14:paraId="2A9D9BA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14B9FB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8EA0D58">
      <w:pPr>
        <w:pStyle w:val="35"/>
        <w:rPr>
          <w:rFonts w:hint="eastAsia" w:ascii="宋体" w:hAnsi="宋体" w:eastAsia="宋体"/>
          <w:color w:val="auto"/>
          <w:highlight w:val="none"/>
          <w:lang w:eastAsia="zh-CN"/>
        </w:rPr>
      </w:pPr>
    </w:p>
    <w:p w14:paraId="453382E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5253EF7E">
      <w:pPr>
        <w:snapToGrid w:val="0"/>
        <w:spacing w:line="360" w:lineRule="auto"/>
        <w:rPr>
          <w:rFonts w:hint="eastAsia" w:ascii="宋体" w:hAnsi="宋体" w:eastAsia="宋体"/>
          <w:b/>
          <w:bCs/>
          <w:color w:val="auto"/>
          <w:highlight w:val="none"/>
        </w:rPr>
      </w:pPr>
    </w:p>
    <w:p w14:paraId="0873BF58">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103ACB3C">
      <w:pPr>
        <w:snapToGrid w:val="0"/>
        <w:spacing w:line="360" w:lineRule="auto"/>
        <w:jc w:val="center"/>
        <w:rPr>
          <w:rFonts w:hint="eastAsia" w:ascii="宋体" w:hAnsi="宋体" w:eastAsia="宋体"/>
          <w:b/>
          <w:color w:val="auto"/>
          <w:highlight w:val="none"/>
        </w:rPr>
      </w:pPr>
    </w:p>
    <w:p w14:paraId="61F89C12">
      <w:pPr>
        <w:snapToGrid w:val="0"/>
        <w:spacing w:line="360" w:lineRule="auto"/>
        <w:jc w:val="center"/>
        <w:rPr>
          <w:rFonts w:hint="eastAsia" w:ascii="宋体" w:hAnsi="宋体" w:eastAsia="宋体"/>
          <w:b/>
          <w:color w:val="auto"/>
          <w:highlight w:val="none"/>
        </w:rPr>
      </w:pPr>
    </w:p>
    <w:p w14:paraId="521690E3">
      <w:pPr>
        <w:snapToGrid w:val="0"/>
        <w:spacing w:line="360" w:lineRule="auto"/>
        <w:jc w:val="center"/>
        <w:rPr>
          <w:rFonts w:hint="eastAsia" w:ascii="宋体" w:hAnsi="宋体" w:eastAsia="宋体"/>
          <w:b/>
          <w:color w:val="auto"/>
          <w:sz w:val="28"/>
          <w:szCs w:val="36"/>
          <w:highlight w:val="none"/>
        </w:rPr>
      </w:pPr>
    </w:p>
    <w:p w14:paraId="41A13F9F">
      <w:pPr>
        <w:snapToGrid w:val="0"/>
        <w:spacing w:line="360" w:lineRule="auto"/>
        <w:jc w:val="center"/>
        <w:rPr>
          <w:rFonts w:hint="eastAsia" w:ascii="宋体" w:hAnsi="宋体" w:eastAsia="宋体"/>
          <w:b/>
          <w:color w:val="auto"/>
          <w:sz w:val="28"/>
          <w:szCs w:val="36"/>
          <w:highlight w:val="none"/>
        </w:rPr>
      </w:pPr>
    </w:p>
    <w:p w14:paraId="3F22F66F">
      <w:pPr>
        <w:pStyle w:val="32"/>
        <w:ind w:left="0" w:leftChars="0" w:firstLine="0" w:firstLineChars="0"/>
        <w:rPr>
          <w:rFonts w:hint="eastAsia"/>
          <w:color w:val="auto"/>
          <w:highlight w:val="none"/>
        </w:rPr>
      </w:pPr>
    </w:p>
    <w:p w14:paraId="55E82A03">
      <w:pPr>
        <w:snapToGrid w:val="0"/>
        <w:spacing w:line="360" w:lineRule="auto"/>
        <w:jc w:val="center"/>
        <w:rPr>
          <w:rFonts w:hint="eastAsia" w:ascii="宋体" w:hAnsi="宋体" w:eastAsia="宋体"/>
          <w:b/>
          <w:color w:val="auto"/>
          <w:sz w:val="28"/>
          <w:szCs w:val="36"/>
          <w:highlight w:val="none"/>
        </w:rPr>
      </w:pPr>
    </w:p>
    <w:p w14:paraId="7B5CD2E3">
      <w:pPr>
        <w:snapToGrid w:val="0"/>
        <w:spacing w:line="360" w:lineRule="auto"/>
        <w:jc w:val="center"/>
        <w:rPr>
          <w:rFonts w:hint="eastAsia" w:ascii="宋体" w:hAnsi="宋体" w:eastAsia="宋体"/>
          <w:b/>
          <w:color w:val="auto"/>
          <w:sz w:val="28"/>
          <w:szCs w:val="36"/>
          <w:highlight w:val="none"/>
        </w:rPr>
      </w:pPr>
    </w:p>
    <w:p w14:paraId="3E3349DE">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4411F382">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38953165">
      <w:pPr>
        <w:snapToGrid w:val="0"/>
        <w:spacing w:line="360" w:lineRule="auto"/>
        <w:ind w:firstLine="420" w:firstLineChars="200"/>
        <w:rPr>
          <w:rFonts w:hint="eastAsia" w:ascii="宋体" w:hAnsi="宋体" w:eastAsia="宋体"/>
          <w:color w:val="auto"/>
          <w:highlight w:val="none"/>
        </w:rPr>
      </w:pPr>
    </w:p>
    <w:p w14:paraId="3D85659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4EAB85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176A1AA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193A3A0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36C07CE8">
      <w:pPr>
        <w:snapToGrid w:val="0"/>
        <w:spacing w:line="360" w:lineRule="auto"/>
        <w:ind w:firstLine="420" w:firstLineChars="200"/>
        <w:rPr>
          <w:rFonts w:hint="eastAsia" w:ascii="宋体" w:hAnsi="宋体" w:eastAsia="宋体"/>
          <w:color w:val="auto"/>
          <w:highlight w:val="none"/>
        </w:rPr>
      </w:pPr>
    </w:p>
    <w:p w14:paraId="58E3760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5430654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E60E93C">
      <w:pPr>
        <w:snapToGrid w:val="0"/>
        <w:spacing w:line="360" w:lineRule="auto"/>
        <w:ind w:firstLine="420" w:firstLineChars="200"/>
        <w:rPr>
          <w:rFonts w:hint="eastAsia" w:ascii="宋体" w:hAnsi="宋体" w:eastAsia="宋体"/>
          <w:color w:val="auto"/>
          <w:highlight w:val="none"/>
        </w:rPr>
      </w:pPr>
    </w:p>
    <w:p w14:paraId="7ED7732F">
      <w:pPr>
        <w:snapToGrid w:val="0"/>
        <w:spacing w:line="360" w:lineRule="auto"/>
        <w:ind w:firstLine="420" w:firstLineChars="200"/>
        <w:rPr>
          <w:rFonts w:hint="eastAsia" w:ascii="宋体" w:hAnsi="宋体" w:eastAsia="宋体"/>
          <w:color w:val="auto"/>
          <w:highlight w:val="none"/>
        </w:rPr>
      </w:pPr>
    </w:p>
    <w:p w14:paraId="47647AD1">
      <w:pPr>
        <w:snapToGrid w:val="0"/>
        <w:spacing w:line="360" w:lineRule="auto"/>
        <w:ind w:firstLine="420" w:firstLineChars="200"/>
        <w:rPr>
          <w:rFonts w:hint="eastAsia" w:ascii="宋体" w:hAnsi="宋体" w:eastAsia="宋体"/>
          <w:color w:val="auto"/>
          <w:highlight w:val="none"/>
        </w:rPr>
      </w:pPr>
    </w:p>
    <w:p w14:paraId="65A797DA">
      <w:pPr>
        <w:snapToGrid w:val="0"/>
        <w:spacing w:line="360" w:lineRule="auto"/>
        <w:ind w:firstLine="420" w:firstLineChars="200"/>
        <w:rPr>
          <w:rFonts w:hint="eastAsia" w:ascii="宋体" w:hAnsi="宋体" w:eastAsia="宋体"/>
          <w:color w:val="auto"/>
          <w:highlight w:val="none"/>
        </w:rPr>
      </w:pPr>
    </w:p>
    <w:p w14:paraId="0655D738">
      <w:pPr>
        <w:snapToGrid w:val="0"/>
        <w:spacing w:line="360" w:lineRule="auto"/>
        <w:ind w:firstLine="420" w:firstLineChars="200"/>
        <w:rPr>
          <w:rFonts w:hint="eastAsia" w:ascii="宋体" w:hAnsi="宋体" w:eastAsia="宋体"/>
          <w:color w:val="auto"/>
          <w:highlight w:val="none"/>
        </w:rPr>
      </w:pPr>
    </w:p>
    <w:p w14:paraId="121043D8">
      <w:pPr>
        <w:snapToGrid w:val="0"/>
        <w:spacing w:line="360" w:lineRule="auto"/>
        <w:ind w:firstLine="420" w:firstLineChars="200"/>
        <w:rPr>
          <w:rFonts w:hint="eastAsia" w:ascii="宋体" w:hAnsi="宋体" w:eastAsia="宋体"/>
          <w:color w:val="auto"/>
          <w:highlight w:val="none"/>
        </w:rPr>
      </w:pPr>
    </w:p>
    <w:p w14:paraId="39084433">
      <w:pPr>
        <w:snapToGrid w:val="0"/>
        <w:spacing w:line="360" w:lineRule="auto"/>
        <w:rPr>
          <w:rFonts w:hint="eastAsia" w:ascii="宋体" w:hAnsi="宋体" w:eastAsia="宋体"/>
          <w:b/>
          <w:color w:val="auto"/>
          <w:spacing w:val="6"/>
          <w:highlight w:val="none"/>
        </w:rPr>
      </w:pPr>
    </w:p>
    <w:p w14:paraId="37A480D3">
      <w:pPr>
        <w:snapToGrid w:val="0"/>
        <w:spacing w:line="360" w:lineRule="auto"/>
        <w:rPr>
          <w:rFonts w:hint="eastAsia" w:ascii="宋体" w:hAnsi="宋体" w:eastAsia="宋体"/>
          <w:b/>
          <w:color w:val="auto"/>
          <w:spacing w:val="6"/>
          <w:highlight w:val="none"/>
        </w:rPr>
      </w:pPr>
    </w:p>
    <w:p w14:paraId="6DAFB936">
      <w:pPr>
        <w:snapToGrid w:val="0"/>
        <w:spacing w:line="360" w:lineRule="auto"/>
        <w:jc w:val="center"/>
        <w:rPr>
          <w:rFonts w:hint="eastAsia" w:ascii="宋体" w:hAnsi="宋体" w:eastAsia="宋体"/>
          <w:b/>
          <w:color w:val="auto"/>
          <w:spacing w:val="6"/>
          <w:highlight w:val="none"/>
        </w:rPr>
      </w:pPr>
    </w:p>
    <w:p w14:paraId="5804D661">
      <w:pPr>
        <w:snapToGrid w:val="0"/>
        <w:spacing w:line="360" w:lineRule="auto"/>
        <w:jc w:val="center"/>
        <w:rPr>
          <w:rFonts w:hint="eastAsia" w:ascii="宋体" w:hAnsi="宋体" w:eastAsia="宋体"/>
          <w:b/>
          <w:color w:val="auto"/>
          <w:spacing w:val="6"/>
          <w:highlight w:val="none"/>
        </w:rPr>
      </w:pPr>
    </w:p>
    <w:p w14:paraId="782DC51C">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EC4A9E6">
      <w:pPr>
        <w:snapToGrid w:val="0"/>
        <w:spacing w:line="360" w:lineRule="auto"/>
        <w:ind w:firstLine="420" w:firstLineChars="200"/>
        <w:rPr>
          <w:rFonts w:hint="eastAsia" w:ascii="宋体" w:hAnsi="宋体" w:eastAsia="宋体"/>
          <w:color w:val="auto"/>
          <w:highlight w:val="none"/>
        </w:rPr>
      </w:pPr>
    </w:p>
    <w:p w14:paraId="6D99BFD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2C9A1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3BCA03BC">
      <w:pPr>
        <w:snapToGrid w:val="0"/>
        <w:spacing w:line="360" w:lineRule="auto"/>
        <w:ind w:firstLine="420" w:firstLineChars="200"/>
        <w:rPr>
          <w:rFonts w:hint="eastAsia" w:ascii="宋体" w:hAnsi="宋体" w:eastAsia="宋体"/>
          <w:color w:val="auto"/>
          <w:highlight w:val="none"/>
        </w:rPr>
      </w:pPr>
    </w:p>
    <w:p w14:paraId="15A2E28A">
      <w:pPr>
        <w:snapToGrid w:val="0"/>
        <w:spacing w:line="360" w:lineRule="auto"/>
        <w:ind w:firstLine="420" w:firstLineChars="200"/>
        <w:rPr>
          <w:rFonts w:hint="eastAsia" w:ascii="宋体" w:hAnsi="宋体" w:eastAsia="宋体"/>
          <w:color w:val="auto"/>
          <w:highlight w:val="none"/>
        </w:rPr>
      </w:pPr>
    </w:p>
    <w:p w14:paraId="764A6026">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F60B8BF">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2193E2BE">
      <w:pPr>
        <w:pStyle w:val="81"/>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637F767D">
      <w:pPr>
        <w:pStyle w:val="81"/>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283C92">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73DA68C2">
      <w:pPr>
        <w:pStyle w:val="81"/>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43D398E6">
      <w:pPr>
        <w:pStyle w:val="81"/>
        <w:snapToGrid w:val="0"/>
        <w:spacing w:line="360" w:lineRule="auto"/>
        <w:ind w:firstLine="210" w:firstLineChars="100"/>
        <w:rPr>
          <w:color w:val="auto"/>
          <w:highlight w:val="none"/>
        </w:rPr>
      </w:pPr>
    </w:p>
    <w:p w14:paraId="16E1FAB8">
      <w:pPr>
        <w:pStyle w:val="40"/>
        <w:snapToGrid w:val="0"/>
        <w:spacing w:line="460" w:lineRule="atLeast"/>
        <w:rPr>
          <w:rFonts w:hAnsi="宋体"/>
          <w:color w:val="auto"/>
          <w:sz w:val="30"/>
          <w:highlight w:val="none"/>
        </w:rPr>
      </w:pPr>
    </w:p>
    <w:p w14:paraId="4812AE34">
      <w:pPr>
        <w:pStyle w:val="40"/>
        <w:snapToGrid w:val="0"/>
        <w:spacing w:line="460" w:lineRule="atLeast"/>
        <w:rPr>
          <w:rFonts w:hAnsi="宋体"/>
          <w:color w:val="auto"/>
          <w:sz w:val="30"/>
          <w:highlight w:val="none"/>
        </w:rPr>
      </w:pPr>
    </w:p>
    <w:p w14:paraId="1F87B746">
      <w:pPr>
        <w:pStyle w:val="7"/>
        <w:rPr>
          <w:rFonts w:hint="eastAsia" w:ascii="Arial" w:hAnsi="Arial" w:cs="Times New Roman"/>
          <w:b/>
          <w:color w:val="auto"/>
          <w:sz w:val="32"/>
          <w:highlight w:val="none"/>
          <w:lang w:val="en-US" w:eastAsia="zh-CN"/>
        </w:rPr>
      </w:pPr>
    </w:p>
    <w:p w14:paraId="471E786A">
      <w:pPr>
        <w:pStyle w:val="7"/>
        <w:rPr>
          <w:rFonts w:hint="eastAsia" w:ascii="Arial" w:hAnsi="Arial" w:cs="Times New Roman"/>
          <w:b/>
          <w:color w:val="auto"/>
          <w:sz w:val="32"/>
          <w:highlight w:val="none"/>
          <w:lang w:val="en-US" w:eastAsia="zh-CN"/>
        </w:rPr>
      </w:pPr>
    </w:p>
    <w:p w14:paraId="706A5393">
      <w:pPr>
        <w:pStyle w:val="7"/>
        <w:rPr>
          <w:rFonts w:hint="eastAsia" w:ascii="Arial" w:hAnsi="Arial" w:cs="Times New Roman"/>
          <w:b/>
          <w:color w:val="auto"/>
          <w:sz w:val="32"/>
          <w:highlight w:val="none"/>
          <w:lang w:val="en-US" w:eastAsia="zh-CN"/>
        </w:rPr>
      </w:pPr>
    </w:p>
    <w:p w14:paraId="284A037D">
      <w:pPr>
        <w:pStyle w:val="7"/>
        <w:rPr>
          <w:rFonts w:hint="eastAsia" w:ascii="Arial" w:hAnsi="Arial" w:cs="Times New Roman"/>
          <w:b/>
          <w:color w:val="auto"/>
          <w:sz w:val="32"/>
          <w:highlight w:val="none"/>
          <w:lang w:val="en-US" w:eastAsia="zh-CN"/>
        </w:rPr>
      </w:pPr>
    </w:p>
    <w:p w14:paraId="0C88A59A">
      <w:pPr>
        <w:pStyle w:val="7"/>
        <w:rPr>
          <w:rFonts w:hint="eastAsia" w:ascii="Arial" w:hAnsi="Arial" w:cs="Times New Roman"/>
          <w:b/>
          <w:color w:val="auto"/>
          <w:sz w:val="32"/>
          <w:highlight w:val="none"/>
          <w:lang w:val="en-US" w:eastAsia="zh-CN"/>
        </w:rPr>
      </w:pPr>
    </w:p>
    <w:p w14:paraId="2D8B73D4">
      <w:pPr>
        <w:pStyle w:val="7"/>
        <w:rPr>
          <w:rFonts w:hint="eastAsia" w:ascii="Arial" w:hAnsi="Arial" w:cs="Times New Roman"/>
          <w:b/>
          <w:color w:val="auto"/>
          <w:sz w:val="32"/>
          <w:highlight w:val="none"/>
          <w:lang w:val="en-US" w:eastAsia="zh-CN"/>
        </w:rPr>
      </w:pPr>
    </w:p>
    <w:p w14:paraId="7EC6A9E0">
      <w:pPr>
        <w:pStyle w:val="7"/>
        <w:rPr>
          <w:rFonts w:hint="eastAsia" w:ascii="Arial" w:hAnsi="Arial" w:cs="Times New Roman"/>
          <w:b/>
          <w:color w:val="auto"/>
          <w:sz w:val="32"/>
          <w:highlight w:val="none"/>
          <w:lang w:val="en-US" w:eastAsia="zh-CN"/>
        </w:rPr>
      </w:pPr>
    </w:p>
    <w:p w14:paraId="3971C661">
      <w:pPr>
        <w:pStyle w:val="7"/>
        <w:rPr>
          <w:rFonts w:hint="eastAsia" w:ascii="Arial" w:hAnsi="Arial" w:cs="Times New Roman"/>
          <w:b/>
          <w:color w:val="auto"/>
          <w:sz w:val="32"/>
          <w:highlight w:val="none"/>
          <w:lang w:val="en-US" w:eastAsia="zh-CN"/>
        </w:rPr>
      </w:pPr>
    </w:p>
    <w:p w14:paraId="7DAA640F">
      <w:pPr>
        <w:pStyle w:val="7"/>
        <w:rPr>
          <w:rFonts w:hint="eastAsia" w:ascii="Arial" w:hAnsi="Arial" w:cs="Times New Roman"/>
          <w:b/>
          <w:color w:val="auto"/>
          <w:sz w:val="32"/>
          <w:highlight w:val="none"/>
          <w:lang w:val="en-US" w:eastAsia="zh-CN"/>
        </w:rPr>
      </w:pPr>
    </w:p>
    <w:p w14:paraId="7BBEBF46">
      <w:pPr>
        <w:pStyle w:val="27"/>
        <w:rPr>
          <w:rFonts w:hint="eastAsia"/>
          <w:color w:val="auto"/>
          <w:highlight w:val="none"/>
        </w:rPr>
      </w:pPr>
      <w:bookmarkStart w:id="545" w:name="_Toc7988414"/>
      <w:bookmarkEnd w:id="545"/>
      <w:bookmarkStart w:id="546" w:name="_Toc440162800"/>
      <w:bookmarkEnd w:id="546"/>
      <w:bookmarkStart w:id="547" w:name="_Toc30408915"/>
      <w:bookmarkEnd w:id="547"/>
      <w:bookmarkStart w:id="548" w:name="_Toc24550050"/>
      <w:bookmarkEnd w:id="548"/>
      <w:bookmarkStart w:id="549" w:name="_Toc424164168"/>
      <w:bookmarkEnd w:id="549"/>
      <w:bookmarkStart w:id="550" w:name="_Toc7988468"/>
      <w:bookmarkEnd w:id="550"/>
      <w:bookmarkStart w:id="551" w:name="_Toc8008423"/>
      <w:bookmarkEnd w:id="551"/>
      <w:r>
        <w:rPr>
          <w:rFonts w:hint="eastAsia"/>
          <w:color w:val="auto"/>
          <w:highlight w:val="none"/>
        </w:rPr>
        <w:t>三、“商务技术文件</w:t>
      </w:r>
      <w:r>
        <w:rPr>
          <w:color w:val="auto"/>
          <w:highlight w:val="none"/>
        </w:rPr>
        <w:t>”</w:t>
      </w:r>
      <w:r>
        <w:rPr>
          <w:rFonts w:hint="eastAsia"/>
          <w:color w:val="auto"/>
          <w:highlight w:val="none"/>
        </w:rPr>
        <w:t>格式</w:t>
      </w:r>
    </w:p>
    <w:p w14:paraId="48BF6D40">
      <w:pPr>
        <w:pStyle w:val="28"/>
        <w:rPr>
          <w:rFonts w:hint="eastAsia"/>
          <w:color w:val="auto"/>
          <w:highlight w:val="none"/>
        </w:rPr>
      </w:pPr>
      <w:r>
        <w:rPr>
          <w:rFonts w:hint="eastAsia"/>
          <w:color w:val="auto"/>
          <w:highlight w:val="none"/>
        </w:rPr>
        <w:t>3.1 “商务技术文件”封面</w:t>
      </w:r>
    </w:p>
    <w:p w14:paraId="7E9EFA15">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农村综合生活配套提升项目</w:t>
      </w:r>
    </w:p>
    <w:p w14:paraId="31B22E4B">
      <w:pPr>
        <w:pStyle w:val="72"/>
        <w:rPr>
          <w:color w:val="auto"/>
          <w:highlight w:val="none"/>
        </w:rPr>
      </w:pPr>
    </w:p>
    <w:p w14:paraId="00559309">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0BAF0F5">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63184B9F">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5E213869">
        <w:tblPrEx>
          <w:tblCellMar>
            <w:top w:w="0" w:type="dxa"/>
            <w:left w:w="108" w:type="dxa"/>
            <w:bottom w:w="0" w:type="dxa"/>
            <w:right w:w="108" w:type="dxa"/>
          </w:tblCellMar>
        </w:tblPrEx>
        <w:trPr>
          <w:trHeight w:val="680" w:hRule="atLeast"/>
        </w:trPr>
        <w:tc>
          <w:tcPr>
            <w:tcW w:w="8789" w:type="dxa"/>
            <w:vAlign w:val="center"/>
          </w:tcPr>
          <w:p w14:paraId="540C3D1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PYCG250731079</w:t>
            </w:r>
          </w:p>
        </w:tc>
      </w:tr>
      <w:tr w14:paraId="67D5B1BF">
        <w:tblPrEx>
          <w:tblCellMar>
            <w:top w:w="0" w:type="dxa"/>
            <w:left w:w="108" w:type="dxa"/>
            <w:bottom w:w="0" w:type="dxa"/>
            <w:right w:w="108" w:type="dxa"/>
          </w:tblCellMar>
        </w:tblPrEx>
        <w:trPr>
          <w:trHeight w:val="680" w:hRule="atLeast"/>
        </w:trPr>
        <w:tc>
          <w:tcPr>
            <w:tcW w:w="8789" w:type="dxa"/>
            <w:vAlign w:val="center"/>
          </w:tcPr>
          <w:p w14:paraId="6CE7FDD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3923F61B">
        <w:tblPrEx>
          <w:tblCellMar>
            <w:top w:w="0" w:type="dxa"/>
            <w:left w:w="108" w:type="dxa"/>
            <w:bottom w:w="0" w:type="dxa"/>
            <w:right w:w="108" w:type="dxa"/>
          </w:tblCellMar>
        </w:tblPrEx>
        <w:trPr>
          <w:trHeight w:val="680" w:hRule="atLeast"/>
        </w:trPr>
        <w:tc>
          <w:tcPr>
            <w:tcW w:w="8789" w:type="dxa"/>
            <w:vAlign w:val="center"/>
          </w:tcPr>
          <w:p w14:paraId="47D948D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3993A34">
        <w:tblPrEx>
          <w:tblCellMar>
            <w:top w:w="0" w:type="dxa"/>
            <w:left w:w="108" w:type="dxa"/>
            <w:bottom w:w="0" w:type="dxa"/>
            <w:right w:w="108" w:type="dxa"/>
          </w:tblCellMar>
        </w:tblPrEx>
        <w:trPr>
          <w:trHeight w:val="680" w:hRule="atLeast"/>
        </w:trPr>
        <w:tc>
          <w:tcPr>
            <w:tcW w:w="8789" w:type="dxa"/>
            <w:vAlign w:val="center"/>
          </w:tcPr>
          <w:p w14:paraId="2062EC8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0D4377A7">
        <w:tblPrEx>
          <w:tblCellMar>
            <w:top w:w="0" w:type="dxa"/>
            <w:left w:w="108" w:type="dxa"/>
            <w:bottom w:w="0" w:type="dxa"/>
            <w:right w:w="108" w:type="dxa"/>
          </w:tblCellMar>
        </w:tblPrEx>
        <w:trPr>
          <w:trHeight w:val="680" w:hRule="atLeast"/>
        </w:trPr>
        <w:tc>
          <w:tcPr>
            <w:tcW w:w="8789" w:type="dxa"/>
            <w:vAlign w:val="center"/>
          </w:tcPr>
          <w:p w14:paraId="62B01F7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7075DB0">
        <w:tblPrEx>
          <w:tblCellMar>
            <w:top w:w="0" w:type="dxa"/>
            <w:left w:w="108" w:type="dxa"/>
            <w:bottom w:w="0" w:type="dxa"/>
            <w:right w:w="108" w:type="dxa"/>
          </w:tblCellMar>
        </w:tblPrEx>
        <w:trPr>
          <w:trHeight w:val="335" w:hRule="atLeast"/>
        </w:trPr>
        <w:tc>
          <w:tcPr>
            <w:tcW w:w="8789" w:type="dxa"/>
            <w:vAlign w:val="center"/>
          </w:tcPr>
          <w:p w14:paraId="43C2C740">
            <w:pPr>
              <w:rPr>
                <w:rFonts w:ascii="仿宋" w:hAnsi="仿宋" w:eastAsia="仿宋"/>
                <w:color w:val="auto"/>
                <w:sz w:val="28"/>
                <w:szCs w:val="28"/>
                <w:highlight w:val="none"/>
              </w:rPr>
            </w:pPr>
          </w:p>
        </w:tc>
      </w:tr>
    </w:tbl>
    <w:p w14:paraId="5B3C342B">
      <w:pPr>
        <w:rPr>
          <w:color w:val="auto"/>
          <w:highlight w:val="none"/>
        </w:rPr>
      </w:pPr>
    </w:p>
    <w:p w14:paraId="444843CD">
      <w:pPr>
        <w:pStyle w:val="4"/>
        <w:rPr>
          <w:color w:val="auto"/>
          <w:highlight w:val="none"/>
        </w:rPr>
      </w:pPr>
      <w:r>
        <w:rPr>
          <w:color w:val="auto"/>
          <w:highlight w:val="none"/>
        </w:rPr>
        <w:br w:type="page"/>
      </w:r>
      <w:r>
        <w:rPr>
          <w:rFonts w:hint="eastAsia"/>
          <w:color w:val="auto"/>
          <w:highlight w:val="none"/>
        </w:rPr>
        <w:t>3.2供应商自评分指引表</w:t>
      </w:r>
    </w:p>
    <w:tbl>
      <w:tblPr>
        <w:tblStyle w:val="20"/>
        <w:tblW w:w="0" w:type="auto"/>
        <w:tblInd w:w="0" w:type="dxa"/>
        <w:tblLayout w:type="fixed"/>
        <w:tblCellMar>
          <w:top w:w="0" w:type="dxa"/>
          <w:left w:w="0" w:type="dxa"/>
          <w:bottom w:w="0" w:type="dxa"/>
          <w:right w:w="0" w:type="dxa"/>
        </w:tblCellMar>
      </w:tblPr>
      <w:tblGrid>
        <w:gridCol w:w="1095"/>
        <w:gridCol w:w="7470"/>
        <w:gridCol w:w="1340"/>
      </w:tblGrid>
      <w:tr w14:paraId="5B0236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C8EC1">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A9AD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84B55">
            <w:pPr>
              <w:snapToGrid w:val="0"/>
              <w:jc w:val="center"/>
              <w:rPr>
                <w:color w:val="auto"/>
                <w:sz w:val="22"/>
                <w:highlight w:val="none"/>
              </w:rPr>
            </w:pPr>
            <w:r>
              <w:rPr>
                <w:color w:val="auto"/>
                <w:sz w:val="22"/>
                <w:highlight w:val="none"/>
              </w:rPr>
              <w:t>投标文件索引（页码）</w:t>
            </w:r>
          </w:p>
        </w:tc>
      </w:tr>
      <w:tr w14:paraId="3627D6E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A1F33">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90F3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7F59E">
            <w:pPr>
              <w:snapToGrid w:val="0"/>
              <w:jc w:val="center"/>
              <w:rPr>
                <w:color w:val="auto"/>
                <w:sz w:val="22"/>
                <w:highlight w:val="none"/>
              </w:rPr>
            </w:pPr>
          </w:p>
        </w:tc>
      </w:tr>
      <w:tr w14:paraId="680C13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7C8CB">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95A34">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CE1E0">
            <w:pPr>
              <w:snapToGrid w:val="0"/>
              <w:jc w:val="center"/>
              <w:rPr>
                <w:color w:val="auto"/>
                <w:sz w:val="22"/>
                <w:highlight w:val="none"/>
              </w:rPr>
            </w:pPr>
          </w:p>
        </w:tc>
      </w:tr>
      <w:tr w14:paraId="517AADF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4E2CC">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1A58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02685">
            <w:pPr>
              <w:snapToGrid w:val="0"/>
              <w:jc w:val="center"/>
              <w:rPr>
                <w:color w:val="auto"/>
                <w:sz w:val="22"/>
                <w:highlight w:val="none"/>
              </w:rPr>
            </w:pPr>
          </w:p>
        </w:tc>
      </w:tr>
      <w:tr w14:paraId="1CF551C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CAF9D">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B5AFD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3D99A">
            <w:pPr>
              <w:snapToGrid w:val="0"/>
              <w:jc w:val="center"/>
              <w:rPr>
                <w:color w:val="auto"/>
                <w:sz w:val="22"/>
                <w:highlight w:val="none"/>
              </w:rPr>
            </w:pPr>
          </w:p>
        </w:tc>
      </w:tr>
      <w:tr w14:paraId="21F9311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78D3C">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14D2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9C929">
            <w:pPr>
              <w:snapToGrid w:val="0"/>
              <w:jc w:val="center"/>
              <w:rPr>
                <w:color w:val="auto"/>
                <w:sz w:val="22"/>
                <w:highlight w:val="none"/>
              </w:rPr>
            </w:pPr>
          </w:p>
        </w:tc>
      </w:tr>
      <w:tr w14:paraId="4E1D427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7B84D">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6958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E80D8">
            <w:pPr>
              <w:snapToGrid w:val="0"/>
              <w:jc w:val="center"/>
              <w:rPr>
                <w:color w:val="auto"/>
                <w:sz w:val="22"/>
                <w:highlight w:val="none"/>
              </w:rPr>
            </w:pPr>
          </w:p>
        </w:tc>
      </w:tr>
      <w:tr w14:paraId="166D16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B94F0">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B18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6B4AC">
            <w:pPr>
              <w:snapToGrid w:val="0"/>
              <w:jc w:val="center"/>
              <w:rPr>
                <w:color w:val="auto"/>
                <w:sz w:val="22"/>
                <w:highlight w:val="none"/>
              </w:rPr>
            </w:pPr>
          </w:p>
        </w:tc>
      </w:tr>
      <w:tr w14:paraId="1D848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A03F8">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668E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89A48">
            <w:pPr>
              <w:snapToGrid w:val="0"/>
              <w:jc w:val="center"/>
              <w:rPr>
                <w:color w:val="auto"/>
                <w:sz w:val="22"/>
                <w:highlight w:val="none"/>
              </w:rPr>
            </w:pPr>
          </w:p>
        </w:tc>
      </w:tr>
      <w:tr w14:paraId="178696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6DBE6">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DB92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BDCC6">
            <w:pPr>
              <w:snapToGrid w:val="0"/>
              <w:jc w:val="center"/>
              <w:rPr>
                <w:color w:val="auto"/>
                <w:sz w:val="22"/>
                <w:highlight w:val="none"/>
              </w:rPr>
            </w:pPr>
          </w:p>
        </w:tc>
      </w:tr>
      <w:tr w14:paraId="762CB0F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28B8A">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6F9A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F70EF">
            <w:pPr>
              <w:snapToGrid w:val="0"/>
              <w:jc w:val="center"/>
              <w:rPr>
                <w:color w:val="auto"/>
                <w:sz w:val="22"/>
                <w:highlight w:val="none"/>
              </w:rPr>
            </w:pPr>
          </w:p>
        </w:tc>
      </w:tr>
      <w:tr w14:paraId="622020F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418B1">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CE37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D92B4">
            <w:pPr>
              <w:snapToGrid w:val="0"/>
              <w:jc w:val="center"/>
              <w:rPr>
                <w:color w:val="auto"/>
                <w:sz w:val="22"/>
                <w:highlight w:val="none"/>
              </w:rPr>
            </w:pPr>
          </w:p>
        </w:tc>
      </w:tr>
      <w:tr w14:paraId="2473CC7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7273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361F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109CE">
            <w:pPr>
              <w:snapToGrid w:val="0"/>
              <w:jc w:val="center"/>
              <w:rPr>
                <w:color w:val="auto"/>
                <w:sz w:val="22"/>
                <w:highlight w:val="none"/>
              </w:rPr>
            </w:pPr>
          </w:p>
        </w:tc>
      </w:tr>
      <w:tr w14:paraId="50007CE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4797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684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54D3C">
            <w:pPr>
              <w:snapToGrid w:val="0"/>
              <w:jc w:val="center"/>
              <w:rPr>
                <w:color w:val="auto"/>
                <w:sz w:val="22"/>
                <w:highlight w:val="none"/>
              </w:rPr>
            </w:pPr>
          </w:p>
        </w:tc>
      </w:tr>
    </w:tbl>
    <w:p w14:paraId="43603862">
      <w:pPr>
        <w:rPr>
          <w:color w:val="auto"/>
          <w:highlight w:val="none"/>
        </w:rPr>
      </w:pPr>
    </w:p>
    <w:p w14:paraId="1A9692FB">
      <w:pPr>
        <w:rPr>
          <w:color w:val="auto"/>
          <w:sz w:val="32"/>
          <w:highlight w:val="none"/>
        </w:rPr>
      </w:pPr>
    </w:p>
    <w:p w14:paraId="18EEAAFE">
      <w:pPr>
        <w:rPr>
          <w:color w:val="auto"/>
          <w:sz w:val="32"/>
          <w:highlight w:val="none"/>
        </w:rPr>
      </w:pPr>
    </w:p>
    <w:p w14:paraId="18B798CC">
      <w:pPr>
        <w:rPr>
          <w:color w:val="auto"/>
          <w:sz w:val="32"/>
          <w:highlight w:val="none"/>
        </w:rPr>
      </w:pPr>
    </w:p>
    <w:p w14:paraId="78483689">
      <w:pPr>
        <w:rPr>
          <w:color w:val="auto"/>
          <w:sz w:val="32"/>
          <w:highlight w:val="none"/>
        </w:rPr>
      </w:pPr>
    </w:p>
    <w:p w14:paraId="114E38DD">
      <w:pPr>
        <w:rPr>
          <w:color w:val="auto"/>
          <w:sz w:val="32"/>
          <w:highlight w:val="none"/>
        </w:rPr>
      </w:pPr>
    </w:p>
    <w:p w14:paraId="3EDC003D">
      <w:pPr>
        <w:rPr>
          <w:color w:val="auto"/>
          <w:sz w:val="32"/>
          <w:highlight w:val="none"/>
        </w:rPr>
      </w:pPr>
    </w:p>
    <w:p w14:paraId="10E9631C">
      <w:pPr>
        <w:rPr>
          <w:color w:val="auto"/>
          <w:sz w:val="32"/>
          <w:highlight w:val="none"/>
        </w:rPr>
      </w:pPr>
    </w:p>
    <w:p w14:paraId="68283B78">
      <w:pPr>
        <w:rPr>
          <w:color w:val="auto"/>
          <w:sz w:val="32"/>
          <w:highlight w:val="none"/>
        </w:rPr>
      </w:pPr>
    </w:p>
    <w:p w14:paraId="204785E4">
      <w:pPr>
        <w:rPr>
          <w:color w:val="auto"/>
          <w:sz w:val="32"/>
          <w:highlight w:val="none"/>
        </w:rPr>
      </w:pPr>
    </w:p>
    <w:p w14:paraId="73EE4F7F">
      <w:pPr>
        <w:rPr>
          <w:color w:val="auto"/>
          <w:sz w:val="32"/>
          <w:highlight w:val="none"/>
        </w:rPr>
      </w:pPr>
    </w:p>
    <w:p w14:paraId="32EA17C5">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1863A122">
      <w:pPr>
        <w:pStyle w:val="79"/>
        <w:rPr>
          <w:color w:val="auto"/>
          <w:highlight w:val="none"/>
        </w:rPr>
      </w:pPr>
    </w:p>
    <w:p w14:paraId="20B9213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20"/>
        <w:tblW w:w="0" w:type="auto"/>
        <w:tblInd w:w="108" w:type="dxa"/>
        <w:tblLayout w:type="fixed"/>
        <w:tblCellMar>
          <w:top w:w="0" w:type="dxa"/>
          <w:left w:w="0" w:type="dxa"/>
          <w:bottom w:w="0" w:type="dxa"/>
          <w:right w:w="0" w:type="dxa"/>
        </w:tblCellMar>
      </w:tblPr>
      <w:tblGrid>
        <w:gridCol w:w="1620"/>
        <w:gridCol w:w="7992"/>
      </w:tblGrid>
      <w:tr w14:paraId="0266AAA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6B20F0">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E26B">
            <w:pPr>
              <w:snapToGrid w:val="0"/>
              <w:spacing w:line="400" w:lineRule="exact"/>
              <w:ind w:left="422" w:firstLine="331"/>
              <w:rPr>
                <w:color w:val="auto"/>
                <w:sz w:val="22"/>
                <w:highlight w:val="none"/>
              </w:rPr>
            </w:pPr>
          </w:p>
        </w:tc>
      </w:tr>
      <w:tr w14:paraId="6D3B17D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E275A8">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B99880">
            <w:pPr>
              <w:snapToGrid w:val="0"/>
              <w:spacing w:line="400" w:lineRule="exact"/>
              <w:rPr>
                <w:rFonts w:hint="eastAsia"/>
                <w:color w:val="auto"/>
                <w:sz w:val="22"/>
                <w:highlight w:val="none"/>
              </w:rPr>
            </w:pPr>
          </w:p>
        </w:tc>
      </w:tr>
      <w:tr w14:paraId="607EC65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D4C601">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EC37CE">
            <w:pPr>
              <w:snapToGrid w:val="0"/>
              <w:spacing w:line="400" w:lineRule="exact"/>
              <w:rPr>
                <w:color w:val="auto"/>
                <w:sz w:val="22"/>
                <w:highlight w:val="none"/>
              </w:rPr>
            </w:pPr>
            <w:r>
              <w:rPr>
                <w:color w:val="auto"/>
                <w:sz w:val="22"/>
                <w:highlight w:val="none"/>
              </w:rPr>
              <w:t>投标截止时间：</w:t>
            </w:r>
          </w:p>
        </w:tc>
      </w:tr>
      <w:tr w14:paraId="3CFC2DA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15CF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1152D04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CDC915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24B72A3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056390E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6224E12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145D6A3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594DDE6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D0544D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2DDD59E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26EDACF9">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7178FF">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D7A30">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2D1A82B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DDCBA">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90D742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F8DA3">
            <w:pPr>
              <w:snapToGrid w:val="0"/>
              <w:spacing w:line="400" w:lineRule="exact"/>
              <w:ind w:left="422" w:firstLine="331"/>
              <w:rPr>
                <w:color w:val="auto"/>
                <w:sz w:val="22"/>
                <w:highlight w:val="none"/>
              </w:rPr>
            </w:pPr>
            <w:r>
              <w:rPr>
                <w:color w:val="auto"/>
                <w:sz w:val="22"/>
                <w:highlight w:val="none"/>
              </w:rPr>
              <w:t>签署日期：</w:t>
            </w:r>
          </w:p>
        </w:tc>
      </w:tr>
    </w:tbl>
    <w:p w14:paraId="3F201E8D">
      <w:pPr>
        <w:pStyle w:val="11"/>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3E2DA5BA">
      <w:pPr>
        <w:pStyle w:val="11"/>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平阳县萧江新农村建设投资有限公司</w:t>
      </w:r>
      <w:r>
        <w:rPr>
          <w:rFonts w:hint="eastAsia" w:hAnsi="宋体"/>
          <w:color w:val="auto"/>
          <w:sz w:val="22"/>
          <w:szCs w:val="22"/>
          <w:highlight w:val="none"/>
          <w:u w:val="single"/>
        </w:rPr>
        <w:t xml:space="preserve"> ：</w:t>
      </w:r>
    </w:p>
    <w:p w14:paraId="5A43BCEA">
      <w:pPr>
        <w:pStyle w:val="11"/>
        <w:adjustRightInd w:val="0"/>
        <w:snapToGrid w:val="0"/>
        <w:spacing w:line="360" w:lineRule="atLeast"/>
        <w:ind w:firstLine="450"/>
        <w:rPr>
          <w:rFonts w:hAnsi="宋体"/>
          <w:color w:val="auto"/>
          <w:sz w:val="22"/>
          <w:szCs w:val="22"/>
          <w:highlight w:val="none"/>
        </w:rPr>
      </w:pPr>
    </w:p>
    <w:p w14:paraId="0FD5015E">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298C33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3ED2195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7B39E98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427E0726">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E92C04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9C778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523B45C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75681B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291D6A1E">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658E2B0">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71513878">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005F0319">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1E7CFEBC">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5A20D2B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1D04745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162C445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4FE455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18632B0C">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6DF73285">
      <w:pPr>
        <w:pStyle w:val="11"/>
        <w:spacing w:line="400" w:lineRule="atLeast"/>
        <w:rPr>
          <w:rFonts w:hAnsi="宋体"/>
          <w:b/>
          <w:color w:val="auto"/>
          <w:sz w:val="32"/>
          <w:szCs w:val="32"/>
          <w:highlight w:val="none"/>
        </w:rPr>
      </w:pPr>
    </w:p>
    <w:p w14:paraId="62DBC15C">
      <w:pPr>
        <w:pStyle w:val="11"/>
        <w:spacing w:line="400" w:lineRule="atLeast"/>
        <w:rPr>
          <w:rFonts w:hAnsi="宋体"/>
          <w:b/>
          <w:color w:val="auto"/>
          <w:sz w:val="32"/>
          <w:szCs w:val="32"/>
          <w:highlight w:val="none"/>
        </w:rPr>
      </w:pPr>
    </w:p>
    <w:p w14:paraId="312833BB">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6A30E78F">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55EB99C6">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7BA0A008">
      <w:pPr>
        <w:spacing w:line="360" w:lineRule="auto"/>
        <w:rPr>
          <w:color w:val="auto"/>
          <w:highlight w:val="none"/>
          <w:u w:val="single"/>
        </w:rPr>
      </w:pPr>
    </w:p>
    <w:p w14:paraId="1CA02451">
      <w:pPr>
        <w:pStyle w:val="11"/>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平阳县萧江新农村建设投资有限公司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4AAACC9D">
      <w:pPr>
        <w:pStyle w:val="11"/>
        <w:adjustRightInd w:val="0"/>
        <w:snapToGrid w:val="0"/>
        <w:spacing w:line="340" w:lineRule="atLeast"/>
        <w:rPr>
          <w:rFonts w:hAnsi="宋体"/>
          <w:color w:val="auto"/>
          <w:sz w:val="22"/>
          <w:szCs w:val="22"/>
          <w:highlight w:val="none"/>
          <w:u w:val="single"/>
        </w:rPr>
      </w:pPr>
    </w:p>
    <w:p w14:paraId="20CA6109">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34BB6A82">
      <w:pPr>
        <w:snapToGrid w:val="0"/>
        <w:spacing w:line="440" w:lineRule="atLeast"/>
        <w:ind w:firstLine="420" w:firstLineChars="200"/>
        <w:rPr>
          <w:color w:val="auto"/>
          <w:highlight w:val="none"/>
        </w:rPr>
      </w:pPr>
      <w:r>
        <w:rPr>
          <w:rFonts w:hint="eastAsia"/>
          <w:color w:val="auto"/>
          <w:highlight w:val="none"/>
        </w:rPr>
        <w:t>授权代表无转授权，特此授权</w:t>
      </w:r>
    </w:p>
    <w:p w14:paraId="7F615430">
      <w:pPr>
        <w:snapToGrid w:val="0"/>
        <w:spacing w:line="440" w:lineRule="atLeast"/>
        <w:ind w:left="1260"/>
        <w:rPr>
          <w:color w:val="auto"/>
          <w:highlight w:val="none"/>
        </w:rPr>
      </w:pPr>
    </w:p>
    <w:p w14:paraId="319174FB">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FF924E4">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C60C4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A06C373">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392E6D35">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5DB48FA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B1FDEF4">
      <w:pPr>
        <w:snapToGrid w:val="0"/>
        <w:spacing w:line="440" w:lineRule="atLeast"/>
        <w:ind w:left="2699"/>
        <w:rPr>
          <w:color w:val="auto"/>
          <w:highlight w:val="none"/>
        </w:rPr>
      </w:pPr>
    </w:p>
    <w:p w14:paraId="79542127">
      <w:pPr>
        <w:snapToGrid w:val="0"/>
        <w:spacing w:line="440" w:lineRule="atLeast"/>
        <w:ind w:left="2833" w:leftChars="1349" w:firstLine="2100" w:firstLineChars="1000"/>
        <w:rPr>
          <w:color w:val="auto"/>
          <w:highlight w:val="none"/>
        </w:rPr>
      </w:pPr>
    </w:p>
    <w:p w14:paraId="15E0AD6D">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138DD3">
      <w:pPr>
        <w:spacing w:line="360" w:lineRule="auto"/>
        <w:ind w:firstLine="3162" w:firstLineChars="1500"/>
        <w:jc w:val="right"/>
        <w:rPr>
          <w:b/>
          <w:color w:val="auto"/>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5F3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679EB8FB">
            <w:pPr>
              <w:pStyle w:val="11"/>
              <w:adjustRightInd w:val="0"/>
              <w:snapToGrid w:val="0"/>
              <w:spacing w:line="320" w:lineRule="atLeast"/>
              <w:rPr>
                <w:rFonts w:hAnsi="宋体"/>
                <w:color w:val="auto"/>
                <w:sz w:val="36"/>
                <w:szCs w:val="24"/>
                <w:highlight w:val="none"/>
                <w:u w:val="single"/>
              </w:rPr>
            </w:pPr>
          </w:p>
          <w:p w14:paraId="3C100C02">
            <w:pPr>
              <w:pStyle w:val="11"/>
              <w:adjustRightInd w:val="0"/>
              <w:snapToGrid w:val="0"/>
              <w:spacing w:line="320" w:lineRule="atLeast"/>
              <w:rPr>
                <w:rFonts w:hAnsi="宋体"/>
                <w:color w:val="auto"/>
                <w:sz w:val="36"/>
                <w:szCs w:val="24"/>
                <w:highlight w:val="none"/>
                <w:u w:val="single"/>
              </w:rPr>
            </w:pPr>
          </w:p>
          <w:p w14:paraId="769FD861">
            <w:pPr>
              <w:pStyle w:val="11"/>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456E6304">
      <w:pPr>
        <w:spacing w:line="360" w:lineRule="auto"/>
        <w:ind w:firstLine="3162" w:firstLineChars="1500"/>
        <w:jc w:val="right"/>
        <w:rPr>
          <w:b/>
          <w:color w:val="auto"/>
          <w:highlight w:val="none"/>
        </w:rPr>
      </w:pPr>
    </w:p>
    <w:p w14:paraId="35998A66">
      <w:pPr>
        <w:pStyle w:val="11"/>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36BDF1F5">
      <w:pPr>
        <w:pStyle w:val="11"/>
        <w:adjustRightInd w:val="0"/>
        <w:snapToGrid w:val="0"/>
        <w:spacing w:line="320" w:lineRule="atLeast"/>
        <w:jc w:val="center"/>
        <w:outlineLvl w:val="0"/>
        <w:rPr>
          <w:rFonts w:hint="eastAsia" w:hAnsi="宋体"/>
          <w:b/>
          <w:color w:val="auto"/>
          <w:sz w:val="36"/>
          <w:highlight w:val="none"/>
        </w:rPr>
      </w:pPr>
    </w:p>
    <w:p w14:paraId="0D1DAE00">
      <w:pPr>
        <w:pStyle w:val="11"/>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651D633F">
      <w:pPr>
        <w:spacing w:line="400" w:lineRule="exact"/>
        <w:outlineLvl w:val="0"/>
        <w:rPr>
          <w:color w:val="auto"/>
          <w:sz w:val="22"/>
          <w:highlight w:val="none"/>
        </w:rPr>
      </w:pPr>
      <w:r>
        <w:rPr>
          <w:rFonts w:hint="eastAsia"/>
          <w:color w:val="auto"/>
          <w:sz w:val="22"/>
          <w:highlight w:val="none"/>
        </w:rPr>
        <w:t>1. 名称及概况：</w:t>
      </w:r>
    </w:p>
    <w:p w14:paraId="705A6187">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593E3AA6">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FE18D6">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38E8D97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3221883">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38AC04A9">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445F50C5">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5A72B2DE">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EBF56ED">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7727D015">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E52E90F">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A354873">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00569137">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1B2C7DB">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21A1987">
      <w:pPr>
        <w:spacing w:line="360" w:lineRule="exact"/>
        <w:ind w:left="660" w:hanging="660" w:hangingChars="300"/>
        <w:rPr>
          <w:color w:val="auto"/>
          <w:sz w:val="22"/>
          <w:highlight w:val="none"/>
        </w:rPr>
      </w:pPr>
      <w:r>
        <w:rPr>
          <w:rFonts w:hint="eastAsia"/>
          <w:color w:val="auto"/>
          <w:sz w:val="22"/>
          <w:highlight w:val="none"/>
        </w:rPr>
        <w:t>2．企业生产设备及规模：</w:t>
      </w:r>
    </w:p>
    <w:p w14:paraId="6932FAD7">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15E6463D">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3702E97F">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4F5E5B24">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0B489A00">
      <w:pPr>
        <w:spacing w:line="400" w:lineRule="exact"/>
        <w:rPr>
          <w:color w:val="auto"/>
          <w:sz w:val="22"/>
          <w:highlight w:val="none"/>
        </w:rPr>
      </w:pPr>
    </w:p>
    <w:p w14:paraId="1BAC495A">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5A975DD2">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4A44034">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7B574FA3">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FDFF63E">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599ECD3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DB43622">
      <w:pPr>
        <w:pStyle w:val="11"/>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3FCF169D">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ED11A06">
      <w:pPr>
        <w:autoSpaceDE w:val="0"/>
        <w:autoSpaceDN w:val="0"/>
        <w:adjustRightInd w:val="0"/>
        <w:spacing w:line="440" w:lineRule="atLeast"/>
        <w:ind w:firstLine="3413"/>
        <w:rPr>
          <w:b/>
          <w:color w:val="auto"/>
          <w:sz w:val="36"/>
          <w:highlight w:val="none"/>
          <w:lang w:val="zh-CN"/>
        </w:rPr>
      </w:pPr>
    </w:p>
    <w:tbl>
      <w:tblPr>
        <w:tblStyle w:val="20"/>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157191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E5521FA">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7DFC66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B4C56A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27FC160E">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7B45654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F36611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B61B11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DA5CF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06033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D3FEAE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52DF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D35558">
            <w:pPr>
              <w:autoSpaceDE w:val="0"/>
              <w:autoSpaceDN w:val="0"/>
              <w:adjustRightInd w:val="0"/>
              <w:spacing w:line="440" w:lineRule="atLeast"/>
              <w:jc w:val="center"/>
              <w:rPr>
                <w:b/>
                <w:color w:val="auto"/>
                <w:highlight w:val="none"/>
                <w:lang w:val="zh-CN"/>
              </w:rPr>
            </w:pPr>
          </w:p>
        </w:tc>
      </w:tr>
      <w:tr w14:paraId="4E7DA1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C7145D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E16D6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2FD5D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0147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37EA03C">
            <w:pPr>
              <w:autoSpaceDE w:val="0"/>
              <w:autoSpaceDN w:val="0"/>
              <w:adjustRightInd w:val="0"/>
              <w:spacing w:line="440" w:lineRule="atLeast"/>
              <w:jc w:val="center"/>
              <w:rPr>
                <w:b/>
                <w:color w:val="auto"/>
                <w:highlight w:val="none"/>
                <w:lang w:val="zh-CN"/>
              </w:rPr>
            </w:pPr>
          </w:p>
        </w:tc>
      </w:tr>
      <w:tr w14:paraId="7B1E23C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B97B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B3A1B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6E885A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9B4C20">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8774D9">
            <w:pPr>
              <w:autoSpaceDE w:val="0"/>
              <w:autoSpaceDN w:val="0"/>
              <w:adjustRightInd w:val="0"/>
              <w:spacing w:line="440" w:lineRule="atLeast"/>
              <w:jc w:val="center"/>
              <w:rPr>
                <w:b/>
                <w:color w:val="auto"/>
                <w:highlight w:val="none"/>
                <w:lang w:val="zh-CN"/>
              </w:rPr>
            </w:pPr>
          </w:p>
        </w:tc>
      </w:tr>
      <w:tr w14:paraId="7DCDF48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0F381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3784C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60DD4A">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F5F16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8BAB71">
            <w:pPr>
              <w:autoSpaceDE w:val="0"/>
              <w:autoSpaceDN w:val="0"/>
              <w:adjustRightInd w:val="0"/>
              <w:spacing w:line="440" w:lineRule="atLeast"/>
              <w:jc w:val="center"/>
              <w:rPr>
                <w:b/>
                <w:color w:val="auto"/>
                <w:highlight w:val="none"/>
                <w:lang w:val="zh-CN"/>
              </w:rPr>
            </w:pPr>
          </w:p>
        </w:tc>
      </w:tr>
      <w:tr w14:paraId="49BDCA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38ECB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276B1CD">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65F8CB">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32932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84802A">
            <w:pPr>
              <w:autoSpaceDE w:val="0"/>
              <w:autoSpaceDN w:val="0"/>
              <w:adjustRightInd w:val="0"/>
              <w:spacing w:line="440" w:lineRule="atLeast"/>
              <w:jc w:val="center"/>
              <w:rPr>
                <w:b/>
                <w:color w:val="auto"/>
                <w:highlight w:val="none"/>
                <w:lang w:val="zh-CN"/>
              </w:rPr>
            </w:pPr>
          </w:p>
        </w:tc>
      </w:tr>
      <w:tr w14:paraId="26DD882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4FE79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B0855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D4F64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0BB5A4">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BDF63AC">
            <w:pPr>
              <w:autoSpaceDE w:val="0"/>
              <w:autoSpaceDN w:val="0"/>
              <w:adjustRightInd w:val="0"/>
              <w:spacing w:line="440" w:lineRule="atLeast"/>
              <w:jc w:val="center"/>
              <w:rPr>
                <w:b/>
                <w:color w:val="auto"/>
                <w:highlight w:val="none"/>
                <w:lang w:val="zh-CN"/>
              </w:rPr>
            </w:pPr>
          </w:p>
        </w:tc>
      </w:tr>
      <w:tr w14:paraId="3ED407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B91969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109FE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C2C364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69616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C85632">
            <w:pPr>
              <w:autoSpaceDE w:val="0"/>
              <w:autoSpaceDN w:val="0"/>
              <w:adjustRightInd w:val="0"/>
              <w:spacing w:line="440" w:lineRule="atLeast"/>
              <w:jc w:val="center"/>
              <w:rPr>
                <w:b/>
                <w:color w:val="auto"/>
                <w:highlight w:val="none"/>
                <w:lang w:val="zh-CN"/>
              </w:rPr>
            </w:pPr>
          </w:p>
        </w:tc>
      </w:tr>
      <w:tr w14:paraId="078B57E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E4D84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60FBF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A6941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EB935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B4F05E7">
            <w:pPr>
              <w:autoSpaceDE w:val="0"/>
              <w:autoSpaceDN w:val="0"/>
              <w:adjustRightInd w:val="0"/>
              <w:spacing w:line="440" w:lineRule="atLeast"/>
              <w:jc w:val="center"/>
              <w:rPr>
                <w:b/>
                <w:color w:val="auto"/>
                <w:highlight w:val="none"/>
                <w:lang w:val="zh-CN"/>
              </w:rPr>
            </w:pPr>
          </w:p>
        </w:tc>
      </w:tr>
      <w:tr w14:paraId="0F2EA9F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A76B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21AE3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C79E0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D5DE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AF7C9C">
            <w:pPr>
              <w:autoSpaceDE w:val="0"/>
              <w:autoSpaceDN w:val="0"/>
              <w:adjustRightInd w:val="0"/>
              <w:spacing w:line="440" w:lineRule="atLeast"/>
              <w:jc w:val="center"/>
              <w:rPr>
                <w:b/>
                <w:color w:val="auto"/>
                <w:highlight w:val="none"/>
                <w:lang w:val="zh-CN"/>
              </w:rPr>
            </w:pPr>
          </w:p>
        </w:tc>
      </w:tr>
      <w:tr w14:paraId="4623EDD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5AD23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B4645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07613D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14157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C5F10E">
            <w:pPr>
              <w:autoSpaceDE w:val="0"/>
              <w:autoSpaceDN w:val="0"/>
              <w:adjustRightInd w:val="0"/>
              <w:spacing w:line="440" w:lineRule="atLeast"/>
              <w:jc w:val="center"/>
              <w:rPr>
                <w:b/>
                <w:color w:val="auto"/>
                <w:highlight w:val="none"/>
                <w:lang w:val="zh-CN"/>
              </w:rPr>
            </w:pPr>
          </w:p>
        </w:tc>
      </w:tr>
      <w:tr w14:paraId="3843ED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A441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82D14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070E63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1D442C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D4FECB">
            <w:pPr>
              <w:autoSpaceDE w:val="0"/>
              <w:autoSpaceDN w:val="0"/>
              <w:adjustRightInd w:val="0"/>
              <w:spacing w:line="440" w:lineRule="atLeast"/>
              <w:jc w:val="center"/>
              <w:rPr>
                <w:b/>
                <w:color w:val="auto"/>
                <w:highlight w:val="none"/>
                <w:lang w:val="zh-CN"/>
              </w:rPr>
            </w:pPr>
          </w:p>
        </w:tc>
      </w:tr>
    </w:tbl>
    <w:p w14:paraId="7E4EA6FE">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506B5E97">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57FC1BB6">
      <w:pPr>
        <w:autoSpaceDE w:val="0"/>
        <w:autoSpaceDN w:val="0"/>
        <w:adjustRightInd w:val="0"/>
        <w:spacing w:line="440" w:lineRule="atLeast"/>
        <w:rPr>
          <w:b/>
          <w:color w:val="auto"/>
          <w:sz w:val="32"/>
          <w:highlight w:val="none"/>
          <w:lang w:val="zh-CN"/>
        </w:rPr>
      </w:pPr>
    </w:p>
    <w:p w14:paraId="6233C0A7">
      <w:pPr>
        <w:autoSpaceDE w:val="0"/>
        <w:autoSpaceDN w:val="0"/>
        <w:adjustRightInd w:val="0"/>
        <w:spacing w:line="440" w:lineRule="atLeast"/>
        <w:rPr>
          <w:b/>
          <w:color w:val="auto"/>
          <w:sz w:val="32"/>
          <w:highlight w:val="none"/>
          <w:lang w:val="zh-CN"/>
        </w:rPr>
      </w:pPr>
    </w:p>
    <w:p w14:paraId="35D75D21">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0052CA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EDB3805">
      <w:pPr>
        <w:autoSpaceDE w:val="0"/>
        <w:autoSpaceDN w:val="0"/>
        <w:adjustRightInd w:val="0"/>
        <w:spacing w:line="440" w:lineRule="atLeast"/>
        <w:outlineLvl w:val="0"/>
        <w:rPr>
          <w:b/>
          <w:color w:val="auto"/>
          <w:sz w:val="32"/>
          <w:highlight w:val="none"/>
          <w:lang w:val="zh-CN"/>
        </w:rPr>
        <w:sectPr>
          <w:headerReference r:id="rId12" w:type="default"/>
          <w:footerReference r:id="rId13" w:type="default"/>
          <w:pgSz w:w="11906" w:h="16838"/>
          <w:pgMar w:top="1440" w:right="1361" w:bottom="1440" w:left="1361" w:header="851" w:footer="992" w:gutter="0"/>
          <w:pgNumType w:fmt="decimal"/>
          <w:cols w:space="720" w:num="1"/>
          <w:docGrid w:linePitch="312" w:charSpace="0"/>
        </w:sectPr>
      </w:pPr>
    </w:p>
    <w:p w14:paraId="7F0A59FA">
      <w:pPr>
        <w:pStyle w:val="11"/>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D72EA93">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20"/>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97769C1">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C89A25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30E5FF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F6F02E9">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A7C7F94">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ECC3169">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5EECF99">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432A9BC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67299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3CF188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A3138A">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3C4A9">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D7C572">
            <w:pPr>
              <w:autoSpaceDE w:val="0"/>
              <w:autoSpaceDN w:val="0"/>
              <w:adjustRightInd w:val="0"/>
              <w:spacing w:line="440" w:lineRule="atLeast"/>
              <w:jc w:val="center"/>
              <w:rPr>
                <w:b/>
                <w:color w:val="auto"/>
                <w:highlight w:val="none"/>
                <w:lang w:val="zh-CN"/>
              </w:rPr>
            </w:pPr>
          </w:p>
        </w:tc>
      </w:tr>
      <w:tr w14:paraId="6EF0F0F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CAF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74D80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27997C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D75D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E19B73">
            <w:pPr>
              <w:autoSpaceDE w:val="0"/>
              <w:autoSpaceDN w:val="0"/>
              <w:adjustRightInd w:val="0"/>
              <w:spacing w:line="440" w:lineRule="atLeast"/>
              <w:jc w:val="center"/>
              <w:rPr>
                <w:b/>
                <w:color w:val="auto"/>
                <w:highlight w:val="none"/>
                <w:lang w:val="zh-CN"/>
              </w:rPr>
            </w:pPr>
          </w:p>
        </w:tc>
      </w:tr>
      <w:tr w14:paraId="686EFAB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2721B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16A905E">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42AFE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D072DC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6524EB">
            <w:pPr>
              <w:autoSpaceDE w:val="0"/>
              <w:autoSpaceDN w:val="0"/>
              <w:adjustRightInd w:val="0"/>
              <w:spacing w:line="440" w:lineRule="atLeast"/>
              <w:jc w:val="center"/>
              <w:rPr>
                <w:b/>
                <w:color w:val="auto"/>
                <w:highlight w:val="none"/>
                <w:lang w:val="zh-CN"/>
              </w:rPr>
            </w:pPr>
          </w:p>
        </w:tc>
      </w:tr>
      <w:tr w14:paraId="35D3A54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DAC0B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068FC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E28A4D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14FC1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E0DC18E">
            <w:pPr>
              <w:autoSpaceDE w:val="0"/>
              <w:autoSpaceDN w:val="0"/>
              <w:adjustRightInd w:val="0"/>
              <w:spacing w:line="440" w:lineRule="atLeast"/>
              <w:jc w:val="center"/>
              <w:rPr>
                <w:b/>
                <w:color w:val="auto"/>
                <w:highlight w:val="none"/>
                <w:lang w:val="zh-CN"/>
              </w:rPr>
            </w:pPr>
          </w:p>
        </w:tc>
      </w:tr>
      <w:tr w14:paraId="615D230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80854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2E0D8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22CFB1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3E48E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833BE1">
            <w:pPr>
              <w:autoSpaceDE w:val="0"/>
              <w:autoSpaceDN w:val="0"/>
              <w:adjustRightInd w:val="0"/>
              <w:spacing w:line="440" w:lineRule="atLeast"/>
              <w:jc w:val="center"/>
              <w:rPr>
                <w:b/>
                <w:color w:val="auto"/>
                <w:highlight w:val="none"/>
                <w:lang w:val="zh-CN"/>
              </w:rPr>
            </w:pPr>
          </w:p>
        </w:tc>
      </w:tr>
      <w:tr w14:paraId="3E0A245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29D34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8F0F03">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B87F1F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597265">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B7D002">
            <w:pPr>
              <w:autoSpaceDE w:val="0"/>
              <w:autoSpaceDN w:val="0"/>
              <w:adjustRightInd w:val="0"/>
              <w:spacing w:line="440" w:lineRule="atLeast"/>
              <w:jc w:val="center"/>
              <w:rPr>
                <w:b/>
                <w:color w:val="auto"/>
                <w:highlight w:val="none"/>
                <w:lang w:val="zh-CN"/>
              </w:rPr>
            </w:pPr>
          </w:p>
        </w:tc>
      </w:tr>
    </w:tbl>
    <w:p w14:paraId="00A3F7E1">
      <w:pPr>
        <w:autoSpaceDE w:val="0"/>
        <w:autoSpaceDN w:val="0"/>
        <w:adjustRightInd w:val="0"/>
        <w:spacing w:line="440" w:lineRule="atLeast"/>
        <w:rPr>
          <w:b/>
          <w:color w:val="auto"/>
          <w:highlight w:val="none"/>
          <w:lang w:val="zh-CN"/>
        </w:rPr>
      </w:pPr>
    </w:p>
    <w:p w14:paraId="0CFBD86B">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055B05AA">
      <w:pPr>
        <w:pStyle w:val="11"/>
        <w:adjustRightInd w:val="0"/>
        <w:snapToGrid w:val="0"/>
        <w:spacing w:line="460" w:lineRule="atLeast"/>
        <w:rPr>
          <w:rFonts w:hAnsi="宋体"/>
          <w:color w:val="auto"/>
          <w:spacing w:val="20"/>
          <w:sz w:val="24"/>
          <w:highlight w:val="none"/>
        </w:rPr>
      </w:pPr>
    </w:p>
    <w:p w14:paraId="4774EAF9">
      <w:pPr>
        <w:pStyle w:val="11"/>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2E9AF334">
      <w:pPr>
        <w:autoSpaceDE w:val="0"/>
        <w:autoSpaceDN w:val="0"/>
        <w:adjustRightInd w:val="0"/>
        <w:rPr>
          <w:b/>
          <w:color w:val="auto"/>
          <w:sz w:val="32"/>
          <w:highlight w:val="none"/>
        </w:rPr>
      </w:pPr>
    </w:p>
    <w:p w14:paraId="3219F584">
      <w:pPr>
        <w:pStyle w:val="9"/>
        <w:spacing w:before="120" w:after="120"/>
        <w:ind w:left="650" w:hanging="650"/>
        <w:rPr>
          <w:b/>
          <w:color w:val="auto"/>
          <w:sz w:val="32"/>
          <w:highlight w:val="none"/>
        </w:rPr>
      </w:pPr>
    </w:p>
    <w:p w14:paraId="0B750166">
      <w:pPr>
        <w:rPr>
          <w:b/>
          <w:color w:val="auto"/>
          <w:sz w:val="32"/>
          <w:highlight w:val="none"/>
          <w:lang w:val="zh-CN"/>
        </w:rPr>
      </w:pPr>
      <w:r>
        <w:rPr>
          <w:rFonts w:hint="eastAsia"/>
          <w:b/>
          <w:color w:val="auto"/>
          <w:sz w:val="32"/>
          <w:highlight w:val="none"/>
        </w:rPr>
        <w:br w:type="page"/>
      </w:r>
      <w:r>
        <w:rPr>
          <w:rFonts w:hint="eastAsia"/>
          <w:b/>
          <w:color w:val="auto"/>
          <w:sz w:val="32"/>
          <w:highlight w:val="none"/>
        </w:rPr>
        <w:t>3.</w:t>
      </w:r>
      <w:r>
        <w:rPr>
          <w:rFonts w:hint="eastAsia"/>
          <w:b/>
          <w:color w:val="auto"/>
          <w:sz w:val="32"/>
          <w:highlight w:val="none"/>
          <w:lang w:val="en-US" w:eastAsia="zh-CN"/>
        </w:rPr>
        <w:t>8</w:t>
      </w:r>
      <w:r>
        <w:rPr>
          <w:rFonts w:hint="eastAsia" w:hAnsi="宋体"/>
          <w:b/>
          <w:color w:val="auto"/>
          <w:sz w:val="30"/>
          <w:highlight w:val="none"/>
        </w:rPr>
        <w:t>投标产品的数量、配置及主要技术参数表</w:t>
      </w:r>
    </w:p>
    <w:p w14:paraId="611B3A34">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3D41BD5D">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2FD2F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8D19745">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2367A309">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1FC9F352">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328B04AF">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3B5B08C">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178A39D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4BE89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EED0A93">
            <w:pPr>
              <w:jc w:val="center"/>
              <w:rPr>
                <w:rFonts w:hint="eastAsia" w:ascii="宋体" w:hAnsi="宋体" w:cs="宋体"/>
                <w:color w:val="auto"/>
                <w:spacing w:val="20"/>
                <w:highlight w:val="none"/>
              </w:rPr>
            </w:pPr>
          </w:p>
        </w:tc>
        <w:tc>
          <w:tcPr>
            <w:tcW w:w="1671" w:type="dxa"/>
            <w:noWrap w:val="0"/>
            <w:vAlign w:val="center"/>
          </w:tcPr>
          <w:p w14:paraId="497D1DA3">
            <w:pPr>
              <w:widowControl/>
              <w:spacing w:line="400" w:lineRule="exact"/>
              <w:jc w:val="center"/>
              <w:rPr>
                <w:rFonts w:hint="eastAsia" w:ascii="宋体" w:hAnsi="宋体" w:cs="宋体"/>
                <w:color w:val="auto"/>
                <w:sz w:val="24"/>
                <w:highlight w:val="none"/>
              </w:rPr>
            </w:pPr>
          </w:p>
        </w:tc>
        <w:tc>
          <w:tcPr>
            <w:tcW w:w="1322" w:type="dxa"/>
            <w:noWrap w:val="0"/>
            <w:vAlign w:val="center"/>
          </w:tcPr>
          <w:p w14:paraId="2174B78F">
            <w:pPr>
              <w:jc w:val="center"/>
              <w:rPr>
                <w:rFonts w:hint="eastAsia" w:ascii="宋体" w:hAnsi="宋体" w:cs="宋体"/>
                <w:color w:val="auto"/>
                <w:spacing w:val="20"/>
                <w:highlight w:val="none"/>
              </w:rPr>
            </w:pPr>
          </w:p>
        </w:tc>
        <w:tc>
          <w:tcPr>
            <w:tcW w:w="2019" w:type="dxa"/>
            <w:noWrap w:val="0"/>
            <w:vAlign w:val="center"/>
          </w:tcPr>
          <w:p w14:paraId="7312BE76">
            <w:pPr>
              <w:jc w:val="center"/>
              <w:rPr>
                <w:rFonts w:hint="eastAsia" w:ascii="宋体" w:hAnsi="宋体" w:cs="宋体"/>
                <w:color w:val="auto"/>
                <w:spacing w:val="20"/>
                <w:highlight w:val="none"/>
              </w:rPr>
            </w:pPr>
          </w:p>
        </w:tc>
        <w:tc>
          <w:tcPr>
            <w:tcW w:w="836" w:type="dxa"/>
            <w:noWrap w:val="0"/>
            <w:vAlign w:val="center"/>
          </w:tcPr>
          <w:p w14:paraId="4E8AC245">
            <w:pPr>
              <w:jc w:val="center"/>
              <w:rPr>
                <w:rFonts w:hint="eastAsia" w:ascii="宋体" w:hAnsi="宋体" w:cs="宋体"/>
                <w:color w:val="auto"/>
                <w:spacing w:val="20"/>
                <w:highlight w:val="none"/>
              </w:rPr>
            </w:pPr>
          </w:p>
        </w:tc>
        <w:tc>
          <w:tcPr>
            <w:tcW w:w="2480" w:type="dxa"/>
            <w:noWrap w:val="0"/>
            <w:vAlign w:val="center"/>
          </w:tcPr>
          <w:p w14:paraId="1DBA393A">
            <w:pPr>
              <w:jc w:val="center"/>
              <w:rPr>
                <w:rFonts w:hint="eastAsia" w:ascii="宋体" w:hAnsi="宋体" w:cs="宋体"/>
                <w:color w:val="auto"/>
                <w:spacing w:val="20"/>
                <w:highlight w:val="none"/>
              </w:rPr>
            </w:pPr>
          </w:p>
        </w:tc>
      </w:tr>
      <w:tr w14:paraId="260D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B9F701">
            <w:pPr>
              <w:jc w:val="center"/>
              <w:rPr>
                <w:rFonts w:hint="eastAsia" w:ascii="宋体" w:hAnsi="宋体" w:cs="宋体"/>
                <w:color w:val="auto"/>
                <w:spacing w:val="20"/>
                <w:highlight w:val="none"/>
              </w:rPr>
            </w:pPr>
          </w:p>
        </w:tc>
        <w:tc>
          <w:tcPr>
            <w:tcW w:w="1671" w:type="dxa"/>
            <w:noWrap w:val="0"/>
            <w:vAlign w:val="center"/>
          </w:tcPr>
          <w:p w14:paraId="6E1E7329">
            <w:pPr>
              <w:widowControl/>
              <w:spacing w:line="400" w:lineRule="exact"/>
              <w:jc w:val="center"/>
              <w:rPr>
                <w:rFonts w:hint="eastAsia" w:ascii="宋体" w:hAnsi="宋体" w:cs="宋体"/>
                <w:color w:val="auto"/>
                <w:sz w:val="24"/>
                <w:highlight w:val="none"/>
              </w:rPr>
            </w:pPr>
          </w:p>
        </w:tc>
        <w:tc>
          <w:tcPr>
            <w:tcW w:w="1322" w:type="dxa"/>
            <w:noWrap w:val="0"/>
            <w:vAlign w:val="center"/>
          </w:tcPr>
          <w:p w14:paraId="599DF483">
            <w:pPr>
              <w:jc w:val="center"/>
              <w:rPr>
                <w:rFonts w:hint="eastAsia" w:ascii="宋体" w:hAnsi="宋体" w:cs="宋体"/>
                <w:color w:val="auto"/>
                <w:spacing w:val="20"/>
                <w:highlight w:val="none"/>
              </w:rPr>
            </w:pPr>
          </w:p>
        </w:tc>
        <w:tc>
          <w:tcPr>
            <w:tcW w:w="2019" w:type="dxa"/>
            <w:noWrap w:val="0"/>
            <w:vAlign w:val="center"/>
          </w:tcPr>
          <w:p w14:paraId="00400FF9">
            <w:pPr>
              <w:jc w:val="center"/>
              <w:rPr>
                <w:rFonts w:hint="eastAsia" w:ascii="宋体" w:hAnsi="宋体" w:cs="宋体"/>
                <w:color w:val="auto"/>
                <w:spacing w:val="20"/>
                <w:highlight w:val="none"/>
              </w:rPr>
            </w:pPr>
          </w:p>
        </w:tc>
        <w:tc>
          <w:tcPr>
            <w:tcW w:w="836" w:type="dxa"/>
            <w:noWrap w:val="0"/>
            <w:vAlign w:val="center"/>
          </w:tcPr>
          <w:p w14:paraId="33CCAA53">
            <w:pPr>
              <w:jc w:val="center"/>
              <w:rPr>
                <w:rFonts w:hint="eastAsia" w:ascii="宋体" w:hAnsi="宋体" w:cs="宋体"/>
                <w:color w:val="auto"/>
                <w:spacing w:val="20"/>
                <w:highlight w:val="none"/>
              </w:rPr>
            </w:pPr>
          </w:p>
        </w:tc>
        <w:tc>
          <w:tcPr>
            <w:tcW w:w="2480" w:type="dxa"/>
            <w:noWrap w:val="0"/>
            <w:vAlign w:val="center"/>
          </w:tcPr>
          <w:p w14:paraId="732263FE">
            <w:pPr>
              <w:jc w:val="center"/>
              <w:rPr>
                <w:rFonts w:hint="eastAsia" w:ascii="宋体" w:hAnsi="宋体" w:cs="宋体"/>
                <w:color w:val="auto"/>
                <w:spacing w:val="20"/>
                <w:highlight w:val="none"/>
              </w:rPr>
            </w:pPr>
          </w:p>
        </w:tc>
      </w:tr>
      <w:tr w14:paraId="3BF72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9C1FB49">
            <w:pPr>
              <w:jc w:val="center"/>
              <w:rPr>
                <w:rFonts w:hint="eastAsia" w:ascii="宋体" w:hAnsi="宋体" w:cs="宋体"/>
                <w:color w:val="auto"/>
                <w:spacing w:val="20"/>
                <w:highlight w:val="none"/>
              </w:rPr>
            </w:pPr>
          </w:p>
        </w:tc>
        <w:tc>
          <w:tcPr>
            <w:tcW w:w="1671" w:type="dxa"/>
            <w:noWrap w:val="0"/>
            <w:vAlign w:val="center"/>
          </w:tcPr>
          <w:p w14:paraId="6EC91B12">
            <w:pPr>
              <w:jc w:val="center"/>
              <w:rPr>
                <w:rFonts w:hint="eastAsia" w:ascii="宋体" w:hAnsi="宋体" w:cs="宋体"/>
                <w:color w:val="auto"/>
                <w:spacing w:val="20"/>
                <w:highlight w:val="none"/>
              </w:rPr>
            </w:pPr>
          </w:p>
        </w:tc>
        <w:tc>
          <w:tcPr>
            <w:tcW w:w="1322" w:type="dxa"/>
            <w:noWrap w:val="0"/>
            <w:vAlign w:val="center"/>
          </w:tcPr>
          <w:p w14:paraId="657D738C">
            <w:pPr>
              <w:jc w:val="center"/>
              <w:rPr>
                <w:rFonts w:hint="eastAsia" w:ascii="宋体" w:hAnsi="宋体" w:cs="宋体"/>
                <w:color w:val="auto"/>
                <w:spacing w:val="20"/>
                <w:highlight w:val="none"/>
              </w:rPr>
            </w:pPr>
          </w:p>
        </w:tc>
        <w:tc>
          <w:tcPr>
            <w:tcW w:w="2019" w:type="dxa"/>
            <w:noWrap w:val="0"/>
            <w:vAlign w:val="center"/>
          </w:tcPr>
          <w:p w14:paraId="5BA9563E">
            <w:pPr>
              <w:jc w:val="center"/>
              <w:rPr>
                <w:rFonts w:hint="eastAsia" w:ascii="宋体" w:hAnsi="宋体" w:cs="宋体"/>
                <w:color w:val="auto"/>
                <w:spacing w:val="20"/>
                <w:highlight w:val="none"/>
              </w:rPr>
            </w:pPr>
          </w:p>
        </w:tc>
        <w:tc>
          <w:tcPr>
            <w:tcW w:w="836" w:type="dxa"/>
            <w:noWrap w:val="0"/>
            <w:vAlign w:val="center"/>
          </w:tcPr>
          <w:p w14:paraId="5A55092E">
            <w:pPr>
              <w:jc w:val="center"/>
              <w:rPr>
                <w:rFonts w:hint="eastAsia" w:ascii="宋体" w:hAnsi="宋体" w:cs="宋体"/>
                <w:color w:val="auto"/>
                <w:spacing w:val="20"/>
                <w:highlight w:val="none"/>
              </w:rPr>
            </w:pPr>
          </w:p>
        </w:tc>
        <w:tc>
          <w:tcPr>
            <w:tcW w:w="2480" w:type="dxa"/>
            <w:noWrap w:val="0"/>
            <w:vAlign w:val="center"/>
          </w:tcPr>
          <w:p w14:paraId="18AF4188">
            <w:pPr>
              <w:jc w:val="center"/>
              <w:rPr>
                <w:rFonts w:hint="eastAsia" w:ascii="宋体" w:hAnsi="宋体" w:cs="宋体"/>
                <w:color w:val="auto"/>
                <w:spacing w:val="20"/>
                <w:highlight w:val="none"/>
              </w:rPr>
            </w:pPr>
          </w:p>
        </w:tc>
      </w:tr>
      <w:tr w14:paraId="68ED7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483BF94">
            <w:pPr>
              <w:jc w:val="center"/>
              <w:rPr>
                <w:rFonts w:hint="eastAsia" w:ascii="宋体" w:hAnsi="宋体" w:cs="宋体"/>
                <w:color w:val="auto"/>
                <w:spacing w:val="20"/>
                <w:highlight w:val="none"/>
              </w:rPr>
            </w:pPr>
          </w:p>
        </w:tc>
        <w:tc>
          <w:tcPr>
            <w:tcW w:w="1671" w:type="dxa"/>
            <w:noWrap w:val="0"/>
            <w:vAlign w:val="center"/>
          </w:tcPr>
          <w:p w14:paraId="2474F633">
            <w:pPr>
              <w:jc w:val="center"/>
              <w:rPr>
                <w:rFonts w:hint="eastAsia" w:ascii="宋体" w:hAnsi="宋体" w:cs="宋体"/>
                <w:color w:val="auto"/>
                <w:spacing w:val="20"/>
                <w:highlight w:val="none"/>
              </w:rPr>
            </w:pPr>
          </w:p>
        </w:tc>
        <w:tc>
          <w:tcPr>
            <w:tcW w:w="1322" w:type="dxa"/>
            <w:noWrap w:val="0"/>
            <w:vAlign w:val="center"/>
          </w:tcPr>
          <w:p w14:paraId="05DD724E">
            <w:pPr>
              <w:jc w:val="center"/>
              <w:rPr>
                <w:rFonts w:hint="eastAsia" w:ascii="宋体" w:hAnsi="宋体" w:cs="宋体"/>
                <w:color w:val="auto"/>
                <w:spacing w:val="20"/>
                <w:highlight w:val="none"/>
              </w:rPr>
            </w:pPr>
          </w:p>
        </w:tc>
        <w:tc>
          <w:tcPr>
            <w:tcW w:w="2019" w:type="dxa"/>
            <w:noWrap w:val="0"/>
            <w:vAlign w:val="center"/>
          </w:tcPr>
          <w:p w14:paraId="3DCA093C">
            <w:pPr>
              <w:jc w:val="center"/>
              <w:rPr>
                <w:rFonts w:hint="eastAsia" w:ascii="宋体" w:hAnsi="宋体" w:cs="宋体"/>
                <w:color w:val="auto"/>
                <w:spacing w:val="20"/>
                <w:highlight w:val="none"/>
              </w:rPr>
            </w:pPr>
          </w:p>
        </w:tc>
        <w:tc>
          <w:tcPr>
            <w:tcW w:w="836" w:type="dxa"/>
            <w:noWrap w:val="0"/>
            <w:vAlign w:val="center"/>
          </w:tcPr>
          <w:p w14:paraId="644C6BF7">
            <w:pPr>
              <w:jc w:val="center"/>
              <w:rPr>
                <w:rFonts w:hint="eastAsia" w:ascii="宋体" w:hAnsi="宋体" w:cs="宋体"/>
                <w:color w:val="auto"/>
                <w:spacing w:val="20"/>
                <w:highlight w:val="none"/>
              </w:rPr>
            </w:pPr>
          </w:p>
        </w:tc>
        <w:tc>
          <w:tcPr>
            <w:tcW w:w="2480" w:type="dxa"/>
            <w:noWrap w:val="0"/>
            <w:vAlign w:val="center"/>
          </w:tcPr>
          <w:p w14:paraId="3A2C4434">
            <w:pPr>
              <w:jc w:val="center"/>
              <w:rPr>
                <w:rFonts w:hint="eastAsia" w:ascii="宋体" w:hAnsi="宋体" w:cs="宋体"/>
                <w:color w:val="auto"/>
                <w:spacing w:val="20"/>
                <w:highlight w:val="none"/>
              </w:rPr>
            </w:pPr>
          </w:p>
        </w:tc>
      </w:tr>
      <w:tr w14:paraId="13982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1EB886F">
            <w:pPr>
              <w:jc w:val="center"/>
              <w:rPr>
                <w:rFonts w:hint="eastAsia" w:ascii="宋体" w:hAnsi="宋体" w:cs="宋体"/>
                <w:color w:val="auto"/>
                <w:spacing w:val="20"/>
                <w:highlight w:val="none"/>
              </w:rPr>
            </w:pPr>
          </w:p>
        </w:tc>
        <w:tc>
          <w:tcPr>
            <w:tcW w:w="1671" w:type="dxa"/>
            <w:noWrap w:val="0"/>
            <w:vAlign w:val="top"/>
          </w:tcPr>
          <w:p w14:paraId="5508BA98">
            <w:pPr>
              <w:widowControl/>
              <w:spacing w:line="400" w:lineRule="exact"/>
              <w:jc w:val="center"/>
              <w:rPr>
                <w:rFonts w:hint="eastAsia" w:ascii="宋体" w:hAnsi="宋体" w:cs="宋体"/>
                <w:color w:val="auto"/>
                <w:sz w:val="24"/>
                <w:highlight w:val="none"/>
              </w:rPr>
            </w:pPr>
          </w:p>
        </w:tc>
        <w:tc>
          <w:tcPr>
            <w:tcW w:w="1322" w:type="dxa"/>
            <w:noWrap w:val="0"/>
            <w:vAlign w:val="center"/>
          </w:tcPr>
          <w:p w14:paraId="6BEDF87C">
            <w:pPr>
              <w:jc w:val="center"/>
              <w:rPr>
                <w:rFonts w:hint="eastAsia" w:ascii="宋体" w:hAnsi="宋体" w:cs="宋体"/>
                <w:color w:val="auto"/>
                <w:spacing w:val="20"/>
                <w:highlight w:val="none"/>
              </w:rPr>
            </w:pPr>
          </w:p>
        </w:tc>
        <w:tc>
          <w:tcPr>
            <w:tcW w:w="2019" w:type="dxa"/>
            <w:noWrap w:val="0"/>
            <w:vAlign w:val="center"/>
          </w:tcPr>
          <w:p w14:paraId="356F226F">
            <w:pPr>
              <w:jc w:val="center"/>
              <w:rPr>
                <w:rFonts w:hint="eastAsia" w:ascii="宋体" w:hAnsi="宋体" w:cs="宋体"/>
                <w:color w:val="auto"/>
                <w:spacing w:val="20"/>
                <w:highlight w:val="none"/>
              </w:rPr>
            </w:pPr>
          </w:p>
        </w:tc>
        <w:tc>
          <w:tcPr>
            <w:tcW w:w="836" w:type="dxa"/>
            <w:noWrap w:val="0"/>
            <w:vAlign w:val="center"/>
          </w:tcPr>
          <w:p w14:paraId="7EBC8146">
            <w:pPr>
              <w:jc w:val="center"/>
              <w:rPr>
                <w:rFonts w:hint="eastAsia" w:ascii="宋体" w:hAnsi="宋体" w:cs="宋体"/>
                <w:color w:val="auto"/>
                <w:spacing w:val="20"/>
                <w:highlight w:val="none"/>
              </w:rPr>
            </w:pPr>
          </w:p>
        </w:tc>
        <w:tc>
          <w:tcPr>
            <w:tcW w:w="2480" w:type="dxa"/>
            <w:noWrap w:val="0"/>
            <w:vAlign w:val="center"/>
          </w:tcPr>
          <w:p w14:paraId="6D46E2B3">
            <w:pPr>
              <w:jc w:val="center"/>
              <w:rPr>
                <w:rFonts w:hint="eastAsia" w:ascii="宋体" w:hAnsi="宋体" w:cs="宋体"/>
                <w:color w:val="auto"/>
                <w:spacing w:val="20"/>
                <w:highlight w:val="none"/>
              </w:rPr>
            </w:pPr>
          </w:p>
        </w:tc>
      </w:tr>
      <w:tr w14:paraId="4FBCE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D095A2">
            <w:pPr>
              <w:jc w:val="center"/>
              <w:rPr>
                <w:rFonts w:hint="eastAsia" w:ascii="宋体" w:hAnsi="宋体" w:cs="宋体"/>
                <w:color w:val="auto"/>
                <w:spacing w:val="20"/>
                <w:highlight w:val="none"/>
              </w:rPr>
            </w:pPr>
          </w:p>
        </w:tc>
        <w:tc>
          <w:tcPr>
            <w:tcW w:w="1671" w:type="dxa"/>
            <w:noWrap w:val="0"/>
            <w:vAlign w:val="top"/>
          </w:tcPr>
          <w:p w14:paraId="32E4D3E4">
            <w:pPr>
              <w:widowControl/>
              <w:spacing w:line="400" w:lineRule="exact"/>
              <w:jc w:val="center"/>
              <w:rPr>
                <w:rFonts w:hint="eastAsia" w:ascii="宋体" w:hAnsi="宋体" w:cs="宋体"/>
                <w:color w:val="auto"/>
                <w:sz w:val="24"/>
                <w:highlight w:val="none"/>
              </w:rPr>
            </w:pPr>
          </w:p>
        </w:tc>
        <w:tc>
          <w:tcPr>
            <w:tcW w:w="1322" w:type="dxa"/>
            <w:noWrap w:val="0"/>
            <w:vAlign w:val="center"/>
          </w:tcPr>
          <w:p w14:paraId="0EA38A7C">
            <w:pPr>
              <w:jc w:val="center"/>
              <w:rPr>
                <w:rFonts w:hint="eastAsia" w:ascii="宋体" w:hAnsi="宋体" w:cs="宋体"/>
                <w:color w:val="auto"/>
                <w:spacing w:val="20"/>
                <w:highlight w:val="none"/>
              </w:rPr>
            </w:pPr>
          </w:p>
        </w:tc>
        <w:tc>
          <w:tcPr>
            <w:tcW w:w="2019" w:type="dxa"/>
            <w:noWrap w:val="0"/>
            <w:vAlign w:val="center"/>
          </w:tcPr>
          <w:p w14:paraId="053EF29D">
            <w:pPr>
              <w:jc w:val="center"/>
              <w:rPr>
                <w:rFonts w:hint="eastAsia" w:ascii="宋体" w:hAnsi="宋体" w:cs="宋体"/>
                <w:color w:val="auto"/>
                <w:spacing w:val="20"/>
                <w:highlight w:val="none"/>
              </w:rPr>
            </w:pPr>
          </w:p>
        </w:tc>
        <w:tc>
          <w:tcPr>
            <w:tcW w:w="836" w:type="dxa"/>
            <w:noWrap w:val="0"/>
            <w:vAlign w:val="center"/>
          </w:tcPr>
          <w:p w14:paraId="2EF4595F">
            <w:pPr>
              <w:jc w:val="center"/>
              <w:rPr>
                <w:rFonts w:hint="eastAsia" w:ascii="宋体" w:hAnsi="宋体" w:cs="宋体"/>
                <w:color w:val="auto"/>
                <w:spacing w:val="20"/>
                <w:highlight w:val="none"/>
              </w:rPr>
            </w:pPr>
          </w:p>
        </w:tc>
        <w:tc>
          <w:tcPr>
            <w:tcW w:w="2480" w:type="dxa"/>
            <w:noWrap w:val="0"/>
            <w:vAlign w:val="center"/>
          </w:tcPr>
          <w:p w14:paraId="4A58C32D">
            <w:pPr>
              <w:jc w:val="center"/>
              <w:rPr>
                <w:rFonts w:hint="eastAsia" w:ascii="宋体" w:hAnsi="宋体" w:cs="宋体"/>
                <w:color w:val="auto"/>
                <w:spacing w:val="20"/>
                <w:highlight w:val="none"/>
              </w:rPr>
            </w:pPr>
          </w:p>
        </w:tc>
      </w:tr>
      <w:tr w14:paraId="5A47A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9AF8BE">
            <w:pPr>
              <w:jc w:val="center"/>
              <w:rPr>
                <w:rFonts w:hint="eastAsia" w:ascii="宋体" w:hAnsi="宋体" w:cs="宋体"/>
                <w:color w:val="auto"/>
                <w:spacing w:val="20"/>
                <w:highlight w:val="none"/>
              </w:rPr>
            </w:pPr>
          </w:p>
        </w:tc>
        <w:tc>
          <w:tcPr>
            <w:tcW w:w="1671" w:type="dxa"/>
            <w:noWrap w:val="0"/>
            <w:vAlign w:val="top"/>
          </w:tcPr>
          <w:p w14:paraId="1702ACEF">
            <w:pPr>
              <w:widowControl/>
              <w:spacing w:line="400" w:lineRule="exact"/>
              <w:jc w:val="center"/>
              <w:rPr>
                <w:rFonts w:hint="eastAsia" w:ascii="宋体" w:hAnsi="宋体" w:cs="宋体"/>
                <w:color w:val="auto"/>
                <w:sz w:val="24"/>
                <w:highlight w:val="none"/>
              </w:rPr>
            </w:pPr>
          </w:p>
        </w:tc>
        <w:tc>
          <w:tcPr>
            <w:tcW w:w="1322" w:type="dxa"/>
            <w:noWrap w:val="0"/>
            <w:vAlign w:val="center"/>
          </w:tcPr>
          <w:p w14:paraId="46CDEBD3">
            <w:pPr>
              <w:jc w:val="center"/>
              <w:rPr>
                <w:rFonts w:hint="eastAsia" w:ascii="宋体" w:hAnsi="宋体" w:cs="宋体"/>
                <w:color w:val="auto"/>
                <w:spacing w:val="20"/>
                <w:highlight w:val="none"/>
              </w:rPr>
            </w:pPr>
          </w:p>
        </w:tc>
        <w:tc>
          <w:tcPr>
            <w:tcW w:w="2019" w:type="dxa"/>
            <w:noWrap w:val="0"/>
            <w:vAlign w:val="center"/>
          </w:tcPr>
          <w:p w14:paraId="524D7F8A">
            <w:pPr>
              <w:jc w:val="center"/>
              <w:rPr>
                <w:rFonts w:hint="eastAsia" w:ascii="宋体" w:hAnsi="宋体" w:cs="宋体"/>
                <w:color w:val="auto"/>
                <w:spacing w:val="20"/>
                <w:highlight w:val="none"/>
              </w:rPr>
            </w:pPr>
          </w:p>
        </w:tc>
        <w:tc>
          <w:tcPr>
            <w:tcW w:w="836" w:type="dxa"/>
            <w:noWrap w:val="0"/>
            <w:vAlign w:val="center"/>
          </w:tcPr>
          <w:p w14:paraId="0934854D">
            <w:pPr>
              <w:jc w:val="center"/>
              <w:rPr>
                <w:rFonts w:hint="eastAsia" w:ascii="宋体" w:hAnsi="宋体" w:cs="宋体"/>
                <w:color w:val="auto"/>
                <w:spacing w:val="20"/>
                <w:highlight w:val="none"/>
              </w:rPr>
            </w:pPr>
          </w:p>
        </w:tc>
        <w:tc>
          <w:tcPr>
            <w:tcW w:w="2480" w:type="dxa"/>
            <w:noWrap w:val="0"/>
            <w:vAlign w:val="center"/>
          </w:tcPr>
          <w:p w14:paraId="0CC7488C">
            <w:pPr>
              <w:jc w:val="center"/>
              <w:rPr>
                <w:rFonts w:hint="eastAsia" w:ascii="宋体" w:hAnsi="宋体" w:cs="宋体"/>
                <w:color w:val="auto"/>
                <w:spacing w:val="20"/>
                <w:highlight w:val="none"/>
              </w:rPr>
            </w:pPr>
          </w:p>
        </w:tc>
      </w:tr>
      <w:tr w14:paraId="5973F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68850AC">
            <w:pPr>
              <w:jc w:val="center"/>
              <w:rPr>
                <w:rFonts w:hint="eastAsia" w:ascii="宋体" w:hAnsi="宋体" w:cs="宋体"/>
                <w:color w:val="auto"/>
                <w:spacing w:val="20"/>
                <w:highlight w:val="none"/>
              </w:rPr>
            </w:pPr>
          </w:p>
        </w:tc>
        <w:tc>
          <w:tcPr>
            <w:tcW w:w="1671" w:type="dxa"/>
            <w:noWrap w:val="0"/>
            <w:vAlign w:val="center"/>
          </w:tcPr>
          <w:p w14:paraId="6A65EC1C">
            <w:pPr>
              <w:jc w:val="center"/>
              <w:rPr>
                <w:rFonts w:hint="eastAsia" w:ascii="宋体" w:hAnsi="宋体" w:cs="宋体"/>
                <w:color w:val="auto"/>
                <w:spacing w:val="20"/>
                <w:highlight w:val="none"/>
              </w:rPr>
            </w:pPr>
          </w:p>
        </w:tc>
        <w:tc>
          <w:tcPr>
            <w:tcW w:w="1322" w:type="dxa"/>
            <w:noWrap w:val="0"/>
            <w:vAlign w:val="center"/>
          </w:tcPr>
          <w:p w14:paraId="54C6A06E">
            <w:pPr>
              <w:jc w:val="center"/>
              <w:rPr>
                <w:rFonts w:hint="eastAsia" w:ascii="宋体" w:hAnsi="宋体" w:cs="宋体"/>
                <w:color w:val="auto"/>
                <w:spacing w:val="20"/>
                <w:highlight w:val="none"/>
              </w:rPr>
            </w:pPr>
          </w:p>
        </w:tc>
        <w:tc>
          <w:tcPr>
            <w:tcW w:w="2019" w:type="dxa"/>
            <w:noWrap w:val="0"/>
            <w:vAlign w:val="center"/>
          </w:tcPr>
          <w:p w14:paraId="4AEE2AEE">
            <w:pPr>
              <w:jc w:val="center"/>
              <w:rPr>
                <w:rFonts w:hint="eastAsia" w:ascii="宋体" w:hAnsi="宋体" w:cs="宋体"/>
                <w:color w:val="auto"/>
                <w:spacing w:val="20"/>
                <w:highlight w:val="none"/>
              </w:rPr>
            </w:pPr>
          </w:p>
        </w:tc>
        <w:tc>
          <w:tcPr>
            <w:tcW w:w="836" w:type="dxa"/>
            <w:noWrap w:val="0"/>
            <w:vAlign w:val="center"/>
          </w:tcPr>
          <w:p w14:paraId="71860B1B">
            <w:pPr>
              <w:jc w:val="center"/>
              <w:rPr>
                <w:rFonts w:hint="eastAsia" w:ascii="宋体" w:hAnsi="宋体" w:cs="宋体"/>
                <w:color w:val="auto"/>
                <w:spacing w:val="20"/>
                <w:highlight w:val="none"/>
              </w:rPr>
            </w:pPr>
          </w:p>
        </w:tc>
        <w:tc>
          <w:tcPr>
            <w:tcW w:w="2480" w:type="dxa"/>
            <w:noWrap w:val="0"/>
            <w:vAlign w:val="center"/>
          </w:tcPr>
          <w:p w14:paraId="2D7EDA1D">
            <w:pPr>
              <w:jc w:val="center"/>
              <w:rPr>
                <w:rFonts w:hint="eastAsia" w:ascii="宋体" w:hAnsi="宋体" w:cs="宋体"/>
                <w:color w:val="auto"/>
                <w:spacing w:val="20"/>
                <w:highlight w:val="none"/>
              </w:rPr>
            </w:pPr>
          </w:p>
        </w:tc>
      </w:tr>
      <w:tr w14:paraId="6D382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AC79720">
            <w:pPr>
              <w:jc w:val="center"/>
              <w:rPr>
                <w:rFonts w:hint="eastAsia" w:ascii="宋体" w:hAnsi="宋体" w:cs="宋体"/>
                <w:color w:val="auto"/>
                <w:spacing w:val="20"/>
                <w:highlight w:val="none"/>
              </w:rPr>
            </w:pPr>
          </w:p>
        </w:tc>
        <w:tc>
          <w:tcPr>
            <w:tcW w:w="1671" w:type="dxa"/>
            <w:noWrap w:val="0"/>
            <w:vAlign w:val="center"/>
          </w:tcPr>
          <w:p w14:paraId="500C1012">
            <w:pPr>
              <w:jc w:val="center"/>
              <w:rPr>
                <w:rFonts w:hint="eastAsia" w:ascii="宋体" w:hAnsi="宋体" w:cs="宋体"/>
                <w:color w:val="auto"/>
                <w:spacing w:val="20"/>
                <w:highlight w:val="none"/>
              </w:rPr>
            </w:pPr>
          </w:p>
        </w:tc>
        <w:tc>
          <w:tcPr>
            <w:tcW w:w="1322" w:type="dxa"/>
            <w:noWrap w:val="0"/>
            <w:vAlign w:val="center"/>
          </w:tcPr>
          <w:p w14:paraId="4E978162">
            <w:pPr>
              <w:jc w:val="center"/>
              <w:rPr>
                <w:rFonts w:hint="eastAsia" w:ascii="宋体" w:hAnsi="宋体" w:cs="宋体"/>
                <w:color w:val="auto"/>
                <w:spacing w:val="20"/>
                <w:highlight w:val="none"/>
              </w:rPr>
            </w:pPr>
          </w:p>
        </w:tc>
        <w:tc>
          <w:tcPr>
            <w:tcW w:w="2019" w:type="dxa"/>
            <w:noWrap w:val="0"/>
            <w:vAlign w:val="center"/>
          </w:tcPr>
          <w:p w14:paraId="7DDFBE2E">
            <w:pPr>
              <w:jc w:val="center"/>
              <w:rPr>
                <w:rFonts w:hint="eastAsia" w:ascii="宋体" w:hAnsi="宋体" w:cs="宋体"/>
                <w:color w:val="auto"/>
                <w:spacing w:val="20"/>
                <w:highlight w:val="none"/>
              </w:rPr>
            </w:pPr>
          </w:p>
        </w:tc>
        <w:tc>
          <w:tcPr>
            <w:tcW w:w="836" w:type="dxa"/>
            <w:noWrap w:val="0"/>
            <w:vAlign w:val="center"/>
          </w:tcPr>
          <w:p w14:paraId="2FA5671A">
            <w:pPr>
              <w:jc w:val="center"/>
              <w:rPr>
                <w:rFonts w:hint="eastAsia" w:ascii="宋体" w:hAnsi="宋体" w:cs="宋体"/>
                <w:color w:val="auto"/>
                <w:spacing w:val="20"/>
                <w:highlight w:val="none"/>
              </w:rPr>
            </w:pPr>
          </w:p>
        </w:tc>
        <w:tc>
          <w:tcPr>
            <w:tcW w:w="2480" w:type="dxa"/>
            <w:noWrap w:val="0"/>
            <w:vAlign w:val="center"/>
          </w:tcPr>
          <w:p w14:paraId="708BE151">
            <w:pPr>
              <w:jc w:val="center"/>
              <w:rPr>
                <w:rFonts w:hint="eastAsia" w:ascii="宋体" w:hAnsi="宋体" w:cs="宋体"/>
                <w:color w:val="auto"/>
                <w:spacing w:val="20"/>
                <w:highlight w:val="none"/>
              </w:rPr>
            </w:pPr>
          </w:p>
        </w:tc>
      </w:tr>
      <w:tr w14:paraId="7E392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2916985">
            <w:pPr>
              <w:jc w:val="center"/>
              <w:rPr>
                <w:rFonts w:hint="eastAsia" w:ascii="宋体" w:hAnsi="宋体" w:cs="宋体"/>
                <w:color w:val="auto"/>
                <w:spacing w:val="20"/>
                <w:highlight w:val="none"/>
              </w:rPr>
            </w:pPr>
          </w:p>
        </w:tc>
        <w:tc>
          <w:tcPr>
            <w:tcW w:w="1671" w:type="dxa"/>
            <w:noWrap w:val="0"/>
            <w:vAlign w:val="top"/>
          </w:tcPr>
          <w:p w14:paraId="5AAC8DCE">
            <w:pPr>
              <w:widowControl/>
              <w:spacing w:line="400" w:lineRule="exact"/>
              <w:jc w:val="center"/>
              <w:rPr>
                <w:rFonts w:hint="eastAsia" w:ascii="宋体" w:hAnsi="宋体" w:cs="宋体"/>
                <w:color w:val="auto"/>
                <w:sz w:val="24"/>
                <w:highlight w:val="none"/>
              </w:rPr>
            </w:pPr>
          </w:p>
        </w:tc>
        <w:tc>
          <w:tcPr>
            <w:tcW w:w="1322" w:type="dxa"/>
            <w:noWrap w:val="0"/>
            <w:vAlign w:val="center"/>
          </w:tcPr>
          <w:p w14:paraId="7A89F8C3">
            <w:pPr>
              <w:jc w:val="center"/>
              <w:rPr>
                <w:rFonts w:hint="eastAsia" w:ascii="宋体" w:hAnsi="宋体" w:cs="宋体"/>
                <w:color w:val="auto"/>
                <w:spacing w:val="20"/>
                <w:highlight w:val="none"/>
              </w:rPr>
            </w:pPr>
          </w:p>
        </w:tc>
        <w:tc>
          <w:tcPr>
            <w:tcW w:w="2019" w:type="dxa"/>
            <w:noWrap w:val="0"/>
            <w:vAlign w:val="center"/>
          </w:tcPr>
          <w:p w14:paraId="45DE1325">
            <w:pPr>
              <w:jc w:val="center"/>
              <w:rPr>
                <w:rFonts w:hint="eastAsia" w:ascii="宋体" w:hAnsi="宋体" w:cs="宋体"/>
                <w:color w:val="auto"/>
                <w:spacing w:val="20"/>
                <w:highlight w:val="none"/>
              </w:rPr>
            </w:pPr>
          </w:p>
        </w:tc>
        <w:tc>
          <w:tcPr>
            <w:tcW w:w="836" w:type="dxa"/>
            <w:noWrap w:val="0"/>
            <w:vAlign w:val="center"/>
          </w:tcPr>
          <w:p w14:paraId="422B70AF">
            <w:pPr>
              <w:jc w:val="center"/>
              <w:rPr>
                <w:rFonts w:hint="eastAsia" w:ascii="宋体" w:hAnsi="宋体" w:cs="宋体"/>
                <w:color w:val="auto"/>
                <w:spacing w:val="20"/>
                <w:highlight w:val="none"/>
              </w:rPr>
            </w:pPr>
          </w:p>
        </w:tc>
        <w:tc>
          <w:tcPr>
            <w:tcW w:w="2480" w:type="dxa"/>
            <w:noWrap w:val="0"/>
            <w:vAlign w:val="center"/>
          </w:tcPr>
          <w:p w14:paraId="6FB1D72B">
            <w:pPr>
              <w:jc w:val="center"/>
              <w:rPr>
                <w:rFonts w:hint="eastAsia" w:ascii="宋体" w:hAnsi="宋体" w:cs="宋体"/>
                <w:color w:val="auto"/>
                <w:spacing w:val="20"/>
                <w:highlight w:val="none"/>
              </w:rPr>
            </w:pPr>
          </w:p>
        </w:tc>
      </w:tr>
      <w:tr w14:paraId="6BBA2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2A969ED">
            <w:pPr>
              <w:jc w:val="center"/>
              <w:rPr>
                <w:rFonts w:hint="eastAsia" w:ascii="宋体" w:hAnsi="宋体" w:cs="宋体"/>
                <w:color w:val="auto"/>
                <w:spacing w:val="20"/>
                <w:highlight w:val="none"/>
              </w:rPr>
            </w:pPr>
          </w:p>
        </w:tc>
        <w:tc>
          <w:tcPr>
            <w:tcW w:w="1671" w:type="dxa"/>
            <w:noWrap w:val="0"/>
            <w:vAlign w:val="top"/>
          </w:tcPr>
          <w:p w14:paraId="2DA6E50B">
            <w:pPr>
              <w:widowControl/>
              <w:spacing w:line="400" w:lineRule="exact"/>
              <w:jc w:val="center"/>
              <w:rPr>
                <w:rFonts w:hint="eastAsia" w:ascii="宋体" w:hAnsi="宋体" w:cs="宋体"/>
                <w:color w:val="auto"/>
                <w:sz w:val="24"/>
                <w:highlight w:val="none"/>
              </w:rPr>
            </w:pPr>
          </w:p>
        </w:tc>
        <w:tc>
          <w:tcPr>
            <w:tcW w:w="1322" w:type="dxa"/>
            <w:noWrap w:val="0"/>
            <w:vAlign w:val="center"/>
          </w:tcPr>
          <w:p w14:paraId="27347DE9">
            <w:pPr>
              <w:jc w:val="center"/>
              <w:rPr>
                <w:rFonts w:hint="eastAsia" w:ascii="宋体" w:hAnsi="宋体" w:cs="宋体"/>
                <w:color w:val="auto"/>
                <w:spacing w:val="20"/>
                <w:highlight w:val="none"/>
              </w:rPr>
            </w:pPr>
          </w:p>
        </w:tc>
        <w:tc>
          <w:tcPr>
            <w:tcW w:w="2019" w:type="dxa"/>
            <w:noWrap w:val="0"/>
            <w:vAlign w:val="center"/>
          </w:tcPr>
          <w:p w14:paraId="61E0F099">
            <w:pPr>
              <w:jc w:val="center"/>
              <w:rPr>
                <w:rFonts w:hint="eastAsia" w:ascii="宋体" w:hAnsi="宋体" w:cs="宋体"/>
                <w:color w:val="auto"/>
                <w:spacing w:val="20"/>
                <w:highlight w:val="none"/>
              </w:rPr>
            </w:pPr>
          </w:p>
        </w:tc>
        <w:tc>
          <w:tcPr>
            <w:tcW w:w="836" w:type="dxa"/>
            <w:noWrap w:val="0"/>
            <w:vAlign w:val="center"/>
          </w:tcPr>
          <w:p w14:paraId="4A4AC7CC">
            <w:pPr>
              <w:jc w:val="center"/>
              <w:rPr>
                <w:rFonts w:hint="eastAsia" w:ascii="宋体" w:hAnsi="宋体" w:cs="宋体"/>
                <w:color w:val="auto"/>
                <w:spacing w:val="20"/>
                <w:highlight w:val="none"/>
              </w:rPr>
            </w:pPr>
          </w:p>
        </w:tc>
        <w:tc>
          <w:tcPr>
            <w:tcW w:w="2480" w:type="dxa"/>
            <w:noWrap w:val="0"/>
            <w:vAlign w:val="center"/>
          </w:tcPr>
          <w:p w14:paraId="37CF5010">
            <w:pPr>
              <w:jc w:val="center"/>
              <w:rPr>
                <w:rFonts w:hint="eastAsia" w:ascii="宋体" w:hAnsi="宋体" w:cs="宋体"/>
                <w:color w:val="auto"/>
                <w:spacing w:val="20"/>
                <w:highlight w:val="none"/>
              </w:rPr>
            </w:pPr>
          </w:p>
        </w:tc>
      </w:tr>
      <w:tr w14:paraId="42A73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860FA1B">
            <w:pPr>
              <w:jc w:val="center"/>
              <w:rPr>
                <w:rFonts w:hint="eastAsia" w:ascii="宋体" w:hAnsi="宋体" w:cs="宋体"/>
                <w:color w:val="auto"/>
                <w:spacing w:val="20"/>
                <w:highlight w:val="none"/>
              </w:rPr>
            </w:pPr>
          </w:p>
        </w:tc>
        <w:tc>
          <w:tcPr>
            <w:tcW w:w="1671" w:type="dxa"/>
            <w:noWrap w:val="0"/>
            <w:vAlign w:val="top"/>
          </w:tcPr>
          <w:p w14:paraId="674F3973">
            <w:pPr>
              <w:widowControl/>
              <w:spacing w:line="400" w:lineRule="exact"/>
              <w:jc w:val="center"/>
              <w:rPr>
                <w:rFonts w:hint="eastAsia" w:ascii="宋体" w:hAnsi="宋体" w:cs="宋体"/>
                <w:color w:val="auto"/>
                <w:sz w:val="24"/>
                <w:highlight w:val="none"/>
              </w:rPr>
            </w:pPr>
          </w:p>
        </w:tc>
        <w:tc>
          <w:tcPr>
            <w:tcW w:w="1322" w:type="dxa"/>
            <w:noWrap w:val="0"/>
            <w:vAlign w:val="center"/>
          </w:tcPr>
          <w:p w14:paraId="7EA24002">
            <w:pPr>
              <w:jc w:val="center"/>
              <w:rPr>
                <w:rFonts w:hint="eastAsia" w:ascii="宋体" w:hAnsi="宋体" w:cs="宋体"/>
                <w:color w:val="auto"/>
                <w:spacing w:val="20"/>
                <w:highlight w:val="none"/>
              </w:rPr>
            </w:pPr>
          </w:p>
        </w:tc>
        <w:tc>
          <w:tcPr>
            <w:tcW w:w="2019" w:type="dxa"/>
            <w:noWrap w:val="0"/>
            <w:vAlign w:val="center"/>
          </w:tcPr>
          <w:p w14:paraId="592AA37C">
            <w:pPr>
              <w:jc w:val="center"/>
              <w:rPr>
                <w:rFonts w:hint="eastAsia" w:ascii="宋体" w:hAnsi="宋体" w:cs="宋体"/>
                <w:color w:val="auto"/>
                <w:spacing w:val="20"/>
                <w:highlight w:val="none"/>
              </w:rPr>
            </w:pPr>
          </w:p>
        </w:tc>
        <w:tc>
          <w:tcPr>
            <w:tcW w:w="836" w:type="dxa"/>
            <w:noWrap w:val="0"/>
            <w:vAlign w:val="center"/>
          </w:tcPr>
          <w:p w14:paraId="6FE55F29">
            <w:pPr>
              <w:jc w:val="center"/>
              <w:rPr>
                <w:rFonts w:hint="eastAsia" w:ascii="宋体" w:hAnsi="宋体" w:cs="宋体"/>
                <w:color w:val="auto"/>
                <w:spacing w:val="20"/>
                <w:highlight w:val="none"/>
              </w:rPr>
            </w:pPr>
          </w:p>
        </w:tc>
        <w:tc>
          <w:tcPr>
            <w:tcW w:w="2480" w:type="dxa"/>
            <w:noWrap w:val="0"/>
            <w:vAlign w:val="center"/>
          </w:tcPr>
          <w:p w14:paraId="67ABB5E1">
            <w:pPr>
              <w:jc w:val="center"/>
              <w:rPr>
                <w:rFonts w:hint="eastAsia" w:ascii="宋体" w:hAnsi="宋体" w:cs="宋体"/>
                <w:color w:val="auto"/>
                <w:spacing w:val="20"/>
                <w:highlight w:val="none"/>
              </w:rPr>
            </w:pPr>
          </w:p>
        </w:tc>
      </w:tr>
    </w:tbl>
    <w:p w14:paraId="0FBD4DDA">
      <w:pPr>
        <w:rPr>
          <w:rFonts w:ascii="宋体"/>
          <w:bCs/>
          <w:color w:val="auto"/>
          <w:kern w:val="0"/>
          <w:sz w:val="22"/>
          <w:szCs w:val="22"/>
          <w:highlight w:val="none"/>
        </w:rPr>
      </w:pPr>
    </w:p>
    <w:p w14:paraId="653F3140">
      <w:pPr>
        <w:pStyle w:val="11"/>
        <w:snapToGrid w:val="0"/>
        <w:spacing w:line="324" w:lineRule="auto"/>
        <w:rPr>
          <w:rFonts w:hAnsi="宋体"/>
          <w:color w:val="auto"/>
          <w:sz w:val="22"/>
          <w:szCs w:val="22"/>
          <w:highlight w:val="none"/>
        </w:rPr>
      </w:pPr>
    </w:p>
    <w:p w14:paraId="5D37356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0CCBDAD4">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4074A83">
      <w:pPr>
        <w:pStyle w:val="11"/>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CFCD987">
      <w:pPr>
        <w:adjustRightInd w:val="0"/>
        <w:snapToGrid w:val="0"/>
        <w:spacing w:line="360" w:lineRule="auto"/>
        <w:rPr>
          <w:rFonts w:ascii="宋体"/>
          <w:color w:val="auto"/>
          <w:sz w:val="10"/>
          <w:szCs w:val="10"/>
          <w:highlight w:val="none"/>
        </w:rPr>
      </w:pPr>
    </w:p>
    <w:p w14:paraId="3DDB2731">
      <w:pPr>
        <w:pStyle w:val="79"/>
        <w:rPr>
          <w:rFonts w:ascii="宋体"/>
          <w:color w:val="auto"/>
          <w:sz w:val="10"/>
          <w:szCs w:val="10"/>
          <w:highlight w:val="none"/>
        </w:rPr>
      </w:pPr>
    </w:p>
    <w:p w14:paraId="05AE161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07F9D3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20151146">
      <w:pPr>
        <w:pStyle w:val="7"/>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w:t>
      </w:r>
      <w:r>
        <w:rPr>
          <w:rFonts w:hint="eastAsia" w:ascii="Arial" w:hAnsi="Arial" w:cs="Times New Roman"/>
          <w:b/>
          <w:color w:val="auto"/>
          <w:sz w:val="32"/>
          <w:highlight w:val="none"/>
          <w:lang w:val="en-US" w:eastAsia="zh-CN"/>
        </w:rPr>
        <w:t>9</w:t>
      </w:r>
      <w:r>
        <w:rPr>
          <w:rFonts w:hint="eastAsia" w:ascii="Arial" w:hAnsi="Arial" w:eastAsia="宋体" w:cs="Times New Roman"/>
          <w:b/>
          <w:color w:val="auto"/>
          <w:sz w:val="32"/>
          <w:highlight w:val="none"/>
          <w:lang w:val="en-US" w:eastAsia="zh-CN"/>
        </w:rPr>
        <w:t xml:space="preserve"> “★”技术条款项评分对应表</w:t>
      </w:r>
    </w:p>
    <w:p w14:paraId="3436E0CF">
      <w:pPr>
        <w:pStyle w:val="18"/>
        <w:rPr>
          <w:rFonts w:hint="eastAsia"/>
          <w:color w:val="auto"/>
          <w:highlight w:val="none"/>
          <w:lang w:val="en-US" w:eastAsia="zh-CN"/>
        </w:rPr>
      </w:pPr>
    </w:p>
    <w:tbl>
      <w:tblPr>
        <w:tblStyle w:val="20"/>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1993157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F7D5927">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8329642">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75CD5FE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443D3A27">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06D53598">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36E221C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A14642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1781E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C6C3D8A">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6C3781B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455ED7">
            <w:pPr>
              <w:autoSpaceDE w:val="0"/>
              <w:autoSpaceDN w:val="0"/>
              <w:adjustRightInd w:val="0"/>
              <w:spacing w:line="440" w:lineRule="atLeast"/>
              <w:jc w:val="center"/>
              <w:rPr>
                <w:b/>
                <w:color w:val="auto"/>
                <w:highlight w:val="none"/>
                <w:lang w:val="zh-CN"/>
              </w:rPr>
            </w:pPr>
          </w:p>
        </w:tc>
      </w:tr>
      <w:tr w14:paraId="7E8D4A2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C1EE6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865FD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6A3A280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32F2759">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8ADE437">
            <w:pPr>
              <w:autoSpaceDE w:val="0"/>
              <w:autoSpaceDN w:val="0"/>
              <w:adjustRightInd w:val="0"/>
              <w:spacing w:line="440" w:lineRule="atLeast"/>
              <w:jc w:val="center"/>
              <w:rPr>
                <w:b/>
                <w:color w:val="auto"/>
                <w:highlight w:val="none"/>
                <w:lang w:val="zh-CN"/>
              </w:rPr>
            </w:pPr>
          </w:p>
        </w:tc>
      </w:tr>
      <w:tr w14:paraId="5617B6D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561C57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5B58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3E8345C">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0F6D65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CC09933">
            <w:pPr>
              <w:autoSpaceDE w:val="0"/>
              <w:autoSpaceDN w:val="0"/>
              <w:adjustRightInd w:val="0"/>
              <w:spacing w:line="440" w:lineRule="atLeast"/>
              <w:jc w:val="center"/>
              <w:rPr>
                <w:b/>
                <w:color w:val="auto"/>
                <w:highlight w:val="none"/>
                <w:lang w:val="zh-CN"/>
              </w:rPr>
            </w:pPr>
          </w:p>
        </w:tc>
      </w:tr>
      <w:tr w14:paraId="2F92F25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FC09D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E8B81EF">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EE669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29CA03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B0CF87D">
            <w:pPr>
              <w:autoSpaceDE w:val="0"/>
              <w:autoSpaceDN w:val="0"/>
              <w:adjustRightInd w:val="0"/>
              <w:spacing w:line="440" w:lineRule="atLeast"/>
              <w:jc w:val="center"/>
              <w:rPr>
                <w:b/>
                <w:color w:val="auto"/>
                <w:highlight w:val="none"/>
                <w:lang w:val="zh-CN"/>
              </w:rPr>
            </w:pPr>
          </w:p>
        </w:tc>
      </w:tr>
      <w:tr w14:paraId="4E8DC9E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F436A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4A47F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32146D2">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7DB548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EF9A3E9">
            <w:pPr>
              <w:autoSpaceDE w:val="0"/>
              <w:autoSpaceDN w:val="0"/>
              <w:adjustRightInd w:val="0"/>
              <w:spacing w:line="440" w:lineRule="atLeast"/>
              <w:jc w:val="center"/>
              <w:rPr>
                <w:b/>
                <w:color w:val="auto"/>
                <w:highlight w:val="none"/>
                <w:lang w:val="zh-CN"/>
              </w:rPr>
            </w:pPr>
          </w:p>
        </w:tc>
      </w:tr>
      <w:tr w14:paraId="2FCA6F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8C65A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CBD4C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F469F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81BED81">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9EBD541">
            <w:pPr>
              <w:autoSpaceDE w:val="0"/>
              <w:autoSpaceDN w:val="0"/>
              <w:adjustRightInd w:val="0"/>
              <w:spacing w:line="440" w:lineRule="atLeast"/>
              <w:jc w:val="center"/>
              <w:rPr>
                <w:b/>
                <w:color w:val="auto"/>
                <w:highlight w:val="none"/>
                <w:lang w:val="zh-CN"/>
              </w:rPr>
            </w:pPr>
          </w:p>
        </w:tc>
      </w:tr>
      <w:tr w14:paraId="17AD50B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2EF14E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79809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6B53AEB">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2482E3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730091E">
            <w:pPr>
              <w:autoSpaceDE w:val="0"/>
              <w:autoSpaceDN w:val="0"/>
              <w:adjustRightInd w:val="0"/>
              <w:spacing w:line="440" w:lineRule="atLeast"/>
              <w:jc w:val="center"/>
              <w:rPr>
                <w:b/>
                <w:color w:val="auto"/>
                <w:highlight w:val="none"/>
                <w:lang w:val="zh-CN"/>
              </w:rPr>
            </w:pPr>
          </w:p>
        </w:tc>
      </w:tr>
      <w:tr w14:paraId="2E06142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CF3819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C108C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E87C5D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C82DB9E">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81B3D97">
            <w:pPr>
              <w:autoSpaceDE w:val="0"/>
              <w:autoSpaceDN w:val="0"/>
              <w:adjustRightInd w:val="0"/>
              <w:spacing w:line="440" w:lineRule="atLeast"/>
              <w:jc w:val="center"/>
              <w:rPr>
                <w:b/>
                <w:color w:val="auto"/>
                <w:highlight w:val="none"/>
                <w:lang w:val="zh-CN"/>
              </w:rPr>
            </w:pPr>
          </w:p>
        </w:tc>
      </w:tr>
      <w:tr w14:paraId="1CF59F1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FD9DA1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73D88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D283F41">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F9C1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9EB3D47">
            <w:pPr>
              <w:autoSpaceDE w:val="0"/>
              <w:autoSpaceDN w:val="0"/>
              <w:adjustRightInd w:val="0"/>
              <w:spacing w:line="440" w:lineRule="atLeast"/>
              <w:jc w:val="center"/>
              <w:rPr>
                <w:b/>
                <w:color w:val="auto"/>
                <w:highlight w:val="none"/>
                <w:lang w:val="zh-CN"/>
              </w:rPr>
            </w:pPr>
          </w:p>
        </w:tc>
      </w:tr>
      <w:tr w14:paraId="08DF6B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1A121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97475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98FA9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BD1DDB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63514BE">
            <w:pPr>
              <w:autoSpaceDE w:val="0"/>
              <w:autoSpaceDN w:val="0"/>
              <w:adjustRightInd w:val="0"/>
              <w:spacing w:line="440" w:lineRule="atLeast"/>
              <w:jc w:val="center"/>
              <w:rPr>
                <w:b/>
                <w:color w:val="auto"/>
                <w:highlight w:val="none"/>
                <w:lang w:val="zh-CN"/>
              </w:rPr>
            </w:pPr>
          </w:p>
        </w:tc>
      </w:tr>
    </w:tbl>
    <w:p w14:paraId="66D780F8">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7B90071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0560C32">
      <w:pPr>
        <w:pStyle w:val="11"/>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3B9D0B8">
      <w:pPr>
        <w:adjustRightInd w:val="0"/>
        <w:snapToGrid w:val="0"/>
        <w:spacing w:line="360" w:lineRule="auto"/>
        <w:rPr>
          <w:rFonts w:ascii="宋体"/>
          <w:color w:val="auto"/>
          <w:sz w:val="10"/>
          <w:szCs w:val="10"/>
          <w:highlight w:val="none"/>
        </w:rPr>
      </w:pPr>
    </w:p>
    <w:p w14:paraId="57A0A790">
      <w:pPr>
        <w:pStyle w:val="79"/>
        <w:rPr>
          <w:rFonts w:ascii="宋体"/>
          <w:color w:val="auto"/>
          <w:sz w:val="10"/>
          <w:szCs w:val="10"/>
          <w:highlight w:val="none"/>
        </w:rPr>
      </w:pPr>
    </w:p>
    <w:p w14:paraId="05876DC1">
      <w:pPr>
        <w:pStyle w:val="18"/>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6894EAB4">
      <w:pPr>
        <w:pStyle w:val="15"/>
        <w:rPr>
          <w:rFonts w:hint="eastAsia" w:ascii="宋体" w:hAnsi="宋体" w:eastAsia="宋体" w:cs="宋体"/>
          <w:b/>
          <w:bCs w:val="0"/>
          <w:color w:val="auto"/>
          <w:sz w:val="22"/>
          <w:szCs w:val="22"/>
          <w:highlight w:val="none"/>
        </w:rPr>
      </w:pPr>
    </w:p>
    <w:p w14:paraId="0DDB5656">
      <w:pPr>
        <w:rPr>
          <w:rFonts w:hint="eastAsia" w:ascii="宋体" w:hAnsi="宋体" w:eastAsia="宋体" w:cs="宋体"/>
          <w:b/>
          <w:bCs w:val="0"/>
          <w:color w:val="auto"/>
          <w:sz w:val="22"/>
          <w:szCs w:val="22"/>
          <w:highlight w:val="none"/>
        </w:rPr>
      </w:pPr>
    </w:p>
    <w:p w14:paraId="6B6D1A27">
      <w:pPr>
        <w:pStyle w:val="79"/>
        <w:rPr>
          <w:rFonts w:hint="default"/>
          <w:color w:val="auto"/>
          <w:highlight w:val="none"/>
          <w:lang w:val="en-US" w:eastAsia="zh-CN"/>
        </w:rPr>
        <w:sectPr>
          <w:headerReference r:id="rId14" w:type="default"/>
          <w:footerReference r:id="rId15" w:type="default"/>
          <w:pgSz w:w="11907" w:h="16840"/>
          <w:pgMar w:top="1440" w:right="1106" w:bottom="1440" w:left="1157" w:header="720" w:footer="720" w:gutter="0"/>
          <w:pgNumType w:fmt="decimal"/>
          <w:cols w:space="720" w:num="1"/>
          <w:docGrid w:linePitch="312" w:charSpace="0"/>
        </w:sectPr>
      </w:pPr>
    </w:p>
    <w:p w14:paraId="6B1E9D14">
      <w:pPr>
        <w:pStyle w:val="7"/>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w:t>
      </w:r>
      <w:r>
        <w:rPr>
          <w:rFonts w:hint="eastAsia" w:ascii="Arial" w:hAnsi="Arial" w:cs="Times New Roman"/>
          <w:b/>
          <w:color w:val="auto"/>
          <w:sz w:val="32"/>
          <w:highlight w:val="none"/>
          <w:lang w:val="en-US" w:eastAsia="zh-CN"/>
        </w:rPr>
        <w:t>10</w:t>
      </w:r>
      <w:r>
        <w:rPr>
          <w:rFonts w:hint="eastAsia" w:ascii="Arial" w:hAnsi="Arial" w:eastAsia="宋体" w:cs="Times New Roman"/>
          <w:b/>
          <w:color w:val="auto"/>
          <w:sz w:val="32"/>
          <w:highlight w:val="none"/>
          <w:lang w:val="en-US" w:eastAsia="zh-CN"/>
        </w:rPr>
        <w:t>真实应标的承诺书</w:t>
      </w:r>
    </w:p>
    <w:p w14:paraId="09E4D1EC">
      <w:pPr>
        <w:pStyle w:val="7"/>
        <w:rPr>
          <w:rFonts w:hint="eastAsia" w:ascii="宋体" w:hAnsi="宋体" w:eastAsia="宋体" w:cs="宋体"/>
          <w:b/>
          <w:bCs/>
          <w:color w:val="auto"/>
          <w:sz w:val="22"/>
          <w:szCs w:val="22"/>
          <w:highlight w:val="none"/>
          <w:lang w:eastAsia="zh-CN"/>
        </w:rPr>
      </w:pPr>
    </w:p>
    <w:p w14:paraId="5E985158">
      <w:pPr>
        <w:pStyle w:val="7"/>
        <w:rPr>
          <w:rFonts w:hint="eastAsia" w:ascii="宋体" w:hAnsi="宋体" w:eastAsia="宋体" w:cs="宋体"/>
          <w:b/>
          <w:bCs/>
          <w:color w:val="auto"/>
          <w:sz w:val="22"/>
          <w:szCs w:val="22"/>
          <w:highlight w:val="none"/>
          <w:lang w:eastAsia="zh-CN"/>
        </w:rPr>
      </w:pPr>
    </w:p>
    <w:p w14:paraId="3D21A7BD">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3AC2967E">
      <w:pPr>
        <w:spacing w:line="360" w:lineRule="auto"/>
        <w:ind w:firstLine="420" w:firstLineChars="200"/>
        <w:rPr>
          <w:rFonts w:hint="eastAsia" w:hAnsi="新宋体" w:eastAsia="新宋体"/>
          <w:color w:val="auto"/>
          <w:highlight w:val="none"/>
        </w:rPr>
      </w:pPr>
    </w:p>
    <w:p w14:paraId="07CB94F4">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65001AD6">
      <w:pPr>
        <w:spacing w:line="360" w:lineRule="auto"/>
        <w:ind w:firstLine="420" w:firstLineChars="200"/>
        <w:rPr>
          <w:rFonts w:hint="eastAsia" w:ascii="Times New Roman" w:hAnsi="新宋体" w:eastAsia="新宋体" w:cs="Times New Roman"/>
          <w:color w:val="auto"/>
          <w:highlight w:val="none"/>
        </w:rPr>
      </w:pPr>
    </w:p>
    <w:p w14:paraId="1461EE8F">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7D7BD737">
      <w:pPr>
        <w:spacing w:line="360" w:lineRule="auto"/>
        <w:ind w:firstLine="420" w:firstLineChars="200"/>
        <w:rPr>
          <w:rFonts w:hint="eastAsia" w:ascii="Times New Roman" w:hAnsi="新宋体" w:eastAsia="新宋体" w:cs="Times New Roman"/>
          <w:color w:val="auto"/>
          <w:highlight w:val="none"/>
        </w:rPr>
      </w:pPr>
    </w:p>
    <w:p w14:paraId="238BF807">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4132D3CA">
      <w:pPr>
        <w:spacing w:line="360" w:lineRule="auto"/>
        <w:ind w:firstLine="420" w:firstLineChars="200"/>
        <w:rPr>
          <w:rFonts w:hint="eastAsia" w:ascii="Times New Roman" w:hAnsi="新宋体" w:eastAsia="新宋体" w:cs="Times New Roman"/>
          <w:color w:val="auto"/>
          <w:highlight w:val="none"/>
        </w:rPr>
      </w:pPr>
    </w:p>
    <w:p w14:paraId="7037C921">
      <w:pPr>
        <w:spacing w:line="360" w:lineRule="auto"/>
        <w:ind w:firstLine="420" w:firstLineChars="200"/>
        <w:rPr>
          <w:rFonts w:hint="eastAsia" w:ascii="Times New Roman" w:hAnsi="新宋体" w:eastAsia="新宋体" w:cs="Times New Roman"/>
          <w:color w:val="auto"/>
          <w:highlight w:val="none"/>
        </w:rPr>
      </w:pPr>
    </w:p>
    <w:p w14:paraId="3CA64385">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977A59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51BF73E6">
      <w:pPr>
        <w:spacing w:line="360" w:lineRule="auto"/>
        <w:ind w:firstLine="420" w:firstLineChars="200"/>
        <w:rPr>
          <w:rFonts w:hAnsi="新宋体" w:eastAsia="新宋体"/>
          <w:color w:val="auto"/>
          <w:highlight w:val="none"/>
        </w:rPr>
      </w:pPr>
    </w:p>
    <w:p w14:paraId="76BA5BB0">
      <w:pPr>
        <w:spacing w:line="360" w:lineRule="auto"/>
        <w:ind w:firstLine="420" w:firstLineChars="200"/>
        <w:rPr>
          <w:rFonts w:eastAsia="新宋体"/>
          <w:color w:val="auto"/>
          <w:highlight w:val="none"/>
        </w:rPr>
      </w:pPr>
    </w:p>
    <w:p w14:paraId="2FAB3C80">
      <w:pPr>
        <w:spacing w:line="360" w:lineRule="auto"/>
        <w:ind w:firstLine="420" w:firstLineChars="200"/>
        <w:rPr>
          <w:rFonts w:eastAsia="新宋体"/>
          <w:color w:val="auto"/>
          <w:highlight w:val="none"/>
        </w:rPr>
      </w:pPr>
    </w:p>
    <w:p w14:paraId="4F7425B3">
      <w:pPr>
        <w:spacing w:line="360" w:lineRule="auto"/>
        <w:ind w:firstLine="420" w:firstLineChars="200"/>
        <w:rPr>
          <w:rFonts w:eastAsia="新宋体"/>
          <w:color w:val="auto"/>
          <w:highlight w:val="none"/>
        </w:rPr>
      </w:pPr>
    </w:p>
    <w:p w14:paraId="50C507CD">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6C16DA8">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706522E6">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7D3D063F">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5F29FE01">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1128D27">
      <w:pPr>
        <w:pStyle w:val="7"/>
        <w:rPr>
          <w:rFonts w:hint="eastAsia" w:ascii="宋体" w:hAnsi="宋体" w:eastAsia="宋体" w:cs="宋体"/>
          <w:b/>
          <w:bCs/>
          <w:color w:val="auto"/>
          <w:sz w:val="22"/>
          <w:szCs w:val="22"/>
          <w:highlight w:val="none"/>
          <w:lang w:eastAsia="zh-CN"/>
        </w:rPr>
      </w:pPr>
    </w:p>
    <w:p w14:paraId="0AB9FEB6">
      <w:pPr>
        <w:pStyle w:val="7"/>
        <w:rPr>
          <w:rFonts w:hint="eastAsia" w:ascii="宋体" w:hAnsi="宋体" w:eastAsia="宋体" w:cs="Times New Roman"/>
          <w:b/>
          <w:bCs/>
          <w:color w:val="auto"/>
          <w:sz w:val="22"/>
          <w:szCs w:val="22"/>
          <w:highlight w:val="none"/>
          <w:u w:val="none"/>
        </w:rPr>
      </w:pPr>
    </w:p>
    <w:p w14:paraId="5D0919B8">
      <w:pPr>
        <w:pStyle w:val="7"/>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w:t>
      </w:r>
      <w:r>
        <w:rPr>
          <w:rFonts w:hint="eastAsia" w:ascii="Arial" w:hAnsi="Arial" w:cs="Times New Roman"/>
          <w:b/>
          <w:color w:val="auto"/>
          <w:sz w:val="32"/>
          <w:highlight w:val="none"/>
          <w:lang w:val="en-US" w:eastAsia="zh-CN"/>
        </w:rPr>
        <w:t>1</w:t>
      </w:r>
      <w:r>
        <w:rPr>
          <w:rFonts w:hint="eastAsia" w:ascii="Arial" w:hAnsi="Arial" w:eastAsia="宋体" w:cs="Times New Roman"/>
          <w:b/>
          <w:color w:val="auto"/>
          <w:sz w:val="32"/>
          <w:highlight w:val="none"/>
          <w:lang w:val="en-US" w:eastAsia="zh-CN"/>
        </w:rPr>
        <w:t>质量服务承诺书、诚信投标承诺书</w:t>
      </w:r>
    </w:p>
    <w:p w14:paraId="1F1AF053">
      <w:pPr>
        <w:pStyle w:val="7"/>
        <w:rPr>
          <w:rFonts w:eastAsia="新宋体"/>
          <w:b/>
          <w:color w:val="auto"/>
          <w:sz w:val="36"/>
          <w:szCs w:val="36"/>
          <w:highlight w:val="none"/>
        </w:rPr>
      </w:pPr>
    </w:p>
    <w:p w14:paraId="3D1B4624">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77F9E6EE">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043091FD">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1C27A6AA">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4C2B0CC7">
      <w:pPr>
        <w:spacing w:line="360" w:lineRule="auto"/>
        <w:ind w:firstLine="420" w:firstLineChars="200"/>
        <w:rPr>
          <w:rFonts w:hAnsi="新宋体" w:eastAsia="新宋体"/>
          <w:color w:val="auto"/>
          <w:highlight w:val="none"/>
        </w:rPr>
      </w:pPr>
    </w:p>
    <w:p w14:paraId="7B9C0AD6">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7FE99BA">
      <w:pPr>
        <w:spacing w:line="360" w:lineRule="auto"/>
        <w:ind w:firstLine="420" w:firstLineChars="200"/>
        <w:rPr>
          <w:rFonts w:hAnsi="新宋体" w:eastAsia="新宋体"/>
          <w:color w:val="auto"/>
          <w:highlight w:val="none"/>
        </w:rPr>
      </w:pPr>
    </w:p>
    <w:p w14:paraId="57132BE0">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6B078AFF">
      <w:pPr>
        <w:spacing w:line="360" w:lineRule="auto"/>
        <w:ind w:firstLine="420" w:firstLineChars="200"/>
        <w:rPr>
          <w:rFonts w:eastAsia="新宋体"/>
          <w:color w:val="auto"/>
          <w:highlight w:val="none"/>
        </w:rPr>
      </w:pPr>
    </w:p>
    <w:p w14:paraId="0EB4C909">
      <w:pPr>
        <w:spacing w:line="360" w:lineRule="auto"/>
        <w:rPr>
          <w:rFonts w:eastAsia="新宋体"/>
          <w:color w:val="auto"/>
          <w:highlight w:val="none"/>
        </w:rPr>
      </w:pPr>
    </w:p>
    <w:p w14:paraId="1410EBD7">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548CC148">
      <w:pPr>
        <w:spacing w:line="360" w:lineRule="auto"/>
        <w:ind w:firstLine="420" w:firstLineChars="200"/>
        <w:rPr>
          <w:rFonts w:hAnsi="新宋体" w:eastAsia="新宋体"/>
          <w:color w:val="auto"/>
          <w:highlight w:val="none"/>
        </w:rPr>
      </w:pPr>
    </w:p>
    <w:p w14:paraId="50F177E6">
      <w:pPr>
        <w:spacing w:line="360" w:lineRule="auto"/>
        <w:ind w:firstLine="420" w:firstLineChars="200"/>
        <w:rPr>
          <w:rFonts w:eastAsia="新宋体"/>
          <w:color w:val="auto"/>
          <w:highlight w:val="none"/>
        </w:rPr>
      </w:pPr>
    </w:p>
    <w:p w14:paraId="569EA840">
      <w:pPr>
        <w:spacing w:line="360" w:lineRule="auto"/>
        <w:ind w:firstLine="420" w:firstLineChars="200"/>
        <w:rPr>
          <w:rFonts w:eastAsia="新宋体"/>
          <w:color w:val="auto"/>
          <w:highlight w:val="none"/>
        </w:rPr>
      </w:pPr>
    </w:p>
    <w:p w14:paraId="0825392B">
      <w:pPr>
        <w:spacing w:line="360" w:lineRule="auto"/>
        <w:ind w:firstLine="420" w:firstLineChars="200"/>
        <w:rPr>
          <w:rFonts w:eastAsia="新宋体"/>
          <w:color w:val="auto"/>
          <w:highlight w:val="none"/>
        </w:rPr>
      </w:pPr>
    </w:p>
    <w:p w14:paraId="51A8C789">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D7DF874">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5E6FE07B">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569FE02">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9C9D8F3">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7ED623F1">
      <w:pPr>
        <w:pStyle w:val="11"/>
        <w:adjustRightInd w:val="0"/>
        <w:snapToGrid w:val="0"/>
        <w:spacing w:line="400" w:lineRule="exact"/>
        <w:rPr>
          <w:rFonts w:hAnsi="宋体" w:eastAsia="新宋体"/>
          <w:color w:val="auto"/>
          <w:sz w:val="24"/>
          <w:highlight w:val="none"/>
        </w:rPr>
      </w:pPr>
    </w:p>
    <w:p w14:paraId="5F2572F4">
      <w:pPr>
        <w:pStyle w:val="11"/>
        <w:adjustRightInd w:val="0"/>
        <w:snapToGrid w:val="0"/>
        <w:spacing w:line="400" w:lineRule="exact"/>
        <w:rPr>
          <w:rFonts w:hAnsi="宋体" w:eastAsia="新宋体"/>
          <w:color w:val="auto"/>
          <w:sz w:val="24"/>
          <w:highlight w:val="none"/>
        </w:rPr>
      </w:pPr>
    </w:p>
    <w:p w14:paraId="701BF4B4">
      <w:pPr>
        <w:pStyle w:val="11"/>
        <w:adjustRightInd w:val="0"/>
        <w:snapToGrid w:val="0"/>
        <w:spacing w:line="400" w:lineRule="exact"/>
        <w:rPr>
          <w:rFonts w:hAnsi="宋体" w:eastAsia="新宋体"/>
          <w:color w:val="auto"/>
          <w:sz w:val="24"/>
          <w:highlight w:val="none"/>
        </w:rPr>
      </w:pPr>
    </w:p>
    <w:p w14:paraId="31998327">
      <w:pPr>
        <w:pStyle w:val="11"/>
        <w:adjustRightInd w:val="0"/>
        <w:snapToGrid w:val="0"/>
        <w:spacing w:line="400" w:lineRule="exact"/>
        <w:rPr>
          <w:rFonts w:hAnsi="宋体" w:eastAsia="新宋体"/>
          <w:color w:val="auto"/>
          <w:sz w:val="24"/>
          <w:highlight w:val="none"/>
        </w:rPr>
      </w:pPr>
    </w:p>
    <w:p w14:paraId="5D0DBEC7">
      <w:pPr>
        <w:pStyle w:val="11"/>
        <w:adjustRightInd w:val="0"/>
        <w:snapToGrid w:val="0"/>
        <w:spacing w:line="400" w:lineRule="exact"/>
        <w:rPr>
          <w:rFonts w:hAnsi="宋体" w:eastAsia="新宋体"/>
          <w:color w:val="auto"/>
          <w:sz w:val="24"/>
          <w:highlight w:val="none"/>
        </w:rPr>
      </w:pPr>
    </w:p>
    <w:p w14:paraId="25D2354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3AA668D1">
      <w:pPr>
        <w:pStyle w:val="11"/>
        <w:adjustRightInd w:val="0"/>
        <w:snapToGrid w:val="0"/>
        <w:spacing w:line="400" w:lineRule="exact"/>
        <w:rPr>
          <w:rFonts w:hAnsi="宋体" w:eastAsia="新宋体"/>
          <w:color w:val="auto"/>
          <w:sz w:val="24"/>
          <w:highlight w:val="none"/>
        </w:rPr>
      </w:pPr>
    </w:p>
    <w:p w14:paraId="569538E4">
      <w:pPr>
        <w:pStyle w:val="11"/>
        <w:adjustRightInd w:val="0"/>
        <w:snapToGrid w:val="0"/>
        <w:spacing w:line="400" w:lineRule="exact"/>
        <w:rPr>
          <w:rFonts w:hAnsi="宋体" w:eastAsia="新宋体"/>
          <w:color w:val="auto"/>
          <w:sz w:val="24"/>
          <w:highlight w:val="none"/>
        </w:rPr>
      </w:pPr>
    </w:p>
    <w:p w14:paraId="38AC0A40">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69910876">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C628EF5">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1F8CACA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AC3FBE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5D1672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62B201D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7FAC835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440140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3F76DE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6BDB678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064A260C">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6652C8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6C7EE3F5">
      <w:pPr>
        <w:snapToGrid w:val="0"/>
        <w:spacing w:line="500" w:lineRule="exact"/>
        <w:ind w:firstLine="385" w:firstLineChars="175"/>
        <w:rPr>
          <w:rFonts w:ascii="新宋体" w:hAnsi="新宋体" w:eastAsia="新宋体"/>
          <w:color w:val="auto"/>
          <w:sz w:val="22"/>
          <w:szCs w:val="22"/>
          <w:highlight w:val="none"/>
        </w:rPr>
      </w:pPr>
    </w:p>
    <w:p w14:paraId="606212B4">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0573C473">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13EBCA88">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1BEC6111">
      <w:pPr>
        <w:spacing w:line="440" w:lineRule="exact"/>
        <w:rPr>
          <w:rFonts w:hint="eastAsia" w:ascii="新宋体" w:hAnsi="新宋体" w:eastAsia="新宋体"/>
          <w:color w:val="auto"/>
          <w:sz w:val="22"/>
          <w:szCs w:val="22"/>
          <w:highlight w:val="none"/>
        </w:rPr>
      </w:pPr>
    </w:p>
    <w:p w14:paraId="67113619">
      <w:pPr>
        <w:pStyle w:val="40"/>
        <w:snapToGrid w:val="0"/>
        <w:spacing w:line="400" w:lineRule="exact"/>
        <w:jc w:val="center"/>
        <w:rPr>
          <w:rFonts w:hAnsi="宋体" w:eastAsia="新宋体"/>
          <w:color w:val="auto"/>
          <w:sz w:val="24"/>
          <w:highlight w:val="none"/>
        </w:rPr>
      </w:pPr>
    </w:p>
    <w:p w14:paraId="317B5F0F">
      <w:pPr>
        <w:pStyle w:val="40"/>
        <w:snapToGrid w:val="0"/>
        <w:spacing w:line="460" w:lineRule="atLeast"/>
        <w:rPr>
          <w:rFonts w:hAnsi="宋体"/>
          <w:color w:val="auto"/>
          <w:sz w:val="30"/>
          <w:highlight w:val="none"/>
        </w:rPr>
      </w:pPr>
    </w:p>
    <w:p w14:paraId="4AA5807A">
      <w:pPr>
        <w:pStyle w:val="40"/>
        <w:snapToGrid w:val="0"/>
        <w:spacing w:line="460" w:lineRule="atLeast"/>
        <w:rPr>
          <w:rFonts w:hAnsi="宋体"/>
          <w:color w:val="auto"/>
          <w:sz w:val="30"/>
          <w:highlight w:val="none"/>
        </w:rPr>
      </w:pPr>
    </w:p>
    <w:p w14:paraId="2467FA0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3E4A65DA">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7DF46406">
      <w:pPr>
        <w:pStyle w:val="43"/>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C548334">
      <w:pPr>
        <w:pStyle w:val="43"/>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0FAC6444">
      <w:pPr>
        <w:pStyle w:val="43"/>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2861C52">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3BFB4B0A">
      <w:pPr>
        <w:pStyle w:val="43"/>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60FFFF8E">
      <w:pPr>
        <w:pStyle w:val="78"/>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6F59610F">
      <w:pPr>
        <w:pStyle w:val="35"/>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761AEC2F">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BF1C4C9">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AF02C13">
      <w:pPr>
        <w:pStyle w:val="49"/>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057DD643">
      <w:pPr>
        <w:pStyle w:val="49"/>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2EE0D63B">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28434932">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3CF7FB39">
      <w:pPr>
        <w:snapToGrid w:val="0"/>
        <w:spacing w:line="420" w:lineRule="atLeast"/>
        <w:rPr>
          <w:rFonts w:ascii="宋体" w:hAnsi="宋体"/>
          <w:color w:val="auto"/>
          <w:sz w:val="24"/>
          <w:highlight w:val="none"/>
        </w:rPr>
        <w:sectPr>
          <w:headerReference r:id="rId16" w:type="default"/>
          <w:footerReference r:id="rId17"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1CC26F5">
      <w:pPr>
        <w:pStyle w:val="40"/>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07AD3A2E">
      <w:pPr>
        <w:pStyle w:val="40"/>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A14DFF4">
      <w:pPr>
        <w:pStyle w:val="38"/>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7023F832">
      <w:pPr>
        <w:pStyle w:val="38"/>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6A7EC2B7">
      <w:pPr>
        <w:pStyle w:val="40"/>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20"/>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66"/>
        <w:gridCol w:w="1088"/>
        <w:gridCol w:w="6208"/>
      </w:tblGrid>
      <w:tr w14:paraId="5765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4838E4B4">
            <w:pPr>
              <w:spacing w:line="360" w:lineRule="auto"/>
              <w:ind w:firstLine="28"/>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766" w:type="dxa"/>
            <w:tcBorders>
              <w:top w:val="single" w:color="auto" w:sz="4" w:space="0"/>
              <w:left w:val="single" w:color="auto" w:sz="4" w:space="0"/>
              <w:bottom w:val="single" w:color="auto" w:sz="4" w:space="0"/>
              <w:right w:val="single" w:color="auto" w:sz="4" w:space="0"/>
            </w:tcBorders>
            <w:noWrap/>
            <w:vAlign w:val="center"/>
          </w:tcPr>
          <w:p w14:paraId="0019967F">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评分项目</w:t>
            </w:r>
          </w:p>
        </w:tc>
        <w:tc>
          <w:tcPr>
            <w:tcW w:w="1088" w:type="dxa"/>
            <w:tcBorders>
              <w:top w:val="single" w:color="auto" w:sz="4" w:space="0"/>
              <w:left w:val="single" w:color="auto" w:sz="4" w:space="0"/>
              <w:bottom w:val="single" w:color="auto" w:sz="4" w:space="0"/>
              <w:right w:val="single" w:color="auto" w:sz="4" w:space="0"/>
            </w:tcBorders>
            <w:noWrap/>
            <w:vAlign w:val="center"/>
          </w:tcPr>
          <w:p w14:paraId="6CA95737">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分值</w:t>
            </w:r>
          </w:p>
        </w:tc>
        <w:tc>
          <w:tcPr>
            <w:tcW w:w="6208" w:type="dxa"/>
            <w:tcBorders>
              <w:top w:val="single" w:color="auto" w:sz="4" w:space="0"/>
              <w:left w:val="single" w:color="auto" w:sz="4" w:space="0"/>
              <w:bottom w:val="single" w:color="auto" w:sz="4" w:space="0"/>
              <w:right w:val="single" w:color="auto" w:sz="4" w:space="0"/>
            </w:tcBorders>
            <w:noWrap/>
            <w:vAlign w:val="center"/>
          </w:tcPr>
          <w:p w14:paraId="4E596C0E">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评分依据</w:t>
            </w:r>
          </w:p>
        </w:tc>
      </w:tr>
      <w:tr w14:paraId="6806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246C608D">
            <w:pPr>
              <w:spacing w:line="360" w:lineRule="auto"/>
              <w:ind w:firstLine="28"/>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766" w:type="dxa"/>
            <w:tcBorders>
              <w:top w:val="single" w:color="auto" w:sz="4" w:space="0"/>
              <w:left w:val="single" w:color="auto" w:sz="4" w:space="0"/>
              <w:bottom w:val="single" w:color="auto" w:sz="4" w:space="0"/>
              <w:right w:val="single" w:color="auto" w:sz="4" w:space="0"/>
            </w:tcBorders>
            <w:noWrap/>
            <w:vAlign w:val="center"/>
          </w:tcPr>
          <w:p w14:paraId="0C0C194E">
            <w:pPr>
              <w:spacing w:line="360" w:lineRule="auto"/>
              <w:ind w:firstLine="248" w:firstLineChars="113"/>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保证施工质量的技术方案和措施</w:t>
            </w:r>
          </w:p>
        </w:tc>
        <w:tc>
          <w:tcPr>
            <w:tcW w:w="1088" w:type="dxa"/>
            <w:tcBorders>
              <w:top w:val="single" w:color="auto" w:sz="4" w:space="0"/>
              <w:left w:val="single" w:color="auto" w:sz="4" w:space="0"/>
              <w:bottom w:val="single" w:color="auto" w:sz="4" w:space="0"/>
              <w:right w:val="single" w:color="auto" w:sz="4" w:space="0"/>
            </w:tcBorders>
            <w:noWrap/>
            <w:vAlign w:val="center"/>
          </w:tcPr>
          <w:p w14:paraId="2667DA51">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447A5C8C">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rPr>
              <w:t>主要</w:t>
            </w:r>
            <w:r>
              <w:rPr>
                <w:rFonts w:hint="eastAsia" w:ascii="宋体" w:hAnsi="宋体" w:eastAsia="宋体" w:cs="宋体"/>
                <w:b w:val="0"/>
                <w:bCs w:val="0"/>
                <w:color w:val="auto"/>
                <w:kern w:val="2"/>
                <w:sz w:val="22"/>
                <w:szCs w:val="22"/>
                <w:highlight w:val="none"/>
                <w:lang w:eastAsia="zh-CN"/>
              </w:rPr>
              <w:t>工程</w:t>
            </w:r>
            <w:r>
              <w:rPr>
                <w:rFonts w:hint="eastAsia" w:ascii="宋体" w:hAnsi="宋体" w:eastAsia="宋体" w:cs="宋体"/>
                <w:b w:val="0"/>
                <w:bCs w:val="0"/>
                <w:color w:val="auto"/>
                <w:kern w:val="2"/>
                <w:sz w:val="22"/>
                <w:szCs w:val="22"/>
                <w:highlight w:val="none"/>
              </w:rPr>
              <w:t>施工方法、工艺及技术措施</w:t>
            </w:r>
            <w:r>
              <w:rPr>
                <w:rFonts w:hint="eastAsia" w:ascii="宋体" w:hAnsi="宋体" w:eastAsia="宋体" w:cs="宋体"/>
                <w:b w:val="0"/>
                <w:bCs w:val="0"/>
                <w:color w:val="auto"/>
                <w:kern w:val="2"/>
                <w:sz w:val="22"/>
                <w:szCs w:val="22"/>
                <w:highlight w:val="none"/>
                <w:lang w:eastAsia="zh-CN"/>
              </w:rPr>
              <w:t>进行</w:t>
            </w:r>
            <w:r>
              <w:rPr>
                <w:rFonts w:hint="eastAsia" w:ascii="宋体" w:hAnsi="宋体" w:eastAsia="宋体" w:cs="宋体"/>
                <w:b w:val="0"/>
                <w:bCs w:val="0"/>
                <w:color w:val="auto"/>
                <w:kern w:val="2"/>
                <w:sz w:val="22"/>
                <w:szCs w:val="22"/>
                <w:highlight w:val="none"/>
              </w:rPr>
              <w:t>评分</w:t>
            </w:r>
            <w:r>
              <w:rPr>
                <w:rFonts w:hint="eastAsia" w:ascii="宋体" w:hAnsi="宋体" w:eastAsia="宋体" w:cs="宋体"/>
                <w:b w:val="0"/>
                <w:bCs w:val="0"/>
                <w:color w:val="auto"/>
                <w:kern w:val="2"/>
                <w:sz w:val="22"/>
                <w:szCs w:val="22"/>
                <w:highlight w:val="none"/>
                <w:lang w:eastAsia="zh-CN"/>
              </w:rPr>
              <w:t>，根据本项目施工实际施工内容进行编写，要求符合本项目施工特点、工期要求、适应本项目施工条件</w:t>
            </w:r>
            <w:r>
              <w:rPr>
                <w:rFonts w:hint="eastAsia" w:ascii="宋体" w:hAnsi="宋体" w:cs="宋体"/>
                <w:b w:val="0"/>
                <w:bCs w:val="0"/>
                <w:color w:val="auto"/>
                <w:kern w:val="2"/>
                <w:sz w:val="22"/>
                <w:szCs w:val="22"/>
                <w:highlight w:val="none"/>
                <w:lang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3,2,1,0</w:t>
            </w:r>
            <w:r>
              <w:rPr>
                <w:rFonts w:hint="eastAsia" w:ascii="宋体" w:hAnsi="宋体" w:cs="宋体"/>
                <w:b/>
                <w:bCs/>
                <w:color w:val="auto"/>
                <w:kern w:val="2"/>
                <w:sz w:val="22"/>
                <w:szCs w:val="22"/>
                <w:highlight w:val="none"/>
                <w:lang w:eastAsia="zh-CN"/>
              </w:rPr>
              <w:t>）</w:t>
            </w:r>
          </w:p>
        </w:tc>
      </w:tr>
      <w:tr w14:paraId="2445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1763FC2A">
            <w:pPr>
              <w:spacing w:line="360" w:lineRule="auto"/>
              <w:ind w:firstLine="28"/>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766" w:type="dxa"/>
            <w:tcBorders>
              <w:top w:val="single" w:color="auto" w:sz="4" w:space="0"/>
              <w:left w:val="single" w:color="auto" w:sz="4" w:space="0"/>
              <w:bottom w:val="single" w:color="auto" w:sz="4" w:space="0"/>
              <w:right w:val="single" w:color="auto" w:sz="4" w:space="0"/>
            </w:tcBorders>
            <w:noWrap/>
            <w:vAlign w:val="center"/>
          </w:tcPr>
          <w:p w14:paraId="42F2515A">
            <w:pPr>
              <w:spacing w:line="360" w:lineRule="auto"/>
              <w:ind w:firstLine="28"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保证工期和施工进度的方案和措施</w:t>
            </w:r>
          </w:p>
        </w:tc>
        <w:tc>
          <w:tcPr>
            <w:tcW w:w="1088" w:type="dxa"/>
            <w:tcBorders>
              <w:top w:val="single" w:color="auto" w:sz="4" w:space="0"/>
              <w:left w:val="single" w:color="auto" w:sz="4" w:space="0"/>
              <w:bottom w:val="single" w:color="auto" w:sz="4" w:space="0"/>
              <w:right w:val="single" w:color="auto" w:sz="4" w:space="0"/>
            </w:tcBorders>
            <w:noWrap/>
            <w:vAlign w:val="center"/>
          </w:tcPr>
          <w:p w14:paraId="16FB0F6B">
            <w:pPr>
              <w:spacing w:line="360" w:lineRule="auto"/>
              <w:ind w:firstLine="28"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5A653AE6">
            <w:pPr>
              <w:widowControl w:val="0"/>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eastAsia="zh-CN"/>
              </w:rPr>
              <w:t>根据</w:t>
            </w:r>
            <w:r>
              <w:rPr>
                <w:rFonts w:hint="eastAsia" w:ascii="宋体" w:hAnsi="宋体" w:eastAsia="宋体" w:cs="宋体"/>
                <w:b w:val="0"/>
                <w:bCs w:val="0"/>
                <w:color w:val="auto"/>
                <w:kern w:val="2"/>
                <w:sz w:val="22"/>
                <w:szCs w:val="22"/>
                <w:highlight w:val="none"/>
              </w:rPr>
              <w:t>工期</w:t>
            </w:r>
            <w:r>
              <w:rPr>
                <w:rFonts w:hint="eastAsia" w:ascii="宋体" w:hAnsi="宋体" w:eastAsia="宋体" w:cs="宋体"/>
                <w:b w:val="0"/>
                <w:bCs w:val="0"/>
                <w:color w:val="auto"/>
                <w:kern w:val="2"/>
                <w:sz w:val="22"/>
                <w:szCs w:val="22"/>
                <w:highlight w:val="none"/>
                <w:lang w:eastAsia="zh-CN"/>
              </w:rPr>
              <w:t>计划、施工质量、施工安全方案及</w:t>
            </w:r>
            <w:r>
              <w:rPr>
                <w:rFonts w:hint="eastAsia" w:ascii="宋体" w:hAnsi="宋体" w:eastAsia="宋体" w:cs="宋体"/>
                <w:b w:val="0"/>
                <w:bCs w:val="0"/>
                <w:color w:val="auto"/>
                <w:kern w:val="2"/>
                <w:sz w:val="22"/>
                <w:szCs w:val="22"/>
                <w:highlight w:val="none"/>
              </w:rPr>
              <w:t>保证措施</w:t>
            </w:r>
            <w:r>
              <w:rPr>
                <w:rFonts w:hint="eastAsia" w:ascii="宋体" w:hAnsi="宋体" w:eastAsia="宋体" w:cs="宋体"/>
                <w:b w:val="0"/>
                <w:bCs w:val="0"/>
                <w:color w:val="auto"/>
                <w:kern w:val="2"/>
                <w:sz w:val="22"/>
                <w:szCs w:val="22"/>
                <w:highlight w:val="none"/>
                <w:lang w:eastAsia="zh-CN"/>
              </w:rPr>
              <w:t>进行评分，要求根据本项目实际需求情况进行编写，要求符合本项目特点、满足工期要求、方案合理、措施到位</w:t>
            </w:r>
            <w:r>
              <w:rPr>
                <w:rFonts w:hint="eastAsia" w:ascii="宋体" w:hAnsi="宋体" w:cs="宋体"/>
                <w:b w:val="0"/>
                <w:bCs w:val="0"/>
                <w:color w:val="auto"/>
                <w:kern w:val="2"/>
                <w:sz w:val="22"/>
                <w:szCs w:val="22"/>
                <w:highlight w:val="none"/>
                <w:lang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3,2,1,0</w:t>
            </w:r>
            <w:r>
              <w:rPr>
                <w:rFonts w:hint="eastAsia" w:ascii="宋体" w:hAnsi="宋体" w:cs="宋体"/>
                <w:b/>
                <w:bCs/>
                <w:color w:val="auto"/>
                <w:kern w:val="2"/>
                <w:sz w:val="22"/>
                <w:szCs w:val="22"/>
                <w:highlight w:val="none"/>
                <w:lang w:eastAsia="zh-CN"/>
              </w:rPr>
              <w:t>）</w:t>
            </w:r>
          </w:p>
        </w:tc>
      </w:tr>
      <w:tr w14:paraId="2D5F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72BA5F22">
            <w:pPr>
              <w:spacing w:line="360" w:lineRule="auto"/>
              <w:ind w:firstLine="28"/>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766" w:type="dxa"/>
            <w:tcBorders>
              <w:top w:val="single" w:color="auto" w:sz="4" w:space="0"/>
              <w:left w:val="single" w:color="auto" w:sz="4" w:space="0"/>
              <w:bottom w:val="single" w:color="auto" w:sz="4" w:space="0"/>
              <w:right w:val="single" w:color="auto" w:sz="4" w:space="0"/>
            </w:tcBorders>
            <w:noWrap/>
            <w:vAlign w:val="center"/>
          </w:tcPr>
          <w:p w14:paraId="674A789F">
            <w:pPr>
              <w:spacing w:line="360" w:lineRule="auto"/>
              <w:ind w:firstLine="248" w:firstLineChars="113"/>
              <w:jc w:val="both"/>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项目组成员</w:t>
            </w:r>
          </w:p>
        </w:tc>
        <w:tc>
          <w:tcPr>
            <w:tcW w:w="1088" w:type="dxa"/>
            <w:tcBorders>
              <w:top w:val="single" w:color="auto" w:sz="4" w:space="0"/>
              <w:left w:val="single" w:color="auto" w:sz="4" w:space="0"/>
              <w:bottom w:val="single" w:color="auto" w:sz="4" w:space="0"/>
              <w:right w:val="single" w:color="auto" w:sz="4" w:space="0"/>
            </w:tcBorders>
            <w:noWrap/>
            <w:vAlign w:val="center"/>
          </w:tcPr>
          <w:p w14:paraId="5752C44C">
            <w:pPr>
              <w:spacing w:line="360" w:lineRule="auto"/>
              <w:ind w:firstLine="28"/>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600AA1D7">
            <w:pPr>
              <w:widowControl w:val="0"/>
              <w:spacing w:line="360" w:lineRule="auto"/>
              <w:jc w:val="both"/>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项目负责人</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eastAsia="宋体" w:cs="宋体"/>
                <w:color w:val="auto"/>
                <w:kern w:val="2"/>
                <w:sz w:val="22"/>
                <w:szCs w:val="22"/>
                <w:highlight w:val="none"/>
                <w:lang w:eastAsia="zh-CN"/>
              </w:rPr>
              <w:t>建筑工程专业</w:t>
            </w:r>
            <w:r>
              <w:rPr>
                <w:rFonts w:hint="eastAsia" w:ascii="宋体" w:hAnsi="宋体" w:eastAsia="宋体" w:cs="宋体"/>
                <w:color w:val="auto"/>
                <w:kern w:val="2"/>
                <w:sz w:val="22"/>
                <w:szCs w:val="22"/>
                <w:highlight w:val="none"/>
              </w:rPr>
              <w:t>二级</w:t>
            </w:r>
            <w:r>
              <w:rPr>
                <w:rFonts w:hint="eastAsia" w:ascii="宋体" w:hAnsi="宋体" w:cs="宋体"/>
                <w:color w:val="auto"/>
                <w:kern w:val="2"/>
                <w:sz w:val="22"/>
                <w:szCs w:val="22"/>
                <w:highlight w:val="none"/>
                <w:lang w:eastAsia="zh-CN"/>
              </w:rPr>
              <w:t>及以上</w:t>
            </w:r>
            <w:r>
              <w:rPr>
                <w:rFonts w:hint="eastAsia" w:ascii="宋体" w:hAnsi="宋体" w:eastAsia="宋体" w:cs="宋体"/>
                <w:color w:val="auto"/>
                <w:kern w:val="2"/>
                <w:sz w:val="22"/>
                <w:szCs w:val="22"/>
                <w:highlight w:val="none"/>
              </w:rPr>
              <w:t>建造师证书，得</w:t>
            </w:r>
            <w:r>
              <w:rPr>
                <w:rFonts w:hint="eastAsia" w:ascii="宋体" w:hAnsi="宋体" w:eastAsia="宋体" w:cs="宋体"/>
                <w:color w:val="auto"/>
                <w:kern w:val="2"/>
                <w:sz w:val="22"/>
                <w:szCs w:val="22"/>
                <w:highlight w:val="none"/>
                <w:lang w:val="en-US" w:eastAsia="zh-CN"/>
              </w:rPr>
              <w:t>1分</w:t>
            </w:r>
            <w:r>
              <w:rPr>
                <w:rFonts w:hint="eastAsia" w:ascii="宋体" w:hAnsi="宋体" w:cs="宋体"/>
                <w:color w:val="auto"/>
                <w:kern w:val="2"/>
                <w:sz w:val="22"/>
                <w:szCs w:val="22"/>
                <w:highlight w:val="none"/>
                <w:lang w:val="en-US" w:eastAsia="zh-CN"/>
              </w:rPr>
              <w:t>；</w:t>
            </w:r>
          </w:p>
          <w:p w14:paraId="4F033487">
            <w:pPr>
              <w:widowControl w:val="0"/>
              <w:spacing w:line="360" w:lineRule="auto"/>
              <w:jc w:val="both"/>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lang w:val="en-US" w:eastAsia="zh-CN"/>
              </w:rPr>
              <w:t>项目其他人员</w:t>
            </w:r>
            <w:r>
              <w:rPr>
                <w:rFonts w:hint="eastAsia" w:ascii="宋体" w:hAnsi="宋体" w:cs="宋体"/>
                <w:color w:val="auto"/>
                <w:kern w:val="2"/>
                <w:sz w:val="22"/>
                <w:szCs w:val="22"/>
                <w:highlight w:val="none"/>
                <w:lang w:val="en-US" w:eastAsia="zh-CN"/>
              </w:rPr>
              <w:t>(不含项目负责人)</w:t>
            </w:r>
            <w:r>
              <w:rPr>
                <w:rFonts w:hint="eastAsia" w:ascii="宋体" w:hAnsi="宋体" w:eastAsia="宋体" w:cs="宋体"/>
                <w:color w:val="auto"/>
                <w:kern w:val="2"/>
                <w:sz w:val="22"/>
                <w:szCs w:val="22"/>
                <w:highlight w:val="none"/>
                <w:lang w:val="en-US" w:eastAsia="zh-CN"/>
              </w:rPr>
              <w:t>：具有建筑类工程师及以上职称、施工员、质量员、安全员证书的</w:t>
            </w:r>
            <w:r>
              <w:rPr>
                <w:rFonts w:hint="eastAsia" w:ascii="宋体" w:hAnsi="宋体" w:cs="宋体"/>
                <w:color w:val="auto"/>
                <w:kern w:val="2"/>
                <w:sz w:val="22"/>
                <w:szCs w:val="22"/>
                <w:highlight w:val="none"/>
                <w:lang w:val="en-US" w:eastAsia="zh-CN"/>
              </w:rPr>
              <w:t>，每提供一个得</w:t>
            </w:r>
            <w:r>
              <w:rPr>
                <w:rFonts w:hint="eastAsia" w:ascii="宋体" w:hAnsi="宋体" w:eastAsia="宋体" w:cs="宋体"/>
                <w:color w:val="auto"/>
                <w:kern w:val="2"/>
                <w:sz w:val="22"/>
                <w:szCs w:val="22"/>
                <w:highlight w:val="none"/>
                <w:lang w:val="en-US" w:eastAsia="zh-CN"/>
              </w:rPr>
              <w:t>0.</w:t>
            </w:r>
            <w:r>
              <w:rPr>
                <w:rFonts w:hint="eastAsia" w:ascii="宋体" w:hAnsi="宋体" w:cs="宋体"/>
                <w:color w:val="auto"/>
                <w:kern w:val="2"/>
                <w:sz w:val="22"/>
                <w:szCs w:val="22"/>
                <w:highlight w:val="none"/>
                <w:lang w:val="en-US" w:eastAsia="zh-CN"/>
              </w:rPr>
              <w:t>25</w:t>
            </w:r>
            <w:r>
              <w:rPr>
                <w:rFonts w:hint="eastAsia" w:ascii="宋体" w:hAnsi="宋体" w:eastAsia="宋体" w:cs="宋体"/>
                <w:color w:val="auto"/>
                <w:kern w:val="2"/>
                <w:sz w:val="22"/>
                <w:szCs w:val="22"/>
                <w:highlight w:val="none"/>
                <w:lang w:val="en-US" w:eastAsia="zh-CN"/>
              </w:rPr>
              <w:t>分，本项目最高得1分。</w:t>
            </w:r>
          </w:p>
          <w:p w14:paraId="4712A506">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b/>
                <w:bCs/>
                <w:color w:val="auto"/>
                <w:kern w:val="2"/>
                <w:sz w:val="22"/>
                <w:szCs w:val="22"/>
                <w:highlight w:val="none"/>
                <w:lang w:eastAsia="zh-CN"/>
              </w:rPr>
              <w:t>注：</w:t>
            </w:r>
            <w:r>
              <w:rPr>
                <w:rFonts w:hint="eastAsia" w:ascii="宋体" w:hAnsi="宋体" w:eastAsia="宋体" w:cs="宋体"/>
                <w:b/>
                <w:bCs/>
                <w:color w:val="auto"/>
                <w:kern w:val="2"/>
                <w:sz w:val="22"/>
                <w:szCs w:val="22"/>
                <w:highlight w:val="none"/>
                <w:lang w:eastAsia="zh-CN"/>
              </w:rPr>
              <w:t>以上人员不得兼任，</w:t>
            </w:r>
            <w:r>
              <w:rPr>
                <w:rFonts w:hint="eastAsia" w:ascii="宋体" w:hAnsi="宋体" w:eastAsia="宋体" w:cs="宋体"/>
                <w:b/>
                <w:bCs/>
                <w:color w:val="auto"/>
                <w:kern w:val="2"/>
                <w:sz w:val="22"/>
                <w:szCs w:val="22"/>
                <w:highlight w:val="none"/>
              </w:rPr>
              <w:t>本项所涉及人员须提供证书复印件加盖公章；</w:t>
            </w:r>
            <w:r>
              <w:rPr>
                <w:rFonts w:hint="eastAsia" w:ascii="宋体" w:hAnsi="宋体" w:eastAsia="宋体" w:cs="宋体"/>
                <w:b/>
                <w:bCs/>
                <w:color w:val="auto"/>
                <w:kern w:val="2"/>
                <w:sz w:val="22"/>
                <w:szCs w:val="22"/>
                <w:highlight w:val="none"/>
                <w:lang w:eastAsia="zh-CN"/>
              </w:rPr>
              <w:t>所有人员</w:t>
            </w:r>
            <w:r>
              <w:rPr>
                <w:rFonts w:hint="eastAsia" w:ascii="宋体" w:hAnsi="宋体" w:eastAsia="宋体" w:cs="宋体"/>
                <w:b/>
                <w:bCs/>
                <w:color w:val="auto"/>
                <w:kern w:val="2"/>
                <w:sz w:val="22"/>
                <w:szCs w:val="22"/>
                <w:highlight w:val="none"/>
              </w:rPr>
              <w:t>提供由社会保障部门出具的</w:t>
            </w:r>
            <w:r>
              <w:rPr>
                <w:rFonts w:hint="eastAsia" w:ascii="宋体" w:hAnsi="宋体" w:eastAsia="宋体" w:cs="宋体"/>
                <w:b/>
                <w:bCs/>
                <w:color w:val="auto"/>
                <w:kern w:val="2"/>
                <w:sz w:val="22"/>
                <w:szCs w:val="22"/>
                <w:highlight w:val="none"/>
                <w:lang w:eastAsia="zh-CN"/>
              </w:rPr>
              <w:t>投标截止前</w:t>
            </w:r>
            <w:r>
              <w:rPr>
                <w:rFonts w:hint="eastAsia" w:ascii="宋体" w:hAnsi="宋体" w:eastAsia="宋体" w:cs="宋体"/>
                <w:b/>
                <w:bCs/>
                <w:color w:val="auto"/>
                <w:kern w:val="2"/>
                <w:sz w:val="22"/>
                <w:szCs w:val="22"/>
                <w:highlight w:val="none"/>
              </w:rPr>
              <w:t>近</w:t>
            </w:r>
            <w:r>
              <w:rPr>
                <w:rFonts w:hint="eastAsia" w:ascii="宋体" w:hAnsi="宋体" w:eastAsia="宋体" w:cs="宋体"/>
                <w:b/>
                <w:bCs/>
                <w:color w:val="auto"/>
                <w:kern w:val="2"/>
                <w:sz w:val="22"/>
                <w:szCs w:val="22"/>
                <w:highlight w:val="none"/>
                <w:lang w:val="en-US" w:eastAsia="zh-CN"/>
              </w:rPr>
              <w:t>3</w:t>
            </w:r>
            <w:r>
              <w:rPr>
                <w:rFonts w:hint="eastAsia" w:ascii="宋体" w:hAnsi="宋体" w:eastAsia="宋体" w:cs="宋体"/>
                <w:b/>
                <w:bCs/>
                <w:color w:val="auto"/>
                <w:kern w:val="2"/>
                <w:sz w:val="22"/>
                <w:szCs w:val="22"/>
                <w:highlight w:val="none"/>
              </w:rPr>
              <w:t>个月内在本单位社保在保证明或电子社保证明复印件加盖公章</w:t>
            </w:r>
            <w:r>
              <w:rPr>
                <w:rFonts w:hint="eastAsia" w:ascii="宋体" w:hAnsi="宋体" w:eastAsia="宋体" w:cs="宋体"/>
                <w:b/>
                <w:bCs/>
                <w:color w:val="auto"/>
                <w:kern w:val="2"/>
                <w:sz w:val="22"/>
                <w:szCs w:val="22"/>
                <w:highlight w:val="none"/>
                <w:lang w:eastAsia="zh-CN"/>
              </w:rPr>
              <w:t>，否则不得分</w:t>
            </w:r>
            <w:r>
              <w:rPr>
                <w:rFonts w:hint="eastAsia" w:ascii="宋体" w:hAnsi="宋体" w:cs="宋体"/>
                <w:b/>
                <w:bCs/>
                <w:color w:val="auto"/>
                <w:kern w:val="2"/>
                <w:sz w:val="22"/>
                <w:szCs w:val="22"/>
                <w:highlight w:val="none"/>
                <w:lang w:eastAsia="zh-CN"/>
              </w:rPr>
              <w:t>。</w:t>
            </w:r>
          </w:p>
        </w:tc>
      </w:tr>
      <w:tr w14:paraId="554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tcBorders>
              <w:top w:val="single" w:color="auto" w:sz="4" w:space="0"/>
              <w:left w:val="single" w:color="auto" w:sz="4" w:space="0"/>
              <w:right w:val="single" w:color="auto" w:sz="4" w:space="0"/>
            </w:tcBorders>
            <w:noWrap/>
            <w:vAlign w:val="center"/>
          </w:tcPr>
          <w:p w14:paraId="71D8969B">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766" w:type="dxa"/>
            <w:vMerge w:val="restart"/>
            <w:tcBorders>
              <w:top w:val="single" w:color="auto" w:sz="4" w:space="0"/>
              <w:left w:val="single" w:color="auto" w:sz="4" w:space="0"/>
              <w:right w:val="single" w:color="auto" w:sz="4" w:space="0"/>
            </w:tcBorders>
            <w:noWrap/>
            <w:vAlign w:val="center"/>
          </w:tcPr>
          <w:p w14:paraId="035B97B4">
            <w:pPr>
              <w:spacing w:line="360" w:lineRule="auto"/>
              <w:ind w:left="-4" w:leftChars="-2"/>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投标产品技术指标、成熟度等情况</w:t>
            </w:r>
          </w:p>
        </w:tc>
        <w:tc>
          <w:tcPr>
            <w:tcW w:w="1088" w:type="dxa"/>
            <w:vMerge w:val="restart"/>
            <w:tcBorders>
              <w:top w:val="single" w:color="auto" w:sz="4" w:space="0"/>
              <w:left w:val="single" w:color="auto" w:sz="4" w:space="0"/>
              <w:right w:val="single" w:color="auto" w:sz="4" w:space="0"/>
            </w:tcBorders>
            <w:noWrap/>
            <w:vAlign w:val="center"/>
          </w:tcPr>
          <w:p w14:paraId="57743CA0">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1259EEFC">
            <w:pPr>
              <w:widowControl w:val="0"/>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w:t>
            </w:r>
            <w:r>
              <w:rPr>
                <w:rFonts w:hint="eastAsia" w:ascii="宋体" w:hAnsi="宋体" w:cs="宋体"/>
                <w:b w:val="0"/>
                <w:bCs w:val="0"/>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对硬件相关产品技术参数或功能的要求，投标产品的技术参数和功能实现是否满足招标文件要求，技术指标偏离情况进行评分：</w:t>
            </w:r>
            <w:r>
              <w:rPr>
                <w:rFonts w:hint="eastAsia" w:ascii="宋体" w:hAnsi="宋体" w:eastAsia="宋体" w:cs="宋体"/>
                <w:b w:val="0"/>
                <w:bCs w:val="0"/>
                <w:color w:val="auto"/>
                <w:kern w:val="2"/>
                <w:sz w:val="22"/>
                <w:szCs w:val="22"/>
                <w:highlight w:val="none"/>
                <w:lang w:val="en-US" w:eastAsia="zh-CN"/>
              </w:rPr>
              <w:br w:type="textWrapping"/>
            </w:r>
            <w:r>
              <w:rPr>
                <w:rFonts w:hint="eastAsia" w:ascii="宋体" w:hAnsi="宋体" w:eastAsia="宋体" w:cs="宋体"/>
                <w:b w:val="0"/>
                <w:bCs w:val="0"/>
                <w:color w:val="auto"/>
                <w:kern w:val="2"/>
                <w:sz w:val="22"/>
                <w:szCs w:val="22"/>
                <w:highlight w:val="none"/>
                <w:lang w:val="en-US" w:eastAsia="zh-CN"/>
              </w:rPr>
              <w:t>相关参数带“★”的为重要参数功能，须提供相关证明材料，无法提供相关证明材料视为负偏离，每项负偏离扣0.5分，本项最高得分为5分，扣完为止。</w:t>
            </w:r>
            <w:r>
              <w:rPr>
                <w:rFonts w:hint="eastAsia" w:ascii="宋体" w:hAnsi="宋体" w:eastAsia="宋体" w:cs="宋体"/>
                <w:b/>
                <w:bCs/>
                <w:color w:val="auto"/>
                <w:kern w:val="2"/>
                <w:sz w:val="22"/>
                <w:szCs w:val="22"/>
                <w:highlight w:val="none"/>
                <w:lang w:val="en-US" w:eastAsia="zh-CN"/>
              </w:rPr>
              <w:br w:type="textWrapping"/>
            </w:r>
            <w:r>
              <w:rPr>
                <w:rFonts w:hint="eastAsia" w:ascii="宋体" w:hAnsi="宋体" w:eastAsia="宋体" w:cs="宋体"/>
                <w:b/>
                <w:bCs/>
                <w:color w:val="auto"/>
                <w:kern w:val="2"/>
                <w:sz w:val="22"/>
                <w:szCs w:val="22"/>
                <w:highlight w:val="none"/>
                <w:lang w:val="en-US" w:eastAsia="zh-CN"/>
              </w:rPr>
              <w:t>注：以上技术参数或功能如出现偏离必须在《技术偏离表》中完整体现，重要参数须按招标文件要求提供相关证明资料，否则不得分；</w:t>
            </w:r>
          </w:p>
        </w:tc>
      </w:tr>
      <w:tr w14:paraId="5990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36" w:type="dxa"/>
            <w:vMerge w:val="continue"/>
            <w:tcBorders>
              <w:left w:val="single" w:color="auto" w:sz="4" w:space="0"/>
              <w:bottom w:val="single" w:color="auto" w:sz="4" w:space="0"/>
              <w:right w:val="single" w:color="auto" w:sz="4" w:space="0"/>
            </w:tcBorders>
            <w:noWrap/>
            <w:vAlign w:val="center"/>
          </w:tcPr>
          <w:p w14:paraId="44D166C5">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bottom w:val="single" w:color="auto" w:sz="4" w:space="0"/>
              <w:right w:val="single" w:color="auto" w:sz="4" w:space="0"/>
            </w:tcBorders>
            <w:noWrap/>
            <w:vAlign w:val="center"/>
          </w:tcPr>
          <w:p w14:paraId="72AF3A23">
            <w:pPr>
              <w:spacing w:line="360" w:lineRule="auto"/>
              <w:ind w:left="-4" w:leftChars="-2"/>
              <w:jc w:val="center"/>
              <w:rPr>
                <w:rFonts w:hint="eastAsia" w:ascii="宋体" w:hAnsi="宋体" w:eastAsia="宋体" w:cs="宋体"/>
                <w:color w:val="auto"/>
                <w:sz w:val="22"/>
                <w:szCs w:val="22"/>
                <w:highlight w:val="none"/>
              </w:rPr>
            </w:pPr>
          </w:p>
        </w:tc>
        <w:tc>
          <w:tcPr>
            <w:tcW w:w="1088" w:type="dxa"/>
            <w:vMerge w:val="continue"/>
            <w:tcBorders>
              <w:left w:val="single" w:color="auto" w:sz="4" w:space="0"/>
              <w:bottom w:val="single" w:color="auto" w:sz="4" w:space="0"/>
              <w:right w:val="single" w:color="auto" w:sz="4" w:space="0"/>
            </w:tcBorders>
            <w:noWrap/>
            <w:vAlign w:val="center"/>
          </w:tcPr>
          <w:p w14:paraId="6279D259">
            <w:pPr>
              <w:spacing w:line="360" w:lineRule="auto"/>
              <w:ind w:firstLine="28"/>
              <w:jc w:val="center"/>
              <w:rPr>
                <w:rFonts w:hint="eastAsia" w:ascii="宋体" w:hAnsi="宋体" w:eastAsia="宋体" w:cs="宋体"/>
                <w:color w:val="auto"/>
                <w:sz w:val="22"/>
                <w:szCs w:val="22"/>
                <w:highlight w:val="none"/>
                <w:lang w:val="en-US" w:eastAsia="zh-CN"/>
              </w:rPr>
            </w:pPr>
          </w:p>
        </w:tc>
        <w:tc>
          <w:tcPr>
            <w:tcW w:w="6208" w:type="dxa"/>
            <w:tcBorders>
              <w:top w:val="single" w:color="auto" w:sz="4" w:space="0"/>
              <w:left w:val="single" w:color="auto" w:sz="4" w:space="0"/>
              <w:bottom w:val="single" w:color="auto" w:sz="4" w:space="0"/>
              <w:right w:val="single" w:color="auto" w:sz="4" w:space="0"/>
            </w:tcBorders>
            <w:noWrap/>
            <w:vAlign w:val="center"/>
          </w:tcPr>
          <w:p w14:paraId="3E57DFAA">
            <w:pPr>
              <w:pStyle w:val="11"/>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对采购</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清单及</w:t>
            </w: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要求</w:t>
            </w:r>
            <w:r>
              <w:rPr>
                <w:rFonts w:hint="eastAsia" w:ascii="宋体" w:hAnsi="宋体" w:eastAsia="宋体" w:cs="宋体"/>
                <w:color w:val="auto"/>
                <w:sz w:val="22"/>
                <w:szCs w:val="22"/>
                <w:highlight w:val="none"/>
                <w:lang w:eastAsia="zh-CN"/>
              </w:rPr>
              <w:t>非标</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技术参数由评委进行打分，根据投标产品选型及配置合理性，技术指标参数的响应程度、稳定性、适用性、先进性、易用性</w:t>
            </w:r>
            <w:r>
              <w:rPr>
                <w:rFonts w:hint="eastAsia" w:ascii="宋体" w:hAnsi="宋体" w:eastAsia="宋体" w:cs="宋体"/>
                <w:color w:val="auto"/>
                <w:sz w:val="22"/>
                <w:szCs w:val="22"/>
                <w:highlight w:val="none"/>
                <w:lang w:eastAsia="zh-CN"/>
              </w:rPr>
              <w:t>等，由专家打分，共</w:t>
            </w:r>
            <w:r>
              <w:rPr>
                <w:rFonts w:hint="eastAsia" w:ascii="宋体" w:hAnsi="宋体" w:eastAsia="宋体" w:cs="宋体"/>
                <w:color w:val="auto"/>
                <w:sz w:val="22"/>
                <w:szCs w:val="22"/>
                <w:highlight w:val="none"/>
                <w:lang w:val="en-US" w:eastAsia="zh-CN"/>
              </w:rPr>
              <w:t>2分。</w:t>
            </w:r>
            <w:r>
              <w:rPr>
                <w:rFonts w:hint="eastAsia" w:ascii="宋体" w:hAnsi="宋体" w:eastAsia="宋体" w:cs="宋体"/>
                <w:b/>
                <w:bCs/>
                <w:color w:val="auto"/>
                <w:sz w:val="22"/>
                <w:szCs w:val="22"/>
                <w:highlight w:val="none"/>
                <w:lang w:val="en-US" w:eastAsia="zh-CN"/>
              </w:rPr>
              <w:t>（评分范围：2，1，0）</w:t>
            </w:r>
          </w:p>
        </w:tc>
      </w:tr>
      <w:tr w14:paraId="2AF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6" w:type="dxa"/>
            <w:vMerge w:val="restart"/>
            <w:tcBorders>
              <w:top w:val="single" w:color="auto" w:sz="4" w:space="0"/>
              <w:left w:val="single" w:color="auto" w:sz="4" w:space="0"/>
              <w:right w:val="single" w:color="auto" w:sz="4" w:space="0"/>
            </w:tcBorders>
            <w:noWrap/>
            <w:vAlign w:val="center"/>
          </w:tcPr>
          <w:p w14:paraId="3816DD38">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766" w:type="dxa"/>
            <w:vMerge w:val="restart"/>
            <w:tcBorders>
              <w:top w:val="single" w:color="auto" w:sz="4" w:space="0"/>
              <w:left w:val="single" w:color="auto" w:sz="4" w:space="0"/>
              <w:right w:val="single" w:color="auto" w:sz="4" w:space="0"/>
            </w:tcBorders>
            <w:noWrap/>
            <w:vAlign w:val="center"/>
          </w:tcPr>
          <w:p w14:paraId="37625B41">
            <w:pPr>
              <w:spacing w:line="360" w:lineRule="auto"/>
              <w:ind w:left="-4" w:leftChars="-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设计方案</w:t>
            </w:r>
          </w:p>
        </w:tc>
        <w:tc>
          <w:tcPr>
            <w:tcW w:w="1088" w:type="dxa"/>
            <w:tcBorders>
              <w:top w:val="single" w:color="auto" w:sz="4" w:space="0"/>
              <w:left w:val="single" w:color="auto" w:sz="4" w:space="0"/>
              <w:right w:val="single" w:color="auto" w:sz="4" w:space="0"/>
            </w:tcBorders>
            <w:noWrap/>
            <w:vAlign w:val="center"/>
          </w:tcPr>
          <w:p w14:paraId="50120326">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2B601FB7">
            <w:pPr>
              <w:widowControl w:val="0"/>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根据</w:t>
            </w:r>
            <w:r>
              <w:rPr>
                <w:rFonts w:hint="eastAsia" w:ascii="宋体" w:hAnsi="宋体" w:eastAsia="宋体" w:cs="宋体"/>
                <w:color w:val="auto"/>
                <w:sz w:val="22"/>
                <w:szCs w:val="22"/>
                <w:highlight w:val="none"/>
              </w:rPr>
              <w:t>投标人的整体设计思路清晰性，设计深度构思新颖性，立意独特性，整体立意明确、策划、设计定位准确，主题鲜明突出、理念新颖美观，整体设计风格一致，对项目定位为</w:t>
            </w:r>
            <w:r>
              <w:rPr>
                <w:rFonts w:hint="eastAsia" w:ascii="宋体" w:hAnsi="宋体" w:eastAsia="宋体" w:cs="宋体"/>
                <w:color w:val="auto"/>
                <w:kern w:val="2"/>
                <w:sz w:val="22"/>
                <w:szCs w:val="22"/>
                <w:highlight w:val="none"/>
                <w:lang w:val="en-US" w:eastAsia="zh-CN" w:bidi="ar-SA"/>
              </w:rPr>
              <w:t>着力提升农村生态环境和基础设施的</w:t>
            </w:r>
            <w:r>
              <w:rPr>
                <w:rFonts w:hint="eastAsia" w:ascii="宋体" w:hAnsi="宋体" w:eastAsia="宋体" w:cs="宋体"/>
                <w:color w:val="auto"/>
                <w:sz w:val="22"/>
                <w:szCs w:val="22"/>
                <w:highlight w:val="none"/>
              </w:rPr>
              <w:t>落实程度，设计方案的深度、理念、布局等内容与本项目所体现的内涵的契合度</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由专家进行评分。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4,3,2,1,0</w:t>
            </w:r>
            <w:r>
              <w:rPr>
                <w:rFonts w:hint="eastAsia" w:ascii="宋体" w:hAnsi="宋体" w:cs="宋体"/>
                <w:b/>
                <w:bCs/>
                <w:color w:val="auto"/>
                <w:kern w:val="2"/>
                <w:sz w:val="22"/>
                <w:szCs w:val="22"/>
                <w:highlight w:val="none"/>
                <w:lang w:eastAsia="zh-CN"/>
              </w:rPr>
              <w:t>）</w:t>
            </w:r>
          </w:p>
        </w:tc>
      </w:tr>
      <w:tr w14:paraId="6A9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36" w:type="dxa"/>
            <w:vMerge w:val="continue"/>
            <w:tcBorders>
              <w:left w:val="single" w:color="auto" w:sz="4" w:space="0"/>
              <w:right w:val="single" w:color="auto" w:sz="4" w:space="0"/>
            </w:tcBorders>
            <w:noWrap/>
            <w:vAlign w:val="center"/>
          </w:tcPr>
          <w:p w14:paraId="153A4078">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1F89A56A">
            <w:pPr>
              <w:spacing w:line="360" w:lineRule="auto"/>
              <w:ind w:left="-4" w:leftChars="-2"/>
              <w:jc w:val="center"/>
              <w:rPr>
                <w:rFonts w:hint="eastAsia" w:ascii="宋体" w:hAnsi="宋体" w:eastAsia="宋体" w:cs="宋体"/>
                <w:color w:val="auto"/>
                <w:sz w:val="22"/>
                <w:szCs w:val="22"/>
                <w:highlight w:val="none"/>
              </w:rPr>
            </w:pPr>
          </w:p>
        </w:tc>
        <w:tc>
          <w:tcPr>
            <w:tcW w:w="1088" w:type="dxa"/>
            <w:tcBorders>
              <w:left w:val="single" w:color="auto" w:sz="4" w:space="0"/>
              <w:right w:val="single" w:color="auto" w:sz="4" w:space="0"/>
            </w:tcBorders>
            <w:noWrap/>
            <w:vAlign w:val="center"/>
          </w:tcPr>
          <w:p w14:paraId="4B87312F">
            <w:pPr>
              <w:spacing w:line="360" w:lineRule="auto"/>
              <w:ind w:left="-4" w:leftChars="-2"/>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5BD8A617">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2.根据项目施工图，</w:t>
            </w:r>
            <w:r>
              <w:rPr>
                <w:rFonts w:hint="eastAsia" w:ascii="宋体" w:hAnsi="宋体" w:cs="宋体"/>
                <w:b w:val="0"/>
                <w:bCs w:val="0"/>
                <w:color w:val="auto"/>
                <w:kern w:val="2"/>
                <w:sz w:val="22"/>
                <w:szCs w:val="22"/>
                <w:highlight w:val="none"/>
                <w:lang w:val="en-US" w:eastAsia="zh-CN"/>
              </w:rPr>
              <w:t>投标人</w:t>
            </w:r>
            <w:r>
              <w:rPr>
                <w:rFonts w:hint="eastAsia" w:ascii="宋体" w:hAnsi="宋体" w:eastAsia="宋体" w:cs="宋体"/>
                <w:b w:val="0"/>
                <w:bCs w:val="0"/>
                <w:color w:val="auto"/>
                <w:kern w:val="2"/>
                <w:sz w:val="22"/>
                <w:szCs w:val="22"/>
                <w:highlight w:val="none"/>
                <w:lang w:val="en-US" w:eastAsia="zh-CN"/>
              </w:rPr>
              <w:t>对设计主题理解，并通过文字说明及透视效果图方式表现对主体设计、构思理念、方案规划、项目成果呈现的展示充分、重点突出，</w:t>
            </w:r>
            <w:r>
              <w:rPr>
                <w:rFonts w:hint="eastAsia" w:ascii="宋体" w:hAnsi="宋体" w:eastAsia="宋体" w:cs="宋体"/>
                <w:color w:val="auto"/>
                <w:sz w:val="22"/>
                <w:szCs w:val="22"/>
                <w:highlight w:val="none"/>
              </w:rPr>
              <w:t>不能使用参考图</w:t>
            </w:r>
            <w:r>
              <w:rPr>
                <w:rFonts w:hint="eastAsia" w:ascii="宋体" w:hAnsi="宋体" w:eastAsia="宋体" w:cs="宋体"/>
                <w:b w:val="0"/>
                <w:bCs w:val="0"/>
                <w:color w:val="auto"/>
                <w:kern w:val="2"/>
                <w:sz w:val="22"/>
                <w:szCs w:val="22"/>
                <w:highlight w:val="none"/>
                <w:lang w:val="en-US" w:eastAsia="zh-CN"/>
              </w:rPr>
              <w:t>。分别提供展示三个设计效果图文本</w:t>
            </w:r>
            <w:r>
              <w:rPr>
                <w:rFonts w:hint="eastAsia" w:ascii="宋体" w:hAnsi="宋体" w:cs="宋体"/>
                <w:b w:val="0"/>
                <w:bCs w:val="0"/>
                <w:color w:val="auto"/>
                <w:kern w:val="2"/>
                <w:sz w:val="22"/>
                <w:szCs w:val="22"/>
                <w:highlight w:val="none"/>
                <w:lang w:val="en-US" w:eastAsia="zh-CN"/>
              </w:rPr>
              <w:t>，分别是</w:t>
            </w:r>
            <w:r>
              <w:rPr>
                <w:rFonts w:hint="eastAsia" w:ascii="宋体" w:hAnsi="宋体" w:eastAsia="宋体" w:cs="宋体"/>
                <w:b/>
                <w:bCs/>
                <w:color w:val="auto"/>
                <w:kern w:val="2"/>
                <w:sz w:val="22"/>
                <w:szCs w:val="22"/>
                <w:highlight w:val="none"/>
                <w:lang w:val="en-US" w:eastAsia="zh-CN"/>
              </w:rPr>
              <w:t>共富工坊提升，配套休闲中心提升，邻里中心</w:t>
            </w:r>
            <w:r>
              <w:rPr>
                <w:rFonts w:hint="eastAsia" w:ascii="宋体" w:hAnsi="宋体" w:cs="宋体"/>
                <w:b/>
                <w:bCs/>
                <w:color w:val="auto"/>
                <w:kern w:val="2"/>
                <w:sz w:val="22"/>
                <w:szCs w:val="22"/>
                <w:highlight w:val="none"/>
                <w:lang w:val="en-US" w:eastAsia="zh-CN"/>
              </w:rPr>
              <w:t>。</w:t>
            </w:r>
            <w:r>
              <w:rPr>
                <w:rFonts w:hint="eastAsia" w:ascii="宋体" w:hAnsi="宋体" w:eastAsia="宋体" w:cs="宋体"/>
                <w:b w:val="0"/>
                <w:bCs w:val="0"/>
                <w:color w:val="auto"/>
                <w:kern w:val="2"/>
                <w:sz w:val="22"/>
                <w:szCs w:val="22"/>
                <w:highlight w:val="none"/>
                <w:lang w:val="en-US" w:eastAsia="zh-CN"/>
              </w:rPr>
              <w:t>根据理解内容质量，及透视效果图数量质量情况进行评分：</w:t>
            </w:r>
          </w:p>
          <w:p w14:paraId="085F2429">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2.1</w:t>
            </w:r>
            <w:r>
              <w:rPr>
                <w:rFonts w:hint="eastAsia" w:ascii="宋体" w:hAnsi="宋体" w:cs="宋体"/>
                <w:b w:val="0"/>
                <w:bCs w:val="0"/>
                <w:color w:val="auto"/>
                <w:kern w:val="2"/>
                <w:sz w:val="22"/>
                <w:szCs w:val="22"/>
                <w:highlight w:val="none"/>
                <w:lang w:val="en-US" w:eastAsia="zh-CN"/>
              </w:rPr>
              <w:t>根据</w:t>
            </w:r>
            <w:r>
              <w:rPr>
                <w:rFonts w:hint="eastAsia" w:ascii="宋体" w:hAnsi="宋体" w:eastAsia="宋体" w:cs="宋体"/>
                <w:b w:val="0"/>
                <w:bCs w:val="0"/>
                <w:color w:val="auto"/>
                <w:kern w:val="2"/>
                <w:sz w:val="22"/>
                <w:szCs w:val="22"/>
                <w:highlight w:val="none"/>
                <w:lang w:val="en-US" w:eastAsia="zh-CN"/>
              </w:rPr>
              <w:t>共富工坊提升设计文本阐述及透视效果图展示</w:t>
            </w:r>
            <w:r>
              <w:rPr>
                <w:rFonts w:hint="eastAsia" w:ascii="宋体" w:hAnsi="宋体" w:cs="宋体"/>
                <w:b w:val="0"/>
                <w:bCs w:val="0"/>
                <w:color w:val="auto"/>
                <w:kern w:val="2"/>
                <w:sz w:val="22"/>
                <w:szCs w:val="22"/>
                <w:highlight w:val="none"/>
                <w:lang w:val="en-US" w:eastAsia="zh-CN"/>
              </w:rPr>
              <w:t>情况，由专家进行打分</w:t>
            </w: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p w14:paraId="4CEBC24D">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2.2</w:t>
            </w:r>
            <w:r>
              <w:rPr>
                <w:rFonts w:hint="eastAsia" w:ascii="宋体" w:hAnsi="宋体" w:cs="宋体"/>
                <w:b w:val="0"/>
                <w:bCs w:val="0"/>
                <w:color w:val="auto"/>
                <w:kern w:val="2"/>
                <w:sz w:val="22"/>
                <w:szCs w:val="22"/>
                <w:highlight w:val="none"/>
                <w:lang w:val="en-US" w:eastAsia="zh-CN"/>
              </w:rPr>
              <w:t>根据</w:t>
            </w:r>
            <w:r>
              <w:rPr>
                <w:rFonts w:hint="eastAsia" w:ascii="宋体" w:hAnsi="宋体" w:eastAsia="宋体" w:cs="宋体"/>
                <w:b w:val="0"/>
                <w:bCs w:val="0"/>
                <w:color w:val="auto"/>
                <w:kern w:val="2"/>
                <w:sz w:val="22"/>
                <w:szCs w:val="22"/>
                <w:highlight w:val="none"/>
                <w:lang w:val="en-US" w:eastAsia="zh-CN"/>
              </w:rPr>
              <w:t>配套休闲中心提升设计文本阐述及透视效果图展示</w:t>
            </w:r>
            <w:r>
              <w:rPr>
                <w:rFonts w:hint="eastAsia" w:ascii="宋体" w:hAnsi="宋体" w:cs="宋体"/>
                <w:b w:val="0"/>
                <w:bCs w:val="0"/>
                <w:color w:val="auto"/>
                <w:kern w:val="2"/>
                <w:sz w:val="22"/>
                <w:szCs w:val="22"/>
                <w:highlight w:val="none"/>
                <w:lang w:val="en-US" w:eastAsia="zh-CN"/>
              </w:rPr>
              <w:t>情况，由专家进行打分</w:t>
            </w: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p w14:paraId="275CA56B">
            <w:pPr>
              <w:numPr>
                <w:ilvl w:val="0"/>
                <w:numId w:val="0"/>
              </w:num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2.3</w:t>
            </w:r>
            <w:r>
              <w:rPr>
                <w:rFonts w:hint="eastAsia" w:ascii="宋体" w:hAnsi="宋体" w:cs="宋体"/>
                <w:b w:val="0"/>
                <w:bCs w:val="0"/>
                <w:color w:val="auto"/>
                <w:kern w:val="2"/>
                <w:sz w:val="22"/>
                <w:szCs w:val="22"/>
                <w:highlight w:val="none"/>
                <w:lang w:val="en-US" w:eastAsia="zh-CN"/>
              </w:rPr>
              <w:t>根据</w:t>
            </w:r>
            <w:r>
              <w:rPr>
                <w:rFonts w:hint="eastAsia" w:ascii="宋体" w:hAnsi="宋体" w:eastAsia="宋体" w:cs="宋体"/>
                <w:b w:val="0"/>
                <w:bCs w:val="0"/>
                <w:color w:val="auto"/>
                <w:kern w:val="2"/>
                <w:sz w:val="22"/>
                <w:szCs w:val="22"/>
                <w:highlight w:val="none"/>
                <w:lang w:val="en-US" w:eastAsia="zh-CN"/>
              </w:rPr>
              <w:t>邻里中心设计文本阐述及透视效果图展示充分</w:t>
            </w:r>
            <w:r>
              <w:rPr>
                <w:rFonts w:hint="eastAsia" w:ascii="宋体" w:hAnsi="宋体" w:cs="宋体"/>
                <w:b w:val="0"/>
                <w:bCs w:val="0"/>
                <w:color w:val="auto"/>
                <w:kern w:val="2"/>
                <w:sz w:val="22"/>
                <w:szCs w:val="22"/>
                <w:highlight w:val="none"/>
                <w:lang w:val="en-US" w:eastAsia="zh-CN"/>
              </w:rPr>
              <w:t>情况，由专家进行打分</w:t>
            </w: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p w14:paraId="5CFECB52">
            <w:pPr>
              <w:numPr>
                <w:ilvl w:val="0"/>
                <w:numId w:val="0"/>
              </w:num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注：上述</w:t>
            </w:r>
            <w:r>
              <w:rPr>
                <w:rFonts w:hint="eastAsia" w:ascii="宋体" w:hAnsi="宋体" w:eastAsia="宋体" w:cs="宋体"/>
                <w:b/>
                <w:bCs w:val="0"/>
                <w:color w:val="auto"/>
                <w:sz w:val="22"/>
                <w:szCs w:val="22"/>
                <w:highlight w:val="none"/>
                <w:lang w:val="en-US" w:eastAsia="zh-CN"/>
              </w:rPr>
              <w:t>每个效果图文本</w:t>
            </w:r>
            <w:r>
              <w:rPr>
                <w:rFonts w:hint="eastAsia" w:ascii="宋体" w:hAnsi="宋体" w:eastAsia="宋体" w:cs="宋体"/>
                <w:b/>
                <w:bCs w:val="0"/>
                <w:color w:val="auto"/>
                <w:sz w:val="22"/>
                <w:szCs w:val="22"/>
                <w:highlight w:val="none"/>
                <w:lang w:eastAsia="zh-CN"/>
              </w:rPr>
              <w:t>须提供不少于</w:t>
            </w:r>
            <w:r>
              <w:rPr>
                <w:rFonts w:hint="eastAsia" w:ascii="宋体" w:hAnsi="宋体" w:eastAsia="宋体" w:cs="宋体"/>
                <w:b/>
                <w:bCs w:val="0"/>
                <w:color w:val="auto"/>
                <w:sz w:val="22"/>
                <w:szCs w:val="22"/>
                <w:highlight w:val="none"/>
                <w:lang w:val="en-US" w:eastAsia="zh-CN"/>
              </w:rPr>
              <w:t>15张</w:t>
            </w:r>
            <w:r>
              <w:rPr>
                <w:rFonts w:hint="eastAsia" w:ascii="宋体" w:hAnsi="宋体" w:eastAsia="宋体" w:cs="宋体"/>
                <w:b/>
                <w:bCs w:val="0"/>
                <w:color w:val="auto"/>
                <w:sz w:val="22"/>
                <w:szCs w:val="22"/>
                <w:highlight w:val="none"/>
                <w:lang w:eastAsia="zh-CN"/>
              </w:rPr>
              <w:t>透视效果图</w:t>
            </w:r>
            <w:r>
              <w:rPr>
                <w:rFonts w:hint="eastAsia"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kern w:val="0"/>
                <w:sz w:val="22"/>
                <w:szCs w:val="22"/>
                <w:highlight w:val="none"/>
              </w:rPr>
              <w:t>其中至少</w:t>
            </w:r>
            <w:r>
              <w:rPr>
                <w:rFonts w:hint="eastAsia" w:ascii="宋体" w:hAnsi="宋体" w:eastAsia="宋体" w:cs="宋体"/>
                <w:b/>
                <w:bCs w:val="0"/>
                <w:color w:val="auto"/>
                <w:kern w:val="0"/>
                <w:sz w:val="22"/>
                <w:szCs w:val="22"/>
                <w:highlight w:val="none"/>
                <w:lang w:val="en-US" w:eastAsia="zh-CN"/>
              </w:rPr>
              <w:t>1</w:t>
            </w:r>
            <w:r>
              <w:rPr>
                <w:rFonts w:hint="eastAsia" w:ascii="宋体" w:hAnsi="宋体" w:eastAsia="宋体" w:cs="宋体"/>
                <w:b/>
                <w:bCs w:val="0"/>
                <w:color w:val="auto"/>
                <w:kern w:val="0"/>
                <w:sz w:val="22"/>
                <w:szCs w:val="22"/>
                <w:highlight w:val="none"/>
              </w:rPr>
              <w:t>张俯瞰图</w:t>
            </w:r>
            <w:r>
              <w:rPr>
                <w:rFonts w:hint="eastAsia" w:ascii="宋体" w:hAnsi="宋体" w:eastAsia="宋体" w:cs="宋体"/>
                <w:b/>
                <w:bCs w:val="0"/>
                <w:color w:val="auto"/>
                <w:kern w:val="0"/>
                <w:sz w:val="22"/>
                <w:szCs w:val="22"/>
                <w:highlight w:val="none"/>
                <w:lang w:val="en-US" w:eastAsia="zh-CN"/>
              </w:rPr>
              <w:t>以及</w:t>
            </w:r>
            <w:r>
              <w:rPr>
                <w:rFonts w:hint="eastAsia" w:ascii="宋体" w:hAnsi="宋体" w:eastAsia="宋体" w:cs="宋体"/>
                <w:color w:val="auto"/>
                <w:sz w:val="22"/>
                <w:szCs w:val="22"/>
                <w:highlight w:val="none"/>
              </w:rPr>
              <w:t>总平面一张</w:t>
            </w:r>
            <w:r>
              <w:rPr>
                <w:rFonts w:hint="eastAsia" w:ascii="宋体" w:hAnsi="宋体" w:eastAsia="宋体" w:cs="宋体"/>
                <w:b/>
                <w:bCs w:val="0"/>
                <w:color w:val="auto"/>
                <w:kern w:val="0"/>
                <w:sz w:val="22"/>
                <w:szCs w:val="22"/>
                <w:highlight w:val="none"/>
                <w:lang w:eastAsia="zh-CN"/>
              </w:rPr>
              <w:t>，不提供不得分</w:t>
            </w:r>
            <w:r>
              <w:rPr>
                <w:rFonts w:hint="eastAsia" w:ascii="宋体" w:hAnsi="宋体" w:eastAsia="宋体" w:cs="宋体"/>
                <w:b/>
                <w:bCs w:val="0"/>
                <w:color w:val="auto"/>
                <w:sz w:val="22"/>
                <w:szCs w:val="22"/>
                <w:highlight w:val="none"/>
                <w:lang w:val="en-US" w:eastAsia="zh-CN"/>
              </w:rPr>
              <w:t>。</w:t>
            </w:r>
          </w:p>
        </w:tc>
      </w:tr>
      <w:tr w14:paraId="04C6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tcBorders>
              <w:left w:val="single" w:color="auto" w:sz="4" w:space="0"/>
              <w:right w:val="single" w:color="auto" w:sz="4" w:space="0"/>
            </w:tcBorders>
            <w:noWrap/>
            <w:vAlign w:val="center"/>
          </w:tcPr>
          <w:p w14:paraId="1A383551">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02F16A24">
            <w:pPr>
              <w:spacing w:line="360" w:lineRule="auto"/>
              <w:ind w:left="-4" w:leftChars="-2"/>
              <w:jc w:val="center"/>
              <w:rPr>
                <w:rFonts w:hint="eastAsia" w:ascii="宋体" w:hAnsi="宋体" w:eastAsia="宋体" w:cs="宋体"/>
                <w:color w:val="auto"/>
                <w:sz w:val="22"/>
                <w:szCs w:val="22"/>
                <w:highlight w:val="none"/>
              </w:rPr>
            </w:pPr>
          </w:p>
        </w:tc>
        <w:tc>
          <w:tcPr>
            <w:tcW w:w="1088" w:type="dxa"/>
            <w:tcBorders>
              <w:left w:val="single" w:color="auto" w:sz="4" w:space="0"/>
              <w:bottom w:val="single" w:color="auto" w:sz="4" w:space="0"/>
              <w:right w:val="single" w:color="auto" w:sz="4" w:space="0"/>
            </w:tcBorders>
            <w:noWrap/>
            <w:vAlign w:val="center"/>
          </w:tcPr>
          <w:p w14:paraId="6049D00A">
            <w:pPr>
              <w:spacing w:line="360" w:lineRule="auto"/>
              <w:ind w:left="-4" w:leftChars="-2"/>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41094EF9">
            <w:pPr>
              <w:widowControl w:val="0"/>
              <w:numPr>
                <w:ilvl w:val="0"/>
                <w:numId w:val="15"/>
              </w:numPr>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bCs/>
                <w:color w:val="auto"/>
                <w:kern w:val="0"/>
                <w:sz w:val="22"/>
                <w:szCs w:val="22"/>
                <w:highlight w:val="none"/>
              </w:rPr>
              <w:t>室外</w:t>
            </w:r>
            <w:r>
              <w:rPr>
                <w:rFonts w:hint="eastAsia" w:ascii="宋体" w:hAnsi="宋体" w:eastAsia="宋体" w:cs="宋体"/>
                <w:b/>
                <w:bCs/>
                <w:color w:val="auto"/>
                <w:kern w:val="0"/>
                <w:sz w:val="22"/>
                <w:szCs w:val="22"/>
                <w:highlight w:val="none"/>
                <w:lang w:val="en-US" w:eastAsia="zh-CN"/>
              </w:rPr>
              <w:t>方案</w:t>
            </w:r>
            <w:r>
              <w:rPr>
                <w:rFonts w:hint="eastAsia" w:ascii="宋体" w:hAnsi="宋体" w:eastAsia="宋体" w:cs="宋体"/>
                <w:b/>
                <w:bCs/>
                <w:color w:val="auto"/>
                <w:kern w:val="0"/>
                <w:sz w:val="22"/>
                <w:szCs w:val="22"/>
                <w:highlight w:val="none"/>
                <w:lang w:eastAsia="zh-CN"/>
              </w:rPr>
              <w:t>：</w:t>
            </w:r>
            <w:r>
              <w:rPr>
                <w:rFonts w:hint="eastAsia" w:ascii="宋体" w:hAnsi="宋体" w:cs="宋体"/>
                <w:b w:val="0"/>
                <w:bCs w:val="0"/>
                <w:color w:val="auto"/>
                <w:kern w:val="0"/>
                <w:sz w:val="22"/>
                <w:szCs w:val="22"/>
                <w:highlight w:val="none"/>
                <w:lang w:eastAsia="zh-CN"/>
              </w:rPr>
              <w:t>根据</w:t>
            </w:r>
            <w:r>
              <w:rPr>
                <w:rFonts w:hint="eastAsia" w:ascii="宋体" w:hAnsi="宋体" w:eastAsia="宋体" w:cs="宋体"/>
                <w:color w:val="auto"/>
                <w:kern w:val="0"/>
                <w:sz w:val="22"/>
                <w:szCs w:val="22"/>
                <w:highlight w:val="none"/>
                <w:lang w:val="en-US" w:eastAsia="zh-CN"/>
              </w:rPr>
              <w:t>共富工坊外立面及配套休闲中心</w:t>
            </w:r>
            <w:r>
              <w:rPr>
                <w:rFonts w:hint="eastAsia" w:ascii="宋体" w:hAnsi="宋体" w:eastAsia="宋体" w:cs="宋体"/>
                <w:color w:val="auto"/>
                <w:kern w:val="0"/>
                <w:sz w:val="22"/>
                <w:szCs w:val="22"/>
                <w:highlight w:val="none"/>
              </w:rPr>
              <w:t>景观方案</w:t>
            </w:r>
            <w:r>
              <w:rPr>
                <w:rFonts w:hint="eastAsia" w:ascii="宋体" w:hAnsi="宋体" w:eastAsia="宋体" w:cs="宋体"/>
                <w:color w:val="auto"/>
                <w:kern w:val="0"/>
                <w:sz w:val="22"/>
                <w:szCs w:val="22"/>
                <w:highlight w:val="none"/>
                <w:lang w:val="en-US" w:eastAsia="zh-CN"/>
              </w:rPr>
              <w:t>效果体现</w:t>
            </w:r>
            <w:r>
              <w:rPr>
                <w:rFonts w:hint="eastAsia" w:ascii="宋体" w:hAnsi="宋体" w:eastAsia="宋体" w:cs="宋体"/>
                <w:color w:val="auto"/>
                <w:sz w:val="22"/>
                <w:szCs w:val="22"/>
                <w:highlight w:val="none"/>
              </w:rPr>
              <w:t>应有利于营造活力清新的氛围，有利于创造自由的互动交往空间，并与建筑整体形成和谐的景观氛围，同时充分考虑用地范围内的坡地，营造舒适的坡地自然景观</w:t>
            </w:r>
            <w:r>
              <w:rPr>
                <w:rFonts w:hint="eastAsia" w:ascii="宋体" w:hAnsi="宋体" w:cs="宋体"/>
                <w:color w:val="auto"/>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展示阐述及透视效果图展示</w:t>
            </w:r>
            <w:r>
              <w:rPr>
                <w:rFonts w:hint="eastAsia" w:ascii="宋体" w:hAnsi="宋体" w:cs="宋体"/>
                <w:b w:val="0"/>
                <w:bCs w:val="0"/>
                <w:color w:val="auto"/>
                <w:kern w:val="2"/>
                <w:sz w:val="22"/>
                <w:szCs w:val="22"/>
                <w:highlight w:val="none"/>
                <w:lang w:val="en-US" w:eastAsia="zh-CN"/>
              </w:rPr>
              <w:t>情况，由专家进行打分</w:t>
            </w: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p w14:paraId="2D155F52">
            <w:pPr>
              <w:numPr>
                <w:ilvl w:val="0"/>
                <w:numId w:val="0"/>
              </w:num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注：</w:t>
            </w:r>
            <w:r>
              <w:rPr>
                <w:rFonts w:hint="eastAsia" w:ascii="宋体" w:hAnsi="宋体" w:eastAsia="宋体" w:cs="宋体"/>
                <w:b/>
                <w:bCs w:val="0"/>
                <w:color w:val="auto"/>
                <w:sz w:val="22"/>
                <w:szCs w:val="22"/>
                <w:highlight w:val="none"/>
                <w:lang w:val="en-US" w:eastAsia="zh-CN"/>
              </w:rPr>
              <w:t>效果图文本</w:t>
            </w:r>
            <w:r>
              <w:rPr>
                <w:rFonts w:hint="eastAsia" w:ascii="宋体" w:hAnsi="宋体" w:eastAsia="宋体" w:cs="宋体"/>
                <w:b/>
                <w:bCs w:val="0"/>
                <w:color w:val="auto"/>
                <w:sz w:val="22"/>
                <w:szCs w:val="22"/>
                <w:highlight w:val="none"/>
                <w:lang w:eastAsia="zh-CN"/>
              </w:rPr>
              <w:t>上述须提供不少于</w:t>
            </w:r>
            <w:r>
              <w:rPr>
                <w:rFonts w:hint="eastAsia" w:ascii="宋体" w:hAnsi="宋体" w:eastAsia="宋体" w:cs="宋体"/>
                <w:b/>
                <w:bCs w:val="0"/>
                <w:color w:val="auto"/>
                <w:sz w:val="22"/>
                <w:szCs w:val="22"/>
                <w:highlight w:val="none"/>
                <w:lang w:val="en-US" w:eastAsia="zh-CN"/>
              </w:rPr>
              <w:t>12张</w:t>
            </w:r>
            <w:r>
              <w:rPr>
                <w:rFonts w:hint="eastAsia" w:ascii="宋体" w:hAnsi="宋体" w:eastAsia="宋体" w:cs="宋体"/>
                <w:b/>
                <w:bCs w:val="0"/>
                <w:color w:val="auto"/>
                <w:sz w:val="22"/>
                <w:szCs w:val="22"/>
                <w:highlight w:val="none"/>
                <w:lang w:eastAsia="zh-CN"/>
              </w:rPr>
              <w:t>透视效果图</w:t>
            </w:r>
            <w:r>
              <w:rPr>
                <w:rFonts w:hint="eastAsia"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kern w:val="0"/>
                <w:sz w:val="22"/>
                <w:szCs w:val="22"/>
                <w:highlight w:val="none"/>
                <w:lang w:eastAsia="zh-CN"/>
              </w:rPr>
              <w:t>不提供不得分</w:t>
            </w:r>
            <w:r>
              <w:rPr>
                <w:rFonts w:hint="eastAsia" w:ascii="宋体" w:hAnsi="宋体" w:eastAsia="宋体" w:cs="宋体"/>
                <w:b/>
                <w:bCs w:val="0"/>
                <w:color w:val="auto"/>
                <w:sz w:val="22"/>
                <w:szCs w:val="22"/>
                <w:highlight w:val="none"/>
                <w:lang w:val="en-US" w:eastAsia="zh-CN"/>
              </w:rPr>
              <w:t>。</w:t>
            </w:r>
          </w:p>
        </w:tc>
      </w:tr>
      <w:tr w14:paraId="5C10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6" w:type="dxa"/>
            <w:vMerge w:val="continue"/>
            <w:tcBorders>
              <w:left w:val="single" w:color="auto" w:sz="4" w:space="0"/>
              <w:right w:val="single" w:color="auto" w:sz="4" w:space="0"/>
            </w:tcBorders>
            <w:noWrap/>
            <w:vAlign w:val="center"/>
          </w:tcPr>
          <w:p w14:paraId="0075876B">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0AE47309">
            <w:pPr>
              <w:spacing w:line="360" w:lineRule="auto"/>
              <w:ind w:left="-4" w:leftChars="-2"/>
              <w:jc w:val="center"/>
              <w:rPr>
                <w:rFonts w:hint="eastAsia" w:ascii="宋体" w:hAnsi="宋体" w:eastAsia="宋体" w:cs="宋体"/>
                <w:color w:val="auto"/>
                <w:sz w:val="22"/>
                <w:szCs w:val="22"/>
                <w:highlight w:val="none"/>
              </w:rPr>
            </w:pPr>
          </w:p>
        </w:tc>
        <w:tc>
          <w:tcPr>
            <w:tcW w:w="1088" w:type="dxa"/>
            <w:tcBorders>
              <w:left w:val="single" w:color="auto" w:sz="4" w:space="0"/>
              <w:bottom w:val="single" w:color="auto" w:sz="4" w:space="0"/>
              <w:right w:val="single" w:color="auto" w:sz="4" w:space="0"/>
            </w:tcBorders>
            <w:noWrap/>
            <w:vAlign w:val="center"/>
          </w:tcPr>
          <w:p w14:paraId="071341A5">
            <w:pPr>
              <w:spacing w:line="360" w:lineRule="auto"/>
              <w:ind w:left="-4" w:leftChars="-2"/>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46BD78D0">
            <w:pPr>
              <w:widowControl w:val="0"/>
              <w:numPr>
                <w:ilvl w:val="0"/>
                <w:numId w:val="15"/>
              </w:numPr>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对本项目重点场景（</w:t>
            </w:r>
            <w:r>
              <w:rPr>
                <w:rFonts w:hint="eastAsia" w:ascii="宋体" w:hAnsi="宋体" w:eastAsia="宋体" w:cs="宋体"/>
                <w:color w:val="auto"/>
                <w:sz w:val="22"/>
                <w:szCs w:val="22"/>
                <w:highlight w:val="none"/>
                <w:lang w:eastAsia="zh-CN"/>
              </w:rPr>
              <w:t>树荫市集区、星空放映区、创客集装箱、轻工产业小微园区共富小铺功能区</w:t>
            </w:r>
            <w:r>
              <w:rPr>
                <w:rFonts w:hint="eastAsia" w:ascii="宋体" w:hAnsi="宋体" w:eastAsia="宋体" w:cs="宋体"/>
                <w:color w:val="auto"/>
                <w:sz w:val="22"/>
                <w:szCs w:val="22"/>
                <w:highlight w:val="none"/>
                <w:lang w:val="en-US" w:eastAsia="zh-CN"/>
              </w:rPr>
              <w:t>邻里中心外立面改造效果</w:t>
            </w:r>
            <w:r>
              <w:rPr>
                <w:rFonts w:hint="eastAsia" w:ascii="宋体" w:hAnsi="宋体" w:eastAsia="宋体" w:cs="宋体"/>
                <w:b w:val="0"/>
                <w:bCs w:val="0"/>
                <w:color w:val="auto"/>
                <w:kern w:val="2"/>
                <w:sz w:val="22"/>
                <w:szCs w:val="22"/>
                <w:highlight w:val="none"/>
                <w:lang w:val="en-US" w:eastAsia="zh-CN"/>
              </w:rPr>
              <w:t>）效果深化，突出布展主题，内容条块清晰，体现主体展区的重点和特色，布局合理，具有落地实施性，</w:t>
            </w:r>
            <w:r>
              <w:rPr>
                <w:rFonts w:hint="eastAsia" w:ascii="宋体" w:hAnsi="宋体" w:cs="宋体"/>
                <w:b w:val="0"/>
                <w:bCs w:val="0"/>
                <w:color w:val="auto"/>
                <w:kern w:val="2"/>
                <w:sz w:val="22"/>
                <w:szCs w:val="22"/>
                <w:highlight w:val="none"/>
                <w:lang w:val="en-US" w:eastAsia="zh-CN"/>
              </w:rPr>
              <w:t>投标人</w:t>
            </w:r>
            <w:r>
              <w:rPr>
                <w:rFonts w:hint="eastAsia" w:ascii="宋体" w:hAnsi="宋体" w:eastAsia="宋体" w:cs="宋体"/>
                <w:b w:val="0"/>
                <w:bCs w:val="0"/>
                <w:color w:val="auto"/>
                <w:kern w:val="2"/>
                <w:sz w:val="22"/>
                <w:szCs w:val="22"/>
                <w:highlight w:val="none"/>
                <w:lang w:val="en-US" w:eastAsia="zh-CN"/>
              </w:rPr>
              <w:t>以文字说明及透视效果图形式表现效果，</w:t>
            </w:r>
            <w:r>
              <w:rPr>
                <w:rFonts w:hint="eastAsia" w:ascii="宋体" w:hAnsi="宋体" w:cs="宋体"/>
                <w:b w:val="0"/>
                <w:bCs w:val="0"/>
                <w:color w:val="auto"/>
                <w:kern w:val="2"/>
                <w:sz w:val="22"/>
                <w:szCs w:val="22"/>
                <w:highlight w:val="none"/>
                <w:lang w:val="en-US" w:eastAsia="zh-CN"/>
              </w:rPr>
              <w:t>由专家进行打分</w:t>
            </w: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3,2,1,0</w:t>
            </w:r>
            <w:r>
              <w:rPr>
                <w:rFonts w:hint="eastAsia" w:ascii="宋体" w:hAnsi="宋体" w:cs="宋体"/>
                <w:b/>
                <w:bCs/>
                <w:color w:val="auto"/>
                <w:kern w:val="2"/>
                <w:sz w:val="22"/>
                <w:szCs w:val="22"/>
                <w:highlight w:val="none"/>
                <w:lang w:eastAsia="zh-CN"/>
              </w:rPr>
              <w:t>）</w:t>
            </w:r>
          </w:p>
          <w:p w14:paraId="02FD1EBB">
            <w:pPr>
              <w:pStyle w:val="109"/>
              <w:spacing w:line="360" w:lineRule="auto"/>
              <w:rPr>
                <w:rFonts w:hint="eastAsia" w:ascii="宋体" w:hAnsi="宋体" w:eastAsia="宋体" w:cs="宋体"/>
                <w:color w:val="auto"/>
                <w:sz w:val="22"/>
                <w:szCs w:val="22"/>
                <w:highlight w:val="none"/>
                <w:lang w:val="en-US" w:eastAsia="zh-CN"/>
              </w:rPr>
            </w:pPr>
            <w:r>
              <w:rPr>
                <w:rFonts w:hint="eastAsia" w:cs="宋体"/>
                <w:b/>
                <w:bCs w:val="0"/>
                <w:color w:val="auto"/>
                <w:sz w:val="22"/>
                <w:szCs w:val="22"/>
                <w:highlight w:val="none"/>
                <w:lang w:val="en-US" w:eastAsia="zh-CN"/>
              </w:rPr>
              <w:t>注：</w:t>
            </w:r>
            <w:r>
              <w:rPr>
                <w:rFonts w:hint="eastAsia" w:ascii="宋体" w:hAnsi="宋体" w:eastAsia="宋体" w:cs="宋体"/>
                <w:b/>
                <w:bCs w:val="0"/>
                <w:color w:val="auto"/>
                <w:sz w:val="22"/>
                <w:szCs w:val="22"/>
                <w:highlight w:val="none"/>
                <w:lang w:val="en-US" w:eastAsia="zh-CN"/>
              </w:rPr>
              <w:t>效果图文本</w:t>
            </w:r>
            <w:r>
              <w:rPr>
                <w:rFonts w:hint="eastAsia" w:ascii="宋体" w:hAnsi="宋体" w:eastAsia="宋体" w:cs="宋体"/>
                <w:b/>
                <w:bCs w:val="0"/>
                <w:color w:val="auto"/>
                <w:sz w:val="22"/>
                <w:szCs w:val="22"/>
                <w:highlight w:val="none"/>
                <w:lang w:eastAsia="zh-CN"/>
              </w:rPr>
              <w:t>上述须提供不少于</w:t>
            </w:r>
            <w:r>
              <w:rPr>
                <w:rFonts w:hint="eastAsia" w:ascii="宋体" w:hAnsi="宋体" w:eastAsia="宋体" w:cs="宋体"/>
                <w:b/>
                <w:bCs w:val="0"/>
                <w:color w:val="auto"/>
                <w:sz w:val="22"/>
                <w:szCs w:val="22"/>
                <w:highlight w:val="none"/>
                <w:lang w:val="en-US" w:eastAsia="zh-CN"/>
              </w:rPr>
              <w:t>12张</w:t>
            </w:r>
            <w:r>
              <w:rPr>
                <w:rFonts w:hint="eastAsia" w:ascii="宋体" w:hAnsi="宋体" w:eastAsia="宋体" w:cs="宋体"/>
                <w:b/>
                <w:bCs w:val="0"/>
                <w:color w:val="auto"/>
                <w:sz w:val="22"/>
                <w:szCs w:val="22"/>
                <w:highlight w:val="none"/>
                <w:lang w:eastAsia="zh-CN"/>
              </w:rPr>
              <w:t>透视效果图</w:t>
            </w:r>
            <w:r>
              <w:rPr>
                <w:rFonts w:hint="eastAsia"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kern w:val="0"/>
                <w:sz w:val="22"/>
                <w:szCs w:val="22"/>
                <w:highlight w:val="none"/>
                <w:lang w:eastAsia="zh-CN"/>
              </w:rPr>
              <w:t>不提供不得分</w:t>
            </w:r>
            <w:r>
              <w:rPr>
                <w:rFonts w:hint="eastAsia" w:ascii="宋体" w:hAnsi="宋体" w:eastAsia="宋体" w:cs="宋体"/>
                <w:b/>
                <w:bCs w:val="0"/>
                <w:color w:val="auto"/>
                <w:sz w:val="22"/>
                <w:szCs w:val="22"/>
                <w:highlight w:val="none"/>
                <w:lang w:val="en-US" w:eastAsia="zh-CN"/>
              </w:rPr>
              <w:t>。</w:t>
            </w:r>
          </w:p>
        </w:tc>
      </w:tr>
      <w:tr w14:paraId="080C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36" w:type="dxa"/>
            <w:vMerge w:val="continue"/>
            <w:tcBorders>
              <w:left w:val="single" w:color="auto" w:sz="4" w:space="0"/>
              <w:right w:val="single" w:color="auto" w:sz="4" w:space="0"/>
            </w:tcBorders>
            <w:noWrap/>
            <w:vAlign w:val="center"/>
          </w:tcPr>
          <w:p w14:paraId="0C62678D">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5E383CD9">
            <w:pPr>
              <w:spacing w:line="360" w:lineRule="auto"/>
              <w:ind w:left="-4" w:leftChars="-2"/>
              <w:jc w:val="center"/>
              <w:rPr>
                <w:rFonts w:hint="eastAsia" w:ascii="宋体" w:hAnsi="宋体" w:eastAsia="宋体" w:cs="宋体"/>
                <w:color w:val="auto"/>
                <w:sz w:val="22"/>
                <w:szCs w:val="22"/>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3DD79C59">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244D3B2F">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5.1.中控系统方案设计：</w:t>
            </w:r>
          </w:p>
          <w:p w14:paraId="6EF86B3B">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根据投标人提供的方案是否可集中控制展厅内的灯光、视频显示、音响等设备，采用中控主机、电路控制器、红外控制开关、触摸显示器等专业设备，结合自主开发的相应软件，在主控室集中控制展厅内的灯光、音响设备、及视频显示设备等多设备的集中开关机、监控（将展厅各电脑设备的状态时时显示在中控系统的显示屏上）、遥控、报警（在展厅设备发生异常时能发出短信息通知相关管理员）等功能；</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2,1,0</w:t>
            </w:r>
            <w:r>
              <w:rPr>
                <w:rFonts w:hint="eastAsia" w:ascii="宋体" w:hAnsi="宋体" w:cs="宋体"/>
                <w:b/>
                <w:bCs/>
                <w:color w:val="auto"/>
                <w:kern w:val="2"/>
                <w:sz w:val="22"/>
                <w:szCs w:val="22"/>
                <w:highlight w:val="none"/>
                <w:lang w:eastAsia="zh-CN"/>
              </w:rPr>
              <w:t>）</w:t>
            </w:r>
          </w:p>
          <w:p w14:paraId="14234C00">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5.2.多媒体互动软件设计方案；</w:t>
            </w:r>
          </w:p>
          <w:p w14:paraId="1D6F4AC8">
            <w:pPr>
              <w:widowControl w:val="0"/>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根据投标人提供的多媒体方案创意、创作思路及内容设计符合内容制作的招标要求，展示手法具有全面性、科学性、合理性，多媒体展项原理描述详细，设置合理，满足设计意图，充分考虑展项表现形式、展示方式、展示效果和观众体验根据设计方案情况，由专家进行评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3，2,1,0</w:t>
            </w:r>
            <w:r>
              <w:rPr>
                <w:rFonts w:hint="eastAsia" w:ascii="宋体" w:hAnsi="宋体" w:cs="宋体"/>
                <w:b/>
                <w:bCs/>
                <w:color w:val="auto"/>
                <w:kern w:val="2"/>
                <w:sz w:val="22"/>
                <w:szCs w:val="22"/>
                <w:highlight w:val="none"/>
                <w:lang w:eastAsia="zh-CN"/>
              </w:rPr>
              <w:t>）</w:t>
            </w:r>
          </w:p>
        </w:tc>
      </w:tr>
      <w:tr w14:paraId="7A75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36" w:type="dxa"/>
            <w:vMerge w:val="continue"/>
            <w:tcBorders>
              <w:left w:val="single" w:color="auto" w:sz="4" w:space="0"/>
              <w:right w:val="single" w:color="auto" w:sz="4" w:space="0"/>
            </w:tcBorders>
            <w:noWrap/>
            <w:vAlign w:val="center"/>
          </w:tcPr>
          <w:p w14:paraId="054A6F0B">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1D7F0DEE">
            <w:pPr>
              <w:spacing w:line="360" w:lineRule="auto"/>
              <w:ind w:left="-4" w:leftChars="-2"/>
              <w:jc w:val="center"/>
              <w:rPr>
                <w:rFonts w:hint="eastAsia" w:ascii="宋体" w:hAnsi="宋体" w:eastAsia="宋体" w:cs="宋体"/>
                <w:color w:val="auto"/>
                <w:sz w:val="22"/>
                <w:szCs w:val="22"/>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6C752D1D">
            <w:pPr>
              <w:spacing w:line="360" w:lineRule="auto"/>
              <w:ind w:left="-4" w:leftChars="-2" w:firstLine="220" w:firstLineChars="10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5C8719BC">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b w:val="0"/>
                <w:bCs w:val="0"/>
                <w:color w:val="auto"/>
                <w:kern w:val="2"/>
                <w:sz w:val="22"/>
                <w:szCs w:val="22"/>
                <w:highlight w:val="none"/>
                <w:lang w:val="en-US" w:eastAsia="zh-CN"/>
              </w:rPr>
              <w:t>6.</w:t>
            </w:r>
            <w:r>
              <w:rPr>
                <w:rFonts w:hint="eastAsia" w:ascii="宋体" w:hAnsi="宋体" w:eastAsia="宋体" w:cs="宋体"/>
                <w:b w:val="0"/>
                <w:bCs w:val="0"/>
                <w:color w:val="auto"/>
                <w:kern w:val="2"/>
                <w:sz w:val="22"/>
                <w:szCs w:val="22"/>
                <w:highlight w:val="none"/>
              </w:rPr>
              <w:t>VI导视系统</w:t>
            </w:r>
            <w:r>
              <w:rPr>
                <w:rFonts w:hint="eastAsia" w:ascii="宋体" w:hAnsi="宋体" w:eastAsia="宋体" w:cs="宋体"/>
                <w:b w:val="0"/>
                <w:bCs w:val="0"/>
                <w:color w:val="auto"/>
                <w:kern w:val="2"/>
                <w:sz w:val="22"/>
                <w:szCs w:val="22"/>
                <w:highlight w:val="none"/>
                <w:lang w:eastAsia="zh-CN"/>
              </w:rPr>
              <w:t>方案</w:t>
            </w:r>
            <w:r>
              <w:rPr>
                <w:rFonts w:hint="eastAsia" w:ascii="宋体" w:hAnsi="宋体" w:eastAsia="宋体" w:cs="宋体"/>
                <w:b w:val="0"/>
                <w:bCs w:val="0"/>
                <w:color w:val="auto"/>
                <w:kern w:val="2"/>
                <w:sz w:val="22"/>
                <w:szCs w:val="22"/>
                <w:highlight w:val="none"/>
                <w:lang w:val="en-US" w:eastAsia="zh-CN"/>
              </w:rPr>
              <w:t>结合主题文创产品设计</w:t>
            </w:r>
            <w:r>
              <w:rPr>
                <w:rFonts w:hint="eastAsia" w:ascii="宋体" w:hAnsi="宋体" w:cs="宋体"/>
                <w:b w:val="0"/>
                <w:bCs w:val="0"/>
                <w:color w:val="auto"/>
                <w:kern w:val="2"/>
                <w:sz w:val="22"/>
                <w:szCs w:val="22"/>
                <w:highlight w:val="none"/>
                <w:lang w:val="en-US" w:eastAsia="zh-CN"/>
              </w:rPr>
              <w:t>情况，由专家打分；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2,1,0</w:t>
            </w:r>
            <w:r>
              <w:rPr>
                <w:rFonts w:hint="eastAsia" w:ascii="宋体" w:hAnsi="宋体" w:cs="宋体"/>
                <w:b/>
                <w:bCs/>
                <w:color w:val="auto"/>
                <w:kern w:val="2"/>
                <w:sz w:val="22"/>
                <w:szCs w:val="22"/>
                <w:highlight w:val="none"/>
                <w:lang w:eastAsia="zh-CN"/>
              </w:rPr>
              <w:t>）</w:t>
            </w:r>
          </w:p>
        </w:tc>
      </w:tr>
      <w:tr w14:paraId="2D3F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36" w:type="dxa"/>
            <w:vMerge w:val="continue"/>
            <w:tcBorders>
              <w:left w:val="single" w:color="auto" w:sz="4" w:space="0"/>
              <w:right w:val="single" w:color="auto" w:sz="4" w:space="0"/>
            </w:tcBorders>
            <w:noWrap/>
            <w:vAlign w:val="center"/>
          </w:tcPr>
          <w:p w14:paraId="65BABB1E">
            <w:pPr>
              <w:spacing w:line="360" w:lineRule="auto"/>
              <w:ind w:left="-4" w:leftChars="-2"/>
              <w:jc w:val="center"/>
              <w:rPr>
                <w:rFonts w:hint="eastAsia" w:ascii="宋体" w:hAnsi="宋体" w:eastAsia="宋体" w:cs="宋体"/>
                <w:color w:val="auto"/>
                <w:sz w:val="22"/>
                <w:szCs w:val="22"/>
                <w:highlight w:val="none"/>
                <w:lang w:val="en-US" w:eastAsia="zh-CN"/>
              </w:rPr>
            </w:pPr>
          </w:p>
        </w:tc>
        <w:tc>
          <w:tcPr>
            <w:tcW w:w="1766" w:type="dxa"/>
            <w:vMerge w:val="continue"/>
            <w:tcBorders>
              <w:left w:val="single" w:color="auto" w:sz="4" w:space="0"/>
              <w:right w:val="single" w:color="auto" w:sz="4" w:space="0"/>
            </w:tcBorders>
            <w:noWrap/>
            <w:vAlign w:val="center"/>
          </w:tcPr>
          <w:p w14:paraId="193F58D3">
            <w:pPr>
              <w:spacing w:line="360" w:lineRule="auto"/>
              <w:ind w:left="-4" w:leftChars="-2"/>
              <w:jc w:val="center"/>
              <w:rPr>
                <w:rFonts w:hint="eastAsia" w:ascii="宋体" w:hAnsi="宋体" w:eastAsia="宋体" w:cs="宋体"/>
                <w:color w:val="auto"/>
                <w:sz w:val="22"/>
                <w:szCs w:val="22"/>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13CB9B8F">
            <w:pPr>
              <w:spacing w:line="360" w:lineRule="auto"/>
              <w:ind w:left="-4" w:leftChars="-2" w:firstLine="220" w:firstLineChars="10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602E8A0B">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b w:val="0"/>
                <w:bCs w:val="0"/>
                <w:color w:val="auto"/>
                <w:kern w:val="2"/>
                <w:sz w:val="22"/>
                <w:szCs w:val="22"/>
                <w:highlight w:val="none"/>
                <w:lang w:val="en-US" w:eastAsia="zh-CN"/>
              </w:rPr>
            </w:pP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方案区域</w:t>
            </w:r>
            <w:r>
              <w:rPr>
                <w:rFonts w:hint="eastAsia" w:ascii="宋体" w:hAnsi="宋体" w:eastAsia="宋体" w:cs="宋体"/>
                <w:b w:val="0"/>
                <w:bCs w:val="0"/>
                <w:color w:val="auto"/>
                <w:kern w:val="0"/>
                <w:sz w:val="22"/>
                <w:szCs w:val="22"/>
                <w:highlight w:val="none"/>
                <w:lang w:bidi="ar"/>
              </w:rPr>
              <w:t>平面展板深化</w:t>
            </w:r>
            <w:r>
              <w:rPr>
                <w:rFonts w:hint="eastAsia" w:ascii="宋体" w:hAnsi="宋体" w:cs="宋体"/>
                <w:b w:val="0"/>
                <w:bCs w:val="0"/>
                <w:color w:val="auto"/>
                <w:kern w:val="0"/>
                <w:sz w:val="22"/>
                <w:szCs w:val="22"/>
                <w:highlight w:val="none"/>
                <w:lang w:eastAsia="zh-CN" w:bidi="ar"/>
              </w:rPr>
              <w:t>，</w:t>
            </w:r>
            <w:r>
              <w:rPr>
                <w:rFonts w:hint="eastAsia" w:ascii="宋体" w:hAnsi="宋体" w:eastAsia="宋体" w:cs="宋体"/>
                <w:b w:val="0"/>
                <w:bCs w:val="0"/>
                <w:color w:val="auto"/>
                <w:sz w:val="22"/>
                <w:szCs w:val="22"/>
                <w:highlight w:val="none"/>
                <w:lang w:eastAsia="zh-CN"/>
              </w:rPr>
              <w:t>要求</w:t>
            </w:r>
            <w:r>
              <w:rPr>
                <w:rFonts w:hint="eastAsia" w:ascii="宋体" w:hAnsi="宋体" w:eastAsia="宋体" w:cs="宋体"/>
                <w:b w:val="0"/>
                <w:bCs w:val="0"/>
                <w:color w:val="auto"/>
                <w:sz w:val="22"/>
                <w:szCs w:val="22"/>
                <w:highlight w:val="none"/>
                <w:lang w:val="en-US" w:eastAsia="zh-CN"/>
              </w:rPr>
              <w:t>展厅区域</w:t>
            </w:r>
            <w:r>
              <w:rPr>
                <w:rFonts w:hint="eastAsia" w:ascii="宋体" w:hAnsi="宋体" w:eastAsia="宋体" w:cs="宋体"/>
                <w:color w:val="auto"/>
                <w:kern w:val="0"/>
                <w:sz w:val="22"/>
                <w:szCs w:val="22"/>
                <w:highlight w:val="none"/>
                <w:lang w:bidi="ar"/>
              </w:rPr>
              <w:t>平面展板深化、设计风格契合空间方案，体现</w:t>
            </w:r>
            <w:r>
              <w:rPr>
                <w:rFonts w:hint="eastAsia" w:ascii="宋体" w:hAnsi="宋体" w:eastAsia="宋体" w:cs="宋体"/>
                <w:color w:val="auto"/>
                <w:kern w:val="0"/>
                <w:sz w:val="22"/>
                <w:szCs w:val="22"/>
                <w:highlight w:val="none"/>
                <w:lang w:val="en-US" w:eastAsia="zh-CN" w:bidi="ar"/>
              </w:rPr>
              <w:t>艺术</w:t>
            </w:r>
            <w:r>
              <w:rPr>
                <w:rFonts w:hint="eastAsia" w:ascii="宋体" w:hAnsi="宋体" w:eastAsia="宋体" w:cs="宋体"/>
                <w:color w:val="auto"/>
                <w:kern w:val="0"/>
                <w:sz w:val="22"/>
                <w:szCs w:val="22"/>
                <w:highlight w:val="none"/>
                <w:lang w:bidi="ar"/>
              </w:rPr>
              <w:t>特色，符合</w:t>
            </w:r>
            <w:r>
              <w:rPr>
                <w:rFonts w:hint="eastAsia" w:ascii="宋体" w:hAnsi="宋体" w:eastAsia="宋体" w:cs="宋体"/>
                <w:color w:val="auto"/>
                <w:kern w:val="0"/>
                <w:sz w:val="22"/>
                <w:szCs w:val="22"/>
                <w:highlight w:val="none"/>
                <w:lang w:val="en-US" w:eastAsia="zh-CN" w:bidi="ar"/>
              </w:rPr>
              <w:t>整体效果</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eastAsia="zh-CN" w:bidi="ar"/>
              </w:rPr>
              <w:t>由专家打分；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3，2,1,0</w:t>
            </w:r>
            <w:r>
              <w:rPr>
                <w:rFonts w:hint="eastAsia" w:ascii="宋体" w:hAnsi="宋体" w:cs="宋体"/>
                <w:b/>
                <w:bCs/>
                <w:color w:val="auto"/>
                <w:kern w:val="2"/>
                <w:sz w:val="22"/>
                <w:szCs w:val="22"/>
                <w:highlight w:val="none"/>
                <w:lang w:eastAsia="zh-CN"/>
              </w:rPr>
              <w:t>）</w:t>
            </w:r>
          </w:p>
        </w:tc>
      </w:tr>
      <w:tr w14:paraId="216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1180A445">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766" w:type="dxa"/>
            <w:tcBorders>
              <w:top w:val="single" w:color="auto" w:sz="4" w:space="0"/>
              <w:left w:val="single" w:color="auto" w:sz="4" w:space="0"/>
              <w:bottom w:val="single" w:color="auto" w:sz="4" w:space="0"/>
              <w:right w:val="single" w:color="auto" w:sz="4" w:space="0"/>
            </w:tcBorders>
            <w:noWrap/>
            <w:vAlign w:val="center"/>
          </w:tcPr>
          <w:p w14:paraId="368CBCCE">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运营方案</w:t>
            </w:r>
          </w:p>
        </w:tc>
        <w:tc>
          <w:tcPr>
            <w:tcW w:w="1088" w:type="dxa"/>
            <w:tcBorders>
              <w:top w:val="single" w:color="auto" w:sz="4" w:space="0"/>
              <w:left w:val="single" w:color="auto" w:sz="4" w:space="0"/>
              <w:bottom w:val="single" w:color="auto" w:sz="4" w:space="0"/>
              <w:right w:val="single" w:color="auto" w:sz="4" w:space="0"/>
            </w:tcBorders>
            <w:noWrap/>
            <w:vAlign w:val="center"/>
          </w:tcPr>
          <w:p w14:paraId="2239EB4F">
            <w:pPr>
              <w:spacing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53B0E33C">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提供共富工坊咖啡休闲文旅与陶艺手工的精细化运营方案，整合了流量密码与创新策略，打造兼具网红属性和持续运营能力的“村咖+陶艺+共富+青年”综合体</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由</w:t>
            </w:r>
            <w:r>
              <w:rPr>
                <w:rFonts w:hint="eastAsia" w:ascii="宋体" w:hAnsi="宋体" w:eastAsia="宋体" w:cs="宋体"/>
                <w:color w:val="auto"/>
                <w:sz w:val="22"/>
                <w:szCs w:val="22"/>
                <w:highlight w:val="none"/>
                <w:lang w:val="en-US" w:eastAsia="zh-CN"/>
              </w:rPr>
              <w:t>专家打分</w:t>
            </w:r>
            <w:r>
              <w:rPr>
                <w:rFonts w:hint="eastAsia" w:ascii="宋体" w:hAnsi="宋体" w:cs="宋体"/>
                <w:color w:val="auto"/>
                <w:sz w:val="22"/>
                <w:szCs w:val="22"/>
                <w:highlight w:val="none"/>
                <w:lang w:val="en-US" w:eastAsia="zh-CN"/>
              </w:rPr>
              <w:t>；</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4,3,2,1,0</w:t>
            </w:r>
            <w:r>
              <w:rPr>
                <w:rFonts w:hint="eastAsia" w:ascii="宋体" w:hAnsi="宋体" w:cs="宋体"/>
                <w:b/>
                <w:bCs/>
                <w:color w:val="auto"/>
                <w:kern w:val="2"/>
                <w:sz w:val="22"/>
                <w:szCs w:val="22"/>
                <w:highlight w:val="none"/>
                <w:lang w:eastAsia="zh-CN"/>
              </w:rPr>
              <w:t>）</w:t>
            </w:r>
          </w:p>
        </w:tc>
      </w:tr>
      <w:tr w14:paraId="22A9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0F0A4DF5">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766" w:type="dxa"/>
            <w:tcBorders>
              <w:top w:val="single" w:color="auto" w:sz="4" w:space="0"/>
              <w:left w:val="single" w:color="auto" w:sz="4" w:space="0"/>
              <w:bottom w:val="single" w:color="auto" w:sz="4" w:space="0"/>
              <w:right w:val="single" w:color="auto" w:sz="4" w:space="0"/>
            </w:tcBorders>
            <w:noWrap/>
            <w:vAlign w:val="center"/>
          </w:tcPr>
          <w:p w14:paraId="6A0AAF4D">
            <w:pPr>
              <w:spacing w:line="360" w:lineRule="auto"/>
              <w:ind w:left="-4" w:leftChars="-2"/>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val="en-US" w:eastAsia="zh-CN"/>
              </w:rPr>
              <w:t>演示</w:t>
            </w:r>
            <w:r>
              <w:rPr>
                <w:rFonts w:hint="eastAsia" w:ascii="宋体" w:hAnsi="宋体" w:eastAsia="宋体" w:cs="宋体"/>
                <w:color w:val="auto"/>
                <w:sz w:val="22"/>
                <w:szCs w:val="22"/>
                <w:highlight w:val="none"/>
              </w:rPr>
              <w:t>（展示投标单位多媒体制作水准）</w:t>
            </w:r>
          </w:p>
        </w:tc>
        <w:tc>
          <w:tcPr>
            <w:tcW w:w="1088" w:type="dxa"/>
            <w:tcBorders>
              <w:top w:val="single" w:color="auto" w:sz="4" w:space="0"/>
              <w:left w:val="single" w:color="auto" w:sz="4" w:space="0"/>
              <w:bottom w:val="single" w:color="auto" w:sz="4" w:space="0"/>
              <w:right w:val="single" w:color="auto" w:sz="4" w:space="0"/>
            </w:tcBorders>
            <w:noWrap/>
            <w:vAlign w:val="center"/>
          </w:tcPr>
          <w:p w14:paraId="3755FA64">
            <w:pPr>
              <w:spacing w:line="360" w:lineRule="auto"/>
              <w:ind w:left="-4" w:leftChars="-2" w:firstLine="220" w:firstLineChars="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val="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5F85A231">
            <w:pPr>
              <w:spacing w:line="36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投标人提供本项目深化方案视频汇报片。演示内容完整，满足招标文件要求的设计效果，充分考虑到采购人的使用情况，演示条理清晰</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不超过10</w:t>
            </w:r>
            <w:r>
              <w:rPr>
                <w:rFonts w:hint="eastAsia" w:ascii="宋体" w:hAnsi="宋体" w:eastAsia="宋体" w:cs="宋体"/>
                <w:color w:val="auto"/>
                <w:sz w:val="22"/>
                <w:szCs w:val="22"/>
                <w:highlight w:val="none"/>
                <w:lang w:val="zh-CN"/>
              </w:rPr>
              <w:t>分钟，根据演示内容的完整性打分，由</w:t>
            </w:r>
            <w:r>
              <w:rPr>
                <w:rFonts w:hint="eastAsia" w:ascii="宋体" w:hAnsi="宋体" w:eastAsia="宋体" w:cs="宋体"/>
                <w:color w:val="auto"/>
                <w:sz w:val="22"/>
                <w:szCs w:val="22"/>
                <w:highlight w:val="none"/>
                <w:lang w:val="en-US" w:eastAsia="zh-CN"/>
              </w:rPr>
              <w:t>专家打分，</w:t>
            </w:r>
            <w:r>
              <w:rPr>
                <w:rFonts w:hint="eastAsia" w:ascii="宋体" w:hAnsi="宋体" w:eastAsia="宋体" w:cs="宋体"/>
                <w:color w:val="auto"/>
                <w:sz w:val="22"/>
                <w:szCs w:val="22"/>
                <w:highlight w:val="none"/>
                <w:lang w:val="zh-CN"/>
              </w:rPr>
              <w:t>不提供不得分</w:t>
            </w:r>
            <w:r>
              <w:rPr>
                <w:rFonts w:hint="eastAsia" w:ascii="宋体" w:hAnsi="宋体" w:eastAsia="宋体" w:cs="宋体"/>
                <w:color w:val="auto"/>
                <w:sz w:val="22"/>
                <w:szCs w:val="22"/>
                <w:highlight w:val="none"/>
                <w:lang w:val="zh-CN" w:eastAsia="zh-CN"/>
              </w:rPr>
              <w:t>。</w:t>
            </w:r>
          </w:p>
          <w:p w14:paraId="3BF88D98">
            <w:pPr>
              <w:spacing w:line="360" w:lineRule="auto"/>
              <w:ind w:left="-4" w:leftChars="-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注：演示内容放入U盘中，视频时间不超过10分钟。</w:t>
            </w:r>
          </w:p>
          <w:p w14:paraId="5464E85B">
            <w:pPr>
              <w:widowControl w:val="0"/>
              <w:spacing w:line="360" w:lineRule="auto"/>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cs="宋体"/>
                <w:b w:val="0"/>
                <w:bCs w:val="0"/>
                <w:color w:val="auto"/>
                <w:kern w:val="2"/>
                <w:sz w:val="22"/>
                <w:szCs w:val="22"/>
                <w:highlight w:val="none"/>
                <w:lang w:val="en-US" w:eastAsia="zh-CN"/>
              </w:rPr>
              <w:t>1</w:t>
            </w:r>
            <w:r>
              <w:rPr>
                <w:rFonts w:hint="eastAsia" w:ascii="宋体" w:hAnsi="宋体" w:eastAsia="宋体" w:cs="宋体"/>
                <w:b w:val="0"/>
                <w:bCs w:val="0"/>
                <w:color w:val="auto"/>
                <w:kern w:val="2"/>
                <w:sz w:val="22"/>
                <w:szCs w:val="22"/>
                <w:highlight w:val="none"/>
                <w:lang w:val="en-US" w:eastAsia="zh-CN"/>
              </w:rPr>
              <w:t>.视频展现设计思路、内容、亮点、三维演示效果与展示物品结合度</w:t>
            </w:r>
            <w:r>
              <w:rPr>
                <w:rFonts w:hint="eastAsia" w:ascii="宋体" w:hAnsi="宋体" w:cs="宋体"/>
                <w:b w:val="0"/>
                <w:bCs w:val="0"/>
                <w:color w:val="auto"/>
                <w:kern w:val="2"/>
                <w:sz w:val="22"/>
                <w:szCs w:val="22"/>
                <w:highlight w:val="none"/>
                <w:lang w:val="en-US" w:eastAsia="zh-CN"/>
              </w:rPr>
              <w:t>，</w:t>
            </w:r>
            <w:r>
              <w:rPr>
                <w:rFonts w:hint="eastAsia" w:cs="宋体"/>
                <w:b w:val="0"/>
                <w:bCs w:val="0"/>
                <w:color w:val="auto"/>
                <w:kern w:val="2"/>
                <w:sz w:val="22"/>
                <w:szCs w:val="22"/>
                <w:highlight w:val="none"/>
                <w:lang w:val="en-US" w:eastAsia="zh-CN"/>
              </w:rPr>
              <w:t>根据</w:t>
            </w:r>
            <w:r>
              <w:rPr>
                <w:rFonts w:hint="eastAsia" w:ascii="宋体" w:hAnsi="宋体" w:eastAsia="宋体" w:cs="宋体"/>
                <w:b w:val="0"/>
                <w:bCs w:val="0"/>
                <w:color w:val="auto"/>
                <w:kern w:val="2"/>
                <w:sz w:val="22"/>
                <w:szCs w:val="22"/>
                <w:highlight w:val="none"/>
                <w:lang w:val="en-US" w:eastAsia="zh-CN"/>
              </w:rPr>
              <w:t>视频展现设计思路、内容、设计亮点，空间三维演示效果</w:t>
            </w:r>
            <w:r>
              <w:rPr>
                <w:rFonts w:hint="eastAsia" w:cs="宋体"/>
                <w:b w:val="0"/>
                <w:bCs w:val="0"/>
                <w:color w:val="auto"/>
                <w:kern w:val="2"/>
                <w:sz w:val="22"/>
                <w:szCs w:val="22"/>
                <w:highlight w:val="none"/>
                <w:lang w:val="en-US" w:eastAsia="zh-CN"/>
              </w:rPr>
              <w:t>，由专家打分；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p w14:paraId="7B8A9017">
            <w:pPr>
              <w:pStyle w:val="109"/>
              <w:spacing w:line="360" w:lineRule="auto"/>
              <w:rPr>
                <w:rFonts w:hint="eastAsia" w:ascii="宋体" w:hAnsi="宋体" w:eastAsia="宋体" w:cs="宋体"/>
                <w:color w:val="auto"/>
                <w:sz w:val="22"/>
                <w:szCs w:val="22"/>
                <w:highlight w:val="none"/>
                <w:lang w:val="en-US"/>
              </w:rPr>
            </w:pPr>
            <w:r>
              <w:rPr>
                <w:rFonts w:hint="eastAsia" w:ascii="宋体" w:hAnsi="宋体" w:eastAsia="宋体" w:cs="宋体"/>
                <w:b w:val="0"/>
                <w:bCs w:val="0"/>
                <w:color w:val="auto"/>
                <w:kern w:val="2"/>
                <w:sz w:val="22"/>
                <w:szCs w:val="22"/>
                <w:highlight w:val="none"/>
                <w:lang w:val="en-US" w:eastAsia="zh-CN"/>
              </w:rPr>
              <w:t>2.针对本项目特点，结合</w:t>
            </w:r>
            <w:r>
              <w:rPr>
                <w:rFonts w:hint="eastAsia" w:ascii="宋体" w:hAnsi="宋体" w:eastAsia="宋体" w:cs="宋体"/>
                <w:color w:val="auto"/>
                <w:kern w:val="2"/>
                <w:sz w:val="22"/>
                <w:szCs w:val="22"/>
                <w:highlight w:val="none"/>
                <w:lang w:val="en-US" w:eastAsia="zh-CN" w:bidi="ar-SA"/>
              </w:rPr>
              <w:t>带动农村共同富裕,助力萧江乡村振兴</w:t>
            </w:r>
            <w:r>
              <w:rPr>
                <w:rFonts w:hint="eastAsia" w:ascii="宋体" w:hAnsi="宋体" w:eastAsia="宋体" w:cs="宋体"/>
                <w:b w:val="0"/>
                <w:bCs w:val="0"/>
                <w:color w:val="auto"/>
                <w:kern w:val="2"/>
                <w:sz w:val="22"/>
                <w:szCs w:val="22"/>
                <w:highlight w:val="none"/>
                <w:lang w:val="en-US" w:eastAsia="zh-CN"/>
              </w:rPr>
              <w:t>，对媒体宣传、</w:t>
            </w:r>
            <w:r>
              <w:rPr>
                <w:rFonts w:hint="eastAsia" w:cs="宋体"/>
                <w:b w:val="0"/>
                <w:bCs w:val="0"/>
                <w:color w:val="auto"/>
                <w:kern w:val="2"/>
                <w:sz w:val="22"/>
                <w:szCs w:val="22"/>
                <w:highlight w:val="none"/>
                <w:lang w:val="en-US" w:eastAsia="zh-CN"/>
              </w:rPr>
              <w:t>多媒体</w:t>
            </w:r>
            <w:r>
              <w:rPr>
                <w:rFonts w:hint="eastAsia" w:ascii="宋体" w:hAnsi="宋体" w:eastAsia="宋体" w:cs="宋体"/>
                <w:b w:val="0"/>
                <w:bCs w:val="0"/>
                <w:color w:val="auto"/>
                <w:kern w:val="2"/>
                <w:sz w:val="22"/>
                <w:szCs w:val="22"/>
                <w:highlight w:val="none"/>
                <w:lang w:val="en-US" w:eastAsia="zh-CN"/>
              </w:rPr>
              <w:t>制作的相关内容进行效果演示，根据演示效果的全面性、项目针对性、美观性</w:t>
            </w:r>
            <w:r>
              <w:rPr>
                <w:rFonts w:hint="eastAsia" w:ascii="宋体" w:hAnsi="宋体" w:cs="宋体"/>
                <w:b w:val="0"/>
                <w:bCs w:val="0"/>
                <w:color w:val="auto"/>
                <w:kern w:val="2"/>
                <w:sz w:val="22"/>
                <w:szCs w:val="22"/>
                <w:highlight w:val="none"/>
                <w:lang w:val="en-US" w:eastAsia="zh-CN"/>
              </w:rPr>
              <w:t>，由专家</w:t>
            </w:r>
            <w:r>
              <w:rPr>
                <w:rFonts w:hint="eastAsia" w:ascii="宋体" w:hAnsi="宋体" w:eastAsia="宋体" w:cs="宋体"/>
                <w:b w:val="0"/>
                <w:bCs w:val="0"/>
                <w:color w:val="auto"/>
                <w:kern w:val="2"/>
                <w:sz w:val="22"/>
                <w:szCs w:val="22"/>
                <w:highlight w:val="none"/>
                <w:lang w:val="en-US" w:eastAsia="zh-CN"/>
              </w:rPr>
              <w:t>进行</w:t>
            </w:r>
            <w:r>
              <w:rPr>
                <w:rFonts w:hint="eastAsia" w:ascii="宋体" w:hAnsi="宋体" w:cs="宋体"/>
                <w:b w:val="0"/>
                <w:bCs w:val="0"/>
                <w:color w:val="auto"/>
                <w:kern w:val="2"/>
                <w:sz w:val="22"/>
                <w:szCs w:val="22"/>
                <w:highlight w:val="none"/>
                <w:lang w:val="en-US" w:eastAsia="zh-CN"/>
              </w:rPr>
              <w:t>打分；</w:t>
            </w:r>
            <w:r>
              <w:rPr>
                <w:rFonts w:hint="eastAsia" w:ascii="宋体" w:hAnsi="宋体" w:cs="宋体"/>
                <w:b/>
                <w:bCs/>
                <w:color w:val="auto"/>
                <w:kern w:val="2"/>
                <w:sz w:val="22"/>
                <w:szCs w:val="22"/>
                <w:highlight w:val="none"/>
                <w:lang w:eastAsia="zh-CN"/>
              </w:rPr>
              <w:t>（评分范围：</w:t>
            </w:r>
            <w:r>
              <w:rPr>
                <w:rFonts w:hint="eastAsia" w:ascii="宋体" w:hAnsi="宋体" w:cs="宋体"/>
                <w:b/>
                <w:bCs/>
                <w:color w:val="auto"/>
                <w:kern w:val="2"/>
                <w:sz w:val="22"/>
                <w:szCs w:val="22"/>
                <w:highlight w:val="none"/>
                <w:lang w:val="en-US" w:eastAsia="zh-CN"/>
              </w:rPr>
              <w:t>5,4,3,2,1,0</w:t>
            </w:r>
            <w:r>
              <w:rPr>
                <w:rFonts w:hint="eastAsia" w:ascii="宋体" w:hAnsi="宋体" w:cs="宋体"/>
                <w:b/>
                <w:bCs/>
                <w:color w:val="auto"/>
                <w:kern w:val="2"/>
                <w:sz w:val="22"/>
                <w:szCs w:val="22"/>
                <w:highlight w:val="none"/>
                <w:lang w:eastAsia="zh-CN"/>
              </w:rPr>
              <w:t>）</w:t>
            </w:r>
          </w:p>
        </w:tc>
      </w:tr>
      <w:tr w14:paraId="7889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40583BD2">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766" w:type="dxa"/>
            <w:tcBorders>
              <w:top w:val="single" w:color="auto" w:sz="4" w:space="0"/>
              <w:left w:val="single" w:color="auto" w:sz="4" w:space="0"/>
              <w:bottom w:val="single" w:color="auto" w:sz="4" w:space="0"/>
              <w:right w:val="single" w:color="auto" w:sz="4" w:space="0"/>
            </w:tcBorders>
            <w:noWrap/>
            <w:vAlign w:val="center"/>
          </w:tcPr>
          <w:p w14:paraId="636BF14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售后服务</w:t>
            </w:r>
          </w:p>
        </w:tc>
        <w:tc>
          <w:tcPr>
            <w:tcW w:w="1088" w:type="dxa"/>
            <w:tcBorders>
              <w:top w:val="single" w:color="auto" w:sz="4" w:space="0"/>
              <w:left w:val="single" w:color="auto" w:sz="4" w:space="0"/>
              <w:bottom w:val="single" w:color="auto" w:sz="4" w:space="0"/>
              <w:right w:val="single" w:color="auto" w:sz="4" w:space="0"/>
            </w:tcBorders>
            <w:noWrap/>
            <w:vAlign w:val="center"/>
          </w:tcPr>
          <w:p w14:paraId="4E8F65EC">
            <w:pPr>
              <w:spacing w:line="360" w:lineRule="auto"/>
              <w:ind w:firstLine="28"/>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3E4405C4">
            <w:pPr>
              <w:spacing w:line="360" w:lineRule="auto"/>
              <w:ind w:left="-4" w:leftChars="-2"/>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维修响应时间：承诺接到采购人报修通知（电话、电传等）后</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zh-CN"/>
              </w:rPr>
              <w:t>小时现场响应得0.5分，</w:t>
            </w:r>
            <w:r>
              <w:rPr>
                <w:rFonts w:hint="eastAsia" w:ascii="宋体" w:hAnsi="宋体" w:cs="宋体"/>
                <w:color w:val="auto"/>
                <w:sz w:val="22"/>
                <w:szCs w:val="22"/>
                <w:highlight w:val="none"/>
                <w:lang w:val="en-US" w:eastAsia="zh-CN"/>
              </w:rPr>
              <w:t>6小时内</w:t>
            </w:r>
            <w:r>
              <w:rPr>
                <w:rFonts w:hint="eastAsia" w:ascii="宋体" w:hAnsi="宋体" w:eastAsia="宋体" w:cs="宋体"/>
                <w:color w:val="auto"/>
                <w:sz w:val="22"/>
                <w:szCs w:val="22"/>
                <w:highlight w:val="none"/>
                <w:lang w:val="zh-CN"/>
              </w:rPr>
              <w:t>现场响应得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r>
              <w:rPr>
                <w:rFonts w:hint="eastAsia" w:ascii="宋体" w:hAnsi="宋体" w:cs="宋体"/>
                <w:color w:val="auto"/>
                <w:sz w:val="22"/>
                <w:szCs w:val="22"/>
                <w:highlight w:val="none"/>
                <w:lang w:val="zh-CN"/>
              </w:rPr>
              <w:t>；</w:t>
            </w:r>
            <w:r>
              <w:rPr>
                <w:rFonts w:hint="eastAsia" w:ascii="宋体" w:hAnsi="宋体" w:eastAsia="宋体" w:cs="宋体"/>
                <w:color w:val="auto"/>
                <w:sz w:val="22"/>
                <w:szCs w:val="22"/>
                <w:highlight w:val="none"/>
                <w:lang w:val="zh-CN"/>
              </w:rPr>
              <w:t>最高得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zh-CN" w:eastAsia="zh-CN"/>
              </w:rPr>
              <w:t>。</w:t>
            </w:r>
          </w:p>
        </w:tc>
      </w:tr>
      <w:tr w14:paraId="3656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36" w:type="dxa"/>
            <w:tcBorders>
              <w:top w:val="single" w:color="auto" w:sz="4" w:space="0"/>
              <w:left w:val="single" w:color="auto" w:sz="4" w:space="0"/>
              <w:bottom w:val="single" w:color="auto" w:sz="4" w:space="0"/>
              <w:right w:val="single" w:color="auto" w:sz="4" w:space="0"/>
            </w:tcBorders>
            <w:noWrap/>
            <w:vAlign w:val="center"/>
          </w:tcPr>
          <w:p w14:paraId="1A15435E">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766" w:type="dxa"/>
            <w:tcBorders>
              <w:top w:val="single" w:color="auto" w:sz="4" w:space="0"/>
              <w:left w:val="single" w:color="auto" w:sz="4" w:space="0"/>
              <w:bottom w:val="single" w:color="auto" w:sz="4" w:space="0"/>
              <w:right w:val="single" w:color="auto" w:sz="4" w:space="0"/>
            </w:tcBorders>
            <w:noWrap/>
            <w:vAlign w:val="center"/>
          </w:tcPr>
          <w:p w14:paraId="1F7A36A9">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tc>
        <w:tc>
          <w:tcPr>
            <w:tcW w:w="1088" w:type="dxa"/>
            <w:tcBorders>
              <w:top w:val="single" w:color="auto" w:sz="4" w:space="0"/>
              <w:left w:val="single" w:color="auto" w:sz="4" w:space="0"/>
              <w:bottom w:val="single" w:color="auto" w:sz="4" w:space="0"/>
              <w:right w:val="single" w:color="auto" w:sz="4" w:space="0"/>
            </w:tcBorders>
            <w:noWrap/>
            <w:vAlign w:val="center"/>
          </w:tcPr>
          <w:p w14:paraId="059FC1BC">
            <w:pPr>
              <w:spacing w:line="360" w:lineRule="auto"/>
              <w:ind w:left="-4" w:leftChars="-2"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3分</w:t>
            </w:r>
          </w:p>
        </w:tc>
        <w:tc>
          <w:tcPr>
            <w:tcW w:w="6208" w:type="dxa"/>
            <w:tcBorders>
              <w:top w:val="single" w:color="auto" w:sz="4" w:space="0"/>
              <w:left w:val="single" w:color="auto" w:sz="4" w:space="0"/>
              <w:bottom w:val="single" w:color="auto" w:sz="4" w:space="0"/>
              <w:right w:val="single" w:color="auto" w:sz="4" w:space="0"/>
            </w:tcBorders>
            <w:noWrap/>
            <w:vAlign w:val="center"/>
          </w:tcPr>
          <w:p w14:paraId="67CFA8E1">
            <w:pPr>
              <w:spacing w:line="360" w:lineRule="auto"/>
              <w:ind w:left="-4" w:leftChars="-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2022年1月1日以来（以合同签订时间为准）承担过同类案例的，</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lang w:val="en-US" w:eastAsia="zh-CN"/>
              </w:rPr>
              <w:t>复印件或扫描件加盖公章，否则不得分。每提供一个得1分，最高3分。</w:t>
            </w:r>
          </w:p>
          <w:p w14:paraId="5673A689">
            <w:pPr>
              <w:spacing w:line="360" w:lineRule="auto"/>
              <w:ind w:left="-4" w:leftChars="-2"/>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注：须提供同时中标通知书，业绩的合同和竣工验收材料加盖公章（三者缺一不可），不提供不得分。</w:t>
            </w:r>
          </w:p>
        </w:tc>
      </w:tr>
    </w:tbl>
    <w:p w14:paraId="1171F999">
      <w:pPr>
        <w:pStyle w:val="40"/>
        <w:snapToGrid w:val="0"/>
        <w:spacing w:line="400" w:lineRule="atLeast"/>
        <w:rPr>
          <w:rFonts w:hint="eastAsia" w:hAnsi="宋体"/>
          <w:b/>
          <w:color w:val="auto"/>
          <w:sz w:val="22"/>
          <w:szCs w:val="22"/>
          <w:highlight w:val="none"/>
        </w:rPr>
      </w:pPr>
    </w:p>
    <w:p w14:paraId="461A4FEC">
      <w:pPr>
        <w:pStyle w:val="43"/>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D7495D5">
      <w:pPr>
        <w:pStyle w:val="43"/>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2B0D606C">
      <w:pPr>
        <w:pStyle w:val="43"/>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DE86EE4">
      <w:pPr>
        <w:pStyle w:val="43"/>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77610843">
      <w:pPr>
        <w:pStyle w:val="43"/>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0AB71099">
      <w:pPr>
        <w:pStyle w:val="43"/>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03F85166">
      <w:pPr>
        <w:pStyle w:val="87"/>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4B2DE9">
      <w:pPr>
        <w:pStyle w:val="87"/>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56A31606">
      <w:pPr>
        <w:pStyle w:val="87"/>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农村综合生活配套提升项目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PYCG250731079</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8D3EDDB">
      <w:pPr>
        <w:pStyle w:val="89"/>
        <w:widowControl/>
        <w:numPr>
          <w:ilvl w:val="0"/>
          <w:numId w:val="16"/>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BB7B7B1">
      <w:pPr>
        <w:pStyle w:val="89"/>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F6A8133">
      <w:pPr>
        <w:pStyle w:val="89"/>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4EBEA4BE">
      <w:pPr>
        <w:pStyle w:val="89"/>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3F1247D">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1AB356E6">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367E5A0B">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EA747C9">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2413980F">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45F81E4C">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5FB14C2C">
      <w:pPr>
        <w:pStyle w:val="87"/>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D99D753">
      <w:pPr>
        <w:pStyle w:val="87"/>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6215C2D">
      <w:pPr>
        <w:pStyle w:val="87"/>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CE650A3">
      <w:pPr>
        <w:pStyle w:val="89"/>
        <w:widowControl/>
        <w:numPr>
          <w:ilvl w:val="0"/>
          <w:numId w:val="17"/>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7A1EC4C">
      <w:pPr>
        <w:pStyle w:val="89"/>
        <w:widowControl/>
        <w:numPr>
          <w:ilvl w:val="0"/>
          <w:numId w:val="17"/>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326427F9">
      <w:pPr>
        <w:pStyle w:val="87"/>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10A0A811">
      <w:pPr>
        <w:pStyle w:val="87"/>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421ACD8E">
      <w:pPr>
        <w:snapToGrid w:val="0"/>
        <w:ind w:firstLine="442" w:firstLineChars="200"/>
        <w:rPr>
          <w:rFonts w:ascii="宋体" w:hAnsi="宋体"/>
          <w:b/>
          <w:bCs/>
          <w:color w:val="auto"/>
          <w:sz w:val="22"/>
          <w:highlight w:val="none"/>
        </w:rPr>
      </w:pPr>
    </w:p>
    <w:p w14:paraId="7322100F">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513596377</w:t>
      </w:r>
      <w:r>
        <w:rPr>
          <w:rFonts w:hint="eastAsia" w:ascii="宋体" w:hAnsi="宋体"/>
          <w:b/>
          <w:bCs/>
          <w:color w:val="auto"/>
          <w:sz w:val="22"/>
          <w:highlight w:val="none"/>
        </w:rPr>
        <w:t>@qq.com。</w:t>
      </w:r>
    </w:p>
    <w:p w14:paraId="16045FF6">
      <w:pPr>
        <w:pStyle w:val="79"/>
        <w:rPr>
          <w:color w:val="auto"/>
          <w:highlight w:val="none"/>
        </w:rPr>
      </w:pPr>
    </w:p>
    <w:p w14:paraId="0EEBB496">
      <w:pPr>
        <w:pStyle w:val="39"/>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5D451866">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2A468C46">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6DE35E2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5C779CC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52A459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26FF240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FD4C6D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2B128B4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8B8F690">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0796FEF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3FCEA3C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BC6E03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12CDEF3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ACF98A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4C72C8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D7ED50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1EE6DED8">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A0FD1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1056045E">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E0C2EA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AC102B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4BFB26B0">
      <w:pPr>
        <w:snapToGrid w:val="0"/>
        <w:spacing w:line="360" w:lineRule="auto"/>
        <w:rPr>
          <w:rFonts w:ascii="宋体" w:hAnsi="宋体"/>
          <w:color w:val="auto"/>
          <w:sz w:val="21"/>
          <w:szCs w:val="21"/>
          <w:highlight w:val="none"/>
        </w:rPr>
      </w:pPr>
    </w:p>
    <w:p w14:paraId="3896C8B5">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388E63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33F4DBD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4D790729">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7CDBAE0">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6C62A8D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48821493">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4048DC0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34933FC2">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7870506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4595E721">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7DD">
    <w:pPr>
      <w:pStyle w:val="46"/>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E3AC">
    <w:pPr>
      <w:pStyle w:val="46"/>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F853">
    <w:pPr>
      <w:pStyle w:val="46"/>
      <w:tabs>
        <w:tab w:val="clear" w:pos="4153"/>
        <w:tab w:val="clear" w:pos="8306"/>
      </w:tabs>
    </w:pPr>
  </w:p>
  <w:p w14:paraId="6E49990C">
    <w:pPr>
      <w:pStyle w:val="46"/>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9305129">
                          <w:pPr>
                            <w:pStyle w:val="46"/>
                            <w:tabs>
                              <w:tab w:val="clear" w:pos="4153"/>
                              <w:tab w:val="clear" w:pos="8306"/>
                            </w:tabs>
                          </w:pPr>
                          <w:r>
                            <w:fldChar w:fldCharType="begin"/>
                          </w:r>
                          <w:r>
                            <w:instrText xml:space="preserve"> PAGE  \* MERGEFORMAT </w:instrText>
                          </w:r>
                          <w:r>
                            <w:fldChar w:fldCharType="separate"/>
                          </w:r>
                          <w:r>
                            <w:t>2</w:t>
                          </w:r>
                          <w:r>
                            <w:fldChar w:fldCharType="end"/>
                          </w:r>
                        </w:p>
                        <w:p w14:paraId="0F06CF27"/>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9305129">
                    <w:pPr>
                      <w:pStyle w:val="46"/>
                      <w:tabs>
                        <w:tab w:val="clear" w:pos="4153"/>
                        <w:tab w:val="clear" w:pos="8306"/>
                      </w:tabs>
                    </w:pPr>
                    <w:r>
                      <w:fldChar w:fldCharType="begin"/>
                    </w:r>
                    <w:r>
                      <w:instrText xml:space="preserve"> PAGE  \* MERGEFORMAT </w:instrText>
                    </w:r>
                    <w:r>
                      <w:fldChar w:fldCharType="separate"/>
                    </w:r>
                    <w:r>
                      <w:t>2</w:t>
                    </w:r>
                    <w:r>
                      <w:fldChar w:fldCharType="end"/>
                    </w:r>
                  </w:p>
                  <w:p w14:paraId="0F06CF27"/>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27AF">
    <w:pPr>
      <w:jc w:val="center"/>
    </w:pPr>
    <w:r>
      <w:fldChar w:fldCharType="begin"/>
    </w:r>
    <w:r>
      <w:instrText xml:space="preserve"> PAGE  \* MERGEFORMAT </w:instrText>
    </w:r>
    <w:r>
      <w:fldChar w:fldCharType="separate"/>
    </w:r>
    <w: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37E7">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49</w:t>
    </w:r>
    <w:r>
      <w:fldChar w:fldCharType="end"/>
    </w:r>
  </w:p>
  <w:p w14:paraId="35058B1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7253">
    <w:pPr>
      <w:pStyle w:val="13"/>
    </w:pPr>
  </w:p>
  <w:p w14:paraId="3A8CA413">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9F0547">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F9F0547">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C952">
    <w:pPr>
      <w:pStyle w:val="46"/>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v:textbox>
            </v:rect>
          </w:pict>
        </mc:Fallback>
      </mc:AlternateContent>
    </w:r>
    <w:r>
      <w:rPr>
        <w:rFonts w:hint="eastAsia"/>
        <w:shd w:val="pct10" w:color="auto" w:fill="FFFF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EA5B">
    <w:pPr>
      <w:pStyle w:val="46"/>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8D92">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F285F">
                          <w:pPr>
                            <w:pStyle w:val="1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D8F285F">
                    <w:pPr>
                      <w:pStyle w:val="1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D4B1">
    <w:pPr>
      <w:pStyle w:val="13"/>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EE719">
                          <w:pPr>
                            <w:pStyle w:val="13"/>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09EE719">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1C36">
    <w:pPr>
      <w:pStyle w:val="47"/>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30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A78">
    <w:pPr>
      <w:pStyle w:val="14"/>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EDF4">
    <w:pPr>
      <w:pStyle w:val="14"/>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EA6F">
    <w:pPr>
      <w:pStyle w:val="47"/>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7E177"/>
    <w:multiLevelType w:val="singleLevel"/>
    <w:tmpl w:val="A327E177"/>
    <w:lvl w:ilvl="0" w:tentative="0">
      <w:start w:val="14"/>
      <w:numFmt w:val="decimal"/>
      <w:lvlText w:val="%1."/>
      <w:lvlJc w:val="left"/>
      <w:pPr>
        <w:tabs>
          <w:tab w:val="left" w:pos="312"/>
        </w:tabs>
      </w:pPr>
    </w:lvl>
  </w:abstractNum>
  <w:abstractNum w:abstractNumId="1">
    <w:nsid w:val="AEE10A99"/>
    <w:multiLevelType w:val="singleLevel"/>
    <w:tmpl w:val="AEE10A99"/>
    <w:lvl w:ilvl="0" w:tentative="0">
      <w:start w:val="14"/>
      <w:numFmt w:val="decimal"/>
      <w:lvlText w:val="%1."/>
      <w:lvlJc w:val="left"/>
      <w:pPr>
        <w:tabs>
          <w:tab w:val="left" w:pos="312"/>
        </w:tabs>
      </w:p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F947CCDA"/>
    <w:multiLevelType w:val="singleLevel"/>
    <w:tmpl w:val="F947CCDA"/>
    <w:lvl w:ilvl="0" w:tentative="0">
      <w:start w:val="1"/>
      <w:numFmt w:val="decimal"/>
      <w:suff w:val="nothing"/>
      <w:lvlText w:val="（%1）"/>
      <w:lvlJc w:val="left"/>
    </w:lvl>
  </w:abstractNum>
  <w:abstractNum w:abstractNumId="5">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6">
    <w:nsid w:val="091B9040"/>
    <w:multiLevelType w:val="singleLevel"/>
    <w:tmpl w:val="091B9040"/>
    <w:lvl w:ilvl="0" w:tentative="0">
      <w:start w:val="3"/>
      <w:numFmt w:val="decimal"/>
      <w:lvlText w:val="%1."/>
      <w:lvlJc w:val="left"/>
      <w:pPr>
        <w:tabs>
          <w:tab w:val="left" w:pos="312"/>
        </w:tabs>
      </w:pPr>
    </w:lvl>
  </w:abstractNum>
  <w:abstractNum w:abstractNumId="7">
    <w:nsid w:val="19DE2C87"/>
    <w:multiLevelType w:val="singleLevel"/>
    <w:tmpl w:val="19DE2C87"/>
    <w:lvl w:ilvl="0" w:tentative="0">
      <w:start w:val="1"/>
      <w:numFmt w:val="decimal"/>
      <w:suff w:val="nothing"/>
      <w:lvlText w:val="（%1）"/>
      <w:lvlJc w:val="left"/>
    </w:lvl>
  </w:abstractNum>
  <w:abstractNum w:abstractNumId="8">
    <w:nsid w:val="229734FF"/>
    <w:multiLevelType w:val="multilevel"/>
    <w:tmpl w:val="229734FF"/>
    <w:lvl w:ilvl="0" w:tentative="0">
      <w:start w:val="1"/>
      <w:numFmt w:val="decimal"/>
      <w:lvlText w:val="第%1条"/>
      <w:lvlJc w:val="left"/>
      <w:pPr>
        <w:ind w:left="0" w:firstLine="0"/>
      </w:pPr>
    </w:lvl>
    <w:lvl w:ilvl="1" w:tentative="0">
      <w:start w:val="1"/>
      <w:numFmt w:val="decimal"/>
      <w:pStyle w:val="99"/>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4437AC01"/>
    <w:multiLevelType w:val="singleLevel"/>
    <w:tmpl w:val="4437AC01"/>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A951B85"/>
    <w:multiLevelType w:val="singleLevel"/>
    <w:tmpl w:val="5A951B85"/>
    <w:lvl w:ilvl="0" w:tentative="0">
      <w:start w:val="2"/>
      <w:numFmt w:val="chineseCounting"/>
      <w:suff w:val="space"/>
      <w:lvlText w:val="第%1部分"/>
      <w:lvlJc w:val="left"/>
    </w:lvl>
  </w:abstractNum>
  <w:abstractNum w:abstractNumId="13">
    <w:nsid w:val="62687BB6"/>
    <w:multiLevelType w:val="multilevel"/>
    <w:tmpl w:val="62687BB6"/>
    <w:lvl w:ilvl="0" w:tentative="0">
      <w:start w:val="1"/>
      <w:numFmt w:val="decimal"/>
      <w:pStyle w:val="10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6DCB2FDC"/>
    <w:multiLevelType w:val="singleLevel"/>
    <w:tmpl w:val="6DCB2FDC"/>
    <w:lvl w:ilvl="0" w:tentative="0">
      <w:start w:val="5"/>
      <w:numFmt w:val="chineseCounting"/>
      <w:suff w:val="nothing"/>
      <w:lvlText w:val="%1、"/>
      <w:lvlJc w:val="left"/>
      <w:rPr>
        <w:rFonts w:hint="eastAsia"/>
      </w:rPr>
    </w:lvl>
  </w:abstractNum>
  <w:abstractNum w:abstractNumId="16">
    <w:nsid w:val="6E87019F"/>
    <w:multiLevelType w:val="multilevel"/>
    <w:tmpl w:val="6E87019F"/>
    <w:lvl w:ilvl="0" w:tentative="0">
      <w:start w:val="1"/>
      <w:numFmt w:val="chineseCountingThousand"/>
      <w:pStyle w:val="9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4"/>
  </w:num>
  <w:num w:numId="2">
    <w:abstractNumId w:val="16"/>
  </w:num>
  <w:num w:numId="3">
    <w:abstractNumId w:val="8"/>
  </w:num>
  <w:num w:numId="4">
    <w:abstractNumId w:val="13"/>
  </w:num>
  <w:num w:numId="5">
    <w:abstractNumId w:val="15"/>
  </w:num>
  <w:num w:numId="6">
    <w:abstractNumId w:val="5"/>
  </w:num>
  <w:num w:numId="7">
    <w:abstractNumId w:val="12"/>
  </w:num>
  <w:num w:numId="8">
    <w:abstractNumId w:val="9"/>
  </w:num>
  <w:num w:numId="9">
    <w:abstractNumId w:val="1"/>
  </w:num>
  <w:num w:numId="10">
    <w:abstractNumId w:val="0"/>
  </w:num>
  <w:num w:numId="11">
    <w:abstractNumId w:val="7"/>
  </w:num>
  <w:num w:numId="12">
    <w:abstractNumId w:val="3"/>
  </w:num>
  <w:num w:numId="13">
    <w:abstractNumId w:val="4"/>
  </w:num>
  <w:num w:numId="14">
    <w:abstractNumId w:val="2"/>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IxNWI0NGJlNDhlNzE1MTFhNTc3YTcxMWEzZGQifQ=="/>
  </w:docVars>
  <w:rsids>
    <w:rsidRoot w:val="00000000"/>
    <w:rsid w:val="0116312F"/>
    <w:rsid w:val="012F41F1"/>
    <w:rsid w:val="013E2C1E"/>
    <w:rsid w:val="01A324E9"/>
    <w:rsid w:val="023E272A"/>
    <w:rsid w:val="028B7335"/>
    <w:rsid w:val="02E62FD5"/>
    <w:rsid w:val="037353D1"/>
    <w:rsid w:val="04373B97"/>
    <w:rsid w:val="06212055"/>
    <w:rsid w:val="0666798F"/>
    <w:rsid w:val="07195727"/>
    <w:rsid w:val="08920AB6"/>
    <w:rsid w:val="08CF1E16"/>
    <w:rsid w:val="094D16B8"/>
    <w:rsid w:val="097906FF"/>
    <w:rsid w:val="09A84B40"/>
    <w:rsid w:val="0A3E36F7"/>
    <w:rsid w:val="0A430D0D"/>
    <w:rsid w:val="0A7B2255"/>
    <w:rsid w:val="0B837613"/>
    <w:rsid w:val="0BA4241C"/>
    <w:rsid w:val="0BBC7831"/>
    <w:rsid w:val="0BCB2D68"/>
    <w:rsid w:val="0C2C6669"/>
    <w:rsid w:val="0C7A68D5"/>
    <w:rsid w:val="0CBA4AA2"/>
    <w:rsid w:val="0CD22534"/>
    <w:rsid w:val="0E6707BA"/>
    <w:rsid w:val="0F981457"/>
    <w:rsid w:val="0FAA00FB"/>
    <w:rsid w:val="1053332C"/>
    <w:rsid w:val="10593038"/>
    <w:rsid w:val="10855BDB"/>
    <w:rsid w:val="10CD1330"/>
    <w:rsid w:val="110D4237"/>
    <w:rsid w:val="113E45CC"/>
    <w:rsid w:val="11C6025A"/>
    <w:rsid w:val="11FF19BD"/>
    <w:rsid w:val="120314AE"/>
    <w:rsid w:val="12846E00"/>
    <w:rsid w:val="129C545E"/>
    <w:rsid w:val="12AD31C8"/>
    <w:rsid w:val="13217712"/>
    <w:rsid w:val="1390019C"/>
    <w:rsid w:val="13AA5A7A"/>
    <w:rsid w:val="14941111"/>
    <w:rsid w:val="14B446A4"/>
    <w:rsid w:val="15051099"/>
    <w:rsid w:val="159743F6"/>
    <w:rsid w:val="15B50E15"/>
    <w:rsid w:val="161517B0"/>
    <w:rsid w:val="164F7412"/>
    <w:rsid w:val="168329D9"/>
    <w:rsid w:val="16C208FD"/>
    <w:rsid w:val="1732013F"/>
    <w:rsid w:val="181D494B"/>
    <w:rsid w:val="18DA5F66"/>
    <w:rsid w:val="19033B41"/>
    <w:rsid w:val="19453724"/>
    <w:rsid w:val="19B532D7"/>
    <w:rsid w:val="19E104BC"/>
    <w:rsid w:val="19FD4A34"/>
    <w:rsid w:val="1A8A6DF1"/>
    <w:rsid w:val="1B5543FC"/>
    <w:rsid w:val="1C275D99"/>
    <w:rsid w:val="1CD35F20"/>
    <w:rsid w:val="1CE65C54"/>
    <w:rsid w:val="1D080B08"/>
    <w:rsid w:val="1E9D56D7"/>
    <w:rsid w:val="1EBD44B0"/>
    <w:rsid w:val="1EDA17E8"/>
    <w:rsid w:val="1EDD4E34"/>
    <w:rsid w:val="20B94930"/>
    <w:rsid w:val="20EC77BF"/>
    <w:rsid w:val="223968A6"/>
    <w:rsid w:val="22486A69"/>
    <w:rsid w:val="225D0766"/>
    <w:rsid w:val="22972076"/>
    <w:rsid w:val="23F24D45"/>
    <w:rsid w:val="25443FEC"/>
    <w:rsid w:val="25445C0D"/>
    <w:rsid w:val="26325875"/>
    <w:rsid w:val="264E03C6"/>
    <w:rsid w:val="265729AD"/>
    <w:rsid w:val="26B52BDE"/>
    <w:rsid w:val="26CB07CB"/>
    <w:rsid w:val="26F14FB2"/>
    <w:rsid w:val="27B150B0"/>
    <w:rsid w:val="28096C9A"/>
    <w:rsid w:val="28191E47"/>
    <w:rsid w:val="285B3648"/>
    <w:rsid w:val="28C037FD"/>
    <w:rsid w:val="298A7967"/>
    <w:rsid w:val="2A9F7DBE"/>
    <w:rsid w:val="2AAB1B64"/>
    <w:rsid w:val="2B057BED"/>
    <w:rsid w:val="2B6C37C8"/>
    <w:rsid w:val="2C002162"/>
    <w:rsid w:val="2C810180"/>
    <w:rsid w:val="2D3F1E62"/>
    <w:rsid w:val="2DA27975"/>
    <w:rsid w:val="2E075A2A"/>
    <w:rsid w:val="2E2D017E"/>
    <w:rsid w:val="2EA9088F"/>
    <w:rsid w:val="2F012479"/>
    <w:rsid w:val="2F2A2B97"/>
    <w:rsid w:val="2FC2139C"/>
    <w:rsid w:val="312F21B8"/>
    <w:rsid w:val="31914B29"/>
    <w:rsid w:val="32935BDC"/>
    <w:rsid w:val="332655BD"/>
    <w:rsid w:val="344078BE"/>
    <w:rsid w:val="34C87415"/>
    <w:rsid w:val="34F30AB6"/>
    <w:rsid w:val="366119DD"/>
    <w:rsid w:val="36BE5A0F"/>
    <w:rsid w:val="36F97CFA"/>
    <w:rsid w:val="396401D4"/>
    <w:rsid w:val="3A914C6E"/>
    <w:rsid w:val="3B286FE0"/>
    <w:rsid w:val="3B5F50F7"/>
    <w:rsid w:val="3B9603ED"/>
    <w:rsid w:val="3BB7024A"/>
    <w:rsid w:val="3BF44347"/>
    <w:rsid w:val="3C031A7A"/>
    <w:rsid w:val="3CB05FC0"/>
    <w:rsid w:val="3D184A13"/>
    <w:rsid w:val="3D2832C7"/>
    <w:rsid w:val="3D754251"/>
    <w:rsid w:val="3F317475"/>
    <w:rsid w:val="3F6D757A"/>
    <w:rsid w:val="3FF213FE"/>
    <w:rsid w:val="40D038D9"/>
    <w:rsid w:val="41190E1C"/>
    <w:rsid w:val="41263FC1"/>
    <w:rsid w:val="412C677B"/>
    <w:rsid w:val="413C7368"/>
    <w:rsid w:val="41840E6A"/>
    <w:rsid w:val="418E7090"/>
    <w:rsid w:val="42417305"/>
    <w:rsid w:val="43B65AD0"/>
    <w:rsid w:val="44D131BA"/>
    <w:rsid w:val="46401681"/>
    <w:rsid w:val="48541414"/>
    <w:rsid w:val="48AB008C"/>
    <w:rsid w:val="494D4D8B"/>
    <w:rsid w:val="49F32E25"/>
    <w:rsid w:val="4A6F0787"/>
    <w:rsid w:val="4B521A81"/>
    <w:rsid w:val="4B58746D"/>
    <w:rsid w:val="4B736055"/>
    <w:rsid w:val="4BCE55E2"/>
    <w:rsid w:val="4D397FBC"/>
    <w:rsid w:val="4DDA124F"/>
    <w:rsid w:val="4E573A0C"/>
    <w:rsid w:val="4ED84B4D"/>
    <w:rsid w:val="4EF00F70"/>
    <w:rsid w:val="4F836208"/>
    <w:rsid w:val="4F8E75F4"/>
    <w:rsid w:val="50303B78"/>
    <w:rsid w:val="509B5BC8"/>
    <w:rsid w:val="50FA696D"/>
    <w:rsid w:val="513555A3"/>
    <w:rsid w:val="52036385"/>
    <w:rsid w:val="52B96526"/>
    <w:rsid w:val="530A3743"/>
    <w:rsid w:val="531A6B6C"/>
    <w:rsid w:val="538746A2"/>
    <w:rsid w:val="53F266B1"/>
    <w:rsid w:val="54260581"/>
    <w:rsid w:val="54E35FFA"/>
    <w:rsid w:val="54F71AA5"/>
    <w:rsid w:val="55AD3B99"/>
    <w:rsid w:val="5649247E"/>
    <w:rsid w:val="572F5E85"/>
    <w:rsid w:val="57BA2CEE"/>
    <w:rsid w:val="5822508B"/>
    <w:rsid w:val="5940666D"/>
    <w:rsid w:val="59F760A3"/>
    <w:rsid w:val="5A2A6479"/>
    <w:rsid w:val="5A8262B5"/>
    <w:rsid w:val="5B266C40"/>
    <w:rsid w:val="5B3550D5"/>
    <w:rsid w:val="5B5639C9"/>
    <w:rsid w:val="5B6F2B44"/>
    <w:rsid w:val="5BC337FC"/>
    <w:rsid w:val="5E250B66"/>
    <w:rsid w:val="5EC92704"/>
    <w:rsid w:val="5FAD16DE"/>
    <w:rsid w:val="5FCD1D80"/>
    <w:rsid w:val="602D281F"/>
    <w:rsid w:val="60854409"/>
    <w:rsid w:val="609B2EB3"/>
    <w:rsid w:val="60DB4671"/>
    <w:rsid w:val="61907509"/>
    <w:rsid w:val="61FE4477"/>
    <w:rsid w:val="621B0688"/>
    <w:rsid w:val="622A5AF3"/>
    <w:rsid w:val="635B1617"/>
    <w:rsid w:val="6361115D"/>
    <w:rsid w:val="64052BF6"/>
    <w:rsid w:val="64115B59"/>
    <w:rsid w:val="64E75692"/>
    <w:rsid w:val="663515B7"/>
    <w:rsid w:val="66A12FB8"/>
    <w:rsid w:val="66B863A0"/>
    <w:rsid w:val="6712276E"/>
    <w:rsid w:val="678371C8"/>
    <w:rsid w:val="67890C82"/>
    <w:rsid w:val="678B58B0"/>
    <w:rsid w:val="68476312"/>
    <w:rsid w:val="68E048D2"/>
    <w:rsid w:val="693E3CEF"/>
    <w:rsid w:val="694E1C94"/>
    <w:rsid w:val="6AAE4999"/>
    <w:rsid w:val="6ABF6769"/>
    <w:rsid w:val="6BC2520C"/>
    <w:rsid w:val="6C1839BC"/>
    <w:rsid w:val="6D042B59"/>
    <w:rsid w:val="6D224D47"/>
    <w:rsid w:val="6D3421F8"/>
    <w:rsid w:val="6E8421A4"/>
    <w:rsid w:val="6ED076BE"/>
    <w:rsid w:val="6F944668"/>
    <w:rsid w:val="6F9666F7"/>
    <w:rsid w:val="6FA7614A"/>
    <w:rsid w:val="6FB82179"/>
    <w:rsid w:val="6FFD3FBC"/>
    <w:rsid w:val="70462105"/>
    <w:rsid w:val="70545BA6"/>
    <w:rsid w:val="711517D9"/>
    <w:rsid w:val="711D36E7"/>
    <w:rsid w:val="71854CFA"/>
    <w:rsid w:val="71AF0B2D"/>
    <w:rsid w:val="731A6C33"/>
    <w:rsid w:val="75FA3CBE"/>
    <w:rsid w:val="76C060D9"/>
    <w:rsid w:val="77626DFA"/>
    <w:rsid w:val="77B21B30"/>
    <w:rsid w:val="77E20D58"/>
    <w:rsid w:val="7A3C5920"/>
    <w:rsid w:val="7A4874F5"/>
    <w:rsid w:val="7BA07EF1"/>
    <w:rsid w:val="7C886774"/>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qFormat/>
    <w:uiPriority w:val="0"/>
    <w:pPr>
      <w:spacing w:line="500" w:lineRule="exact"/>
      <w:ind w:left="1588" w:leftChars="832" w:firstLine="433" w:firstLineChars="196"/>
    </w:pPr>
    <w:rPr>
      <w:sz w:val="24"/>
    </w:rPr>
  </w:style>
  <w:style w:type="paragraph" w:styleId="9">
    <w:name w:val="Block Text"/>
    <w:basedOn w:val="1"/>
    <w:qFormat/>
    <w:uiPriority w:val="0"/>
    <w:pPr>
      <w:spacing w:before="156" w:beforeLines="50" w:after="156" w:afterLines="50"/>
      <w:ind w:left="426" w:right="-11" w:hanging="426" w:hangingChars="203"/>
    </w:pPr>
    <w:rPr>
      <w:rFonts w:eastAsia="楷体_GB2312"/>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Plain Text"/>
    <w:basedOn w:val="1"/>
    <w:next w:val="12"/>
    <w:qFormat/>
    <w:uiPriority w:val="0"/>
    <w:rPr>
      <w:rFonts w:ascii="宋体" w:hAnsi="Courier New"/>
      <w:szCs w:val="20"/>
    </w:rPr>
  </w:style>
  <w:style w:type="paragraph" w:styleId="12">
    <w:name w:val="toc 2"/>
    <w:basedOn w:val="1"/>
    <w:next w:val="1"/>
    <w:qFormat/>
    <w:uiPriority w:val="0"/>
    <w:pPr>
      <w:ind w:left="420" w:leftChars="200"/>
    </w:pPr>
    <w:rPr>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qFormat/>
    <w:uiPriority w:val="0"/>
    <w:pPr>
      <w:ind w:left="1400"/>
    </w:pPr>
    <w:rPr>
      <w:rFonts w:ascii="Calibri"/>
      <w:sz w:val="18"/>
      <w:szCs w:val="18"/>
    </w:rPr>
  </w:style>
  <w:style w:type="paragraph" w:styleId="16">
    <w:name w:val="index 7"/>
    <w:basedOn w:val="1"/>
    <w:next w:val="1"/>
    <w:qFormat/>
    <w:uiPriority w:val="0"/>
    <w:pPr>
      <w:autoSpaceDE/>
      <w:autoSpaceDN/>
      <w:adjustRightInd/>
      <w:ind w:left="1200" w:leftChars="1200"/>
    </w:pPr>
    <w:rPr>
      <w:color w:val="auto"/>
      <w:kern w:val="2"/>
      <w:szCs w:val="24"/>
    </w:rPr>
  </w:style>
  <w:style w:type="paragraph" w:styleId="17">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18">
    <w:name w:val="Body Text First Indent"/>
    <w:basedOn w:val="7"/>
    <w:qFormat/>
    <w:uiPriority w:val="0"/>
    <w:pPr>
      <w:spacing w:after="120"/>
      <w:ind w:firstLine="420" w:firstLineChars="100"/>
    </w:pPr>
    <w:rPr>
      <w:rFonts w:ascii="Times New Roman"/>
      <w:kern w:val="2"/>
      <w:sz w:val="21"/>
      <w:szCs w:val="22"/>
    </w:rPr>
  </w:style>
  <w:style w:type="paragraph" w:styleId="19">
    <w:name w:val="Body Text First Indent 2"/>
    <w:basedOn w:val="8"/>
    <w:next w:val="18"/>
    <w:qFormat/>
    <w:uiPriority w:val="0"/>
    <w:pPr>
      <w:spacing w:after="120" w:afterLines="0" w:line="240" w:lineRule="auto"/>
      <w:ind w:left="420" w:leftChars="200"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26">
    <w:name w:val="标题 11"/>
    <w:basedOn w:val="1"/>
    <w:qFormat/>
    <w:uiPriority w:val="0"/>
    <w:pPr>
      <w:keepNext/>
      <w:jc w:val="left"/>
      <w:outlineLvl w:val="0"/>
    </w:pPr>
    <w:rPr>
      <w:rFonts w:ascii="Calibri" w:hAnsi="Calibri"/>
      <w:b/>
      <w:sz w:val="28"/>
    </w:rPr>
  </w:style>
  <w:style w:type="paragraph" w:customStyle="1" w:styleId="27">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28">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29">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30">
    <w:name w:val="默认段落字体1"/>
    <w:link w:val="1"/>
    <w:qFormat/>
    <w:uiPriority w:val="0"/>
  </w:style>
  <w:style w:type="table" w:customStyle="1" w:styleId="31">
    <w:name w:val="普通表格1"/>
    <w:qFormat/>
    <w:uiPriority w:val="0"/>
  </w:style>
  <w:style w:type="paragraph" w:customStyle="1" w:styleId="32">
    <w:name w:val="正文首行缩进1"/>
    <w:basedOn w:val="33"/>
    <w:qFormat/>
    <w:uiPriority w:val="0"/>
    <w:pPr>
      <w:spacing w:after="120"/>
      <w:ind w:firstLine="420" w:firstLineChars="100"/>
    </w:pPr>
    <w:rPr>
      <w:rFonts w:ascii="Calibri" w:hAnsi="Calibri"/>
      <w:sz w:val="21"/>
      <w:szCs w:val="22"/>
    </w:rPr>
  </w:style>
  <w:style w:type="paragraph" w:customStyle="1" w:styleId="33">
    <w:name w:val="正文文本1"/>
    <w:basedOn w:val="1"/>
    <w:qFormat/>
    <w:uiPriority w:val="0"/>
    <w:rPr>
      <w:rFonts w:ascii="Arial" w:hAnsi="Arial"/>
      <w:bCs/>
      <w:sz w:val="24"/>
    </w:rPr>
  </w:style>
  <w:style w:type="paragraph" w:customStyle="1" w:styleId="34">
    <w:name w:val="目录 61"/>
    <w:basedOn w:val="1"/>
    <w:qFormat/>
    <w:uiPriority w:val="0"/>
    <w:pPr>
      <w:ind w:left="1400"/>
    </w:pPr>
    <w:rPr>
      <w:rFonts w:ascii="Calibri"/>
      <w:sz w:val="18"/>
      <w:szCs w:val="18"/>
    </w:rPr>
  </w:style>
  <w:style w:type="paragraph" w:customStyle="1" w:styleId="35">
    <w:name w:val="正文缩进1"/>
    <w:basedOn w:val="1"/>
    <w:link w:val="36"/>
    <w:qFormat/>
    <w:uiPriority w:val="0"/>
    <w:pPr>
      <w:ind w:firstLine="420" w:firstLineChars="200"/>
    </w:pPr>
  </w:style>
  <w:style w:type="character" w:customStyle="1" w:styleId="36">
    <w:name w:val="正文缩进 字符"/>
    <w:link w:val="35"/>
    <w:qFormat/>
    <w:uiPriority w:val="0"/>
    <w:rPr>
      <w:kern w:val="2"/>
      <w:sz w:val="21"/>
      <w:szCs w:val="24"/>
    </w:rPr>
  </w:style>
  <w:style w:type="paragraph" w:customStyle="1" w:styleId="37">
    <w:name w:val="批注文字1"/>
    <w:basedOn w:val="1"/>
    <w:qFormat/>
    <w:uiPriority w:val="0"/>
    <w:pPr>
      <w:jc w:val="left"/>
    </w:pPr>
  </w:style>
  <w:style w:type="paragraph" w:customStyle="1" w:styleId="38">
    <w:name w:val="正文文本缩进1"/>
    <w:basedOn w:val="1"/>
    <w:qFormat/>
    <w:uiPriority w:val="0"/>
    <w:pPr>
      <w:spacing w:after="120"/>
      <w:ind w:left="420" w:leftChars="200"/>
    </w:pPr>
  </w:style>
  <w:style w:type="paragraph" w:customStyle="1" w:styleId="39">
    <w:name w:val="文本块1"/>
    <w:basedOn w:val="1"/>
    <w:qFormat/>
    <w:uiPriority w:val="0"/>
    <w:pPr>
      <w:spacing w:before="156" w:after="156"/>
      <w:ind w:left="426" w:right="-11" w:hanging="426" w:hangingChars="203"/>
    </w:pPr>
    <w:rPr>
      <w:rFonts w:eastAsia="楷体_GB2312"/>
    </w:rPr>
  </w:style>
  <w:style w:type="paragraph" w:customStyle="1" w:styleId="40">
    <w:name w:val="纯文本11"/>
    <w:basedOn w:val="1"/>
    <w:qFormat/>
    <w:uiPriority w:val="0"/>
    <w:rPr>
      <w:rFonts w:ascii="宋体" w:hAnsi="Courier New"/>
      <w:szCs w:val="20"/>
    </w:rPr>
  </w:style>
  <w:style w:type="paragraph" w:customStyle="1" w:styleId="41">
    <w:name w:val="目录 21"/>
    <w:basedOn w:val="1"/>
    <w:qFormat/>
    <w:uiPriority w:val="0"/>
    <w:pPr>
      <w:ind w:left="420" w:leftChars="200"/>
    </w:pPr>
    <w:rPr>
      <w:szCs w:val="20"/>
    </w:rPr>
  </w:style>
  <w:style w:type="paragraph" w:customStyle="1" w:styleId="42">
    <w:name w:val="日期1"/>
    <w:basedOn w:val="1"/>
    <w:qFormat/>
    <w:uiPriority w:val="0"/>
    <w:pPr>
      <w:ind w:left="100" w:leftChars="2500"/>
    </w:pPr>
    <w:rPr>
      <w:color w:val="000000"/>
      <w:sz w:val="24"/>
    </w:rPr>
  </w:style>
  <w:style w:type="paragraph" w:customStyle="1" w:styleId="43">
    <w:name w:val="正文文本缩进 21"/>
    <w:basedOn w:val="1"/>
    <w:qFormat/>
    <w:uiPriority w:val="0"/>
    <w:pPr>
      <w:widowControl/>
      <w:spacing w:line="480" w:lineRule="atLeast"/>
      <w:ind w:firstLine="480"/>
    </w:pPr>
    <w:rPr>
      <w:rFonts w:ascii="宋体"/>
      <w:kern w:val="0"/>
      <w:sz w:val="24"/>
      <w:szCs w:val="20"/>
    </w:rPr>
  </w:style>
  <w:style w:type="paragraph" w:customStyle="1" w:styleId="44">
    <w:name w:val="批注框文本1"/>
    <w:basedOn w:val="1"/>
    <w:link w:val="45"/>
    <w:qFormat/>
    <w:uiPriority w:val="0"/>
    <w:rPr>
      <w:sz w:val="18"/>
      <w:szCs w:val="18"/>
    </w:rPr>
  </w:style>
  <w:style w:type="character" w:customStyle="1" w:styleId="45">
    <w:name w:val="批注框文本 字符"/>
    <w:basedOn w:val="30"/>
    <w:link w:val="44"/>
    <w:qFormat/>
    <w:uiPriority w:val="0"/>
    <w:rPr>
      <w:kern w:val="2"/>
      <w:sz w:val="18"/>
      <w:szCs w:val="18"/>
    </w:rPr>
  </w:style>
  <w:style w:type="paragraph" w:customStyle="1" w:styleId="46">
    <w:name w:val="页脚1"/>
    <w:basedOn w:val="1"/>
    <w:qFormat/>
    <w:uiPriority w:val="0"/>
    <w:pPr>
      <w:tabs>
        <w:tab w:val="center" w:pos="4153"/>
        <w:tab w:val="right" w:pos="8306"/>
      </w:tabs>
      <w:snapToGrid w:val="0"/>
      <w:jc w:val="left"/>
    </w:pPr>
    <w:rPr>
      <w:sz w:val="18"/>
      <w:szCs w:val="18"/>
    </w:rPr>
  </w:style>
  <w:style w:type="paragraph" w:customStyle="1" w:styleId="4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8">
    <w:name w:val="目录 11"/>
    <w:basedOn w:val="1"/>
    <w:qFormat/>
    <w:uiPriority w:val="0"/>
    <w:rPr>
      <w:szCs w:val="20"/>
    </w:rPr>
  </w:style>
  <w:style w:type="paragraph" w:customStyle="1" w:styleId="49">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50">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51">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52">
    <w:name w:val="正文首行缩进 211"/>
    <w:basedOn w:val="38"/>
    <w:qFormat/>
    <w:uiPriority w:val="0"/>
    <w:pPr>
      <w:tabs>
        <w:tab w:val="left" w:pos="720"/>
      </w:tabs>
      <w:ind w:firstLine="420" w:firstLineChars="200"/>
    </w:pPr>
    <w:rPr>
      <w:rFonts w:ascii="宋体"/>
      <w:szCs w:val="20"/>
    </w:rPr>
  </w:style>
  <w:style w:type="paragraph" w:customStyle="1" w:styleId="53">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54">
    <w:name w:val="网格型1"/>
    <w:basedOn w:val="31"/>
    <w:qFormat/>
    <w:uiPriority w:val="0"/>
    <w:pPr>
      <w:widowControl w:val="0"/>
      <w:jc w:val="both"/>
    </w:pPr>
  </w:style>
  <w:style w:type="character" w:customStyle="1" w:styleId="55">
    <w:name w:val="要点1"/>
    <w:basedOn w:val="30"/>
    <w:link w:val="1"/>
    <w:qFormat/>
    <w:uiPriority w:val="0"/>
    <w:rPr>
      <w:b/>
      <w:bCs/>
    </w:rPr>
  </w:style>
  <w:style w:type="character" w:customStyle="1" w:styleId="56">
    <w:name w:val="页码1"/>
    <w:basedOn w:val="30"/>
    <w:link w:val="1"/>
    <w:qFormat/>
    <w:uiPriority w:val="0"/>
  </w:style>
  <w:style w:type="character" w:customStyle="1" w:styleId="57">
    <w:name w:val="已访问的超链接1"/>
    <w:basedOn w:val="30"/>
    <w:link w:val="1"/>
    <w:qFormat/>
    <w:uiPriority w:val="0"/>
    <w:rPr>
      <w:color w:val="4A4A4A"/>
      <w:u w:val="none"/>
    </w:rPr>
  </w:style>
  <w:style w:type="character" w:customStyle="1" w:styleId="58">
    <w:name w:val="强调1"/>
    <w:basedOn w:val="30"/>
    <w:link w:val="1"/>
    <w:qFormat/>
    <w:uiPriority w:val="0"/>
  </w:style>
  <w:style w:type="character" w:customStyle="1" w:styleId="59">
    <w:name w:val="HTML 定义1"/>
    <w:basedOn w:val="30"/>
    <w:link w:val="1"/>
    <w:qFormat/>
    <w:uiPriority w:val="0"/>
  </w:style>
  <w:style w:type="character" w:customStyle="1" w:styleId="60">
    <w:name w:val="HTML 打字机1"/>
    <w:basedOn w:val="30"/>
    <w:link w:val="1"/>
    <w:qFormat/>
    <w:uiPriority w:val="0"/>
    <w:rPr>
      <w:rFonts w:ascii="monospace" w:hAnsi="monospace" w:eastAsia="monospace"/>
      <w:sz w:val="20"/>
    </w:rPr>
  </w:style>
  <w:style w:type="character" w:customStyle="1" w:styleId="61">
    <w:name w:val="HTML 缩写1"/>
    <w:basedOn w:val="30"/>
    <w:link w:val="1"/>
    <w:qFormat/>
    <w:uiPriority w:val="0"/>
  </w:style>
  <w:style w:type="character" w:customStyle="1" w:styleId="62">
    <w:name w:val="HTML 变量1"/>
    <w:basedOn w:val="30"/>
    <w:link w:val="1"/>
    <w:qFormat/>
    <w:uiPriority w:val="0"/>
  </w:style>
  <w:style w:type="character" w:customStyle="1" w:styleId="63">
    <w:name w:val="超链接1"/>
    <w:basedOn w:val="30"/>
    <w:link w:val="1"/>
    <w:qFormat/>
    <w:uiPriority w:val="0"/>
    <w:rPr>
      <w:color w:val="0000FF"/>
      <w:u w:val="single"/>
    </w:rPr>
  </w:style>
  <w:style w:type="character" w:customStyle="1" w:styleId="64">
    <w:name w:val="HTML 代码1"/>
    <w:basedOn w:val="30"/>
    <w:link w:val="1"/>
    <w:qFormat/>
    <w:uiPriority w:val="0"/>
    <w:rPr>
      <w:rFonts w:ascii="monospace" w:hAnsi="monospace" w:eastAsia="monospace"/>
      <w:sz w:val="20"/>
    </w:rPr>
  </w:style>
  <w:style w:type="character" w:customStyle="1" w:styleId="65">
    <w:name w:val="HTML 引文1"/>
    <w:basedOn w:val="30"/>
    <w:link w:val="1"/>
    <w:qFormat/>
    <w:uiPriority w:val="0"/>
  </w:style>
  <w:style w:type="character" w:customStyle="1" w:styleId="66">
    <w:name w:val="HTML 键盘1"/>
    <w:basedOn w:val="30"/>
    <w:link w:val="1"/>
    <w:qFormat/>
    <w:uiPriority w:val="0"/>
    <w:rPr>
      <w:rFonts w:ascii="monospace" w:hAnsi="monospace" w:eastAsia="monospace"/>
      <w:sz w:val="20"/>
    </w:rPr>
  </w:style>
  <w:style w:type="character" w:customStyle="1" w:styleId="67">
    <w:name w:val="HTML 样本1"/>
    <w:basedOn w:val="30"/>
    <w:link w:val="1"/>
    <w:qFormat/>
    <w:uiPriority w:val="0"/>
    <w:rPr>
      <w:rFonts w:ascii="monospace" w:hAnsi="monospace" w:eastAsia="monospace"/>
    </w:rPr>
  </w:style>
  <w:style w:type="paragraph" w:customStyle="1" w:styleId="68">
    <w:name w:val="Fließtext"/>
    <w:basedOn w:val="1"/>
    <w:qFormat/>
    <w:uiPriority w:val="0"/>
    <w:pPr>
      <w:overflowPunct w:val="0"/>
      <w:autoSpaceDE w:val="0"/>
      <w:autoSpaceDN w:val="0"/>
    </w:pPr>
    <w:rPr>
      <w:kern w:val="28"/>
      <w:szCs w:val="20"/>
    </w:rPr>
  </w:style>
  <w:style w:type="paragraph" w:customStyle="1" w:styleId="69">
    <w:name w:val="BodyText1I"/>
    <w:basedOn w:val="70"/>
    <w:qFormat/>
    <w:uiPriority w:val="0"/>
    <w:pPr>
      <w:ind w:firstLine="420" w:firstLineChars="100"/>
    </w:pPr>
  </w:style>
  <w:style w:type="paragraph" w:customStyle="1" w:styleId="70">
    <w:name w:val="BodyText"/>
    <w:basedOn w:val="1"/>
    <w:qFormat/>
    <w:uiPriority w:val="0"/>
    <w:pPr>
      <w:spacing w:after="120"/>
    </w:pPr>
  </w:style>
  <w:style w:type="paragraph" w:customStyle="1" w:styleId="71">
    <w:name w:val="表内文字"/>
    <w:basedOn w:val="1"/>
    <w:qFormat/>
    <w:uiPriority w:val="0"/>
    <w:pPr>
      <w:spacing w:line="500" w:lineRule="atLeast"/>
      <w:jc w:val="center"/>
    </w:pPr>
    <w:rPr>
      <w:rFonts w:ascii="Arial" w:hAnsi="Arial" w:eastAsia="楷体_GB2312"/>
      <w:sz w:val="28"/>
    </w:rPr>
  </w:style>
  <w:style w:type="paragraph" w:customStyle="1" w:styleId="72">
    <w:name w:val="BodyText1I2"/>
    <w:basedOn w:val="73"/>
    <w:qFormat/>
    <w:uiPriority w:val="0"/>
    <w:pPr>
      <w:ind w:firstLine="420" w:firstLineChars="200"/>
    </w:pPr>
  </w:style>
  <w:style w:type="paragraph" w:customStyle="1" w:styleId="73">
    <w:name w:val="BodyTextIndent"/>
    <w:basedOn w:val="1"/>
    <w:qFormat/>
    <w:uiPriority w:val="0"/>
    <w:pPr>
      <w:spacing w:after="120"/>
      <w:ind w:left="420" w:leftChars="200"/>
    </w:pPr>
    <w:rPr>
      <w:color w:val="000000"/>
    </w:rPr>
  </w:style>
  <w:style w:type="character" w:customStyle="1" w:styleId="74">
    <w:name w:val="font11"/>
    <w:basedOn w:val="30"/>
    <w:link w:val="1"/>
    <w:qFormat/>
    <w:uiPriority w:val="0"/>
    <w:rPr>
      <w:rFonts w:ascii="Calibri" w:hAnsi="Calibri"/>
      <w:color w:val="000000"/>
      <w:sz w:val="21"/>
      <w:szCs w:val="21"/>
      <w:u w:val="none"/>
    </w:rPr>
  </w:style>
  <w:style w:type="character" w:customStyle="1" w:styleId="75">
    <w:name w:val="font21"/>
    <w:basedOn w:val="30"/>
    <w:link w:val="1"/>
    <w:qFormat/>
    <w:uiPriority w:val="0"/>
    <w:rPr>
      <w:rFonts w:ascii="Calibri" w:hAnsi="Calibri"/>
      <w:color w:val="000000"/>
      <w:sz w:val="22"/>
      <w:szCs w:val="22"/>
      <w:u w:val="none"/>
    </w:rPr>
  </w:style>
  <w:style w:type="character" w:customStyle="1" w:styleId="76">
    <w:name w:val="font01"/>
    <w:basedOn w:val="30"/>
    <w:link w:val="1"/>
    <w:qFormat/>
    <w:uiPriority w:val="0"/>
    <w:rPr>
      <w:rFonts w:hint="eastAsia" w:ascii="宋体" w:hAnsi="宋体" w:eastAsia="宋体"/>
      <w:color w:val="000000"/>
      <w:sz w:val="21"/>
      <w:szCs w:val="21"/>
      <w:u w:val="none"/>
    </w:rPr>
  </w:style>
  <w:style w:type="character" w:customStyle="1" w:styleId="77">
    <w:name w:val="font41"/>
    <w:basedOn w:val="30"/>
    <w:link w:val="1"/>
    <w:qFormat/>
    <w:uiPriority w:val="0"/>
    <w:rPr>
      <w:rFonts w:hint="eastAsia" w:ascii="宋体" w:hAnsi="宋体" w:eastAsia="宋体"/>
      <w:color w:val="000000"/>
      <w:sz w:val="22"/>
      <w:szCs w:val="22"/>
      <w:u w:val="none"/>
    </w:rPr>
  </w:style>
  <w:style w:type="paragraph" w:customStyle="1" w:styleId="78">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9">
    <w:name w:val="表格文字"/>
    <w:basedOn w:val="11"/>
    <w:next w:val="7"/>
    <w:qFormat/>
    <w:uiPriority w:val="0"/>
    <w:pPr>
      <w:spacing w:line="420" w:lineRule="atLeast"/>
      <w:jc w:val="left"/>
    </w:pPr>
    <w:rPr>
      <w:rFonts w:ascii="Times New Roman" w:hAnsi="Times New Roman"/>
      <w:kern w:val="0"/>
      <w:szCs w:val="24"/>
    </w:rPr>
  </w:style>
  <w:style w:type="paragraph" w:customStyle="1" w:styleId="80">
    <w:name w:val="zw1"/>
    <w:basedOn w:val="1"/>
    <w:qFormat/>
    <w:uiPriority w:val="0"/>
    <w:pPr>
      <w:spacing w:line="360" w:lineRule="auto"/>
      <w:ind w:firstLine="560" w:firstLineChars="200"/>
    </w:pPr>
    <w:rPr>
      <w:sz w:val="28"/>
      <w:szCs w:val="20"/>
    </w:rPr>
  </w:style>
  <w:style w:type="paragraph" w:customStyle="1" w:styleId="81">
    <w:name w:val="列出段落1"/>
    <w:basedOn w:val="82"/>
    <w:qFormat/>
    <w:uiPriority w:val="0"/>
    <w:pPr>
      <w:ind w:firstLine="420" w:firstLineChars="200"/>
    </w:pPr>
  </w:style>
  <w:style w:type="paragraph" w:customStyle="1" w:styleId="82">
    <w:name w:val="正文 New"/>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缩进2"/>
    <w:basedOn w:val="1"/>
    <w:qFormat/>
    <w:uiPriority w:val="0"/>
    <w:pPr>
      <w:spacing w:line="500" w:lineRule="exact"/>
      <w:ind w:firstLine="567"/>
    </w:pPr>
    <w:rPr>
      <w:sz w:val="24"/>
      <w:szCs w:val="20"/>
    </w:rPr>
  </w:style>
  <w:style w:type="paragraph" w:styleId="84">
    <w:name w:val="List Paragraph"/>
    <w:basedOn w:val="1"/>
    <w:qFormat/>
    <w:uiPriority w:val="0"/>
    <w:pPr>
      <w:ind w:firstLine="420" w:firstLineChars="200"/>
    </w:pPr>
    <w:rPr>
      <w:rFonts w:ascii="Calibri" w:hAnsi="Calibri"/>
      <w:szCs w:val="22"/>
    </w:rPr>
  </w:style>
  <w:style w:type="paragraph" w:customStyle="1" w:styleId="85">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6">
    <w:name w:val="正文首行缩进 21"/>
    <w:basedOn w:val="1"/>
    <w:qFormat/>
    <w:uiPriority w:val="0"/>
    <w:pPr>
      <w:spacing w:after="120"/>
      <w:ind w:left="420" w:leftChars="200" w:firstLine="420"/>
    </w:pPr>
    <w:rPr>
      <w:color w:val="000000"/>
      <w:sz w:val="21"/>
      <w:szCs w:val="21"/>
    </w:rPr>
  </w:style>
  <w:style w:type="paragraph" w:customStyle="1" w:styleId="87">
    <w:name w:val="纯文本1"/>
    <w:qFormat/>
    <w:uiPriority w:val="0"/>
    <w:rPr>
      <w:rFonts w:hint="eastAsia" w:ascii="宋体" w:hAnsi="Courier New" w:eastAsia="宋体" w:cs="Times New Roman"/>
      <w:kern w:val="2"/>
      <w:sz w:val="21"/>
      <w:lang w:val="en-US" w:eastAsia="zh-CN" w:bidi="ar-SA"/>
    </w:rPr>
  </w:style>
  <w:style w:type="paragraph" w:customStyle="1" w:styleId="88">
    <w:name w:val="Table Paragraph"/>
    <w:basedOn w:val="1"/>
    <w:qFormat/>
    <w:uiPriority w:val="0"/>
    <w:rPr>
      <w:rFonts w:ascii="宋体" w:hAnsi="宋体"/>
      <w:lang w:val="zh-CN" w:bidi="zh-CN"/>
    </w:rPr>
  </w:style>
  <w:style w:type="paragraph" w:customStyle="1" w:styleId="8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0">
    <w:name w:val="内文正文"/>
    <w:basedOn w:val="40"/>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91">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92">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93">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94">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95">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协议书标题2"/>
    <w:basedOn w:val="27"/>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97">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98">
    <w:name w:val="TOC 标题2"/>
    <w:basedOn w:val="26"/>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99">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00">
    <w:name w:val="专用标题2"/>
    <w:basedOn w:val="27"/>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101">
    <w:name w:val="附件标题"/>
    <w:basedOn w:val="27"/>
    <w:qFormat/>
    <w:uiPriority w:val="0"/>
    <w:pPr>
      <w:numPr>
        <w:ilvl w:val="0"/>
        <w:numId w:val="4"/>
      </w:numPr>
      <w:tabs>
        <w:tab w:val="left" w:pos="1134"/>
      </w:tabs>
      <w:spacing w:line="360" w:lineRule="auto"/>
      <w:ind w:firstLine="0" w:firstLineChars="0"/>
      <w:jc w:val="center"/>
    </w:pPr>
    <w:rPr>
      <w:rFonts w:ascii="黑体" w:hAnsi="黑体"/>
      <w:sz w:val="30"/>
      <w:szCs w:val="30"/>
    </w:rPr>
  </w:style>
  <w:style w:type="character" w:customStyle="1" w:styleId="102">
    <w:name w:val="NormalCharacter"/>
    <w:link w:val="1"/>
    <w:semiHidden/>
    <w:qFormat/>
    <w:uiPriority w:val="0"/>
    <w:rPr>
      <w:kern w:val="2"/>
      <w:sz w:val="21"/>
      <w:szCs w:val="24"/>
      <w:lang w:val="en-US" w:eastAsia="zh-CN" w:bidi="ar-SA"/>
    </w:rPr>
  </w:style>
  <w:style w:type="character" w:customStyle="1" w:styleId="103">
    <w:name w:val="font61"/>
    <w:basedOn w:val="22"/>
    <w:qFormat/>
    <w:uiPriority w:val="0"/>
    <w:rPr>
      <w:rFonts w:hint="eastAsia" w:ascii="宋体" w:hAnsi="宋体" w:eastAsia="宋体" w:cs="宋体"/>
      <w:color w:val="000000"/>
      <w:sz w:val="24"/>
      <w:szCs w:val="24"/>
      <w:u w:val="none"/>
    </w:rPr>
  </w:style>
  <w:style w:type="character" w:customStyle="1" w:styleId="104">
    <w:name w:val="font31"/>
    <w:basedOn w:val="22"/>
    <w:qFormat/>
    <w:uiPriority w:val="0"/>
    <w:rPr>
      <w:rFonts w:hint="default" w:ascii="仿宋_GB2312" w:eastAsia="仿宋_GB2312" w:cs="仿宋_GB2312"/>
      <w:color w:val="000000"/>
      <w:sz w:val="20"/>
      <w:szCs w:val="20"/>
      <w:u w:val="none"/>
    </w:rPr>
  </w:style>
  <w:style w:type="paragraph" w:customStyle="1" w:styleId="10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06">
    <w:name w:val="font71"/>
    <w:basedOn w:val="22"/>
    <w:qFormat/>
    <w:uiPriority w:val="0"/>
    <w:rPr>
      <w:rFonts w:hint="eastAsia" w:ascii="宋体" w:hAnsi="宋体" w:eastAsia="宋体" w:cs="宋体"/>
      <w:color w:val="000000"/>
      <w:sz w:val="24"/>
      <w:szCs w:val="24"/>
      <w:u w:val="none"/>
    </w:rPr>
  </w:style>
  <w:style w:type="character" w:customStyle="1" w:styleId="107">
    <w:name w:val="font51"/>
    <w:basedOn w:val="22"/>
    <w:qFormat/>
    <w:uiPriority w:val="0"/>
    <w:rPr>
      <w:rFonts w:hint="eastAsia" w:ascii="宋体" w:hAnsi="宋体" w:eastAsia="宋体" w:cs="宋体"/>
      <w:color w:val="000000"/>
      <w:sz w:val="20"/>
      <w:szCs w:val="20"/>
      <w:u w:val="none"/>
    </w:rPr>
  </w:style>
  <w:style w:type="character" w:customStyle="1" w:styleId="108">
    <w:name w:val="font91"/>
    <w:basedOn w:val="22"/>
    <w:qFormat/>
    <w:uiPriority w:val="0"/>
    <w:rPr>
      <w:rFonts w:hint="eastAsia" w:ascii="宋体" w:hAnsi="宋体" w:eastAsia="宋体" w:cs="宋体"/>
      <w:color w:val="000000"/>
      <w:sz w:val="20"/>
      <w:szCs w:val="20"/>
      <w:u w:val="none"/>
    </w:rPr>
  </w:style>
  <w:style w:type="paragraph" w:customStyle="1" w:styleId="10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111</Pages>
  <Words>6924</Words>
  <Characters>7692</Characters>
  <Lines>0</Lines>
  <Paragraphs>0</Paragraphs>
  <TotalTime>4</TotalTime>
  <ScaleCrop>false</ScaleCrop>
  <LinksUpToDate>false</LinksUpToDate>
  <CharactersWithSpaces>7882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angel</cp:lastModifiedBy>
  <cp:lastPrinted>2024-08-01T01:51:00Z</cp:lastPrinted>
  <dcterms:modified xsi:type="dcterms:W3CDTF">2025-08-01T00:18:07Z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6CDAE51BF45D47F9B30D3D20359A94EC_13</vt:lpwstr>
  </property>
  <property fmtid="{D5CDD505-2E9C-101B-9397-08002B2CF9AE}" pid="4" name="KSOTemplateDocerSaveRecord">
    <vt:lpwstr>eyJoZGlkIjoiMjQxYjIxNWI0NGJlNDhlNzE1MTFhNTc3YTcxMWEzZGQiLCJ1c2VySWQiOiI1MTc4OTk0MjkifQ==</vt:lpwstr>
  </property>
</Properties>
</file>