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2"/>
          <w:szCs w:val="40"/>
          <w:lang w:eastAsia="zh-CN"/>
        </w:rPr>
      </w:pPr>
      <w:r>
        <w:rPr>
          <w:rFonts w:hint="eastAsia"/>
          <w:b/>
          <w:bCs/>
          <w:sz w:val="32"/>
          <w:szCs w:val="40"/>
          <w:lang w:val="en-US" w:eastAsia="zh-CN"/>
        </w:rPr>
        <w:t>平阳县青少年营学基地项目勘察设计的第1次补</w:t>
      </w:r>
      <w:r>
        <w:rPr>
          <w:rFonts w:hint="eastAsia"/>
          <w:b/>
          <w:bCs/>
          <w:sz w:val="32"/>
          <w:szCs w:val="40"/>
          <w:lang w:eastAsia="zh-CN"/>
        </w:rPr>
        <w:t>充</w:t>
      </w:r>
    </w:p>
    <w:p>
      <w:pPr>
        <w:pStyle w:val="2"/>
        <w:rPr>
          <w:sz w:val="36"/>
          <w:szCs w:val="24"/>
        </w:rPr>
      </w:pPr>
    </w:p>
    <w:p>
      <w:pPr>
        <w:pStyle w:val="2"/>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致各投标单位：</w:t>
      </w:r>
      <w:r>
        <w:rPr>
          <w:rFonts w:hint="eastAsia" w:asciiTheme="minorHAnsi" w:hAnsiTheme="minorHAnsi" w:eastAsiaTheme="minorEastAsia" w:cstheme="minorBidi"/>
          <w:color w:val="000000"/>
          <w:kern w:val="2"/>
          <w:sz w:val="21"/>
          <w:szCs w:val="21"/>
          <w:lang w:val="en-US" w:eastAsia="zh-CN" w:bidi="ar-SA"/>
        </w:rPr>
        <w:br w:type="textWrapping"/>
      </w:r>
      <w:r>
        <w:rPr>
          <w:rFonts w:hint="eastAsia" w:asciiTheme="minorHAnsi" w:hAnsiTheme="minorHAnsi" w:eastAsiaTheme="minorEastAsia" w:cstheme="minorBidi"/>
          <w:color w:val="000000"/>
          <w:kern w:val="2"/>
          <w:sz w:val="21"/>
          <w:szCs w:val="21"/>
          <w:lang w:val="en-US" w:eastAsia="zh-CN" w:bidi="ar-SA"/>
        </w:rPr>
        <w:t>本次补充对招标文件作如下调整：</w:t>
      </w:r>
      <w:r>
        <w:rPr>
          <w:rFonts w:hint="eastAsia" w:asciiTheme="minorHAnsi" w:hAnsiTheme="minorHAnsi" w:eastAsiaTheme="minorEastAsia" w:cstheme="minorBidi"/>
          <w:color w:val="000000"/>
          <w:kern w:val="2"/>
          <w:sz w:val="21"/>
          <w:szCs w:val="21"/>
          <w:lang w:val="en-US" w:eastAsia="zh-CN" w:bidi="ar-SA"/>
        </w:rPr>
        <w:br w:type="textWrapping"/>
      </w:r>
    </w:p>
    <w:p>
      <w:pPr>
        <w:pStyle w:val="2"/>
        <w:numPr>
          <w:ilvl w:val="0"/>
          <w:numId w:val="1"/>
        </w:numPr>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原招标文件第6页，第二章投标人须知“投标人须知前附表”的“3.4 投标保证金”的“2、投标保证金的形式：银行转账或保险电子保函或银行保函”</w:t>
      </w:r>
    </w:p>
    <w:p>
      <w:pPr>
        <w:pStyle w:val="2"/>
        <w:numPr>
          <w:ilvl w:val="0"/>
          <w:numId w:val="0"/>
        </w:numPr>
        <w:spacing w:line="240" w:lineRule="auto"/>
        <w:ind w:leftChars="0"/>
        <w:jc w:val="lef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调整为“2、投标保证金的形式：银行转账或保险电子保函或银行保函或融资担保机构保函”</w:t>
      </w:r>
    </w:p>
    <w:p>
      <w:pPr>
        <w:pStyle w:val="2"/>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p>
    <w:p>
      <w:pPr>
        <w:pStyle w:val="2"/>
        <w:numPr>
          <w:ilvl w:val="0"/>
          <w:numId w:val="1"/>
        </w:numPr>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 xml:space="preserve">原招标文件第6页，第二章投标人须知“投标人须知前附表”的“3.4 投标保证金”的“4、投标保证金注意事项 4.1 备注③”中的“③提供《基本帐户开户许可证》（或中国人民银行发放的基本帐户备案资料）投标保证金以保险电子保函或银行保函形式的投标单位无需提供。” </w:t>
      </w:r>
    </w:p>
    <w:p>
      <w:pPr>
        <w:pStyle w:val="2"/>
        <w:numPr>
          <w:ilvl w:val="0"/>
          <w:numId w:val="0"/>
        </w:numPr>
        <w:spacing w:line="240" w:lineRule="auto"/>
        <w:ind w:leftChars="0"/>
        <w:jc w:val="lef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调整为“③《基本帐户开户许可证》（或银行发放的基本帐户备案资料）复印件加盖公章；（投标保证金以保险电子保函或银行保函或融资担保机构保函形式的投标单位无需提供）”</w:t>
      </w:r>
    </w:p>
    <w:p>
      <w:pPr>
        <w:pStyle w:val="2"/>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p>
    <w:p>
      <w:pPr>
        <w:pStyle w:val="2"/>
        <w:numPr>
          <w:ilvl w:val="0"/>
          <w:numId w:val="1"/>
        </w:numPr>
        <w:spacing w:line="240" w:lineRule="auto"/>
        <w:ind w:left="0" w:leftChars="0" w:firstLine="0" w:firstLineChars="0"/>
        <w:jc w:val="left"/>
        <w:rPr>
          <w:rFonts w:hint="default"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原</w:t>
      </w:r>
      <w:r>
        <w:rPr>
          <w:rFonts w:hint="default" w:asciiTheme="minorHAnsi" w:hAnsiTheme="minorHAnsi" w:eastAsiaTheme="minorEastAsia" w:cstheme="minorBidi"/>
          <w:color w:val="000000"/>
          <w:kern w:val="2"/>
          <w:sz w:val="21"/>
          <w:szCs w:val="21"/>
          <w:lang w:val="en-US" w:eastAsia="zh-CN" w:bidi="ar-SA"/>
        </w:rPr>
        <w:t>招标文件第36页</w:t>
      </w:r>
      <w:r>
        <w:rPr>
          <w:rFonts w:hint="eastAsia" w:asciiTheme="minorHAnsi" w:hAnsiTheme="minorHAnsi" w:eastAsiaTheme="minorEastAsia" w:cstheme="minorBidi"/>
          <w:color w:val="000000"/>
          <w:kern w:val="2"/>
          <w:sz w:val="21"/>
          <w:szCs w:val="21"/>
          <w:lang w:val="en-US" w:eastAsia="zh-CN" w:bidi="ar-SA"/>
        </w:rPr>
        <w:t>，</w:t>
      </w:r>
      <w:r>
        <w:rPr>
          <w:rFonts w:hint="default" w:asciiTheme="minorHAnsi" w:hAnsiTheme="minorHAnsi" w:eastAsiaTheme="minorEastAsia" w:cstheme="minorBidi"/>
          <w:color w:val="000000"/>
          <w:kern w:val="2"/>
          <w:sz w:val="21"/>
          <w:szCs w:val="21"/>
          <w:lang w:val="en-US" w:eastAsia="zh-CN" w:bidi="ar-SA"/>
        </w:rPr>
        <w:t>第四章评标办法及评标标准 “四、评审标准的3.1.2资格审查（含资信）评审”中“1、项目负责人业绩：项目负责人自2016年1月1日以来以负责人身份参加完成过建筑面积≥4万㎡公建类设计项目，得1分，最高得1分。必须同时提供下列①项和②项资料，否则不予认可：①中标通知书（原件）；②设计项目合同（原件）；”</w:t>
      </w:r>
    </w:p>
    <w:p>
      <w:pPr>
        <w:pStyle w:val="2"/>
        <w:numPr>
          <w:ilvl w:val="0"/>
          <w:numId w:val="0"/>
        </w:numPr>
        <w:spacing w:line="240" w:lineRule="auto"/>
        <w:ind w:leftChars="0"/>
        <w:jc w:val="lef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调整为“</w:t>
      </w:r>
      <w:r>
        <w:rPr>
          <w:rFonts w:hint="default" w:asciiTheme="minorHAnsi" w:hAnsiTheme="minorHAnsi" w:eastAsiaTheme="minorEastAsia" w:cstheme="minorBidi"/>
          <w:color w:val="000000"/>
          <w:kern w:val="2"/>
          <w:sz w:val="21"/>
          <w:szCs w:val="21"/>
          <w:lang w:val="en-US" w:eastAsia="zh-CN" w:bidi="ar-SA"/>
        </w:rPr>
        <w:t>1、项目负责人业绩：项目负责人自2016年1月1日以来以负责人身份参加完成过建筑面积≥4万㎡公建类设计项目，得1分，最高得1分。须</w:t>
      </w:r>
      <w:r>
        <w:rPr>
          <w:rFonts w:hint="eastAsia" w:cstheme="minorBidi"/>
          <w:color w:val="000000"/>
          <w:kern w:val="2"/>
          <w:sz w:val="21"/>
          <w:szCs w:val="21"/>
          <w:lang w:val="en-US" w:eastAsia="zh-CN" w:bidi="ar-SA"/>
        </w:rPr>
        <w:t>提供</w:t>
      </w:r>
      <w:r>
        <w:rPr>
          <w:rFonts w:hint="default" w:asciiTheme="minorHAnsi" w:hAnsiTheme="minorHAnsi" w:eastAsiaTheme="minorEastAsia" w:cstheme="minorBidi"/>
          <w:color w:val="000000"/>
          <w:kern w:val="2"/>
          <w:sz w:val="21"/>
          <w:szCs w:val="21"/>
          <w:lang w:val="en-US" w:eastAsia="zh-CN" w:bidi="ar-SA"/>
        </w:rPr>
        <w:t>②项资料</w:t>
      </w:r>
      <w:r>
        <w:rPr>
          <w:rFonts w:hint="eastAsia" w:cstheme="minorBidi"/>
          <w:color w:val="000000"/>
          <w:kern w:val="2"/>
          <w:sz w:val="21"/>
          <w:szCs w:val="21"/>
          <w:lang w:val="en-US" w:eastAsia="zh-CN" w:bidi="ar-SA"/>
        </w:rPr>
        <w:t>或</w:t>
      </w:r>
      <w:r>
        <w:rPr>
          <w:rFonts w:hint="default" w:asciiTheme="minorHAnsi" w:hAnsiTheme="minorHAnsi" w:eastAsiaTheme="minorEastAsia" w:cstheme="minorBidi"/>
          <w:color w:val="000000"/>
          <w:kern w:val="2"/>
          <w:sz w:val="21"/>
          <w:szCs w:val="21"/>
          <w:lang w:val="en-US" w:eastAsia="zh-CN" w:bidi="ar-SA"/>
        </w:rPr>
        <w:t>同时提供①项和②项资料，否则不予认可：①中标通知书（原件）</w:t>
      </w:r>
      <w:r>
        <w:rPr>
          <w:rFonts w:hint="eastAsia" w:asciiTheme="minorHAnsi" w:hAnsiTheme="minorHAnsi" w:eastAsiaTheme="minorEastAsia" w:cstheme="minorBidi"/>
          <w:color w:val="000000"/>
          <w:kern w:val="2"/>
          <w:sz w:val="21"/>
          <w:szCs w:val="21"/>
          <w:lang w:val="en-US" w:eastAsia="zh-CN" w:bidi="ar-SA"/>
        </w:rPr>
        <w:t>（如未经招标可不提供）</w:t>
      </w:r>
      <w:r>
        <w:rPr>
          <w:rFonts w:hint="default" w:asciiTheme="minorHAnsi" w:hAnsiTheme="minorHAnsi" w:eastAsiaTheme="minorEastAsia" w:cstheme="minorBidi"/>
          <w:color w:val="000000"/>
          <w:kern w:val="2"/>
          <w:sz w:val="21"/>
          <w:szCs w:val="21"/>
          <w:lang w:val="en-US" w:eastAsia="zh-CN" w:bidi="ar-SA"/>
        </w:rPr>
        <w:t>；②设计项目合同（原件）；</w:t>
      </w:r>
      <w:r>
        <w:rPr>
          <w:rFonts w:hint="eastAsia" w:asciiTheme="minorHAnsi" w:hAnsiTheme="minorHAnsi" w:eastAsiaTheme="minorEastAsia" w:cstheme="minorBidi"/>
          <w:color w:val="000000"/>
          <w:kern w:val="2"/>
          <w:sz w:val="21"/>
          <w:szCs w:val="21"/>
          <w:lang w:val="en-US" w:eastAsia="zh-CN" w:bidi="ar-SA"/>
        </w:rPr>
        <w:t>”</w:t>
      </w:r>
    </w:p>
    <w:p>
      <w:pPr>
        <w:pStyle w:val="2"/>
        <w:numPr>
          <w:ilvl w:val="0"/>
          <w:numId w:val="0"/>
        </w:numPr>
        <w:rPr>
          <w:rFonts w:hint="default" w:asciiTheme="minorHAnsi" w:hAnsiTheme="minorHAnsi" w:eastAsiaTheme="minorEastAsia" w:cstheme="minorBidi"/>
          <w:color w:val="000000"/>
          <w:kern w:val="2"/>
          <w:sz w:val="21"/>
          <w:szCs w:val="21"/>
          <w:lang w:val="en-US" w:eastAsia="zh-CN" w:bidi="ar-SA"/>
        </w:rPr>
      </w:pPr>
    </w:p>
    <w:p>
      <w:pPr>
        <w:pStyle w:val="4"/>
        <w:numPr>
          <w:ilvl w:val="0"/>
          <w:numId w:val="1"/>
        </w:numPr>
        <w:ind w:left="0" w:leftChars="0" w:firstLine="0" w:firstLineChars="0"/>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原招标文件第16页，4. 投标4.1中““商务标”和“资格后审资料（含资信标）”的封面上清楚标明“正本”或“副本””</w:t>
      </w:r>
    </w:p>
    <w:p>
      <w:pPr>
        <w:pStyle w:val="4"/>
        <w:numPr>
          <w:ilvl w:val="0"/>
          <w:numId w:val="0"/>
        </w:numPr>
        <w:ind w:leftChars="0"/>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调整为““商务标” 、“技术标” 和“资格后审资料（含资信标）”的封面上清楚标明“正本”或“副本””</w:t>
      </w:r>
    </w:p>
    <w:p>
      <w:pPr>
        <w:rPr>
          <w:rFonts w:hint="eastAsia"/>
          <w:lang w:val="en-US" w:eastAsia="zh-CN"/>
        </w:rPr>
      </w:pPr>
    </w:p>
    <w:p>
      <w:pPr>
        <w:numPr>
          <w:ilvl w:val="0"/>
          <w:numId w:val="1"/>
        </w:numPr>
        <w:ind w:left="0" w:leftChars="0" w:firstLine="0" w:firstLineChars="0"/>
        <w:rPr>
          <w:rFonts w:hint="eastAsia"/>
          <w:lang w:val="en-US" w:eastAsia="zh-CN"/>
        </w:rPr>
      </w:pPr>
      <w:r>
        <w:rPr>
          <w:rFonts w:hint="eastAsia" w:asciiTheme="minorHAnsi" w:hAnsiTheme="minorHAnsi" w:eastAsiaTheme="minorEastAsia" w:cstheme="minorBidi"/>
          <w:color w:val="000000"/>
          <w:kern w:val="2"/>
          <w:sz w:val="21"/>
          <w:szCs w:val="21"/>
          <w:lang w:val="en-US" w:eastAsia="zh-CN" w:bidi="ar-SA"/>
        </w:rPr>
        <w:t>原招标文件第</w:t>
      </w:r>
      <w:r>
        <w:rPr>
          <w:rFonts w:hint="eastAsia" w:cstheme="minorBidi"/>
          <w:color w:val="000000"/>
          <w:kern w:val="2"/>
          <w:sz w:val="21"/>
          <w:szCs w:val="21"/>
          <w:lang w:val="en-US" w:eastAsia="zh-CN" w:bidi="ar-SA"/>
        </w:rPr>
        <w:t>38</w:t>
      </w:r>
      <w:r>
        <w:rPr>
          <w:rFonts w:hint="eastAsia" w:asciiTheme="minorHAnsi" w:hAnsiTheme="minorHAnsi" w:eastAsiaTheme="minorEastAsia" w:cstheme="minorBidi"/>
          <w:color w:val="000000"/>
          <w:kern w:val="2"/>
          <w:sz w:val="21"/>
          <w:szCs w:val="21"/>
          <w:lang w:val="en-US" w:eastAsia="zh-CN" w:bidi="ar-SA"/>
        </w:rPr>
        <w:t>页</w:t>
      </w:r>
      <w:r>
        <w:rPr>
          <w:rFonts w:hint="default"/>
          <w:lang w:val="en-US" w:eastAsia="zh-CN"/>
        </w:rPr>
        <w:t>3.2技术标评审</w:t>
      </w:r>
      <w:r>
        <w:rPr>
          <w:rFonts w:hint="eastAsia"/>
          <w:lang w:val="en-US" w:eastAsia="zh-CN"/>
        </w:rPr>
        <w:t>中“</w:t>
      </w:r>
      <w:r>
        <w:rPr>
          <w:rFonts w:hint="default"/>
          <w:lang w:val="en-US" w:eastAsia="zh-CN"/>
        </w:rPr>
        <w:t>5</w:t>
      </w:r>
      <w:r>
        <w:rPr>
          <w:rFonts w:hint="eastAsia"/>
          <w:lang w:val="en-US" w:eastAsia="zh-CN"/>
        </w:rPr>
        <w:t>.</w:t>
      </w:r>
      <w:r>
        <w:rPr>
          <w:rFonts w:hint="default"/>
          <w:lang w:val="en-US" w:eastAsia="zh-CN"/>
        </w:rPr>
        <w:t>对投资概算合理性、可行性、优化情况等进行横向打分</w:t>
      </w:r>
      <w:r>
        <w:rPr>
          <w:rFonts w:hint="eastAsia"/>
          <w:lang w:val="en-US" w:eastAsia="zh-CN"/>
        </w:rPr>
        <w:t>”</w:t>
      </w:r>
    </w:p>
    <w:p>
      <w:pPr>
        <w:numPr>
          <w:ilvl w:val="0"/>
          <w:numId w:val="0"/>
        </w:numPr>
        <w:ind w:leftChars="0"/>
        <w:rPr>
          <w:rFonts w:hint="default"/>
          <w:lang w:val="en-US" w:eastAsia="zh-CN"/>
        </w:rPr>
      </w:pPr>
      <w:r>
        <w:rPr>
          <w:rFonts w:hint="eastAsia"/>
          <w:lang w:val="en-US" w:eastAsia="zh-CN"/>
        </w:rPr>
        <w:t>调整为“</w:t>
      </w:r>
      <w:r>
        <w:rPr>
          <w:rFonts w:hint="default"/>
          <w:lang w:val="en-US" w:eastAsia="zh-CN"/>
        </w:rPr>
        <w:t>5</w:t>
      </w:r>
      <w:r>
        <w:rPr>
          <w:rFonts w:hint="eastAsia"/>
          <w:lang w:val="en-US" w:eastAsia="zh-CN"/>
        </w:rPr>
        <w:t>.</w:t>
      </w:r>
      <w:r>
        <w:rPr>
          <w:rFonts w:hint="default"/>
          <w:lang w:val="en-US" w:eastAsia="zh-CN"/>
        </w:rPr>
        <w:t>对投资</w:t>
      </w:r>
      <w:r>
        <w:rPr>
          <w:rFonts w:hint="eastAsia"/>
          <w:lang w:val="en-US" w:eastAsia="zh-CN"/>
        </w:rPr>
        <w:t>估算</w:t>
      </w:r>
      <w:r>
        <w:rPr>
          <w:rFonts w:hint="default"/>
          <w:lang w:val="en-US" w:eastAsia="zh-CN"/>
        </w:rPr>
        <w:t>合理性、可行性、优化情况等进行横向打分</w:t>
      </w:r>
      <w:r>
        <w:rPr>
          <w:rFonts w:hint="eastAsia"/>
          <w:lang w:val="en-US" w:eastAsia="zh-CN"/>
        </w:rPr>
        <w:t>”。</w:t>
      </w:r>
    </w:p>
    <w:p>
      <w:pPr>
        <w:pStyle w:val="2"/>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p>
    <w:p>
      <w:pPr>
        <w:pStyle w:val="2"/>
        <w:spacing w:line="240" w:lineRule="auto"/>
        <w:ind w:left="0" w:leftChars="0" w:firstLine="0" w:firstLineChars="0"/>
        <w:jc w:val="left"/>
        <w:rPr>
          <w:rFonts w:hint="eastAsia" w:asciiTheme="minorHAnsi" w:hAnsiTheme="minorHAnsi" w:eastAsiaTheme="minorEastAsia" w:cstheme="minorBidi"/>
          <w:color w:val="000000"/>
          <w:kern w:val="2"/>
          <w:sz w:val="21"/>
          <w:szCs w:val="21"/>
          <w:lang w:val="en-US" w:eastAsia="zh-CN" w:bidi="ar-SA"/>
        </w:rPr>
      </w:pPr>
      <w:r>
        <w:rPr>
          <w:rFonts w:hint="eastAsia" w:cstheme="minorBidi"/>
          <w:color w:val="000000"/>
          <w:kern w:val="2"/>
          <w:sz w:val="21"/>
          <w:szCs w:val="21"/>
          <w:lang w:val="en-US" w:eastAsia="zh-CN" w:bidi="ar-SA"/>
        </w:rPr>
        <w:t>六</w:t>
      </w:r>
      <w:r>
        <w:rPr>
          <w:rFonts w:hint="eastAsia" w:asciiTheme="minorHAnsi" w:hAnsiTheme="minorHAnsi" w:eastAsiaTheme="minorEastAsia" w:cstheme="minorBidi"/>
          <w:color w:val="000000"/>
          <w:kern w:val="2"/>
          <w:sz w:val="21"/>
          <w:szCs w:val="21"/>
          <w:lang w:val="en-US" w:eastAsia="zh-CN" w:bidi="ar-SA"/>
        </w:rPr>
        <w:t>、其他未尽事宜，按原招标文件执行。</w:t>
      </w:r>
    </w:p>
    <w:p>
      <w:pPr>
        <w:pStyle w:val="4"/>
        <w:rPr>
          <w:rFonts w:hint="eastAsia" w:asciiTheme="minorHAnsi" w:hAnsiTheme="minorHAnsi" w:eastAsiaTheme="minorEastAsia" w:cstheme="minorBidi"/>
          <w:color w:val="000000"/>
          <w:kern w:val="2"/>
          <w:sz w:val="21"/>
          <w:szCs w:val="21"/>
          <w:lang w:val="en-US" w:eastAsia="zh-CN" w:bidi="ar-SA"/>
        </w:rPr>
      </w:pPr>
    </w:p>
    <w:p>
      <w:pPr>
        <w:pStyle w:val="4"/>
        <w:numPr>
          <w:ilvl w:val="0"/>
          <w:numId w:val="0"/>
        </w:numPr>
        <w:rPr>
          <w:rFonts w:hint="eastAsia"/>
          <w:sz w:val="21"/>
          <w:szCs w:val="24"/>
          <w:lang w:eastAsia="zh-CN"/>
        </w:rPr>
      </w:pPr>
    </w:p>
    <w:p>
      <w:pPr>
        <w:pStyle w:val="4"/>
        <w:ind w:left="0" w:leftChars="0" w:firstLine="0" w:firstLineChars="0"/>
        <w:rPr>
          <w:rFonts w:hint="eastAsia"/>
          <w:lang w:eastAsia="zh-CN"/>
        </w:rPr>
      </w:pPr>
    </w:p>
    <w:p>
      <w:pPr>
        <w:rPr>
          <w:rFonts w:hint="eastAsia"/>
          <w:lang w:eastAsia="zh-CN"/>
        </w:rPr>
      </w:pPr>
    </w:p>
    <w:p>
      <w:pPr>
        <w:widowControl/>
        <w:wordWrap w:val="0"/>
        <w:spacing w:line="240" w:lineRule="auto"/>
        <w:ind w:firstLine="420" w:firstLineChars="200"/>
        <w:jc w:val="righ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平阳县城市建设投资有限公司</w:t>
      </w:r>
    </w:p>
    <w:p>
      <w:pPr>
        <w:widowControl/>
        <w:wordWrap w:val="0"/>
        <w:spacing w:line="240" w:lineRule="auto"/>
        <w:ind w:firstLine="420" w:firstLineChars="200"/>
        <w:jc w:val="right"/>
        <w:rPr>
          <w:rFonts w:hint="eastAsia" w:asciiTheme="minorHAnsi" w:hAnsiTheme="minorHAnsi" w:eastAsiaTheme="minorEastAsia" w:cstheme="minorBidi"/>
          <w:color w:val="000000"/>
          <w:kern w:val="2"/>
          <w:sz w:val="21"/>
          <w:szCs w:val="21"/>
          <w:lang w:val="en-US" w:eastAsia="zh-CN" w:bidi="ar-SA"/>
        </w:rPr>
      </w:pPr>
      <w:r>
        <w:rPr>
          <w:rFonts w:hint="eastAsia" w:asciiTheme="minorHAnsi" w:hAnsiTheme="minorHAnsi" w:eastAsiaTheme="minorEastAsia" w:cstheme="minorBidi"/>
          <w:color w:val="000000"/>
          <w:kern w:val="2"/>
          <w:sz w:val="21"/>
          <w:szCs w:val="21"/>
          <w:lang w:val="en-US" w:eastAsia="zh-CN" w:bidi="ar-SA"/>
        </w:rPr>
        <w:t>温州正大工程项目管理有限公司</w:t>
      </w:r>
    </w:p>
    <w:p>
      <w:pPr>
        <w:widowControl/>
        <w:wordWrap w:val="0"/>
        <w:spacing w:line="240" w:lineRule="auto"/>
        <w:ind w:firstLine="420" w:firstLineChars="200"/>
        <w:jc w:val="right"/>
        <w:rPr>
          <w:rFonts w:hint="eastAsia"/>
          <w:b/>
          <w:bCs/>
          <w:sz w:val="28"/>
          <w:szCs w:val="36"/>
          <w:lang w:eastAsia="zh-CN"/>
        </w:rPr>
      </w:pPr>
      <w:bookmarkStart w:id="0" w:name="_GoBack"/>
      <w:bookmarkEnd w:id="0"/>
      <w:r>
        <w:rPr>
          <w:rFonts w:hint="eastAsia" w:asciiTheme="minorHAnsi" w:hAnsiTheme="minorHAnsi" w:eastAsiaTheme="minorEastAsia" w:cstheme="minorBidi"/>
          <w:color w:val="000000"/>
          <w:kern w:val="2"/>
          <w:sz w:val="21"/>
          <w:szCs w:val="21"/>
          <w:lang w:val="en-US" w:eastAsia="zh-CN" w:bidi="ar-SA"/>
        </w:rPr>
        <w:t xml:space="preserve">2021年 </w:t>
      </w:r>
      <w:r>
        <w:rPr>
          <w:rFonts w:hint="eastAsia" w:cstheme="minorBidi"/>
          <w:color w:val="000000"/>
          <w:kern w:val="2"/>
          <w:sz w:val="21"/>
          <w:szCs w:val="21"/>
          <w:lang w:val="en-US" w:eastAsia="zh-CN" w:bidi="ar-SA"/>
        </w:rPr>
        <w:t>8</w:t>
      </w:r>
      <w:r>
        <w:rPr>
          <w:rFonts w:hint="eastAsia" w:asciiTheme="minorHAnsi" w:hAnsiTheme="minorHAnsi" w:eastAsiaTheme="minorEastAsia" w:cstheme="minorBidi"/>
          <w:color w:val="000000"/>
          <w:kern w:val="2"/>
          <w:sz w:val="21"/>
          <w:szCs w:val="21"/>
          <w:lang w:val="en-US" w:eastAsia="zh-CN" w:bidi="ar-SA"/>
        </w:rPr>
        <w:t xml:space="preserve"> 月 </w:t>
      </w:r>
      <w:r>
        <w:rPr>
          <w:rFonts w:hint="eastAsia" w:cstheme="minorBidi"/>
          <w:color w:val="000000"/>
          <w:kern w:val="2"/>
          <w:sz w:val="21"/>
          <w:szCs w:val="21"/>
          <w:lang w:val="en-US" w:eastAsia="zh-CN" w:bidi="ar-SA"/>
        </w:rPr>
        <w:t>31</w:t>
      </w:r>
      <w:r>
        <w:rPr>
          <w:rFonts w:hint="eastAsia" w:asciiTheme="minorHAnsi" w:hAnsiTheme="minorHAnsi" w:eastAsiaTheme="minorEastAsia" w:cstheme="minorBidi"/>
          <w:color w:val="000000"/>
          <w:kern w:val="2"/>
          <w:sz w:val="21"/>
          <w:szCs w:val="21"/>
          <w:lang w:val="en-US" w:eastAsia="zh-CN" w:bidi="ar-SA"/>
        </w:rPr>
        <w:t xml:space="preserve">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872EB5"/>
    <w:multiLevelType w:val="singleLevel"/>
    <w:tmpl w:val="D3872EB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310DC"/>
    <w:rsid w:val="05C96101"/>
    <w:rsid w:val="093E2A8B"/>
    <w:rsid w:val="3E8310DC"/>
    <w:rsid w:val="3ED140B7"/>
    <w:rsid w:val="414E6AF0"/>
    <w:rsid w:val="42AF0797"/>
    <w:rsid w:val="45F4241D"/>
    <w:rsid w:val="51FB5602"/>
    <w:rsid w:val="67DE0B23"/>
    <w:rsid w:val="68871CF9"/>
    <w:rsid w:val="6B910766"/>
    <w:rsid w:val="71BF148D"/>
    <w:rsid w:val="764B2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574"/>
        <w:tab w:val="left" w:pos="9360"/>
      </w:tabs>
      <w:spacing w:line="312" w:lineRule="auto"/>
      <w:ind w:firstLine="420"/>
    </w:pPr>
  </w:style>
  <w:style w:type="paragraph" w:styleId="3">
    <w:name w:val="Body Text"/>
    <w:basedOn w:val="1"/>
    <w:next w:val="2"/>
    <w:qFormat/>
    <w:uiPriority w:val="0"/>
    <w:pPr>
      <w:tabs>
        <w:tab w:val="left" w:pos="9360"/>
      </w:tabs>
    </w:pPr>
    <w:rPr>
      <w:sz w:val="24"/>
      <w:szCs w:val="20"/>
    </w:rPr>
  </w:style>
  <w:style w:type="paragraph" w:styleId="4">
    <w:name w:val="toc 6"/>
    <w:basedOn w:val="1"/>
    <w:next w:val="1"/>
    <w:qFormat/>
    <w:uiPriority w:val="0"/>
    <w:pPr>
      <w:ind w:left="2100" w:leftChars="1000"/>
    </w:pPr>
  </w:style>
  <w:style w:type="paragraph" w:styleId="6">
    <w:name w:val="Normal Indent"/>
    <w:basedOn w:val="1"/>
    <w:qFormat/>
    <w:uiPriority w:val="0"/>
    <w:pPr>
      <w:ind w:firstLine="420" w:firstLineChars="200"/>
    </w:pPr>
  </w:style>
  <w:style w:type="paragraph" w:styleId="7">
    <w:name w:val="footer"/>
    <w:basedOn w:val="1"/>
    <w:qFormat/>
    <w:uiPriority w:val="0"/>
    <w:pPr>
      <w:tabs>
        <w:tab w:val="center" w:pos="4153"/>
        <w:tab w:val="right" w:pos="8306"/>
      </w:tabs>
      <w:snapToGrid w:val="0"/>
      <w:jc w:val="left"/>
    </w:pPr>
    <w:rPr>
      <w:sz w:val="18"/>
      <w:szCs w:val="18"/>
    </w:rPr>
  </w:style>
  <w:style w:type="character" w:styleId="10">
    <w:name w:val="page number"/>
    <w:basedOn w:val="9"/>
    <w:qFormat/>
    <w:uiPriority w:val="0"/>
  </w:style>
  <w:style w:type="paragraph" w:customStyle="1" w:styleId="11">
    <w:name w:val="Default"/>
    <w:qFormat/>
    <w:uiPriority w:val="0"/>
    <w:pPr>
      <w:widowControl w:val="0"/>
      <w:autoSpaceDE w:val="0"/>
      <w:autoSpaceDN w:val="0"/>
      <w:adjustRightInd w:val="0"/>
      <w:spacing w:after="200" w:line="276" w:lineRule="auto"/>
    </w:pPr>
    <w:rPr>
      <w:rFonts w:ascii="仿宋_GB2312" w:hAnsi="Calibri" w:eastAsia="仿宋_GB2312" w:cs="Times New Roman"/>
      <w:color w:val="000000"/>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2021-08-20T02:39:00Z</dcterms:created>
  <dc:creator>乐迎林～</dc:creator>
  <cp:lastModifiedBy>23650</cp:lastModifiedBy>
  <cp:lastPrinted>2021-08-30T06:38:00Z</cp:lastPrinted>
  <dcterms:modified xsi:type="dcterms:W3CDTF">2021-08-31T07:06:31Z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C78852878D3B4BB290F3DC7F085FF72B</vt:lpwstr>
  </property>
</Properties>
</file>