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firstLine="720" w:firstLineChars="300"/>
        <w:jc w:val="right"/>
        <w:rPr>
          <w:rFonts w:asciiTheme="majorEastAsia" w:hAnsiTheme="majorEastAsia" w:eastAsiaTheme="majorEastAsia"/>
          <w:sz w:val="24"/>
          <w:szCs w:val="24"/>
        </w:rPr>
      </w:pPr>
    </w:p>
    <w:p>
      <w:pPr>
        <w:spacing w:line="220" w:lineRule="atLeast"/>
        <w:rPr>
          <w:rFonts w:asciiTheme="majorEastAsia" w:hAnsiTheme="majorEastAsia" w:eastAsiaTheme="majorEastAsia"/>
          <w:b/>
          <w:color w:val="auto"/>
          <w:sz w:val="28"/>
          <w:szCs w:val="28"/>
        </w:rPr>
      </w:pPr>
      <w:r>
        <w:rPr>
          <w:rFonts w:hint="eastAsia" w:asciiTheme="majorEastAsia" w:hAnsiTheme="majorEastAsia" w:eastAsiaTheme="majorEastAsia"/>
          <w:b/>
          <w:color w:val="auto"/>
          <w:sz w:val="28"/>
          <w:szCs w:val="28"/>
          <w:lang w:val="en-US" w:eastAsia="zh-CN"/>
        </w:rPr>
        <w:t>平阳县麻步镇江北片L-02-1地块标准厂房工程EPC总承包</w:t>
      </w:r>
      <w:r>
        <w:rPr>
          <w:rFonts w:hint="eastAsia" w:asciiTheme="majorEastAsia" w:hAnsiTheme="majorEastAsia" w:eastAsiaTheme="majorEastAsia"/>
          <w:b/>
          <w:color w:val="auto"/>
          <w:sz w:val="28"/>
          <w:szCs w:val="28"/>
        </w:rPr>
        <w:t>答疑文件</w:t>
      </w:r>
    </w:p>
    <w:p>
      <w:pPr>
        <w:spacing w:line="220" w:lineRule="atLeast"/>
        <w:rPr>
          <w:rFonts w:hint="eastAsia" w:ascii="宋体" w:hAnsi="宋体" w:eastAsia="微软雅黑" w:cs="宋体"/>
          <w:color w:val="000000"/>
          <w:sz w:val="22"/>
          <w:szCs w:val="21"/>
          <w:lang w:val="en-US" w:eastAsia="zh-CN" w:bidi="ar-SA"/>
        </w:rPr>
      </w:pPr>
      <w:r>
        <w:rPr>
          <w:rFonts w:hint="eastAsia" w:ascii="宋体" w:hAnsi="宋体" w:eastAsia="微软雅黑" w:cs="宋体"/>
          <w:color w:val="000000"/>
          <w:sz w:val="22"/>
          <w:szCs w:val="21"/>
          <w:lang w:val="en-US" w:eastAsia="zh-CN" w:bidi="ar-SA"/>
        </w:rPr>
        <w:t>致各投标单位:</w:t>
      </w:r>
    </w:p>
    <w:p>
      <w:pPr>
        <w:pStyle w:val="2"/>
        <w:spacing w:line="240" w:lineRule="auto"/>
        <w:ind w:left="0" w:leftChars="0" w:firstLine="0" w:firstLineChars="0"/>
        <w:rPr>
          <w:rFonts w:hint="eastAsia" w:ascii="微软雅黑" w:hAnsi="微软雅黑" w:eastAsia="微软雅黑" w:cs="微软雅黑"/>
          <w:b/>
          <w:bCs/>
          <w:color w:val="6E622E"/>
          <w:sz w:val="22"/>
          <w:szCs w:val="22"/>
          <w:lang w:val="en-US" w:eastAsia="zh-CN"/>
        </w:rPr>
      </w:pPr>
      <w:r>
        <w:rPr>
          <w:rFonts w:hint="eastAsia" w:ascii="微软雅黑" w:hAnsi="微软雅黑" w:eastAsia="微软雅黑" w:cs="微软雅黑"/>
          <w:b/>
          <w:bCs/>
          <w:color w:val="000000"/>
          <w:sz w:val="22"/>
          <w:szCs w:val="22"/>
          <w:lang w:val="en-US" w:eastAsia="zh-CN" w:bidi="ar-SA"/>
        </w:rPr>
        <w:t>问题（一）:</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请提供原初步设计的CAD图纸以及CAD用地红线图？</w:t>
      </w:r>
    </w:p>
    <w:p>
      <w:pPr>
        <w:pStyle w:val="13"/>
        <w:spacing w:line="240" w:lineRule="auto"/>
        <w:ind w:left="0" w:leftChars="0" w:firstLine="440" w:firstLineChars="200"/>
        <w:jc w:val="left"/>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答：见补充文件(一)</w:t>
      </w:r>
      <w:r>
        <w:rPr>
          <w:rFonts w:hint="eastAsia" w:ascii="微软雅黑" w:hAnsi="微软雅黑" w:cs="微软雅黑"/>
          <w:color w:val="000000"/>
          <w:sz w:val="22"/>
          <w:szCs w:val="22"/>
          <w:lang w:val="en-US" w:eastAsia="zh-CN" w:bidi="ar-SA"/>
        </w:rPr>
        <w:t>。</w:t>
      </w:r>
    </w:p>
    <w:p>
      <w:pPr>
        <w:pStyle w:val="13"/>
        <w:numPr>
          <w:ilvl w:val="0"/>
          <w:numId w:val="1"/>
        </w:numPr>
        <w:spacing w:line="240" w:lineRule="auto"/>
        <w:ind w:firstLine="0" w:firstLineChars="0"/>
        <w:jc w:val="left"/>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根据技术标评分细则，请明确能否对原方案总图布局及指标进行调整？能否对厂房及综合楼平面及立面造型风格进行调整？</w:t>
      </w:r>
    </w:p>
    <w:p>
      <w:pPr>
        <w:pStyle w:val="13"/>
        <w:spacing w:line="240" w:lineRule="auto"/>
        <w:ind w:left="0" w:leftChars="0" w:firstLine="440" w:firstLineChars="200"/>
        <w:rPr>
          <w:rFonts w:hint="eastAsia" w:ascii="微软雅黑" w:hAnsi="微软雅黑" w:eastAsia="微软雅黑" w:cs="微软雅黑"/>
          <w:color w:val="auto"/>
          <w:sz w:val="22"/>
          <w:szCs w:val="22"/>
          <w:highlight w:val="none"/>
          <w:lang w:eastAsia="zh-CN"/>
        </w:rPr>
      </w:pPr>
      <w:r>
        <w:rPr>
          <w:rFonts w:hint="eastAsia" w:ascii="微软雅黑" w:hAnsi="微软雅黑" w:eastAsia="微软雅黑" w:cs="微软雅黑"/>
          <w:color w:val="auto"/>
          <w:sz w:val="22"/>
          <w:szCs w:val="22"/>
          <w:highlight w:val="none"/>
          <w:lang w:val="en-US" w:eastAsia="zh-CN" w:bidi="ar-SA"/>
        </w:rPr>
        <w:t>答：</w:t>
      </w:r>
      <w:r>
        <w:rPr>
          <w:rFonts w:hint="eastAsia" w:ascii="微软雅黑" w:hAnsi="微软雅黑" w:eastAsia="微软雅黑" w:cs="微软雅黑"/>
          <w:color w:val="auto"/>
          <w:sz w:val="22"/>
          <w:szCs w:val="22"/>
          <w:highlight w:val="none"/>
        </w:rPr>
        <w:t>原方案总图布局及指标</w:t>
      </w:r>
      <w:r>
        <w:rPr>
          <w:rFonts w:hint="eastAsia" w:ascii="微软雅黑" w:hAnsi="微软雅黑" w:eastAsia="微软雅黑" w:cs="微软雅黑"/>
          <w:color w:val="auto"/>
          <w:sz w:val="22"/>
          <w:szCs w:val="22"/>
          <w:highlight w:val="none"/>
          <w:lang w:eastAsia="zh-CN"/>
        </w:rPr>
        <w:t>不予调整，平面及立面造型是否调整自行考虑。</w:t>
      </w:r>
    </w:p>
    <w:p>
      <w:pPr>
        <w:pStyle w:val="13"/>
        <w:numPr>
          <w:ilvl w:val="0"/>
          <w:numId w:val="1"/>
        </w:numPr>
        <w:spacing w:line="240" w:lineRule="auto"/>
        <w:ind w:firstLine="0" w:firstLineChars="0"/>
        <w:rPr>
          <w:rFonts w:hint="eastAsia" w:ascii="微软雅黑" w:hAnsi="微软雅黑" w:eastAsia="微软雅黑" w:cs="微软雅黑"/>
          <w:sz w:val="22"/>
          <w:szCs w:val="22"/>
        </w:rPr>
      </w:pPr>
      <w:r>
        <w:rPr>
          <w:rFonts w:hint="eastAsia" w:ascii="微软雅黑" w:hAnsi="微软雅黑" w:eastAsia="微软雅黑" w:cs="微软雅黑"/>
          <w:sz w:val="22"/>
          <w:szCs w:val="22"/>
        </w:rPr>
        <w:t>请明确总图中1#综合楼和2#综合楼的性质，是否属于民用办公建筑？</w:t>
      </w:r>
    </w:p>
    <w:p>
      <w:pPr>
        <w:spacing w:line="240" w:lineRule="auto"/>
        <w:ind w:firstLine="440" w:firstLineChars="200"/>
        <w:rPr>
          <w:rFonts w:hint="eastAsia" w:ascii="微软雅黑" w:hAnsi="微软雅黑" w:eastAsia="微软雅黑" w:cs="微软雅黑"/>
          <w:sz w:val="22"/>
          <w:szCs w:val="22"/>
          <w:lang w:val="en-US"/>
        </w:rPr>
      </w:pPr>
      <w:r>
        <w:rPr>
          <w:rFonts w:hint="eastAsia" w:ascii="微软雅黑" w:hAnsi="微软雅黑" w:eastAsia="微软雅黑" w:cs="微软雅黑"/>
          <w:color w:val="000000"/>
          <w:sz w:val="22"/>
          <w:szCs w:val="22"/>
          <w:lang w:val="en-US" w:eastAsia="zh-CN" w:bidi="ar-SA"/>
        </w:rPr>
        <w:t>答：是。</w:t>
      </w:r>
    </w:p>
    <w:p>
      <w:pPr>
        <w:pStyle w:val="13"/>
        <w:numPr>
          <w:ilvl w:val="0"/>
          <w:numId w:val="1"/>
        </w:numPr>
        <w:spacing w:line="240" w:lineRule="auto"/>
        <w:ind w:firstLine="0" w:firstLineChars="0"/>
        <w:rPr>
          <w:rFonts w:hint="eastAsia" w:ascii="微软雅黑" w:hAnsi="微软雅黑" w:eastAsia="微软雅黑" w:cs="微软雅黑"/>
          <w:sz w:val="22"/>
          <w:szCs w:val="22"/>
        </w:rPr>
      </w:pPr>
      <w:r>
        <w:rPr>
          <w:rFonts w:hint="eastAsia" w:ascii="微软雅黑" w:hAnsi="微软雅黑" w:eastAsia="微软雅黑" w:cs="微软雅黑"/>
          <w:sz w:val="22"/>
          <w:szCs w:val="22"/>
        </w:rPr>
        <w:t>总图南侧凹口处围墙设置位置能否更改？</w:t>
      </w:r>
    </w:p>
    <w:p>
      <w:pPr>
        <w:pStyle w:val="13"/>
        <w:widowControl/>
        <w:spacing w:line="240" w:lineRule="auto"/>
        <w:ind w:left="360" w:firstLine="0" w:firstLineChars="0"/>
        <w:jc w:val="left"/>
        <w:rPr>
          <w:rFonts w:hint="eastAsia" w:ascii="微软雅黑" w:hAnsi="微软雅黑" w:eastAsia="微软雅黑" w:cs="微软雅黑"/>
          <w:kern w:val="0"/>
          <w:sz w:val="22"/>
          <w:szCs w:val="22"/>
        </w:rPr>
      </w:pPr>
      <w:r>
        <w:rPr>
          <w:rFonts w:hint="eastAsia" w:ascii="微软雅黑" w:hAnsi="微软雅黑" w:eastAsia="微软雅黑" w:cs="微软雅黑"/>
          <w:sz w:val="22"/>
          <w:szCs w:val="22"/>
        </w:rPr>
        <w:drawing>
          <wp:inline distT="0" distB="0" distL="0" distR="0">
            <wp:extent cx="5018405" cy="3335020"/>
            <wp:effectExtent l="0" t="0" r="10795"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064441" cy="3366135"/>
                    </a:xfrm>
                    <a:prstGeom prst="rect">
                      <a:avLst/>
                    </a:prstGeom>
                    <a:noFill/>
                    <a:ln>
                      <a:noFill/>
                    </a:ln>
                  </pic:spPr>
                </pic:pic>
              </a:graphicData>
            </a:graphic>
          </wp:inline>
        </w:drawing>
      </w:r>
    </w:p>
    <w:p>
      <w:pPr>
        <w:spacing w:line="240" w:lineRule="auto"/>
        <w:ind w:firstLine="440" w:firstLineChars="200"/>
        <w:rPr>
          <w:rFonts w:hint="eastAsia" w:ascii="微软雅黑" w:hAnsi="微软雅黑" w:eastAsia="微软雅黑" w:cs="微软雅黑"/>
          <w:sz w:val="22"/>
          <w:szCs w:val="22"/>
          <w:lang w:val="en-US"/>
        </w:rPr>
      </w:pPr>
      <w:r>
        <w:rPr>
          <w:rFonts w:hint="eastAsia" w:ascii="微软雅黑" w:hAnsi="微软雅黑" w:eastAsia="微软雅黑" w:cs="微软雅黑"/>
          <w:color w:val="000000"/>
          <w:sz w:val="22"/>
          <w:szCs w:val="22"/>
          <w:lang w:val="en-US" w:eastAsia="zh-CN" w:bidi="ar-SA"/>
        </w:rPr>
        <w:t>答：不能。</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本次技术标是否要求提供工程估算表或者工程概算书？</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答：不要求，技术标内不允许出现投标报价信息。</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本工程市政给水能否保证室外消防两路进水要求？当地市政水压能够提供具体参数？</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答：请自行踏勘了解。</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本工程厂房生产工艺是否需要特殊供水？</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答：不需要。</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本工程厂房是否有工业废水需要特殊处理排放？</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答：无。</w:t>
      </w:r>
    </w:p>
    <w:p>
      <w:pPr>
        <w:pStyle w:val="13"/>
        <w:numPr>
          <w:ilvl w:val="0"/>
          <w:numId w:val="1"/>
        </w:numPr>
        <w:spacing w:line="240" w:lineRule="auto"/>
        <w:ind w:firstLine="0" w:firstLine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办公、食堂、餐厅采用何种空调形式，请明确</w:t>
      </w:r>
      <w:r>
        <w:rPr>
          <w:rFonts w:hint="eastAsia" w:ascii="微软雅黑" w:hAnsi="微软雅黑" w:cs="微软雅黑"/>
          <w:sz w:val="22"/>
          <w:szCs w:val="22"/>
          <w:lang w:eastAsia="zh-CN"/>
        </w:rPr>
        <w:t>。</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答：请自行考虑。</w:t>
      </w:r>
    </w:p>
    <w:p>
      <w:pPr>
        <w:pStyle w:val="13"/>
        <w:numPr>
          <w:ilvl w:val="0"/>
          <w:numId w:val="0"/>
        </w:numPr>
        <w:spacing w:line="240" w:lineRule="auto"/>
        <w:ind w:left="360" w:leftChars="0"/>
        <w:jc w:val="lef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val="en-US" w:eastAsia="zh-CN"/>
        </w:rPr>
        <w:t>10、</w:t>
      </w:r>
      <w:r>
        <w:rPr>
          <w:rFonts w:hint="eastAsia" w:ascii="微软雅黑" w:hAnsi="微软雅黑" w:eastAsia="微软雅黑" w:cs="微软雅黑"/>
          <w:sz w:val="22"/>
          <w:szCs w:val="22"/>
        </w:rPr>
        <w:t>厂房是否需要空调，若需要，采用何种形式请明确</w:t>
      </w:r>
      <w:r>
        <w:rPr>
          <w:rFonts w:hint="eastAsia" w:ascii="微软雅黑" w:hAnsi="微软雅黑" w:cs="微软雅黑"/>
          <w:sz w:val="22"/>
          <w:szCs w:val="22"/>
          <w:lang w:eastAsia="zh-CN"/>
        </w:rPr>
        <w:t>。</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答：请自行考虑。</w:t>
      </w:r>
    </w:p>
    <w:p>
      <w:pPr>
        <w:pStyle w:val="13"/>
        <w:numPr>
          <w:ilvl w:val="0"/>
          <w:numId w:val="0"/>
        </w:numPr>
        <w:spacing w:line="240" w:lineRule="auto"/>
        <w:ind w:left="360" w:leftChars="0"/>
        <w:jc w:val="lef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val="en-US" w:eastAsia="zh-CN"/>
        </w:rPr>
        <w:t>11、</w:t>
      </w:r>
      <w:r>
        <w:rPr>
          <w:rFonts w:hint="eastAsia" w:ascii="微软雅黑" w:hAnsi="微软雅黑" w:eastAsia="微软雅黑" w:cs="微软雅黑"/>
          <w:sz w:val="22"/>
          <w:szCs w:val="22"/>
        </w:rPr>
        <w:t>本项目未见开闭所，请明确是否需要设置开闭所</w:t>
      </w:r>
      <w:r>
        <w:rPr>
          <w:rFonts w:hint="eastAsia" w:ascii="微软雅黑" w:hAnsi="微软雅黑" w:eastAsia="微软雅黑" w:cs="微软雅黑"/>
          <w:sz w:val="22"/>
          <w:szCs w:val="22"/>
          <w:lang w:eastAsia="zh-CN"/>
        </w:rPr>
        <w:t>？</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答：需要设置。</w:t>
      </w:r>
    </w:p>
    <w:p>
      <w:pPr>
        <w:pStyle w:val="13"/>
        <w:numPr>
          <w:ilvl w:val="0"/>
          <w:numId w:val="0"/>
        </w:numPr>
        <w:spacing w:line="240" w:lineRule="auto"/>
        <w:ind w:left="360" w:leftChars="0"/>
        <w:jc w:val="lef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val="en-US" w:eastAsia="zh-CN"/>
        </w:rPr>
        <w:t>12、</w:t>
      </w:r>
      <w:r>
        <w:rPr>
          <w:rFonts w:hint="eastAsia" w:ascii="微软雅黑" w:hAnsi="微软雅黑" w:eastAsia="微软雅黑" w:cs="微软雅黑"/>
          <w:sz w:val="22"/>
          <w:szCs w:val="22"/>
        </w:rPr>
        <w:t>本项目是否有两路独立市政进线</w:t>
      </w:r>
      <w:r>
        <w:rPr>
          <w:rFonts w:hint="eastAsia" w:ascii="微软雅黑" w:hAnsi="微软雅黑" w:eastAsia="微软雅黑" w:cs="微软雅黑"/>
          <w:sz w:val="22"/>
          <w:szCs w:val="22"/>
          <w:lang w:eastAsia="zh-CN"/>
        </w:rPr>
        <w:t>？</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答：请自行踏勘了解。</w:t>
      </w:r>
    </w:p>
    <w:p>
      <w:pPr>
        <w:pStyle w:val="13"/>
        <w:numPr>
          <w:ilvl w:val="0"/>
          <w:numId w:val="0"/>
        </w:numPr>
        <w:spacing w:line="240" w:lineRule="auto"/>
        <w:ind w:left="360" w:left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lang w:val="en-US" w:eastAsia="zh-CN"/>
        </w:rPr>
        <w:t>13、</w:t>
      </w:r>
      <w:r>
        <w:rPr>
          <w:rFonts w:hint="eastAsia" w:ascii="微软雅黑" w:hAnsi="微软雅黑" w:eastAsia="微软雅黑" w:cs="微软雅黑"/>
          <w:sz w:val="22"/>
          <w:szCs w:val="22"/>
        </w:rPr>
        <w:t>本项目未见消控室，请明确消控室位置。</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color w:val="000000"/>
          <w:sz w:val="22"/>
          <w:szCs w:val="22"/>
          <w:lang w:val="en-US" w:eastAsia="zh-CN" w:bidi="ar-SA"/>
        </w:rPr>
        <w:t>答：请自行考虑。</w:t>
      </w:r>
    </w:p>
    <w:p>
      <w:pPr>
        <w:pStyle w:val="13"/>
        <w:numPr>
          <w:ilvl w:val="0"/>
          <w:numId w:val="0"/>
        </w:numPr>
        <w:spacing w:line="240" w:lineRule="auto"/>
        <w:ind w:left="360" w:leftChars="0"/>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lang w:val="en-US" w:eastAsia="zh-CN"/>
        </w:rPr>
        <w:t>14、</w:t>
      </w:r>
      <w:r>
        <w:rPr>
          <w:rFonts w:hint="eastAsia" w:ascii="微软雅黑" w:hAnsi="微软雅黑" w:eastAsia="微软雅黑" w:cs="微软雅黑"/>
          <w:sz w:val="22"/>
          <w:szCs w:val="22"/>
        </w:rPr>
        <w:t>楼面活荷载按每平方5千牛考虑能否满足使用要求？</w:t>
      </w:r>
    </w:p>
    <w:p>
      <w:pPr>
        <w:spacing w:line="240" w:lineRule="auto"/>
        <w:ind w:firstLine="440" w:firstLineChars="200"/>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sz w:val="22"/>
          <w:szCs w:val="22"/>
          <w:lang w:val="en-US" w:eastAsia="zh-CN" w:bidi="ar-SA"/>
        </w:rPr>
        <w:t>答：请自行考虑。</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问题（二）:</w:t>
      </w:r>
    </w:p>
    <w:p>
      <w:pPr>
        <w:pStyle w:val="13"/>
        <w:numPr>
          <w:ilvl w:val="0"/>
          <w:numId w:val="0"/>
        </w:numPr>
        <w:spacing w:line="240" w:lineRule="auto"/>
        <w:ind w:left="360" w:leftChars="0"/>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1、2#综合楼一层、二层办公活动用房，二层物业用房平面功能布局，招标文件中无具体要求，是否可由投标人在设计时自行考虑？</w:t>
      </w:r>
    </w:p>
    <w:p>
      <w:pPr>
        <w:pStyle w:val="13"/>
        <w:numPr>
          <w:ilvl w:val="0"/>
          <w:numId w:val="0"/>
        </w:numPr>
        <w:spacing w:line="240" w:lineRule="auto"/>
        <w:ind w:left="360" w:leftChars="0"/>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答：可以。</w:t>
      </w:r>
    </w:p>
    <w:p>
      <w:pPr>
        <w:pStyle w:val="13"/>
        <w:numPr>
          <w:ilvl w:val="0"/>
          <w:numId w:val="0"/>
        </w:numPr>
        <w:spacing w:line="240" w:lineRule="auto"/>
        <w:ind w:left="360" w:leftChars="0"/>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2、1#2#综合楼办公室房间面积较大，是否有分隔要求？投标人在设计时是否可以根据空间效果自行调整办公室的分隔？本项目办公空间是否有具体人数要求？</w:t>
      </w:r>
    </w:p>
    <w:p>
      <w:pPr>
        <w:spacing w:line="240" w:lineRule="auto"/>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sz w:val="22"/>
          <w:szCs w:val="22"/>
          <w:lang w:val="en-US" w:eastAsia="zh-CN"/>
        </w:rPr>
        <w:t>答：</w:t>
      </w:r>
      <w:r>
        <w:rPr>
          <w:rFonts w:hint="eastAsia" w:ascii="微软雅黑" w:hAnsi="微软雅黑" w:eastAsia="微软雅黑" w:cs="微软雅黑"/>
          <w:color w:val="000000"/>
          <w:sz w:val="22"/>
          <w:szCs w:val="22"/>
          <w:lang w:val="en-US" w:eastAsia="zh-CN" w:bidi="ar-SA"/>
        </w:rPr>
        <w:t>请自行考虑。</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问题（三）:</w:t>
      </w:r>
    </w:p>
    <w:p>
      <w:pPr>
        <w:pStyle w:val="13"/>
        <w:numPr>
          <w:ilvl w:val="0"/>
          <w:numId w:val="2"/>
        </w:numPr>
        <w:spacing w:line="240" w:lineRule="auto"/>
        <w:ind w:left="360" w:leftChars="0"/>
        <w:jc w:val="left"/>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提供的CAD总图中，用地红线所框选面积为29161.95㎡，与标书和规划条件中用地面积29160㎡略有出入，请明确用地面积。</w:t>
      </w:r>
    </w:p>
    <w:p>
      <w:pPr>
        <w:pStyle w:val="13"/>
        <w:numPr>
          <w:ilvl w:val="0"/>
          <w:numId w:val="0"/>
        </w:numPr>
        <w:spacing w:line="240" w:lineRule="auto"/>
        <w:ind w:left="360" w:leftChars="0"/>
        <w:jc w:val="left"/>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sz w:val="22"/>
          <w:szCs w:val="22"/>
          <w:lang w:val="en-US" w:eastAsia="zh-CN" w:bidi="ar-SA"/>
        </w:rPr>
        <w:t>答：以</w:t>
      </w:r>
      <w:r>
        <w:rPr>
          <w:rFonts w:hint="eastAsia" w:ascii="微软雅黑" w:hAnsi="微软雅黑" w:eastAsia="微软雅黑" w:cs="微软雅黑"/>
          <w:sz w:val="22"/>
          <w:szCs w:val="22"/>
          <w:lang w:val="en-US" w:eastAsia="zh-CN" w:bidi="ar-SA"/>
        </w:rPr>
        <w:t>规划条件和招标文件为准。</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问题（四）:</w:t>
      </w:r>
    </w:p>
    <w:p>
      <w:pPr>
        <w:pStyle w:val="2"/>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证书原件是不是提供资信标所涉及的原件即可，资格审查所涉及的原件不做要求？</w:t>
      </w:r>
    </w:p>
    <w:p>
      <w:pPr>
        <w:pStyle w:val="13"/>
        <w:numPr>
          <w:ilvl w:val="0"/>
          <w:numId w:val="0"/>
        </w:numPr>
        <w:spacing w:line="240" w:lineRule="auto"/>
        <w:ind w:left="360" w:leftChars="0"/>
        <w:jc w:val="left"/>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sz w:val="22"/>
          <w:szCs w:val="22"/>
          <w:lang w:val="en-US" w:eastAsia="zh-CN" w:bidi="ar-SA"/>
        </w:rPr>
        <w:t>答：按招标文件执行。</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问题（五）:</w:t>
      </w:r>
    </w:p>
    <w:p>
      <w:pPr>
        <w:pStyle w:val="2"/>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资信评分、第4条设计或施工奖项。自2015年9月1日以来设计项目获得省级及以上建设行政主管部门颁发的优秀工程设计奖项的得1分或EPC总承包及设计施工一体化总承包项目工程质量获得省级及以上建设行政主管部门颁发的优秀工程奖项的得1分。 因我省设计奖都是建设行政主管部门下属设计协会颁发，请问设计协会颁发的奖项能否计分？</w:t>
      </w:r>
    </w:p>
    <w:p>
      <w:pPr>
        <w:pStyle w:val="2"/>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答：不能。</w:t>
      </w:r>
      <w:bookmarkStart w:id="0" w:name="_GoBack"/>
      <w:bookmarkEnd w:id="0"/>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问题（六）:</w:t>
      </w:r>
    </w:p>
    <w:p>
      <w:pPr>
        <w:pStyle w:val="2"/>
        <w:numPr>
          <w:ilvl w:val="0"/>
          <w:numId w:val="3"/>
        </w:numPr>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招标文件22页3.2.2资信评分第二项项目总负责人类似业绩：本项目拟派项目总负责人自2015年9月1日以来承当过建筑面积35000平米及以上的房建工程EPC总承包或设计施工一体化总承包业绩的每个得1分，满分1分。 【业绩证明材料：中标通知书、工程总承包合同、竣工验收证书（交工验收证书、竣工验收备案表等）】，提供相关证明资料复印件加盖公章，原件备查，否则不得分。 问：拟派项目总负责人以项目设计负责人身份担任过建筑面积35000平米及以上的房建工程EPC总承包或设计施工一体化总承包业绩的是否可以做为业绩得分？是否可以用施工图设计文件审查合格意见书替代竣工验收证书做为业绩证明材料？ </w:t>
      </w:r>
    </w:p>
    <w:p>
      <w:pPr>
        <w:pStyle w:val="2"/>
        <w:tabs>
          <w:tab w:val="left" w:pos="574"/>
          <w:tab w:val="left" w:pos="9360"/>
        </w:tabs>
        <w:spacing w:line="240" w:lineRule="auto"/>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color w:val="000000"/>
          <w:sz w:val="22"/>
          <w:szCs w:val="22"/>
          <w:lang w:val="en-US" w:eastAsia="zh-CN" w:bidi="ar-SA"/>
        </w:rPr>
        <w:t>答：</w:t>
      </w:r>
      <w:r>
        <w:rPr>
          <w:rFonts w:hint="eastAsia" w:ascii="微软雅黑" w:hAnsi="微软雅黑" w:eastAsia="微软雅黑" w:cs="微软雅黑"/>
          <w:sz w:val="22"/>
          <w:szCs w:val="22"/>
          <w:lang w:val="en-US" w:eastAsia="zh-CN" w:bidi="ar-SA"/>
        </w:rPr>
        <w:t>拟派项目总负责人以</w:t>
      </w:r>
      <w:r>
        <w:rPr>
          <w:rFonts w:hint="eastAsia" w:ascii="微软雅黑" w:hAnsi="微软雅黑" w:eastAsia="微软雅黑" w:cs="微软雅黑"/>
          <w:color w:val="000000"/>
          <w:sz w:val="22"/>
          <w:szCs w:val="22"/>
          <w:lang w:val="en-US" w:eastAsia="zh-CN" w:bidi="ar-SA"/>
        </w:rPr>
        <w:t>设计负责人</w:t>
      </w:r>
      <w:r>
        <w:rPr>
          <w:rFonts w:hint="eastAsia" w:ascii="微软雅黑" w:hAnsi="微软雅黑" w:eastAsia="微软雅黑" w:cs="微软雅黑"/>
          <w:sz w:val="22"/>
          <w:szCs w:val="22"/>
          <w:lang w:val="en-US" w:eastAsia="zh-CN" w:bidi="ar-SA"/>
        </w:rPr>
        <w:t>身份担任过类似业绩的，</w:t>
      </w:r>
      <w:r>
        <w:rPr>
          <w:rFonts w:hint="eastAsia" w:ascii="微软雅黑" w:hAnsi="微软雅黑" w:eastAsia="微软雅黑" w:cs="微软雅黑"/>
          <w:sz w:val="22"/>
          <w:szCs w:val="22"/>
          <w:lang w:val="en-US" w:eastAsia="zh-CN"/>
        </w:rPr>
        <w:t>可以以</w:t>
      </w:r>
      <w:r>
        <w:rPr>
          <w:rFonts w:hint="eastAsia" w:ascii="微软雅黑" w:hAnsi="微软雅黑" w:eastAsia="微软雅黑" w:cs="微软雅黑"/>
          <w:sz w:val="22"/>
          <w:szCs w:val="22"/>
          <w:lang w:val="en-US" w:eastAsia="zh-CN" w:bidi="ar-SA"/>
        </w:rPr>
        <w:t>施工图设计文件审查合格意见书替代竣工验收证书做为业绩证明材料</w:t>
      </w:r>
      <w:r>
        <w:rPr>
          <w:rFonts w:hint="eastAsia" w:ascii="微软雅黑" w:hAnsi="微软雅黑" w:eastAsia="微软雅黑" w:cs="微软雅黑"/>
          <w:sz w:val="22"/>
          <w:szCs w:val="22"/>
          <w:lang w:val="en-US" w:eastAsia="zh-CN"/>
        </w:rPr>
        <w:t>，业绩证明材料中标通知书或工程总承包合同必须体现该项目设计负责人身份。在以往类似业绩担任项目总负责人、施工负责人以及施工技术负责人的必须以</w:t>
      </w:r>
      <w:r>
        <w:rPr>
          <w:rFonts w:hint="eastAsia" w:ascii="微软雅黑" w:hAnsi="微软雅黑" w:eastAsia="微软雅黑" w:cs="微软雅黑"/>
          <w:sz w:val="22"/>
          <w:szCs w:val="22"/>
          <w:lang w:val="en-US" w:eastAsia="zh-CN" w:bidi="ar-SA"/>
        </w:rPr>
        <w:t>竣工验收证书（交工验收证书、竣工验收备案表等）作为业绩证明材料</w:t>
      </w:r>
      <w:r>
        <w:rPr>
          <w:rFonts w:hint="eastAsia" w:ascii="微软雅黑" w:hAnsi="微软雅黑" w:eastAsia="微软雅黑" w:cs="微软雅黑"/>
          <w:sz w:val="22"/>
          <w:szCs w:val="22"/>
          <w:lang w:val="en-US" w:eastAsia="zh-CN"/>
        </w:rPr>
        <w:t>。</w:t>
      </w:r>
    </w:p>
    <w:p>
      <w:pPr>
        <w:pStyle w:val="2"/>
        <w:numPr>
          <w:ilvl w:val="0"/>
          <w:numId w:val="3"/>
        </w:numPr>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招标文件22页3.2.2资信评分第四项设计或施工奖项：投标人（如联合体投标的，任意一方提供）自2015年9月1日以来设计项目获得省级及以上建设行政主管部门颁发的优秀工程设计奖项的得1分或EPC总承包及设计施工一体化总承包项目工程质量获得省级及以上建设行政主管部门颁发的优秀工程奖项的得1分。 问：省级及以上建设行政主管部门颁发的“优质工程奖”奖项是否符合？</w:t>
      </w:r>
    </w:p>
    <w:p>
      <w:pPr>
        <w:pStyle w:val="2"/>
        <w:numPr>
          <w:ilvl w:val="0"/>
          <w:numId w:val="0"/>
        </w:numPr>
        <w:adjustRightInd w:val="0"/>
        <w:snapToGrid w:val="0"/>
        <w:spacing w:after="120"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color w:val="000000"/>
          <w:sz w:val="22"/>
          <w:szCs w:val="22"/>
          <w:lang w:val="en-US" w:eastAsia="zh-CN" w:bidi="ar-SA"/>
        </w:rPr>
        <w:t>答：</w:t>
      </w:r>
      <w:r>
        <w:rPr>
          <w:rFonts w:hint="eastAsia" w:ascii="微软雅黑" w:hAnsi="微软雅黑" w:eastAsia="微软雅黑" w:cs="微软雅黑"/>
          <w:sz w:val="22"/>
          <w:szCs w:val="22"/>
          <w:lang w:val="en-US" w:eastAsia="zh-CN" w:bidi="ar-SA"/>
        </w:rPr>
        <w:t>“优质工程奖”奖项也</w:t>
      </w:r>
      <w:r>
        <w:rPr>
          <w:rFonts w:hint="eastAsia" w:ascii="微软雅黑" w:hAnsi="微软雅黑" w:eastAsia="微软雅黑" w:cs="微软雅黑"/>
          <w:color w:val="000000"/>
          <w:sz w:val="22"/>
          <w:szCs w:val="22"/>
          <w:lang w:val="en-US" w:eastAsia="zh-CN" w:bidi="ar-SA"/>
        </w:rPr>
        <w:t>符合。</w:t>
      </w:r>
    </w:p>
    <w:p>
      <w:pPr>
        <w:pStyle w:val="2"/>
        <w:numPr>
          <w:ilvl w:val="0"/>
          <w:numId w:val="0"/>
        </w:numPr>
        <w:spacing w:line="240" w:lineRule="auto"/>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     3、招标文件18页7.3.1履约保证金的缴纳：招标人在发出中标通知书同时出具履约保证金缴纳通知单，中标单位应在收到通知次日起五个工作日内交纳履约保证金。 问：办理保函需要相应的时间，五个工作日时间是否可以适当延长？</w:t>
      </w:r>
    </w:p>
    <w:p>
      <w:pPr>
        <w:pStyle w:val="2"/>
        <w:numPr>
          <w:ilvl w:val="0"/>
          <w:numId w:val="0"/>
        </w:numPr>
        <w:adjustRightInd w:val="0"/>
        <w:snapToGrid w:val="0"/>
        <w:spacing w:after="120"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color w:val="000000"/>
          <w:sz w:val="22"/>
          <w:szCs w:val="22"/>
          <w:lang w:val="en-US" w:eastAsia="zh-CN" w:bidi="ar-SA"/>
        </w:rPr>
        <w:t>答：更改为</w:t>
      </w:r>
      <w:r>
        <w:rPr>
          <w:rFonts w:hint="eastAsia" w:ascii="微软雅黑" w:hAnsi="微软雅黑" w:eastAsia="微软雅黑" w:cs="微软雅黑"/>
          <w:sz w:val="22"/>
          <w:szCs w:val="22"/>
          <w:lang w:val="en-US" w:eastAsia="zh-CN" w:bidi="ar-SA"/>
        </w:rPr>
        <w:t>在收到通知次日起10个工作日内交纳履约保证金</w:t>
      </w:r>
      <w:r>
        <w:rPr>
          <w:rFonts w:hint="eastAsia" w:ascii="微软雅黑" w:hAnsi="微软雅黑" w:cs="微软雅黑"/>
          <w:sz w:val="22"/>
          <w:szCs w:val="22"/>
          <w:lang w:val="en-US" w:eastAsia="zh-CN" w:bidi="ar-SA"/>
        </w:rPr>
        <w:t>。</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问题（七）:</w:t>
      </w:r>
    </w:p>
    <w:p>
      <w:pPr>
        <w:pStyle w:val="2"/>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招标文件P22页设计或施工奖项中要求提供获奖证书复印件加盖公章，原件核查。因近几年许多奖项已取消实体原件，获奖证书均为电子版证书。所以此项提供证书与获奖红头文件复印件，原件提供彩色电子证书加获奖红头文件是否可行?</w:t>
      </w:r>
    </w:p>
    <w:p>
      <w:pPr>
        <w:pStyle w:val="2"/>
        <w:spacing w:line="240" w:lineRule="auto"/>
        <w:ind w:left="0" w:leftChars="0" w:firstLine="440" w:firstLineChars="200"/>
        <w:rPr>
          <w:rFonts w:hint="eastAsia" w:ascii="微软雅黑" w:hAnsi="微软雅黑" w:eastAsia="微软雅黑" w:cs="微软雅黑"/>
          <w:color w:val="6E622E"/>
          <w:sz w:val="22"/>
          <w:szCs w:val="22"/>
        </w:rPr>
      </w:pPr>
      <w:r>
        <w:rPr>
          <w:rFonts w:hint="eastAsia" w:ascii="微软雅黑" w:hAnsi="微软雅黑" w:eastAsia="微软雅黑" w:cs="微软雅黑"/>
          <w:color w:val="000000"/>
          <w:sz w:val="22"/>
          <w:szCs w:val="22"/>
          <w:lang w:val="en-US" w:eastAsia="zh-CN" w:bidi="ar-SA"/>
        </w:rPr>
        <w:t>答：</w:t>
      </w:r>
      <w:r>
        <w:rPr>
          <w:rFonts w:hint="eastAsia" w:ascii="微软雅黑" w:hAnsi="微软雅黑" w:eastAsia="微软雅黑" w:cs="微软雅黑"/>
          <w:b w:val="0"/>
          <w:bCs w:val="0"/>
          <w:color w:val="000000"/>
          <w:sz w:val="22"/>
          <w:szCs w:val="22"/>
          <w:lang w:val="en-US" w:eastAsia="zh-CN" w:bidi="ar-SA"/>
        </w:rPr>
        <w:t>未颁发获奖证书的，可提供加盖</w:t>
      </w:r>
      <w:r>
        <w:rPr>
          <w:rFonts w:hint="eastAsia" w:ascii="微软雅黑" w:hAnsi="微软雅黑" w:cs="微软雅黑"/>
          <w:b w:val="0"/>
          <w:bCs w:val="0"/>
          <w:color w:val="000000"/>
          <w:sz w:val="22"/>
          <w:szCs w:val="22"/>
          <w:lang w:val="en-US" w:eastAsia="zh-CN" w:bidi="ar-SA"/>
        </w:rPr>
        <w:t>投标单位</w:t>
      </w:r>
      <w:r>
        <w:rPr>
          <w:rFonts w:hint="eastAsia" w:ascii="微软雅黑" w:hAnsi="微软雅黑" w:eastAsia="微软雅黑" w:cs="微软雅黑"/>
          <w:b w:val="0"/>
          <w:bCs w:val="0"/>
          <w:color w:val="000000"/>
          <w:sz w:val="22"/>
          <w:szCs w:val="22"/>
          <w:lang w:val="en-US" w:eastAsia="zh-CN" w:bidi="ar-SA"/>
        </w:rPr>
        <w:t>公章的获奖红头文件和网站公示截图。</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问题（八）:</w:t>
      </w:r>
    </w:p>
    <w:p>
      <w:pPr>
        <w:numPr>
          <w:ilvl w:val="0"/>
          <w:numId w:val="0"/>
        </w:numPr>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1、招标文件前附表3.6.3签字或盖章要求里说用封袋密封，是否封箱也可，如果文本较多是否可以分成多个封箱或者封袋进行密封？</w:t>
      </w:r>
    </w:p>
    <w:p>
      <w:pPr>
        <w:pStyle w:val="2"/>
        <w:spacing w:line="240" w:lineRule="auto"/>
        <w:ind w:firstLine="440" w:firstLineChars="200"/>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bidi="ar-SA"/>
        </w:rPr>
        <w:t>答：箱袋均可，但不能拆分多个密封。</w:t>
      </w:r>
    </w:p>
    <w:p>
      <w:pPr>
        <w:numPr>
          <w:ilvl w:val="0"/>
          <w:numId w:val="0"/>
        </w:numPr>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2、招标文件中提供的投标文件格式里面，备注都是“盖章及签字” 但是格式里是写“盖章或签字” 是否有误应改成“盖章或签字”？</w:t>
      </w:r>
    </w:p>
    <w:p>
      <w:pPr>
        <w:pStyle w:val="2"/>
        <w:spacing w:line="240" w:lineRule="auto"/>
        <w:ind w:firstLine="440" w:firstLineChars="200"/>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bidi="ar-SA"/>
        </w:rPr>
        <w:t>答：</w:t>
      </w:r>
      <w:r>
        <w:rPr>
          <w:rFonts w:hint="eastAsia" w:ascii="微软雅黑" w:hAnsi="微软雅黑" w:cs="微软雅黑"/>
          <w:sz w:val="22"/>
          <w:szCs w:val="22"/>
          <w:lang w:val="en-US" w:eastAsia="zh-CN" w:bidi="ar-SA"/>
        </w:rPr>
        <w:t>按招标文件格式要求签字盖章。</w:t>
      </w:r>
    </w:p>
    <w:p>
      <w:pPr>
        <w:numPr>
          <w:ilvl w:val="0"/>
          <w:numId w:val="0"/>
        </w:numPr>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3、是否只有资信评分内容中要求的业绩，获奖，项目主要负责人职称证书及社保需提供原件备查，其他的，如企业营业执照和资质证书，三类人员，设计团队配备人员等不需要提供相应的原件？</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答：按招标文件执行。</w:t>
      </w:r>
    </w:p>
    <w:p>
      <w:pPr>
        <w:pStyle w:val="2"/>
        <w:spacing w:line="240" w:lineRule="auto"/>
        <w:ind w:left="0" w:leftChars="0" w:firstLine="0" w:firstLine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问题（九）:</w:t>
      </w:r>
    </w:p>
    <w:p>
      <w:pPr>
        <w:pStyle w:val="2"/>
        <w:numPr>
          <w:ilvl w:val="0"/>
          <w:numId w:val="0"/>
        </w:numPr>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招标文件22页3.2.2资信评分第二项项目总负责人类似业绩：本项目拟派项目总负责人自2015年9月1日以来承当过建筑面积35000平米及以上的房建工程EPC总承包或设计施工一体化总承包业绩的每个得1分，满分1分。 【业绩证明材料：中标通知书、工程总承包合同、竣工验收证书（交工验收证书、竣工验收备案表等）】，提供相关证明资料复印件加盖公章，原件备查，否则不得分。 问：拟派项目总负责人以项目经理身份担任过建筑面积35000平米及以上的房建工程EPC总承包或设计施工一体化总承包业绩的是否可以做为业绩得分？</w:t>
      </w:r>
    </w:p>
    <w:p>
      <w:pPr>
        <w:pStyle w:val="2"/>
        <w:spacing w:line="240" w:lineRule="auto"/>
        <w:ind w:firstLine="440" w:firstLineChars="200"/>
        <w:rPr>
          <w:rFonts w:hint="eastAsia" w:ascii="微软雅黑" w:hAnsi="微软雅黑" w:eastAsia="微软雅黑" w:cs="微软雅黑"/>
          <w:b/>
          <w:sz w:val="22"/>
          <w:szCs w:val="22"/>
        </w:rPr>
      </w:pPr>
      <w:r>
        <w:rPr>
          <w:rFonts w:hint="eastAsia" w:ascii="微软雅黑" w:hAnsi="微软雅黑" w:eastAsia="微软雅黑" w:cs="微软雅黑"/>
          <w:sz w:val="22"/>
          <w:szCs w:val="22"/>
          <w:lang w:val="en-US" w:eastAsia="zh-CN" w:bidi="ar-SA"/>
        </w:rPr>
        <w:t>答：拟派项目总负责人在类似业绩中担任过项目总负责人、设计负责人、施工负责人以及施工技术负责人的，均可作为类似业绩。</w:t>
      </w:r>
    </w:p>
    <w:p>
      <w:pPr>
        <w:pStyle w:val="2"/>
        <w:spacing w:line="240" w:lineRule="auto"/>
        <w:ind w:left="0" w:leftChars="0" w:firstLine="0" w:firstLine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color w:val="333333"/>
          <w:sz w:val="22"/>
          <w:szCs w:val="22"/>
        </w:rPr>
        <w:t>设计施工图是否需要盖出图章、注册章</w:t>
      </w:r>
      <w:r>
        <w:rPr>
          <w:rFonts w:hint="eastAsia" w:ascii="微软雅黑" w:hAnsi="微软雅黑" w:cs="微软雅黑"/>
          <w:color w:val="333333"/>
          <w:sz w:val="22"/>
          <w:szCs w:val="22"/>
          <w:lang w:eastAsia="zh-CN"/>
        </w:rPr>
        <w:t>？</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问题（十一）:</w:t>
      </w:r>
    </w:p>
    <w:p>
      <w:pPr>
        <w:pStyle w:val="2"/>
        <w:spacing w:line="240" w:lineRule="auto"/>
        <w:ind w:left="0" w:leftChars="0" w:firstLine="440" w:firstLineChars="200"/>
        <w:rPr>
          <w:rFonts w:hint="eastAsia" w:ascii="微软雅黑" w:hAnsi="微软雅黑" w:eastAsia="微软雅黑" w:cs="微软雅黑"/>
          <w:color w:val="333333"/>
          <w:sz w:val="22"/>
          <w:szCs w:val="22"/>
          <w:lang w:eastAsia="zh-CN"/>
        </w:rPr>
      </w:pPr>
      <w:r>
        <w:rPr>
          <w:rFonts w:hint="eastAsia" w:ascii="微软雅黑" w:hAnsi="微软雅黑" w:eastAsia="微软雅黑" w:cs="微软雅黑"/>
          <w:color w:val="333333"/>
          <w:sz w:val="22"/>
          <w:szCs w:val="22"/>
        </w:rPr>
        <w:t>招标文件P22，资信评分4、投标人（如联合体投标的，任意一方提供）自2015年9月1日以来设计项目获得省级及以上建设行政主管部门颁发的优秀工程设计奖项的得1分或EPC总承包及设计施工一体化总承包项目工程质量获得省级及以上建设行政主管部门颁发的优秀工程奖项的得1分。请问，针对设计项目，省级及以上建设行政主管部门颁发的奖项都为“优秀勘察设计奖项”，而不是“优秀工程设计奖项"。针对EPC总承包及设计施工一体化总承包项目，省级及以上建设行政主管部门颁发的奖项都为“优质工程奖项”，而不是“优秀工程总承包奖项"</w:t>
      </w:r>
      <w:r>
        <w:rPr>
          <w:rFonts w:hint="eastAsia" w:ascii="微软雅黑" w:hAnsi="微软雅黑" w:cs="微软雅黑"/>
          <w:color w:val="333333"/>
          <w:sz w:val="22"/>
          <w:szCs w:val="22"/>
          <w:lang w:eastAsia="zh-CN"/>
        </w:rPr>
        <w:t>？</w:t>
      </w:r>
    </w:p>
    <w:p>
      <w:pPr>
        <w:pStyle w:val="2"/>
        <w:spacing w:line="240" w:lineRule="auto"/>
        <w:ind w:firstLine="440" w:firstLineChars="200"/>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sz w:val="22"/>
          <w:szCs w:val="22"/>
          <w:lang w:val="en-US" w:eastAsia="zh-CN" w:bidi="ar-SA"/>
        </w:rPr>
        <w:t>答：问题内所列举的均可作为有效奖项。</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问题（十二）:</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厂房的工艺设计未定请明示</w:t>
      </w:r>
      <w:r>
        <w:rPr>
          <w:rFonts w:hint="eastAsia" w:ascii="微软雅黑" w:hAnsi="微软雅黑" w:cs="微软雅黑"/>
          <w:sz w:val="22"/>
          <w:szCs w:val="22"/>
          <w:lang w:val="en-US" w:eastAsia="zh-CN" w:bidi="ar-SA"/>
        </w:rPr>
        <w:t>。</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 答：请自行考虑。</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消防水池水源范围请明示</w:t>
      </w:r>
      <w:r>
        <w:rPr>
          <w:rFonts w:hint="eastAsia" w:ascii="微软雅黑" w:hAnsi="微软雅黑" w:cs="微软雅黑"/>
          <w:sz w:val="22"/>
          <w:szCs w:val="22"/>
          <w:lang w:val="en-US" w:eastAsia="zh-CN" w:bidi="ar-SA"/>
        </w:rPr>
        <w:t>。</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 答：请自行考虑。</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总图管线综合的条件请明示 </w:t>
      </w:r>
      <w:r>
        <w:rPr>
          <w:rFonts w:hint="eastAsia" w:ascii="微软雅黑" w:hAnsi="微软雅黑" w:cs="微软雅黑"/>
          <w:sz w:val="22"/>
          <w:szCs w:val="22"/>
          <w:lang w:val="en-US" w:eastAsia="zh-CN" w:bidi="ar-SA"/>
        </w:rPr>
        <w:t>。</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施工图设计文件中图框是否需要带人员签字（手签体），是否需要加盖公司出图章和项目负责人的注册章 </w:t>
      </w:r>
      <w:r>
        <w:rPr>
          <w:rFonts w:hint="eastAsia" w:ascii="微软雅黑" w:hAnsi="微软雅黑" w:cs="微软雅黑"/>
          <w:sz w:val="22"/>
          <w:szCs w:val="22"/>
          <w:lang w:val="en-US" w:eastAsia="zh-CN" w:bidi="ar-SA"/>
        </w:rPr>
        <w:t>？</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技术标是否包含估算</w:t>
      </w:r>
      <w:r>
        <w:rPr>
          <w:rFonts w:hint="eastAsia" w:ascii="微软雅黑" w:hAnsi="微软雅黑" w:cs="微软雅黑"/>
          <w:sz w:val="22"/>
          <w:szCs w:val="22"/>
          <w:lang w:val="en-US" w:eastAsia="zh-CN" w:bidi="ar-SA"/>
        </w:rPr>
        <w:t>？</w:t>
      </w:r>
      <w:r>
        <w:rPr>
          <w:rFonts w:hint="eastAsia" w:ascii="微软雅黑" w:hAnsi="微软雅黑" w:eastAsia="微软雅黑" w:cs="微软雅黑"/>
          <w:sz w:val="22"/>
          <w:szCs w:val="22"/>
          <w:lang w:val="en-US" w:eastAsia="zh-CN" w:bidi="ar-SA"/>
        </w:rPr>
        <w:t>请明示</w:t>
      </w:r>
      <w:r>
        <w:rPr>
          <w:rFonts w:hint="eastAsia" w:ascii="微软雅黑" w:hAnsi="微软雅黑" w:cs="微软雅黑"/>
          <w:sz w:val="22"/>
          <w:szCs w:val="22"/>
          <w:lang w:val="en-US" w:eastAsia="zh-CN" w:bidi="ar-SA"/>
        </w:rPr>
        <w:t>。</w:t>
      </w:r>
      <w:r>
        <w:rPr>
          <w:rFonts w:hint="eastAsia" w:ascii="微软雅黑" w:hAnsi="微软雅黑" w:eastAsia="微软雅黑" w:cs="微软雅黑"/>
          <w:sz w:val="22"/>
          <w:szCs w:val="22"/>
          <w:lang w:val="en-US" w:eastAsia="zh-CN" w:bidi="ar-SA"/>
        </w:rPr>
        <w:t xml:space="preserve"> </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w:t>
      </w:r>
      <w:r>
        <w:rPr>
          <w:rFonts w:hint="eastAsia" w:ascii="微软雅黑" w:hAnsi="微软雅黑" w:eastAsia="微软雅黑" w:cs="微软雅黑"/>
          <w:color w:val="000000"/>
          <w:sz w:val="22"/>
          <w:szCs w:val="22"/>
          <w:lang w:val="en-US" w:eastAsia="zh-CN" w:bidi="ar-SA"/>
        </w:rPr>
        <w:t>不要求，技术标内不允许出现投标报价信息。</w:t>
      </w:r>
    </w:p>
    <w:p>
      <w:pPr>
        <w:pStyle w:val="2"/>
        <w:numPr>
          <w:ilvl w:val="0"/>
          <w:numId w:val="4"/>
        </w:numPr>
        <w:spacing w:line="240" w:lineRule="auto"/>
        <w:ind w:left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请提供项目结构图。</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答：结构图请自行设计。</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问题（十三）:</w:t>
      </w:r>
    </w:p>
    <w:p>
      <w:pPr>
        <w:pStyle w:val="2"/>
        <w:numPr>
          <w:ilvl w:val="0"/>
          <w:numId w:val="5"/>
        </w:numPr>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可否提供平阳县洪水位数据？</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numPr>
          <w:ilvl w:val="0"/>
          <w:numId w:val="5"/>
        </w:numPr>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 xml:space="preserve">生产车间荷载需求是多少？ </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numPr>
          <w:ilvl w:val="0"/>
          <w:numId w:val="5"/>
        </w:numPr>
        <w:spacing w:line="240" w:lineRule="auto"/>
        <w:ind w:left="0" w:leftChars="0"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地质勘察报告中建筑层数与最终通过的建筑方案不一致，导则原地勘建议的基础选型不是很合理，是否可以不按地勘建议，设计根据地质进行优化？</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答：请自行考虑。</w:t>
      </w:r>
    </w:p>
    <w:p>
      <w:pPr>
        <w:pStyle w:val="2"/>
        <w:spacing w:line="240" w:lineRule="auto"/>
        <w:ind w:firstLine="440" w:firstLineChars="20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sz w:val="22"/>
          <w:szCs w:val="22"/>
          <w:lang w:val="en-US" w:eastAsia="zh-CN" w:bidi="ar-SA"/>
        </w:rPr>
        <w:t xml:space="preserve"> 4、可否提供场地东侧在建厂房的效果图或者告知再建厂房是冷色调或者暖色调宜便于我方整体设计更加协调？</w:t>
      </w:r>
    </w:p>
    <w:p>
      <w:pPr>
        <w:pStyle w:val="2"/>
        <w:spacing w:line="240" w:lineRule="auto"/>
        <w:ind w:firstLine="440" w:firstLineChars="20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lang w:val="en-US" w:eastAsia="zh-CN" w:bidi="ar-SA"/>
        </w:rPr>
        <w:t>答：请自行勘察考虑。</w:t>
      </w:r>
    </w:p>
    <w:p>
      <w:pPr>
        <w:pStyle w:val="2"/>
        <w:spacing w:line="240" w:lineRule="auto"/>
        <w:ind w:left="0" w:leftChars="0" w:firstLine="0" w:firstLineChars="0"/>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问题（十四）:</w:t>
      </w:r>
    </w:p>
    <w:p>
      <w:pPr>
        <w:spacing w:line="240" w:lineRule="auto"/>
        <w:ind w:firstLine="440" w:firstLineChars="200"/>
        <w:rPr>
          <w:rFonts w:hint="eastAsia" w:ascii="微软雅黑" w:hAnsi="微软雅黑" w:eastAsia="微软雅黑" w:cs="微软雅黑"/>
          <w:color w:val="333333"/>
          <w:sz w:val="22"/>
          <w:szCs w:val="22"/>
          <w:lang w:val="en-US" w:eastAsia="zh-CN" w:bidi="ar-SA"/>
        </w:rPr>
      </w:pPr>
      <w:r>
        <w:rPr>
          <w:rFonts w:hint="eastAsia" w:ascii="微软雅黑" w:hAnsi="微软雅黑" w:eastAsia="微软雅黑" w:cs="微软雅黑"/>
          <w:color w:val="333333"/>
          <w:sz w:val="22"/>
          <w:szCs w:val="22"/>
          <w:lang w:val="en-US" w:eastAsia="zh-CN" w:bidi="ar-SA"/>
        </w:rPr>
        <w:t>招标文件P22资信标评标要求中，投标人类似业绩要求自2015年9月1日以来以独立或联合体成员身份承当过建筑面积35000平米及以上的房建工程EPC总承包或设计施工一体化总承包业绩，业绩要求有竣工验收资料，即业绩要求竣工。 问题： 业绩要求时间2015年9月1日以来承担过，请问该时间是不是指工程竣工时间？</w:t>
      </w:r>
    </w:p>
    <w:p>
      <w:pPr>
        <w:pStyle w:val="2"/>
        <w:spacing w:line="240" w:lineRule="auto"/>
        <w:ind w:firstLine="440" w:firstLineChars="200"/>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bidi="ar-SA"/>
        </w:rPr>
        <w:t>答：</w:t>
      </w:r>
      <w:r>
        <w:rPr>
          <w:rFonts w:hint="eastAsia" w:ascii="微软雅黑" w:hAnsi="微软雅黑" w:cs="微软雅黑"/>
          <w:sz w:val="22"/>
          <w:szCs w:val="22"/>
          <w:lang w:val="en-US" w:eastAsia="zh-CN" w:bidi="ar-SA"/>
        </w:rPr>
        <w:t>以</w:t>
      </w:r>
      <w:r>
        <w:rPr>
          <w:rFonts w:hint="eastAsia" w:ascii="微软雅黑" w:hAnsi="微软雅黑" w:eastAsia="微软雅黑" w:cs="微软雅黑"/>
          <w:sz w:val="22"/>
          <w:szCs w:val="22"/>
          <w:lang w:val="en-US" w:eastAsia="zh-CN" w:bidi="ar-SA"/>
        </w:rPr>
        <w:t>竣工验收证书（交工验收证书、竣工验收备案表等）</w:t>
      </w:r>
      <w:r>
        <w:rPr>
          <w:rFonts w:hint="eastAsia" w:ascii="微软雅黑" w:hAnsi="微软雅黑" w:cs="微软雅黑"/>
          <w:sz w:val="22"/>
          <w:szCs w:val="22"/>
          <w:lang w:val="en-US" w:eastAsia="zh-CN" w:bidi="ar-SA"/>
        </w:rPr>
        <w:t>时间为准。</w:t>
      </w:r>
    </w:p>
    <w:p>
      <w:pPr>
        <w:pStyle w:val="2"/>
        <w:spacing w:line="240" w:lineRule="auto"/>
        <w:ind w:left="0" w:leftChars="0" w:firstLine="0" w:firstLineChars="0"/>
        <w:rPr>
          <w:rFonts w:hint="eastAsia" w:ascii="微软雅黑" w:hAnsi="微软雅黑" w:eastAsia="微软雅黑" w:cs="微软雅黑"/>
          <w:b/>
          <w:bCs/>
          <w:color w:val="000000"/>
          <w:sz w:val="22"/>
          <w:szCs w:val="22"/>
          <w:lang w:val="en-US" w:eastAsia="zh-CN" w:bidi="ar-SA"/>
        </w:rPr>
      </w:pPr>
      <w:r>
        <w:rPr>
          <w:rFonts w:hint="eastAsia" w:ascii="微软雅黑" w:hAnsi="微软雅黑" w:eastAsia="微软雅黑" w:cs="微软雅黑"/>
          <w:b/>
          <w:bCs/>
          <w:color w:val="000000"/>
          <w:sz w:val="22"/>
          <w:szCs w:val="22"/>
          <w:lang w:val="en-US" w:eastAsia="zh-CN" w:bidi="ar-SA"/>
        </w:rPr>
        <w:t>问题（十五）:</w:t>
      </w:r>
    </w:p>
    <w:p>
      <w:pPr>
        <w:spacing w:line="240" w:lineRule="auto"/>
        <w:ind w:firstLine="440" w:firstLineChars="200"/>
        <w:rPr>
          <w:rFonts w:hint="eastAsia" w:ascii="微软雅黑" w:hAnsi="微软雅黑" w:eastAsia="微软雅黑" w:cs="微软雅黑"/>
          <w:color w:val="333333"/>
          <w:sz w:val="22"/>
          <w:szCs w:val="22"/>
          <w:lang w:val="en-US" w:eastAsia="zh-CN" w:bidi="ar-SA"/>
        </w:rPr>
      </w:pPr>
      <w:r>
        <w:rPr>
          <w:rFonts w:hint="eastAsia" w:ascii="微软雅黑" w:hAnsi="微软雅黑" w:eastAsia="微软雅黑" w:cs="微软雅黑"/>
          <w:color w:val="333333"/>
          <w:sz w:val="22"/>
          <w:szCs w:val="22"/>
          <w:lang w:val="en-US" w:eastAsia="zh-CN" w:bidi="ar-SA"/>
        </w:rPr>
        <w:t>招标文件资信评分要求自2015年9月1日以来以独立或联合体成员身份承当过建筑面积35000平米及以上的房建工程EPC总承包或设计施工一体化总承包业绩。请明确该业绩要求时间2015年9月1日是以竣工时间为准还是以签订合同时间为准。</w:t>
      </w:r>
    </w:p>
    <w:p>
      <w:pPr>
        <w:pStyle w:val="2"/>
        <w:spacing w:line="240" w:lineRule="auto"/>
        <w:ind w:firstLine="440" w:firstLineChars="200"/>
        <w:rPr>
          <w:rFonts w:hint="eastAsia" w:ascii="微软雅黑" w:hAnsi="微软雅黑" w:eastAsia="微软雅黑" w:cs="微软雅黑"/>
          <w:b/>
          <w:sz w:val="22"/>
          <w:szCs w:val="22"/>
        </w:rPr>
      </w:pPr>
      <w:r>
        <w:rPr>
          <w:rFonts w:hint="eastAsia" w:ascii="微软雅黑" w:hAnsi="微软雅黑" w:eastAsia="微软雅黑" w:cs="微软雅黑"/>
          <w:sz w:val="22"/>
          <w:szCs w:val="22"/>
          <w:lang w:val="en-US" w:eastAsia="zh-CN" w:bidi="ar-SA"/>
        </w:rPr>
        <w:t>答：</w:t>
      </w:r>
      <w:r>
        <w:rPr>
          <w:rFonts w:hint="eastAsia" w:ascii="微软雅黑" w:hAnsi="微软雅黑" w:cs="微软雅黑"/>
          <w:sz w:val="22"/>
          <w:szCs w:val="22"/>
          <w:lang w:val="en-US" w:eastAsia="zh-CN" w:bidi="ar-SA"/>
        </w:rPr>
        <w:t>以</w:t>
      </w:r>
      <w:r>
        <w:rPr>
          <w:rFonts w:hint="eastAsia" w:ascii="微软雅黑" w:hAnsi="微软雅黑" w:eastAsia="微软雅黑" w:cs="微软雅黑"/>
          <w:sz w:val="22"/>
          <w:szCs w:val="22"/>
          <w:lang w:val="en-US" w:eastAsia="zh-CN" w:bidi="ar-SA"/>
        </w:rPr>
        <w:t>竣工验收证书（交工验收证书、竣工验收备案表等）</w:t>
      </w:r>
      <w:r>
        <w:rPr>
          <w:rFonts w:hint="eastAsia" w:ascii="微软雅黑" w:hAnsi="微软雅黑" w:cs="微软雅黑"/>
          <w:sz w:val="22"/>
          <w:szCs w:val="22"/>
          <w:lang w:val="en-US" w:eastAsia="zh-CN" w:bidi="ar-SA"/>
        </w:rPr>
        <w:t>时间为准。</w:t>
      </w:r>
    </w:p>
    <w:p>
      <w:pPr>
        <w:spacing w:line="240" w:lineRule="auto"/>
        <w:ind w:firstLine="440" w:firstLineChars="200"/>
        <w:rPr>
          <w:rFonts w:hint="eastAsia" w:ascii="微软雅黑" w:hAnsi="微软雅黑" w:eastAsia="微软雅黑" w:cs="微软雅黑"/>
          <w:b/>
          <w:sz w:val="22"/>
          <w:szCs w:val="22"/>
        </w:rPr>
      </w:pPr>
      <w:r>
        <w:rPr>
          <w:rFonts w:hint="eastAsia" w:ascii="微软雅黑" w:hAnsi="微软雅黑" w:eastAsia="微软雅黑" w:cs="微软雅黑"/>
          <w:b/>
          <w:sz w:val="22"/>
          <w:szCs w:val="22"/>
        </w:rPr>
        <w:t>本答疑文件作为招标文件的组成部分，与招标文件有不一致之处，以本文件为准。</w:t>
      </w:r>
    </w:p>
    <w:p>
      <w:pPr>
        <w:pStyle w:val="2"/>
        <w:spacing w:line="240" w:lineRule="auto"/>
        <w:rPr>
          <w:rFonts w:hint="eastAsia" w:ascii="微软雅黑" w:hAnsi="微软雅黑" w:eastAsia="微软雅黑" w:cs="微软雅黑"/>
          <w:sz w:val="22"/>
          <w:szCs w:val="22"/>
        </w:rPr>
      </w:pPr>
    </w:p>
    <w:p>
      <w:pPr>
        <w:pStyle w:val="2"/>
        <w:spacing w:line="240" w:lineRule="auto"/>
        <w:rPr>
          <w:rFonts w:hint="eastAsia" w:ascii="微软雅黑" w:hAnsi="微软雅黑" w:eastAsia="微软雅黑" w:cs="微软雅黑"/>
          <w:sz w:val="22"/>
          <w:szCs w:val="22"/>
        </w:rPr>
      </w:pPr>
    </w:p>
    <w:p>
      <w:pPr>
        <w:spacing w:after="0" w:line="240" w:lineRule="auto"/>
        <w:ind w:firstLine="440" w:firstLineChars="200"/>
        <w:jc w:val="righ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t>平阳县城市建设投资有限公司</w:t>
      </w:r>
    </w:p>
    <w:p>
      <w:pPr>
        <w:spacing w:after="0" w:line="240" w:lineRule="auto"/>
        <w:ind w:firstLine="440" w:firstLineChars="200"/>
        <w:jc w:val="righ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t>温州中源工程造价咨询有限公司</w:t>
      </w:r>
    </w:p>
    <w:p>
      <w:pPr>
        <w:spacing w:after="0" w:line="240" w:lineRule="auto"/>
        <w:ind w:firstLine="440" w:firstLineChars="200"/>
        <w:jc w:val="right"/>
        <w:rPr>
          <w:rFonts w:hint="eastAsia" w:ascii="微软雅黑" w:hAnsi="微软雅黑" w:eastAsia="微软雅黑" w:cs="微软雅黑"/>
          <w:sz w:val="22"/>
          <w:szCs w:val="22"/>
        </w:rPr>
      </w:pPr>
      <w:r>
        <w:rPr>
          <w:rFonts w:hint="eastAsia" w:ascii="微软雅黑" w:hAnsi="微软雅黑" w:eastAsia="微软雅黑" w:cs="微软雅黑"/>
          <w:sz w:val="22"/>
          <w:szCs w:val="22"/>
        </w:rPr>
        <w:t>20</w:t>
      </w:r>
      <w:r>
        <w:rPr>
          <w:rFonts w:hint="eastAsia" w:ascii="微软雅黑" w:hAnsi="微软雅黑" w:eastAsia="微软雅黑" w:cs="微软雅黑"/>
          <w:sz w:val="22"/>
          <w:szCs w:val="22"/>
          <w:lang w:val="en-US" w:eastAsia="zh-CN"/>
        </w:rPr>
        <w:t>21</w:t>
      </w:r>
      <w:r>
        <w:rPr>
          <w:rFonts w:hint="eastAsia" w:ascii="微软雅黑" w:hAnsi="微软雅黑" w:eastAsia="微软雅黑" w:cs="微软雅黑"/>
          <w:sz w:val="22"/>
          <w:szCs w:val="22"/>
        </w:rPr>
        <w:t>年</w:t>
      </w:r>
      <w:r>
        <w:rPr>
          <w:rFonts w:hint="eastAsia" w:ascii="微软雅黑" w:hAnsi="微软雅黑" w:eastAsia="微软雅黑" w:cs="微软雅黑"/>
          <w:sz w:val="22"/>
          <w:szCs w:val="22"/>
          <w:lang w:val="en-US" w:eastAsia="zh-CN"/>
        </w:rPr>
        <w:t>1</w:t>
      </w:r>
      <w:r>
        <w:rPr>
          <w:rFonts w:hint="eastAsia" w:ascii="微软雅黑" w:hAnsi="微软雅黑" w:eastAsia="微软雅黑" w:cs="微软雅黑"/>
          <w:sz w:val="22"/>
          <w:szCs w:val="22"/>
        </w:rPr>
        <w:t>月</w:t>
      </w:r>
      <w:r>
        <w:rPr>
          <w:rFonts w:hint="eastAsia" w:ascii="微软雅黑" w:hAnsi="微软雅黑" w:eastAsia="微软雅黑" w:cs="微软雅黑"/>
          <w:sz w:val="22"/>
          <w:szCs w:val="22"/>
          <w:lang w:val="en-US" w:eastAsia="zh-CN"/>
        </w:rPr>
        <w:t>12</w:t>
      </w:r>
      <w:r>
        <w:rPr>
          <w:rFonts w:hint="eastAsia" w:ascii="微软雅黑" w:hAnsi="微软雅黑" w:eastAsia="微软雅黑" w:cs="微软雅黑"/>
          <w:sz w:val="22"/>
          <w:szCs w:val="22"/>
        </w:rPr>
        <w:t>日</w:t>
      </w:r>
    </w:p>
    <w:sectPr>
      <w:footerReference r:id="rId3" w:type="default"/>
      <w:pgSz w:w="11906" w:h="16838"/>
      <w:pgMar w:top="1440" w:right="1800" w:bottom="1440" w:left="1800"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4097" o:spid="_x0000_s4097" o:spt="202" type="#_x0000_t202" style="position:absolute;left:0pt;margin-top:0pt;height:144pt;width:144pt;mso-position-horizontal:right;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B48887"/>
    <w:multiLevelType w:val="singleLevel"/>
    <w:tmpl w:val="9BB48887"/>
    <w:lvl w:ilvl="0" w:tentative="0">
      <w:start w:val="1"/>
      <w:numFmt w:val="decimal"/>
      <w:suff w:val="nothing"/>
      <w:lvlText w:val="%1、"/>
      <w:lvlJc w:val="left"/>
    </w:lvl>
  </w:abstractNum>
  <w:abstractNum w:abstractNumId="1">
    <w:nsid w:val="B72CC7C5"/>
    <w:multiLevelType w:val="singleLevel"/>
    <w:tmpl w:val="B72CC7C5"/>
    <w:lvl w:ilvl="0" w:tentative="0">
      <w:start w:val="1"/>
      <w:numFmt w:val="decimal"/>
      <w:suff w:val="nothing"/>
      <w:lvlText w:val="%1、"/>
      <w:lvlJc w:val="left"/>
    </w:lvl>
  </w:abstractNum>
  <w:abstractNum w:abstractNumId="2">
    <w:nsid w:val="E907FE98"/>
    <w:multiLevelType w:val="singleLevel"/>
    <w:tmpl w:val="E907FE98"/>
    <w:lvl w:ilvl="0" w:tentative="0">
      <w:start w:val="1"/>
      <w:numFmt w:val="decimal"/>
      <w:suff w:val="nothing"/>
      <w:lvlText w:val="%1、"/>
      <w:lvlJc w:val="left"/>
    </w:lvl>
  </w:abstractNum>
  <w:abstractNum w:abstractNumId="3">
    <w:nsid w:val="27E1143A"/>
    <w:multiLevelType w:val="multilevel"/>
    <w:tmpl w:val="27E114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4EDAB1"/>
    <w:multiLevelType w:val="singleLevel"/>
    <w:tmpl w:val="3D4EDAB1"/>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037475"/>
    <w:rsid w:val="000B5528"/>
    <w:rsid w:val="000F3AA5"/>
    <w:rsid w:val="00175CA0"/>
    <w:rsid w:val="0027145A"/>
    <w:rsid w:val="00323B43"/>
    <w:rsid w:val="003D37D8"/>
    <w:rsid w:val="00426133"/>
    <w:rsid w:val="004358AB"/>
    <w:rsid w:val="004371AC"/>
    <w:rsid w:val="00612B23"/>
    <w:rsid w:val="00726C91"/>
    <w:rsid w:val="008967F2"/>
    <w:rsid w:val="008B7726"/>
    <w:rsid w:val="00981D6D"/>
    <w:rsid w:val="00A26D68"/>
    <w:rsid w:val="00AB384C"/>
    <w:rsid w:val="00BE2AD5"/>
    <w:rsid w:val="00C94BD0"/>
    <w:rsid w:val="00D31D50"/>
    <w:rsid w:val="00DF1D1E"/>
    <w:rsid w:val="00F4098D"/>
    <w:rsid w:val="022D2E42"/>
    <w:rsid w:val="035A6F3A"/>
    <w:rsid w:val="046C4928"/>
    <w:rsid w:val="067073B0"/>
    <w:rsid w:val="08403011"/>
    <w:rsid w:val="09E80457"/>
    <w:rsid w:val="0A1C01BB"/>
    <w:rsid w:val="0B225340"/>
    <w:rsid w:val="0B547407"/>
    <w:rsid w:val="0BAB4306"/>
    <w:rsid w:val="0C547E8B"/>
    <w:rsid w:val="0D29184C"/>
    <w:rsid w:val="0F675281"/>
    <w:rsid w:val="0FFE0206"/>
    <w:rsid w:val="100244E4"/>
    <w:rsid w:val="1061708A"/>
    <w:rsid w:val="1094615E"/>
    <w:rsid w:val="132D59D2"/>
    <w:rsid w:val="14494F6C"/>
    <w:rsid w:val="15097153"/>
    <w:rsid w:val="16427ACA"/>
    <w:rsid w:val="16EA085B"/>
    <w:rsid w:val="18835104"/>
    <w:rsid w:val="19C62C4D"/>
    <w:rsid w:val="1A302922"/>
    <w:rsid w:val="1CB87797"/>
    <w:rsid w:val="1DF14E93"/>
    <w:rsid w:val="1E024CAC"/>
    <w:rsid w:val="1F820FE4"/>
    <w:rsid w:val="202D4256"/>
    <w:rsid w:val="20B07C7A"/>
    <w:rsid w:val="225E2F5E"/>
    <w:rsid w:val="226A408B"/>
    <w:rsid w:val="23397BF3"/>
    <w:rsid w:val="2441490C"/>
    <w:rsid w:val="261C4D76"/>
    <w:rsid w:val="26406E2A"/>
    <w:rsid w:val="26504380"/>
    <w:rsid w:val="26A85A8C"/>
    <w:rsid w:val="283C60BA"/>
    <w:rsid w:val="284D3C08"/>
    <w:rsid w:val="2AF740DE"/>
    <w:rsid w:val="2DB541A0"/>
    <w:rsid w:val="2F295962"/>
    <w:rsid w:val="2FF941B0"/>
    <w:rsid w:val="3008319A"/>
    <w:rsid w:val="30273A36"/>
    <w:rsid w:val="30C41B30"/>
    <w:rsid w:val="30FB171A"/>
    <w:rsid w:val="314E76BE"/>
    <w:rsid w:val="31997408"/>
    <w:rsid w:val="34196D47"/>
    <w:rsid w:val="343C434B"/>
    <w:rsid w:val="34BE40C1"/>
    <w:rsid w:val="3A765948"/>
    <w:rsid w:val="3AF41759"/>
    <w:rsid w:val="3BA6171D"/>
    <w:rsid w:val="3D115139"/>
    <w:rsid w:val="3DC443D0"/>
    <w:rsid w:val="3F5D250A"/>
    <w:rsid w:val="3FC05018"/>
    <w:rsid w:val="40DA5A91"/>
    <w:rsid w:val="41724D04"/>
    <w:rsid w:val="44B76058"/>
    <w:rsid w:val="45E34157"/>
    <w:rsid w:val="46611136"/>
    <w:rsid w:val="4A5E12A2"/>
    <w:rsid w:val="4D921415"/>
    <w:rsid w:val="4DEC6B73"/>
    <w:rsid w:val="4E7C0FA1"/>
    <w:rsid w:val="4EB04D33"/>
    <w:rsid w:val="500360EB"/>
    <w:rsid w:val="50820895"/>
    <w:rsid w:val="50FA0514"/>
    <w:rsid w:val="51CF6CE3"/>
    <w:rsid w:val="52B250A8"/>
    <w:rsid w:val="52DC129B"/>
    <w:rsid w:val="54E416F5"/>
    <w:rsid w:val="55660C2B"/>
    <w:rsid w:val="56505D9E"/>
    <w:rsid w:val="568214DB"/>
    <w:rsid w:val="571C221F"/>
    <w:rsid w:val="57CD3CB3"/>
    <w:rsid w:val="59BE269B"/>
    <w:rsid w:val="59F63D66"/>
    <w:rsid w:val="5C3B5485"/>
    <w:rsid w:val="5C645985"/>
    <w:rsid w:val="5CA53927"/>
    <w:rsid w:val="5CE5727B"/>
    <w:rsid w:val="5EE4569D"/>
    <w:rsid w:val="606669D2"/>
    <w:rsid w:val="607A695E"/>
    <w:rsid w:val="608E5C16"/>
    <w:rsid w:val="609B6160"/>
    <w:rsid w:val="61726E3B"/>
    <w:rsid w:val="65065D3C"/>
    <w:rsid w:val="66A9740C"/>
    <w:rsid w:val="6B502F8A"/>
    <w:rsid w:val="6E1663B0"/>
    <w:rsid w:val="71C14C64"/>
    <w:rsid w:val="73EC54E7"/>
    <w:rsid w:val="76EE7538"/>
    <w:rsid w:val="76FD6276"/>
    <w:rsid w:val="782E4A2F"/>
    <w:rsid w:val="784A5BB5"/>
    <w:rsid w:val="78A32BD7"/>
    <w:rsid w:val="7B3850C1"/>
    <w:rsid w:val="7D0966E6"/>
    <w:rsid w:val="7F982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2"/>
    <w:qFormat/>
    <w:uiPriority w:val="0"/>
    <w:pPr>
      <w:spacing w:after="120"/>
    </w:pPr>
  </w:style>
  <w:style w:type="paragraph" w:styleId="4">
    <w:name w:val="toc 6"/>
    <w:basedOn w:val="1"/>
    <w:next w:val="1"/>
    <w:qFormat/>
    <w:uiPriority w:val="0"/>
    <w:pPr>
      <w:ind w:left="1400"/>
    </w:pPr>
    <w:rPr>
      <w:rFonts w:ascii="Calibri"/>
      <w:sz w:val="18"/>
      <w:szCs w:val="18"/>
    </w:rPr>
  </w:style>
  <w:style w:type="paragraph" w:styleId="5">
    <w:name w:val="Date"/>
    <w:basedOn w:val="1"/>
    <w:next w:val="1"/>
    <w:link w:val="12"/>
    <w:semiHidden/>
    <w:unhideWhenUsed/>
    <w:qFormat/>
    <w:uiPriority w:val="99"/>
    <w:pPr>
      <w:ind w:left="100" w:leftChars="2500"/>
    </w:p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character" w:customStyle="1" w:styleId="12">
    <w:name w:val="日期 Char"/>
    <w:basedOn w:val="9"/>
    <w:link w:val="5"/>
    <w:semiHidden/>
    <w:qFormat/>
    <w:uiPriority w:val="99"/>
    <w:rPr>
      <w:rFonts w:ascii="Tahoma" w:hAnsi="Tahoma"/>
      <w:sz w:val="22"/>
      <w:szCs w:val="22"/>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115</Words>
  <Characters>658</Characters>
  <Lines>5</Lines>
  <Paragraphs>1</Paragraphs>
  <TotalTime>12</TotalTime>
  <ScaleCrop>false</ScaleCrop>
  <LinksUpToDate>false</LinksUpToDate>
  <CharactersWithSpaces>772</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Alisa  ☀</cp:lastModifiedBy>
  <cp:lastPrinted>2020-08-14T06:47:00Z</cp:lastPrinted>
  <dcterms:modified xsi:type="dcterms:W3CDTF">2021-01-12T08:03:37Z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