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405" w:rsidRDefault="00716405">
      <w:pPr>
        <w:spacing w:after="0"/>
        <w:ind w:firstLineChars="300" w:firstLine="720"/>
        <w:jc w:val="right"/>
        <w:rPr>
          <w:rFonts w:asciiTheme="majorEastAsia" w:eastAsiaTheme="majorEastAsia" w:hAnsiTheme="majorEastAsia"/>
          <w:sz w:val="24"/>
          <w:szCs w:val="24"/>
        </w:rPr>
      </w:pPr>
    </w:p>
    <w:p w:rsidR="00716405" w:rsidRDefault="00437EF1">
      <w:pPr>
        <w:spacing w:line="220" w:lineRule="atLeast"/>
        <w:jc w:val="center"/>
        <w:rPr>
          <w:rFonts w:asciiTheme="majorEastAsia" w:eastAsiaTheme="majorEastAsia" w:hAnsiTheme="majorEastAsia"/>
          <w:b/>
          <w:color w:val="6E622E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平阳县麻步镇江北片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L-02-1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地块标准厂房工程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EPC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总承包</w:t>
      </w:r>
    </w:p>
    <w:p w:rsidR="00716405" w:rsidRDefault="00437EF1">
      <w:pPr>
        <w:spacing w:line="220" w:lineRule="atLeast"/>
        <w:jc w:val="center"/>
        <w:rPr>
          <w:rFonts w:asciiTheme="majorEastAsia" w:eastAsiaTheme="majorEastAsia" w:hAnsiTheme="majorEastAsia"/>
          <w:b/>
          <w:color w:val="6E622E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补充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文件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（</w:t>
      </w:r>
      <w:r w:rsidR="00155CBC"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二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）</w:t>
      </w:r>
    </w:p>
    <w:p w:rsidR="00716405" w:rsidRDefault="00437EF1">
      <w:pPr>
        <w:spacing w:line="220" w:lineRule="atLeast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致各投标单位</w:t>
      </w:r>
      <w:r>
        <w:rPr>
          <w:rFonts w:ascii="宋体" w:hAnsi="宋体" w:cs="宋体" w:hint="eastAsia"/>
          <w:color w:val="000000"/>
          <w:szCs w:val="21"/>
        </w:rPr>
        <w:t>:</w:t>
      </w:r>
    </w:p>
    <w:p w:rsidR="00155CBC" w:rsidRPr="00155CBC" w:rsidRDefault="00155CBC" w:rsidP="00155CBC">
      <w:pPr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依据：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1、《建筑业企业资质管理规定》（住房城乡建设部第22号令）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2、《住房城乡建设部关于印发《建筑业企业资质标准》的通知》（建市〔2014〕159号）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3、《住房城乡建设部关于简化建筑业企业资质标准部分指标的通知》（建市〔2016〕226号）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/>
          <w:kern w:val="2"/>
          <w:sz w:val="21"/>
          <w:szCs w:val="24"/>
        </w:rPr>
        <w:t xml:space="preserve"> 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招标文件“投标人须知前附表”第1.4.1条“其他要求”中增加要求：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投标人应当保持投标资质相应专业注册建造师人数最低要求，否则其投标无效。具体规定如下：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1、温州市三级资质企业以温州市住建局最新发布的《关于公布建筑业企业资质动态核查限期整改企业名单的公告》（查询网址http://zjj.wenzhou.gov.cn/col/col1229463196/index.html）为准，被列入整改名单的企业，其投标无效。</w:t>
      </w:r>
    </w:p>
    <w:p w:rsidR="00155CBC" w:rsidRPr="00155CBC" w:rsidRDefault="00155CBC" w:rsidP="00155CBC">
      <w:pPr>
        <w:pStyle w:val="a0"/>
        <w:ind w:firstLine="210"/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2、温州市二级及以上资质企业、温州市外浙江省内企业以查询“浙江省建筑市场监管与诚信信息平台”（网址：http://223.4.65.131:8080/）“企业信息”-“注册人员”结果为准，投标人应当保持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</w:t>
      </w:r>
      <w:r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>建筑工程施工总承包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 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资质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</w:t>
      </w:r>
      <w:r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>建筑工程、机电工程专业注册建造师合计不少于5人，其中建筑工程专业注册建造师不少于4人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，否则其投标无效。</w:t>
      </w:r>
    </w:p>
    <w:p w:rsidR="00716405" w:rsidRPr="00155CBC" w:rsidRDefault="00155CBC" w:rsidP="00155CBC">
      <w:pPr>
        <w:pStyle w:val="a0"/>
        <w:ind w:firstLine="210"/>
        <w:rPr>
          <w:rFonts w:asciiTheme="minorEastAsia" w:eastAsiaTheme="minorEastAsia" w:hAnsiTheme="minorEastAsia"/>
          <w:sz w:val="21"/>
          <w:szCs w:val="21"/>
        </w:rPr>
      </w:pP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3、浙江省外企业以查询“全国建筑市场监管公共服务平台”（http://jzsc.mohurd.gov.cn/home）“建筑工程企业”-“注册人员”结果为准，投标人应当保持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</w:t>
      </w:r>
      <w:r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>建筑工程施工总承包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资质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 xml:space="preserve"> </w:t>
      </w:r>
      <w:r>
        <w:rPr>
          <w:rFonts w:asciiTheme="minorEastAsia" w:eastAsiaTheme="minorEastAsia" w:hAnsiTheme="minorEastAsia" w:cs="Times New Roman" w:hint="eastAsia"/>
          <w:kern w:val="2"/>
          <w:sz w:val="21"/>
          <w:szCs w:val="24"/>
          <w:u w:val="single"/>
        </w:rPr>
        <w:t>建筑工程、机电工程专业注册建造师合计不少于5人，其中建筑工程专业注册建造师不少于4人</w:t>
      </w:r>
      <w:r w:rsidRPr="00155CBC">
        <w:rPr>
          <w:rFonts w:asciiTheme="minorEastAsia" w:eastAsiaTheme="minorEastAsia" w:hAnsiTheme="minorEastAsia" w:cs="Times New Roman" w:hint="eastAsia"/>
          <w:kern w:val="2"/>
          <w:sz w:val="21"/>
          <w:szCs w:val="24"/>
        </w:rPr>
        <w:t>，否则其投标无效。</w:t>
      </w:r>
    </w:p>
    <w:p w:rsidR="00716405" w:rsidRPr="00155CBC" w:rsidRDefault="00716405" w:rsidP="00155CBC">
      <w:pPr>
        <w:rPr>
          <w:rFonts w:asciiTheme="majorEastAsia" w:eastAsiaTheme="majorEastAsia" w:hAnsiTheme="majorEastAsia" w:hint="eastAsia"/>
          <w:color w:val="6E622E"/>
          <w:sz w:val="21"/>
          <w:szCs w:val="21"/>
        </w:rPr>
      </w:pPr>
    </w:p>
    <w:p w:rsidR="00155CBC" w:rsidRPr="00155CBC" w:rsidRDefault="00155CBC" w:rsidP="00155CBC">
      <w:pPr>
        <w:pStyle w:val="a0"/>
        <w:ind w:firstLine="220"/>
      </w:pPr>
    </w:p>
    <w:p w:rsidR="00716405" w:rsidRDefault="00437EF1">
      <w:pPr>
        <w:rPr>
          <w:rFonts w:asciiTheme="majorEastAsia" w:eastAsiaTheme="majorEastAsia" w:hAnsiTheme="majorEastAsia"/>
          <w:b/>
          <w:sz w:val="28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/>
          <w:b/>
          <w:sz w:val="28"/>
          <w:szCs w:val="28"/>
        </w:rPr>
        <w:t>本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补充</w:t>
      </w:r>
      <w:r>
        <w:rPr>
          <w:rFonts w:asciiTheme="majorEastAsia" w:eastAsiaTheme="majorEastAsia" w:hAnsiTheme="majorEastAsia"/>
          <w:b/>
          <w:sz w:val="28"/>
          <w:szCs w:val="28"/>
        </w:rPr>
        <w:t>文件作为招标文件的组成部分，与招标文件有不一致之处，以本文件为准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。</w:t>
      </w:r>
    </w:p>
    <w:p w:rsidR="00716405" w:rsidRDefault="00716405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716405" w:rsidRDefault="00716405" w:rsidP="00155CBC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716405" w:rsidRDefault="00716405" w:rsidP="00155CBC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716405" w:rsidRDefault="00437EF1">
      <w:pPr>
        <w:spacing w:after="0"/>
        <w:ind w:firstLineChars="200" w:firstLine="48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平阳县城市建设投资有限公司</w:t>
      </w:r>
    </w:p>
    <w:p w:rsidR="00716405" w:rsidRDefault="00437EF1">
      <w:pPr>
        <w:spacing w:after="0"/>
        <w:ind w:firstLineChars="200" w:firstLine="48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温州中源工程造价咨询有限公司</w:t>
      </w:r>
    </w:p>
    <w:p w:rsidR="00716405" w:rsidRDefault="00437EF1">
      <w:pPr>
        <w:spacing w:after="0"/>
        <w:ind w:firstLineChars="200" w:firstLine="480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20</w:t>
      </w:r>
      <w:r>
        <w:rPr>
          <w:rFonts w:asciiTheme="majorEastAsia" w:eastAsiaTheme="majorEastAsia" w:hAnsiTheme="majorEastAsia" w:hint="eastAsia"/>
          <w:sz w:val="24"/>
          <w:szCs w:val="24"/>
        </w:rPr>
        <w:t>21</w:t>
      </w:r>
      <w:r>
        <w:rPr>
          <w:rFonts w:asciiTheme="majorEastAsia" w:eastAsiaTheme="majorEastAsia" w:hAnsiTheme="majorEastAsia" w:hint="eastAsia"/>
          <w:sz w:val="24"/>
          <w:szCs w:val="24"/>
        </w:rPr>
        <w:t>年</w:t>
      </w:r>
      <w:r>
        <w:rPr>
          <w:rFonts w:asciiTheme="majorEastAsia" w:eastAsiaTheme="majorEastAsia" w:hAnsiTheme="majorEastAsia" w:hint="eastAsia"/>
          <w:sz w:val="24"/>
          <w:szCs w:val="24"/>
        </w:rPr>
        <w:t>1</w:t>
      </w:r>
      <w:r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155CBC">
        <w:rPr>
          <w:rFonts w:asciiTheme="majorEastAsia" w:eastAsiaTheme="majorEastAsia" w:hAnsiTheme="majorEastAsia" w:hint="eastAsia"/>
          <w:sz w:val="24"/>
          <w:szCs w:val="24"/>
        </w:rPr>
        <w:t>19</w:t>
      </w:r>
      <w:r>
        <w:rPr>
          <w:rFonts w:asciiTheme="majorEastAsia" w:eastAsiaTheme="majorEastAsia" w:hAnsiTheme="majorEastAsia" w:hint="eastAsia"/>
          <w:sz w:val="24"/>
          <w:szCs w:val="24"/>
        </w:rPr>
        <w:t>日</w:t>
      </w:r>
    </w:p>
    <w:p w:rsidR="00716405" w:rsidRDefault="00716405">
      <w:pPr>
        <w:spacing w:line="220" w:lineRule="atLeast"/>
      </w:pPr>
    </w:p>
    <w:sectPr w:rsidR="00716405" w:rsidSect="007164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EF1" w:rsidRDefault="00437EF1" w:rsidP="00155CBC">
      <w:pPr>
        <w:spacing w:after="0"/>
      </w:pPr>
      <w:r>
        <w:separator/>
      </w:r>
    </w:p>
  </w:endnote>
  <w:endnote w:type="continuationSeparator" w:id="1">
    <w:p w:rsidR="00437EF1" w:rsidRDefault="00437EF1" w:rsidP="00155CB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EF1" w:rsidRDefault="00437EF1" w:rsidP="00155CBC">
      <w:pPr>
        <w:spacing w:after="0"/>
      </w:pPr>
      <w:r>
        <w:separator/>
      </w:r>
    </w:p>
  </w:footnote>
  <w:footnote w:type="continuationSeparator" w:id="1">
    <w:p w:rsidR="00437EF1" w:rsidRDefault="00437EF1" w:rsidP="00155CB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D31D50"/>
    <w:rsid w:val="00037475"/>
    <w:rsid w:val="000B5528"/>
    <w:rsid w:val="000F3AA5"/>
    <w:rsid w:val="00155CBC"/>
    <w:rsid w:val="00175CA0"/>
    <w:rsid w:val="0027145A"/>
    <w:rsid w:val="00323B43"/>
    <w:rsid w:val="003D37D8"/>
    <w:rsid w:val="00426133"/>
    <w:rsid w:val="004358AB"/>
    <w:rsid w:val="004371AC"/>
    <w:rsid w:val="00437EF1"/>
    <w:rsid w:val="00612B23"/>
    <w:rsid w:val="00716405"/>
    <w:rsid w:val="00726C91"/>
    <w:rsid w:val="008967F2"/>
    <w:rsid w:val="008B7726"/>
    <w:rsid w:val="00981D6D"/>
    <w:rsid w:val="00A26D68"/>
    <w:rsid w:val="00AB384C"/>
    <w:rsid w:val="00BE2AD5"/>
    <w:rsid w:val="00C94BD0"/>
    <w:rsid w:val="00D31D50"/>
    <w:rsid w:val="00DF1D1E"/>
    <w:rsid w:val="00F4098D"/>
    <w:rsid w:val="048471F8"/>
    <w:rsid w:val="14494F6C"/>
    <w:rsid w:val="18835104"/>
    <w:rsid w:val="1DF14E93"/>
    <w:rsid w:val="2AF740DE"/>
    <w:rsid w:val="30C41B30"/>
    <w:rsid w:val="41724D04"/>
    <w:rsid w:val="4DEC6B73"/>
    <w:rsid w:val="52B250A8"/>
    <w:rsid w:val="55660C2B"/>
    <w:rsid w:val="568214DB"/>
    <w:rsid w:val="571C221F"/>
    <w:rsid w:val="59DE414D"/>
    <w:rsid w:val="5CA53927"/>
    <w:rsid w:val="61726E3B"/>
    <w:rsid w:val="7771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16405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716405"/>
    <w:pPr>
      <w:ind w:firstLineChars="100" w:firstLine="420"/>
    </w:pPr>
  </w:style>
  <w:style w:type="paragraph" w:styleId="a4">
    <w:name w:val="Body Text"/>
    <w:basedOn w:val="a"/>
    <w:next w:val="a0"/>
    <w:qFormat/>
    <w:rsid w:val="00716405"/>
    <w:pPr>
      <w:spacing w:after="1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rsid w:val="00716405"/>
    <w:pPr>
      <w:ind w:leftChars="2500" w:left="100"/>
    </w:pPr>
  </w:style>
  <w:style w:type="character" w:styleId="a6">
    <w:name w:val="FollowedHyperlink"/>
    <w:basedOn w:val="a1"/>
    <w:uiPriority w:val="99"/>
    <w:semiHidden/>
    <w:unhideWhenUsed/>
    <w:qFormat/>
    <w:rsid w:val="00716405"/>
    <w:rPr>
      <w:color w:val="333333"/>
      <w:u w:val="none"/>
    </w:rPr>
  </w:style>
  <w:style w:type="character" w:styleId="a7">
    <w:name w:val="Hyperlink"/>
    <w:basedOn w:val="a1"/>
    <w:uiPriority w:val="99"/>
    <w:semiHidden/>
    <w:unhideWhenUsed/>
    <w:qFormat/>
    <w:rsid w:val="00716405"/>
    <w:rPr>
      <w:color w:val="333333"/>
      <w:u w:val="none"/>
    </w:rPr>
  </w:style>
  <w:style w:type="character" w:customStyle="1" w:styleId="Char">
    <w:name w:val="日期 Char"/>
    <w:basedOn w:val="a1"/>
    <w:link w:val="a5"/>
    <w:uiPriority w:val="99"/>
    <w:semiHidden/>
    <w:qFormat/>
    <w:rsid w:val="00716405"/>
    <w:rPr>
      <w:rFonts w:ascii="Tahoma" w:hAnsi="Tahoma"/>
      <w:sz w:val="22"/>
      <w:szCs w:val="22"/>
    </w:rPr>
  </w:style>
  <w:style w:type="paragraph" w:styleId="a8">
    <w:name w:val="header"/>
    <w:basedOn w:val="a"/>
    <w:link w:val="Char0"/>
    <w:uiPriority w:val="99"/>
    <w:semiHidden/>
    <w:unhideWhenUsed/>
    <w:rsid w:val="00155CB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8"/>
    <w:uiPriority w:val="99"/>
    <w:semiHidden/>
    <w:rsid w:val="00155CBC"/>
    <w:rPr>
      <w:rFonts w:ascii="Tahoma" w:eastAsia="微软雅黑" w:hAnsi="Tahoma" w:cstheme="minorBidi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155CB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1"/>
    <w:link w:val="a9"/>
    <w:uiPriority w:val="99"/>
    <w:semiHidden/>
    <w:rsid w:val="00155CBC"/>
    <w:rPr>
      <w:rFonts w:ascii="Tahoma" w:eastAsia="微软雅黑" w:hAnsi="Tahoma" w:cstheme="minorBidi"/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155CBC"/>
    <w:pPr>
      <w:spacing w:after="0"/>
    </w:pPr>
    <w:rPr>
      <w:sz w:val="18"/>
      <w:szCs w:val="18"/>
    </w:rPr>
  </w:style>
  <w:style w:type="character" w:customStyle="1" w:styleId="Char2">
    <w:name w:val="批注框文本 Char"/>
    <w:basedOn w:val="a1"/>
    <w:link w:val="aa"/>
    <w:uiPriority w:val="99"/>
    <w:semiHidden/>
    <w:rsid w:val="00155CBC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hongfa</cp:lastModifiedBy>
  <cp:revision>12</cp:revision>
  <cp:lastPrinted>2021-01-19T09:15:00Z</cp:lastPrinted>
  <dcterms:created xsi:type="dcterms:W3CDTF">2008-09-11T17:20:00Z</dcterms:created>
  <dcterms:modified xsi:type="dcterms:W3CDTF">2021-01-19T09:21:00Z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