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ind w:firstLine="0" w:firstLineChars="0"/>
        <w:jc w:val="center"/>
        <w:rPr>
          <w:rFonts w:hAnsi="Arial" w:cs="Times New Roman" w:eastAsiaTheme="minorEastAsia"/>
          <w:b/>
          <w:bCs/>
          <w:color w:val="000000" w:themeColor="text1"/>
          <w:sz w:val="48"/>
          <w:szCs w:val="48"/>
          <w14:textFill>
            <w14:solidFill>
              <w14:schemeClr w14:val="tx1"/>
            </w14:solidFill>
          </w14:textFill>
        </w:rPr>
      </w:pPr>
      <w:bookmarkStart w:id="0" w:name="_Hlk54889546"/>
      <w:bookmarkStart w:id="182" w:name="_GoBack"/>
      <w:r>
        <w:rPr>
          <w:rFonts w:hint="eastAsia" w:ascii="宋体" w:hAnsi="宋体" w:eastAsia="宋体" w:cs="宋体"/>
          <w:b/>
          <w:bCs/>
          <w:color w:val="000000" w:themeColor="text1"/>
          <w:sz w:val="48"/>
          <w:szCs w:val="48"/>
          <w14:textFill>
            <w14:solidFill>
              <w14:schemeClr w14:val="tx1"/>
            </w14:solidFill>
          </w14:textFill>
        </w:rPr>
        <w:t>平阳县社会养老福利服务中心项目</w:t>
      </w:r>
    </w:p>
    <w:p>
      <w:pPr>
        <w:pStyle w:val="26"/>
        <w:ind w:firstLine="0" w:firstLineChars="0"/>
        <w:jc w:val="center"/>
        <w:rPr>
          <w:rFonts w:hAnsi="Arial" w:cs="Times New Roman"/>
          <w:b/>
          <w:bCs/>
          <w:color w:val="000000" w:themeColor="text1"/>
          <w:sz w:val="48"/>
          <w:szCs w:val="48"/>
          <w14:textFill>
            <w14:solidFill>
              <w14:schemeClr w14:val="tx1"/>
            </w14:solidFill>
          </w14:textFill>
        </w:rPr>
      </w:pPr>
      <w:r>
        <w:rPr>
          <w:rFonts w:hAnsi="Arial" w:cs="Times New Roman"/>
          <w:b/>
          <w:bCs/>
          <w:color w:val="000000" w:themeColor="text1"/>
          <w:sz w:val="48"/>
          <w:szCs w:val="48"/>
          <w14:textFill>
            <w14:solidFill>
              <w14:schemeClr w14:val="tx1"/>
            </w14:solidFill>
          </w14:textFill>
        </w:rPr>
        <w:t>工程总承包</w:t>
      </w:r>
    </w:p>
    <w:p>
      <w:pPr>
        <w:pStyle w:val="26"/>
        <w:ind w:firstLine="0" w:firstLineChars="0"/>
        <w:jc w:val="center"/>
        <w:rPr>
          <w:rFonts w:hAnsi="Arial" w:cs="Times New Roman"/>
          <w:b/>
          <w:bCs/>
          <w:color w:val="000000" w:themeColor="text1"/>
          <w:sz w:val="36"/>
          <w:szCs w:val="36"/>
          <w14:textFill>
            <w14:solidFill>
              <w14:schemeClr w14:val="tx1"/>
            </w14:solidFill>
          </w14:textFill>
        </w:rPr>
      </w:pPr>
    </w:p>
    <w:p>
      <w:pPr>
        <w:pStyle w:val="26"/>
        <w:ind w:firstLine="0" w:firstLineChars="0"/>
        <w:jc w:val="center"/>
        <w:rPr>
          <w:rFonts w:hAnsi="Arial" w:cs="Times New Roman"/>
          <w:b/>
          <w:bCs/>
          <w:color w:val="000000" w:themeColor="text1"/>
          <w:sz w:val="36"/>
          <w:szCs w:val="36"/>
          <w14:textFill>
            <w14:solidFill>
              <w14:schemeClr w14:val="tx1"/>
            </w14:solidFill>
          </w14:textFill>
        </w:rPr>
      </w:pPr>
    </w:p>
    <w:p>
      <w:pPr>
        <w:pStyle w:val="26"/>
        <w:ind w:firstLine="0" w:firstLineChars="0"/>
        <w:jc w:val="center"/>
        <w:rPr>
          <w:rFonts w:hAnsi="Arial" w:cs="Times New Roman"/>
          <w:b/>
          <w:bCs/>
          <w:color w:val="000000" w:themeColor="text1"/>
          <w:sz w:val="36"/>
          <w:szCs w:val="36"/>
          <w14:textFill>
            <w14:solidFill>
              <w14:schemeClr w14:val="tx1"/>
            </w14:solidFill>
          </w14:textFill>
        </w:rPr>
      </w:pPr>
    </w:p>
    <w:p>
      <w:pPr>
        <w:pStyle w:val="26"/>
        <w:ind w:firstLine="0" w:firstLineChars="0"/>
        <w:jc w:val="center"/>
        <w:rPr>
          <w:rFonts w:hAnsi="Arial" w:cs="Times New Roman"/>
          <w:b/>
          <w:bCs/>
          <w:color w:val="000000" w:themeColor="text1"/>
          <w:sz w:val="36"/>
          <w:szCs w:val="36"/>
          <w14:textFill>
            <w14:solidFill>
              <w14:schemeClr w14:val="tx1"/>
            </w14:solidFill>
          </w14:textFill>
        </w:rPr>
      </w:pPr>
    </w:p>
    <w:p>
      <w:pPr>
        <w:pStyle w:val="26"/>
        <w:ind w:firstLine="0" w:firstLineChars="0"/>
        <w:jc w:val="center"/>
        <w:rPr>
          <w:rFonts w:hAnsi="Arial" w:cs="Times New Roman"/>
          <w:b/>
          <w:bCs/>
          <w:color w:val="000000" w:themeColor="text1"/>
          <w:sz w:val="36"/>
          <w:szCs w:val="36"/>
          <w14:textFill>
            <w14:solidFill>
              <w14:schemeClr w14:val="tx1"/>
            </w14:solidFill>
          </w14:textFill>
        </w:rPr>
      </w:pPr>
    </w:p>
    <w:p>
      <w:pPr>
        <w:pStyle w:val="26"/>
        <w:ind w:firstLine="0" w:firstLineChars="0"/>
        <w:jc w:val="center"/>
        <w:rPr>
          <w:rFonts w:hAnsi="Arial" w:cs="Times New Roman"/>
          <w:b/>
          <w:bCs/>
          <w:color w:val="000000" w:themeColor="text1"/>
          <w:sz w:val="52"/>
          <w:szCs w:val="52"/>
          <w14:textFill>
            <w14:solidFill>
              <w14:schemeClr w14:val="tx1"/>
            </w14:solidFill>
          </w14:textFill>
        </w:rPr>
      </w:pPr>
      <w:r>
        <w:rPr>
          <w:rFonts w:hAnsi="Arial" w:cs="Times New Roman"/>
          <w:b/>
          <w:bCs/>
          <w:color w:val="000000" w:themeColor="text1"/>
          <w:sz w:val="52"/>
          <w:szCs w:val="52"/>
          <w14:textFill>
            <w14:solidFill>
              <w14:schemeClr w14:val="tx1"/>
            </w14:solidFill>
          </w14:textFill>
        </w:rPr>
        <w:t>招</w:t>
      </w:r>
      <w:r>
        <w:rPr>
          <w:rFonts w:hAnsi="Arial"/>
          <w:b/>
          <w:bCs/>
          <w:color w:val="000000" w:themeColor="text1"/>
          <w:sz w:val="52"/>
          <w:szCs w:val="52"/>
          <w14:textFill>
            <w14:solidFill>
              <w14:schemeClr w14:val="tx1"/>
            </w14:solidFill>
          </w14:textFill>
        </w:rPr>
        <w:t xml:space="preserve"> </w:t>
      </w:r>
      <w:r>
        <w:rPr>
          <w:rFonts w:hAnsi="Arial" w:cs="Times New Roman"/>
          <w:b/>
          <w:bCs/>
          <w:color w:val="000000" w:themeColor="text1"/>
          <w:sz w:val="52"/>
          <w:szCs w:val="52"/>
          <w14:textFill>
            <w14:solidFill>
              <w14:schemeClr w14:val="tx1"/>
            </w14:solidFill>
          </w14:textFill>
        </w:rPr>
        <w:t>标</w:t>
      </w:r>
      <w:r>
        <w:rPr>
          <w:rFonts w:hAnsi="Arial"/>
          <w:b/>
          <w:bCs/>
          <w:color w:val="000000" w:themeColor="text1"/>
          <w:sz w:val="52"/>
          <w:szCs w:val="52"/>
          <w14:textFill>
            <w14:solidFill>
              <w14:schemeClr w14:val="tx1"/>
            </w14:solidFill>
          </w14:textFill>
        </w:rPr>
        <w:t xml:space="preserve"> </w:t>
      </w:r>
      <w:r>
        <w:rPr>
          <w:rFonts w:hAnsi="Arial" w:cs="Times New Roman"/>
          <w:b/>
          <w:bCs/>
          <w:color w:val="000000" w:themeColor="text1"/>
          <w:sz w:val="52"/>
          <w:szCs w:val="52"/>
          <w14:textFill>
            <w14:solidFill>
              <w14:schemeClr w14:val="tx1"/>
            </w14:solidFill>
          </w14:textFill>
        </w:rPr>
        <w:t>文</w:t>
      </w:r>
      <w:r>
        <w:rPr>
          <w:rFonts w:hAnsi="Arial"/>
          <w:b/>
          <w:bCs/>
          <w:color w:val="000000" w:themeColor="text1"/>
          <w:sz w:val="52"/>
          <w:szCs w:val="52"/>
          <w14:textFill>
            <w14:solidFill>
              <w14:schemeClr w14:val="tx1"/>
            </w14:solidFill>
          </w14:textFill>
        </w:rPr>
        <w:t xml:space="preserve"> </w:t>
      </w:r>
      <w:r>
        <w:rPr>
          <w:rFonts w:hAnsi="Arial" w:cs="Times New Roman"/>
          <w:b/>
          <w:bCs/>
          <w:color w:val="000000" w:themeColor="text1"/>
          <w:sz w:val="52"/>
          <w:szCs w:val="52"/>
          <w14:textFill>
            <w14:solidFill>
              <w14:schemeClr w14:val="tx1"/>
            </w14:solidFill>
          </w14:textFill>
        </w:rPr>
        <w:t>件</w:t>
      </w:r>
    </w:p>
    <w:p>
      <w:pPr>
        <w:pStyle w:val="26"/>
        <w:ind w:firstLine="2800" w:firstLineChars="1000"/>
        <w:rPr>
          <w:rFonts w:hAnsi="Arial" w:cs="Times New Roman"/>
          <w:color w:val="000000" w:themeColor="text1"/>
          <w:sz w:val="28"/>
          <w:szCs w:val="28"/>
          <w14:textFill>
            <w14:solidFill>
              <w14:schemeClr w14:val="tx1"/>
            </w14:solidFill>
          </w14:textFill>
        </w:rPr>
      </w:pPr>
    </w:p>
    <w:p>
      <w:pPr>
        <w:pStyle w:val="26"/>
        <w:ind w:firstLine="934" w:firstLineChars="310"/>
        <w:rPr>
          <w:rFonts w:cs="Times New Roman" w:eastAsiaTheme="minorEastAsia"/>
          <w:b/>
          <w:bCs/>
          <w:color w:val="000000" w:themeColor="text1"/>
          <w:sz w:val="30"/>
          <w:szCs w:val="30"/>
          <w14:textFill>
            <w14:solidFill>
              <w14:schemeClr w14:val="tx1"/>
            </w14:solidFill>
          </w14:textFill>
        </w:rPr>
      </w:pPr>
    </w:p>
    <w:p>
      <w:pPr>
        <w:pStyle w:val="26"/>
        <w:ind w:firstLine="934" w:firstLineChars="310"/>
        <w:rPr>
          <w:rFonts w:cs="Times New Roman" w:eastAsiaTheme="minorEastAsia"/>
          <w:b/>
          <w:bCs/>
          <w:color w:val="000000" w:themeColor="text1"/>
          <w:sz w:val="30"/>
          <w:szCs w:val="30"/>
          <w14:textFill>
            <w14:solidFill>
              <w14:schemeClr w14:val="tx1"/>
            </w14:solidFill>
          </w14:textFill>
        </w:rPr>
      </w:pPr>
    </w:p>
    <w:p>
      <w:pPr>
        <w:pStyle w:val="26"/>
        <w:ind w:firstLine="930" w:firstLineChars="310"/>
        <w:rPr>
          <w:rFonts w:hAnsi="Arial" w:cs="Times New Roman"/>
          <w:b/>
          <w:bCs/>
          <w:color w:val="000000" w:themeColor="text1"/>
          <w:sz w:val="30"/>
          <w:szCs w:val="30"/>
          <w:u w:val="single"/>
          <w14:textFill>
            <w14:solidFill>
              <w14:schemeClr w14:val="tx1"/>
            </w14:solidFill>
          </w14:textFill>
        </w:rPr>
      </w:pPr>
      <w:r>
        <w:rPr>
          <w:rFonts w:cs="Times New Roman"/>
          <w:b/>
          <w:bCs/>
          <w:color w:val="000000" w:themeColor="text1"/>
          <w:sz w:val="30"/>
          <w:szCs w:val="30"/>
          <w14:textFill>
            <w14:solidFill>
              <w14:schemeClr w14:val="tx1"/>
            </w14:solidFill>
          </w14:textFill>
        </w:rPr>
        <w:t>招</w:t>
      </w:r>
      <w:r>
        <w:rPr>
          <w:b/>
          <w:bCs/>
          <w:color w:val="000000" w:themeColor="text1"/>
          <w:sz w:val="30"/>
          <w:szCs w:val="30"/>
          <w14:textFill>
            <w14:solidFill>
              <w14:schemeClr w14:val="tx1"/>
            </w14:solidFill>
          </w14:textFill>
        </w:rPr>
        <w:t xml:space="preserve"> </w:t>
      </w:r>
      <w:r>
        <w:rPr>
          <w:rFonts w:cs="Times New Roman"/>
          <w:b/>
          <w:bCs/>
          <w:color w:val="000000" w:themeColor="text1"/>
          <w:sz w:val="30"/>
          <w:szCs w:val="30"/>
          <w14:textFill>
            <w14:solidFill>
              <w14:schemeClr w14:val="tx1"/>
            </w14:solidFill>
          </w14:textFill>
        </w:rPr>
        <w:t>标</w:t>
      </w:r>
      <w:r>
        <w:rPr>
          <w:b/>
          <w:bCs/>
          <w:color w:val="000000" w:themeColor="text1"/>
          <w:sz w:val="30"/>
          <w:szCs w:val="30"/>
          <w14:textFill>
            <w14:solidFill>
              <w14:schemeClr w14:val="tx1"/>
            </w14:solidFill>
          </w14:textFill>
        </w:rPr>
        <w:t xml:space="preserve"> </w:t>
      </w:r>
      <w:r>
        <w:rPr>
          <w:rFonts w:cs="Times New Roman"/>
          <w:b/>
          <w:bCs/>
          <w:color w:val="000000" w:themeColor="text1"/>
          <w:sz w:val="30"/>
          <w:szCs w:val="30"/>
          <w14:textFill>
            <w14:solidFill>
              <w14:schemeClr w14:val="tx1"/>
            </w14:solidFill>
          </w14:textFill>
        </w:rPr>
        <w:t>人：</w:t>
      </w:r>
      <w:r>
        <w:rPr>
          <w:rFonts w:hint="eastAsia" w:ascii="宋体" w:hAnsi="宋体" w:eastAsia="宋体" w:cs="宋体"/>
          <w:b/>
          <w:bCs/>
          <w:color w:val="000000" w:themeColor="text1"/>
          <w:sz w:val="30"/>
          <w:szCs w:val="30"/>
          <w:u w:val="single"/>
          <w14:textFill>
            <w14:solidFill>
              <w14:schemeClr w14:val="tx1"/>
            </w14:solidFill>
          </w14:textFill>
        </w:rPr>
        <w:t>平阳县民政局</w:t>
      </w:r>
    </w:p>
    <w:p>
      <w:pPr>
        <w:ind w:firstLine="904" w:firstLineChars="300"/>
        <w:rPr>
          <w:rFonts w:cs="Times New Roman"/>
          <w:b/>
          <w:bCs/>
          <w:color w:val="000000" w:themeColor="text1"/>
          <w:sz w:val="30"/>
          <w:szCs w:val="30"/>
          <w:u w:val="single"/>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代建单位：</w:t>
      </w:r>
      <w:r>
        <w:rPr>
          <w:rFonts w:hint="eastAsia" w:ascii="宋体" w:hAnsi="宋体" w:eastAsia="宋体" w:cs="宋体"/>
          <w:b/>
          <w:bCs/>
          <w:color w:val="000000" w:themeColor="text1"/>
          <w:sz w:val="30"/>
          <w:szCs w:val="30"/>
          <w:u w:val="single"/>
          <w14:textFill>
            <w14:solidFill>
              <w14:schemeClr w14:val="tx1"/>
            </w14:solidFill>
          </w14:textFill>
        </w:rPr>
        <w:t>平阳县政府投资项目建设中心</w:t>
      </w:r>
    </w:p>
    <w:p>
      <w:pPr>
        <w:tabs>
          <w:tab w:val="left" w:pos="360"/>
        </w:tabs>
        <w:ind w:firstLine="900" w:firstLineChars="300"/>
        <w:rPr>
          <w:rFonts w:cs="Times New Roman" w:eastAsiaTheme="minorEastAsia"/>
          <w:b/>
          <w:bCs/>
          <w:color w:val="000000" w:themeColor="text1"/>
          <w:sz w:val="30"/>
          <w:szCs w:val="30"/>
          <w14:textFill>
            <w14:solidFill>
              <w14:schemeClr w14:val="tx1"/>
            </w14:solidFill>
          </w14:textFill>
        </w:rPr>
      </w:pPr>
      <w:r>
        <w:rPr>
          <w:rFonts w:cs="Times New Roman"/>
          <w:b/>
          <w:bCs/>
          <w:color w:val="000000" w:themeColor="text1"/>
          <w:sz w:val="30"/>
          <w:szCs w:val="30"/>
          <w14:textFill>
            <w14:solidFill>
              <w14:schemeClr w14:val="tx1"/>
            </w14:solidFill>
          </w14:textFill>
        </w:rPr>
        <w:t>招标代理机构：</w:t>
      </w:r>
      <w:r>
        <w:rPr>
          <w:b/>
          <w:bCs/>
          <w:color w:val="000000" w:themeColor="text1"/>
          <w:sz w:val="30"/>
          <w:szCs w:val="30"/>
          <w:u w:val="single"/>
          <w14:textFill>
            <w14:solidFill>
              <w14:schemeClr w14:val="tx1"/>
            </w14:solidFill>
          </w14:textFill>
        </w:rPr>
        <w:t xml:space="preserve"> </w:t>
      </w:r>
      <w:r>
        <w:rPr>
          <w:rFonts w:hint="eastAsia" w:asciiTheme="minorEastAsia" w:hAnsiTheme="minorEastAsia" w:eastAsiaTheme="minorEastAsia"/>
          <w:b/>
          <w:bCs/>
          <w:color w:val="000000" w:themeColor="text1"/>
          <w:sz w:val="30"/>
          <w:szCs w:val="30"/>
          <w:u w:val="single"/>
          <w14:textFill>
            <w14:solidFill>
              <w14:schemeClr w14:val="tx1"/>
            </w14:solidFill>
          </w14:textFill>
        </w:rPr>
        <w:t>浙江名进建设项目管理有限公司</w:t>
      </w:r>
    </w:p>
    <w:p>
      <w:pPr>
        <w:ind w:firstLine="0" w:firstLineChars="0"/>
        <w:rPr>
          <w:rFonts w:cs="Times New Roman"/>
          <w:b/>
          <w:bCs/>
          <w:color w:val="000000" w:themeColor="text1"/>
          <w:sz w:val="30"/>
          <w:szCs w:val="30"/>
          <w14:textFill>
            <w14:solidFill>
              <w14:schemeClr w14:val="tx1"/>
            </w14:solidFill>
          </w14:textFill>
        </w:rPr>
      </w:pPr>
    </w:p>
    <w:p>
      <w:pPr>
        <w:ind w:firstLine="3902" w:firstLineChars="1300"/>
        <w:rPr>
          <w:rFonts w:cs="Times New Roman"/>
          <w:b/>
          <w:bCs/>
          <w:color w:val="000000" w:themeColor="text1"/>
          <w:sz w:val="30"/>
          <w:szCs w:val="30"/>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417" w:header="851" w:footer="992" w:gutter="0"/>
          <w:pgNumType w:start="1"/>
          <w:cols w:space="0" w:num="1"/>
          <w:docGrid w:type="lines" w:linePitch="312" w:charSpace="0"/>
        </w:sectPr>
      </w:pPr>
      <w:r>
        <w:rPr>
          <w:b/>
          <w:bCs/>
          <w:color w:val="000000" w:themeColor="text1"/>
          <w:sz w:val="30"/>
          <w:szCs w:val="30"/>
          <w14:textFill>
            <w14:solidFill>
              <w14:schemeClr w14:val="tx1"/>
            </w14:solidFill>
          </w14:textFill>
        </w:rPr>
        <w:t xml:space="preserve"> 20</w:t>
      </w:r>
      <w:r>
        <w:rPr>
          <w:rFonts w:hint="eastAsia" w:eastAsiaTheme="minorEastAsia"/>
          <w:b/>
          <w:bCs/>
          <w:color w:val="000000" w:themeColor="text1"/>
          <w:sz w:val="30"/>
          <w:szCs w:val="30"/>
          <w14:textFill>
            <w14:solidFill>
              <w14:schemeClr w14:val="tx1"/>
            </w14:solidFill>
          </w14:textFill>
        </w:rPr>
        <w:t>20</w:t>
      </w:r>
      <w:r>
        <w:rPr>
          <w:rFonts w:cs="Times New Roman"/>
          <w:b/>
          <w:bCs/>
          <w:color w:val="000000" w:themeColor="text1"/>
          <w:sz w:val="30"/>
          <w:szCs w:val="30"/>
          <w14:textFill>
            <w14:solidFill>
              <w14:schemeClr w14:val="tx1"/>
            </w14:solidFill>
          </w14:textFill>
        </w:rPr>
        <w:t>年</w:t>
      </w:r>
      <w:r>
        <w:rPr>
          <w:rFonts w:eastAsiaTheme="minorEastAsia"/>
          <w:b/>
          <w:bCs/>
          <w:color w:val="000000" w:themeColor="text1"/>
          <w:sz w:val="30"/>
          <w:szCs w:val="30"/>
          <w14:textFill>
            <w14:solidFill>
              <w14:schemeClr w14:val="tx1"/>
            </w14:solidFill>
          </w14:textFill>
        </w:rPr>
        <w:t>10</w:t>
      </w:r>
      <w:r>
        <w:rPr>
          <w:rFonts w:cs="Times New Roman"/>
          <w:b/>
          <w:bCs/>
          <w:color w:val="000000" w:themeColor="text1"/>
          <w:sz w:val="30"/>
          <w:szCs w:val="30"/>
          <w14:textFill>
            <w14:solidFill>
              <w14:schemeClr w14:val="tx1"/>
            </w14:solidFill>
          </w14:textFill>
        </w:rPr>
        <w:t>月</w:t>
      </w:r>
    </w:p>
    <w:p>
      <w:pPr>
        <w:pStyle w:val="26"/>
        <w:ind w:firstLine="602"/>
        <w:jc w:val="center"/>
        <w:rPr>
          <w:rFonts w:hAnsi="Arial" w:cs="Times New Roman"/>
          <w:b/>
          <w:bCs/>
          <w:color w:val="000000" w:themeColor="text1"/>
          <w:sz w:val="30"/>
          <w:szCs w:val="30"/>
          <w14:textFill>
            <w14:solidFill>
              <w14:schemeClr w14:val="tx1"/>
            </w14:solidFill>
          </w14:textFill>
        </w:rPr>
      </w:pPr>
      <w:r>
        <w:rPr>
          <w:rFonts w:hAnsi="Arial"/>
          <w:b/>
          <w:bCs/>
          <w:color w:val="000000" w:themeColor="text1"/>
          <w:sz w:val="30"/>
          <w:szCs w:val="30"/>
          <w14:textFill>
            <w14:solidFill>
              <w14:schemeClr w14:val="tx1"/>
            </w14:solidFill>
          </w14:textFill>
        </w:rPr>
        <w:t xml:space="preserve">   </w:t>
      </w:r>
      <w:r>
        <w:rPr>
          <w:rFonts w:hAnsi="Arial" w:cs="Times New Roman"/>
          <w:b/>
          <w:bCs/>
          <w:color w:val="000000" w:themeColor="text1"/>
          <w:sz w:val="30"/>
          <w:szCs w:val="30"/>
          <w14:textFill>
            <w14:solidFill>
              <w14:schemeClr w14:val="tx1"/>
            </w14:solidFill>
          </w14:textFill>
        </w:rPr>
        <w:t>目</w:t>
      </w:r>
      <w:r>
        <w:rPr>
          <w:rFonts w:hAnsi="Arial"/>
          <w:b/>
          <w:bCs/>
          <w:color w:val="000000" w:themeColor="text1"/>
          <w:sz w:val="30"/>
          <w:szCs w:val="30"/>
          <w14:textFill>
            <w14:solidFill>
              <w14:schemeClr w14:val="tx1"/>
            </w14:solidFill>
          </w14:textFill>
        </w:rPr>
        <w:t xml:space="preserve">      </w:t>
      </w:r>
      <w:r>
        <w:rPr>
          <w:rFonts w:hAnsi="Arial" w:cs="Times New Roman"/>
          <w:b/>
          <w:bCs/>
          <w:color w:val="000000" w:themeColor="text1"/>
          <w:sz w:val="30"/>
          <w:szCs w:val="30"/>
          <w14:textFill>
            <w14:solidFill>
              <w14:schemeClr w14:val="tx1"/>
            </w14:solidFill>
          </w14:textFill>
        </w:rPr>
        <w:t>录</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一、招标公告</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二、投标须知前附表</w:t>
      </w:r>
    </w:p>
    <w:p>
      <w:pPr>
        <w:pStyle w:val="26"/>
        <w:spacing w:line="400" w:lineRule="exact"/>
        <w:ind w:firstLine="436" w:firstLineChars="182"/>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投标须知</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一</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总则</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l</w:t>
      </w:r>
      <w:r>
        <w:rPr>
          <w:rFonts w:hAnsi="Arial" w:cs="Times New Roman"/>
          <w:color w:val="000000" w:themeColor="text1"/>
          <w:sz w:val="24"/>
          <w:szCs w:val="24"/>
          <w14:textFill>
            <w14:solidFill>
              <w14:schemeClr w14:val="tx1"/>
            </w14:solidFill>
          </w14:textFill>
        </w:rPr>
        <w:t>、工程说明</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w:t>
      </w:r>
      <w:r>
        <w:rPr>
          <w:rFonts w:hAnsi="Arial" w:cs="Times New Roman"/>
          <w:color w:val="000000" w:themeColor="text1"/>
          <w:sz w:val="24"/>
          <w:szCs w:val="24"/>
          <w14:textFill>
            <w14:solidFill>
              <w14:schemeClr w14:val="tx1"/>
            </w14:solidFill>
          </w14:textFill>
        </w:rPr>
        <w:t>、招标范围</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w:t>
      </w:r>
      <w:r>
        <w:rPr>
          <w:rFonts w:hAnsi="Arial" w:cs="Times New Roman"/>
          <w:color w:val="000000" w:themeColor="text1"/>
          <w:sz w:val="24"/>
          <w:szCs w:val="24"/>
          <w14:textFill>
            <w14:solidFill>
              <w14:schemeClr w14:val="tx1"/>
            </w14:solidFill>
          </w14:textFill>
        </w:rPr>
        <w:t>、资金来源</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4</w:t>
      </w:r>
      <w:r>
        <w:rPr>
          <w:rFonts w:hAnsi="Arial" w:cs="Times New Roman"/>
          <w:color w:val="000000" w:themeColor="text1"/>
          <w:sz w:val="24"/>
          <w:szCs w:val="24"/>
          <w14:textFill>
            <w14:solidFill>
              <w14:schemeClr w14:val="tx1"/>
            </w14:solidFill>
          </w14:textFill>
        </w:rPr>
        <w:t>、合格的投标人</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5</w:t>
      </w:r>
      <w:r>
        <w:rPr>
          <w:rFonts w:hAnsi="Arial" w:cs="Times New Roman"/>
          <w:color w:val="000000" w:themeColor="text1"/>
          <w:sz w:val="24"/>
          <w:szCs w:val="24"/>
          <w14:textFill>
            <w14:solidFill>
              <w14:schemeClr w14:val="tx1"/>
            </w14:solidFill>
          </w14:textFill>
        </w:rPr>
        <w:t>、投标费用</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6</w:t>
      </w:r>
      <w:r>
        <w:rPr>
          <w:rFonts w:hAnsi="Arial" w:cs="Times New Roman"/>
          <w:color w:val="000000" w:themeColor="text1"/>
          <w:sz w:val="24"/>
          <w:szCs w:val="24"/>
          <w14:textFill>
            <w14:solidFill>
              <w14:schemeClr w14:val="tx1"/>
            </w14:solidFill>
          </w14:textFill>
        </w:rPr>
        <w:t>、踏勘现场</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二</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招标文件</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7</w:t>
      </w:r>
      <w:r>
        <w:rPr>
          <w:rFonts w:hAnsi="Arial" w:cs="Times New Roman"/>
          <w:color w:val="000000" w:themeColor="text1"/>
          <w:sz w:val="24"/>
          <w:szCs w:val="24"/>
          <w14:textFill>
            <w14:solidFill>
              <w14:schemeClr w14:val="tx1"/>
            </w14:solidFill>
          </w14:textFill>
        </w:rPr>
        <w:t>、招标文件的组成</w:t>
      </w:r>
    </w:p>
    <w:p>
      <w:pPr>
        <w:pStyle w:val="26"/>
        <w:spacing w:line="400" w:lineRule="exact"/>
        <w:ind w:firstLine="480"/>
        <w:rPr>
          <w:rFonts w:hAnsi="Arial"/>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8</w:t>
      </w:r>
      <w:r>
        <w:rPr>
          <w:rFonts w:hAnsi="Arial" w:cs="Times New Roman"/>
          <w:color w:val="000000" w:themeColor="text1"/>
          <w:sz w:val="24"/>
          <w:szCs w:val="24"/>
          <w14:textFill>
            <w14:solidFill>
              <w14:schemeClr w14:val="tx1"/>
            </w14:solidFill>
          </w14:textFill>
        </w:rPr>
        <w:t>、招标文件的澄清</w:t>
      </w:r>
      <w:r>
        <w:rPr>
          <w:rFonts w:hAnsi="Arial"/>
          <w:color w:val="000000" w:themeColor="text1"/>
          <w:sz w:val="24"/>
          <w:szCs w:val="24"/>
          <w14:textFill>
            <w14:solidFill>
              <w14:schemeClr w14:val="tx1"/>
            </w14:solidFill>
          </w14:textFill>
        </w:rPr>
        <w:t xml:space="preserve"> </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9</w:t>
      </w:r>
      <w:r>
        <w:rPr>
          <w:rFonts w:hAnsi="Arial" w:cs="Times New Roman"/>
          <w:color w:val="000000" w:themeColor="text1"/>
          <w:sz w:val="24"/>
          <w:szCs w:val="24"/>
          <w14:textFill>
            <w14:solidFill>
              <w14:schemeClr w14:val="tx1"/>
            </w14:solidFill>
          </w14:textFill>
        </w:rPr>
        <w:t>、招标文件的修改</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三</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投标文件的编制</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10</w:t>
      </w:r>
      <w:r>
        <w:rPr>
          <w:rFonts w:hAnsi="Arial" w:cs="Times New Roman"/>
          <w:color w:val="000000" w:themeColor="text1"/>
          <w:sz w:val="24"/>
          <w:szCs w:val="24"/>
          <w14:textFill>
            <w14:solidFill>
              <w14:schemeClr w14:val="tx1"/>
            </w14:solidFill>
          </w14:textFill>
        </w:rPr>
        <w:t>、投标文件的语言及度量衡单位</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11</w:t>
      </w:r>
      <w:r>
        <w:rPr>
          <w:rFonts w:hAnsi="Arial" w:cs="Times New Roman"/>
          <w:color w:val="000000" w:themeColor="text1"/>
          <w:sz w:val="24"/>
          <w:szCs w:val="24"/>
          <w14:textFill>
            <w14:solidFill>
              <w14:schemeClr w14:val="tx1"/>
            </w14:solidFill>
          </w14:textFill>
        </w:rPr>
        <w:t>、投标文件的组成</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12</w:t>
      </w:r>
      <w:r>
        <w:rPr>
          <w:rFonts w:hAnsi="Arial" w:cs="Times New Roman"/>
          <w:color w:val="000000" w:themeColor="text1"/>
          <w:sz w:val="24"/>
          <w:szCs w:val="24"/>
          <w14:textFill>
            <w14:solidFill>
              <w14:schemeClr w14:val="tx1"/>
            </w14:solidFill>
          </w14:textFill>
        </w:rPr>
        <w:t>、投标文件格式</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13</w:t>
      </w:r>
      <w:r>
        <w:rPr>
          <w:rFonts w:hAnsi="Arial" w:cs="Times New Roman"/>
          <w:color w:val="000000" w:themeColor="text1"/>
          <w:sz w:val="24"/>
          <w:szCs w:val="24"/>
          <w14:textFill>
            <w14:solidFill>
              <w14:schemeClr w14:val="tx1"/>
            </w14:solidFill>
          </w14:textFill>
        </w:rPr>
        <w:t>、投标报价</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14</w:t>
      </w:r>
      <w:r>
        <w:rPr>
          <w:rFonts w:hAnsi="Arial" w:cs="Times New Roman"/>
          <w:color w:val="000000" w:themeColor="text1"/>
          <w:sz w:val="24"/>
          <w:szCs w:val="24"/>
          <w14:textFill>
            <w14:solidFill>
              <w14:schemeClr w14:val="tx1"/>
            </w14:solidFill>
          </w14:textFill>
        </w:rPr>
        <w:t>、投标货币</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15</w:t>
      </w:r>
      <w:r>
        <w:rPr>
          <w:rFonts w:hAnsi="Arial" w:cs="Times New Roman"/>
          <w:color w:val="000000" w:themeColor="text1"/>
          <w:sz w:val="24"/>
          <w:szCs w:val="24"/>
          <w14:textFill>
            <w14:solidFill>
              <w14:schemeClr w14:val="tx1"/>
            </w14:solidFill>
          </w14:textFill>
        </w:rPr>
        <w:t>、投标有效期</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16</w:t>
      </w:r>
      <w:r>
        <w:rPr>
          <w:rFonts w:hAnsi="Arial" w:cs="Times New Roman"/>
          <w:color w:val="000000" w:themeColor="text1"/>
          <w:sz w:val="24"/>
          <w:szCs w:val="24"/>
          <w14:textFill>
            <w14:solidFill>
              <w14:schemeClr w14:val="tx1"/>
            </w14:solidFill>
          </w14:textFill>
        </w:rPr>
        <w:t>、投标保证金</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17</w:t>
      </w:r>
      <w:r>
        <w:rPr>
          <w:rFonts w:hAnsi="Arial" w:cs="Times New Roman"/>
          <w:color w:val="000000" w:themeColor="text1"/>
          <w:sz w:val="24"/>
          <w:szCs w:val="24"/>
          <w14:textFill>
            <w14:solidFill>
              <w14:schemeClr w14:val="tx1"/>
            </w14:solidFill>
          </w14:textFill>
        </w:rPr>
        <w:t>、投标预备会</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18</w:t>
      </w:r>
      <w:r>
        <w:rPr>
          <w:rFonts w:hAnsi="Arial" w:cs="Times New Roman"/>
          <w:color w:val="000000" w:themeColor="text1"/>
          <w:sz w:val="24"/>
          <w:szCs w:val="24"/>
          <w14:textFill>
            <w14:solidFill>
              <w14:schemeClr w14:val="tx1"/>
            </w14:solidFill>
          </w14:textFill>
        </w:rPr>
        <w:t>、投标人的替代方案</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19</w:t>
      </w:r>
      <w:r>
        <w:rPr>
          <w:rFonts w:hAnsi="Arial" w:cs="Times New Roman"/>
          <w:color w:val="000000" w:themeColor="text1"/>
          <w:sz w:val="24"/>
          <w:szCs w:val="24"/>
          <w14:textFill>
            <w14:solidFill>
              <w14:schemeClr w14:val="tx1"/>
            </w14:solidFill>
          </w14:textFill>
        </w:rPr>
        <w:t>、投标文件的份数和签署</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四</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投标文件的递交</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20</w:t>
      </w:r>
      <w:r>
        <w:rPr>
          <w:rFonts w:hAnsi="Arial" w:cs="Times New Roman"/>
          <w:color w:val="000000" w:themeColor="text1"/>
          <w:sz w:val="24"/>
          <w:szCs w:val="24"/>
          <w14:textFill>
            <w14:solidFill>
              <w14:schemeClr w14:val="tx1"/>
            </w14:solidFill>
          </w14:textFill>
        </w:rPr>
        <w:t>、投标文件的密封和标记</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21</w:t>
      </w:r>
      <w:r>
        <w:rPr>
          <w:rFonts w:hAnsi="Arial" w:cs="Times New Roman"/>
          <w:color w:val="000000" w:themeColor="text1"/>
          <w:sz w:val="24"/>
          <w:szCs w:val="24"/>
          <w14:textFill>
            <w14:solidFill>
              <w14:schemeClr w14:val="tx1"/>
            </w14:solidFill>
          </w14:textFill>
        </w:rPr>
        <w:t>、投标截止日期</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22</w:t>
      </w:r>
      <w:r>
        <w:rPr>
          <w:rFonts w:hAnsi="Arial" w:cs="Times New Roman"/>
          <w:color w:val="000000" w:themeColor="text1"/>
          <w:sz w:val="24"/>
          <w:szCs w:val="24"/>
          <w14:textFill>
            <w14:solidFill>
              <w14:schemeClr w14:val="tx1"/>
            </w14:solidFill>
          </w14:textFill>
        </w:rPr>
        <w:t>、迟交的投标文件</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23</w:t>
      </w:r>
      <w:r>
        <w:rPr>
          <w:rFonts w:hAnsi="Arial" w:cs="Times New Roman"/>
          <w:color w:val="000000" w:themeColor="text1"/>
          <w:sz w:val="24"/>
          <w:szCs w:val="24"/>
          <w14:textFill>
            <w14:solidFill>
              <w14:schemeClr w14:val="tx1"/>
            </w14:solidFill>
          </w14:textFill>
        </w:rPr>
        <w:t>、投标文件的补充、修改与撤回</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五</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开标</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24</w:t>
      </w:r>
      <w:r>
        <w:rPr>
          <w:rFonts w:hAnsi="Arial" w:cs="Times New Roman"/>
          <w:color w:val="000000" w:themeColor="text1"/>
          <w:sz w:val="24"/>
          <w:szCs w:val="24"/>
          <w14:textFill>
            <w14:solidFill>
              <w14:schemeClr w14:val="tx1"/>
            </w14:solidFill>
          </w14:textFill>
        </w:rPr>
        <w:t>、开标</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25</w:t>
      </w:r>
      <w:r>
        <w:rPr>
          <w:rFonts w:hAnsi="Arial" w:cs="Times New Roman"/>
          <w:color w:val="000000" w:themeColor="text1"/>
          <w:sz w:val="24"/>
          <w:szCs w:val="24"/>
          <w14:textFill>
            <w14:solidFill>
              <w14:schemeClr w14:val="tx1"/>
            </w14:solidFill>
          </w14:textFill>
        </w:rPr>
        <w:t>、投标文件的开标阶段审查</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六</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评标</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26</w:t>
      </w:r>
      <w:r>
        <w:rPr>
          <w:rFonts w:hAnsi="Arial" w:cs="Times New Roman"/>
          <w:color w:val="000000" w:themeColor="text1"/>
          <w:sz w:val="24"/>
          <w:szCs w:val="24"/>
          <w14:textFill>
            <w14:solidFill>
              <w14:schemeClr w14:val="tx1"/>
            </w14:solidFill>
          </w14:textFill>
        </w:rPr>
        <w:t>、评标会议</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27</w:t>
      </w:r>
      <w:r>
        <w:rPr>
          <w:rFonts w:hAnsi="Arial" w:cs="Times New Roman"/>
          <w:color w:val="000000" w:themeColor="text1"/>
          <w:sz w:val="24"/>
          <w:szCs w:val="24"/>
          <w14:textFill>
            <w14:solidFill>
              <w14:schemeClr w14:val="tx1"/>
            </w14:solidFill>
          </w14:textFill>
        </w:rPr>
        <w:t>、评标过程的保密</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28</w:t>
      </w:r>
      <w:r>
        <w:rPr>
          <w:rFonts w:hAnsi="Arial" w:cs="Times New Roman"/>
          <w:color w:val="000000" w:themeColor="text1"/>
          <w:sz w:val="24"/>
          <w:szCs w:val="24"/>
          <w14:textFill>
            <w14:solidFill>
              <w14:schemeClr w14:val="tx1"/>
            </w14:solidFill>
          </w14:textFill>
        </w:rPr>
        <w:t>、资格后审</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29</w:t>
      </w:r>
      <w:r>
        <w:rPr>
          <w:rFonts w:hAnsi="Arial" w:cs="Times New Roman"/>
          <w:color w:val="000000" w:themeColor="text1"/>
          <w:sz w:val="24"/>
          <w:szCs w:val="24"/>
          <w14:textFill>
            <w14:solidFill>
              <w14:schemeClr w14:val="tx1"/>
            </w14:solidFill>
          </w14:textFill>
        </w:rPr>
        <w:t>、投标文件的澄清</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30</w:t>
      </w:r>
      <w:r>
        <w:rPr>
          <w:rFonts w:hAnsi="Arial" w:cs="Times New Roman"/>
          <w:color w:val="000000" w:themeColor="text1"/>
          <w:sz w:val="24"/>
          <w:szCs w:val="24"/>
          <w14:textFill>
            <w14:solidFill>
              <w14:schemeClr w14:val="tx1"/>
            </w14:solidFill>
          </w14:textFill>
        </w:rPr>
        <w:t>、投标文件的符合性鉴定</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31</w:t>
      </w:r>
      <w:r>
        <w:rPr>
          <w:rFonts w:hAnsi="Arial" w:cs="Times New Roman"/>
          <w:color w:val="000000" w:themeColor="text1"/>
          <w:sz w:val="24"/>
          <w:szCs w:val="24"/>
          <w14:textFill>
            <w14:solidFill>
              <w14:schemeClr w14:val="tx1"/>
            </w14:solidFill>
          </w14:textFill>
        </w:rPr>
        <w:t>、错误的修正</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32</w:t>
      </w:r>
      <w:r>
        <w:rPr>
          <w:rFonts w:hAnsi="Arial" w:cs="Times New Roman"/>
          <w:color w:val="000000" w:themeColor="text1"/>
          <w:sz w:val="24"/>
          <w:szCs w:val="24"/>
          <w14:textFill>
            <w14:solidFill>
              <w14:schemeClr w14:val="tx1"/>
            </w14:solidFill>
          </w14:textFill>
        </w:rPr>
        <w:t>、投标文件的评估和比较</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七</w:t>
      </w:r>
      <w:r>
        <w:rPr>
          <w:rFonts w:hAnsi="Arial"/>
          <w:color w:val="000000" w:themeColor="text1"/>
          <w:sz w:val="24"/>
          <w:szCs w:val="24"/>
          <w14:textFill>
            <w14:solidFill>
              <w14:schemeClr w14:val="tx1"/>
            </w14:solidFill>
          </w14:textFill>
        </w:rPr>
        <w:t>)</w:t>
      </w:r>
      <w:r>
        <w:rPr>
          <w:rFonts w:hAnsi="Arial" w:cs="Times New Roman"/>
          <w:color w:val="000000" w:themeColor="text1"/>
          <w:sz w:val="24"/>
          <w:szCs w:val="24"/>
          <w14:textFill>
            <w14:solidFill>
              <w14:schemeClr w14:val="tx1"/>
            </w14:solidFill>
          </w14:textFill>
        </w:rPr>
        <w:t>合同的授予</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33</w:t>
      </w:r>
      <w:r>
        <w:rPr>
          <w:rFonts w:hAnsi="Arial" w:cs="Times New Roman"/>
          <w:color w:val="000000" w:themeColor="text1"/>
          <w:sz w:val="24"/>
          <w:szCs w:val="24"/>
          <w14:textFill>
            <w14:solidFill>
              <w14:schemeClr w14:val="tx1"/>
            </w14:solidFill>
          </w14:textFill>
        </w:rPr>
        <w:t>、合同授予标准</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34</w:t>
      </w:r>
      <w:r>
        <w:rPr>
          <w:rFonts w:hAnsi="Arial" w:cs="Times New Roman"/>
          <w:color w:val="000000" w:themeColor="text1"/>
          <w:sz w:val="24"/>
          <w:szCs w:val="24"/>
          <w14:textFill>
            <w14:solidFill>
              <w14:schemeClr w14:val="tx1"/>
            </w14:solidFill>
          </w14:textFill>
        </w:rPr>
        <w:t>、招标人拒绝任何或所有投标的权力</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35</w:t>
      </w:r>
      <w:r>
        <w:rPr>
          <w:rFonts w:hAnsi="Arial" w:cs="Times New Roman"/>
          <w:color w:val="000000" w:themeColor="text1"/>
          <w:sz w:val="24"/>
          <w:szCs w:val="24"/>
          <w14:textFill>
            <w14:solidFill>
              <w14:schemeClr w14:val="tx1"/>
            </w14:solidFill>
          </w14:textFill>
        </w:rPr>
        <w:t>、中标通知书</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36</w:t>
      </w:r>
      <w:r>
        <w:rPr>
          <w:rFonts w:hAnsi="Arial" w:cs="Times New Roman"/>
          <w:color w:val="000000" w:themeColor="text1"/>
          <w:sz w:val="24"/>
          <w:szCs w:val="24"/>
          <w14:textFill>
            <w14:solidFill>
              <w14:schemeClr w14:val="tx1"/>
            </w14:solidFill>
          </w14:textFill>
        </w:rPr>
        <w:t>、合同协议书的签订</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olor w:val="000000" w:themeColor="text1"/>
          <w:sz w:val="24"/>
          <w:szCs w:val="24"/>
          <w14:textFill>
            <w14:solidFill>
              <w14:schemeClr w14:val="tx1"/>
            </w14:solidFill>
          </w14:textFill>
        </w:rPr>
        <w:t>37</w:t>
      </w:r>
      <w:r>
        <w:rPr>
          <w:rFonts w:hAnsi="Arial" w:cs="Times New Roman"/>
          <w:color w:val="000000" w:themeColor="text1"/>
          <w:sz w:val="24"/>
          <w:szCs w:val="24"/>
          <w14:textFill>
            <w14:solidFill>
              <w14:schemeClr w14:val="tx1"/>
            </w14:solidFill>
          </w14:textFill>
        </w:rPr>
        <w:t>、履约担保</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三、评标办法</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四、合同条款及格式</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五、投标文件格式</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六、技术标准和要求</w:t>
      </w:r>
    </w:p>
    <w:p>
      <w:pPr>
        <w:pStyle w:val="26"/>
        <w:spacing w:line="400" w:lineRule="exact"/>
        <w:ind w:firstLine="480"/>
        <w:rPr>
          <w:rFonts w:hAnsi="Arial" w:cs="Times New Roman"/>
          <w:color w:val="000000" w:themeColor="text1"/>
          <w:sz w:val="24"/>
          <w:szCs w:val="24"/>
          <w14:textFill>
            <w14:solidFill>
              <w14:schemeClr w14:val="tx1"/>
            </w14:solidFill>
          </w14:textFill>
        </w:rPr>
      </w:pPr>
      <w:r>
        <w:rPr>
          <w:rFonts w:hAnsi="Arial" w:cs="Times New Roman"/>
          <w:color w:val="000000" w:themeColor="text1"/>
          <w:sz w:val="24"/>
          <w:szCs w:val="24"/>
          <w14:textFill>
            <w14:solidFill>
              <w14:schemeClr w14:val="tx1"/>
            </w14:solidFill>
          </w14:textFill>
        </w:rPr>
        <w:t>七、招标人提供的资料</w:t>
      </w:r>
    </w:p>
    <w:p>
      <w:pPr>
        <w:pStyle w:val="26"/>
        <w:spacing w:line="400" w:lineRule="exact"/>
        <w:ind w:firstLine="480"/>
        <w:rPr>
          <w:rFonts w:hAnsi="Arial" w:cs="Times New Roman"/>
          <w:color w:val="000000" w:themeColor="text1"/>
          <w:sz w:val="24"/>
          <w:szCs w:val="24"/>
          <w14:textFill>
            <w14:solidFill>
              <w14:schemeClr w14:val="tx1"/>
            </w14:solidFill>
          </w14:textFill>
        </w:rPr>
      </w:pPr>
    </w:p>
    <w:p>
      <w:pPr>
        <w:pStyle w:val="26"/>
        <w:spacing w:line="420" w:lineRule="exact"/>
        <w:ind w:firstLine="602"/>
        <w:jc w:val="center"/>
        <w:rPr>
          <w:rFonts w:cs="Times New Roman"/>
          <w:b/>
          <w:bCs/>
          <w:color w:val="000000" w:themeColor="text1"/>
          <w:sz w:val="30"/>
          <w:szCs w:val="30"/>
          <w14:textFill>
            <w14:solidFill>
              <w14:schemeClr w14:val="tx1"/>
            </w14:solidFill>
          </w14:textFill>
        </w:rPr>
      </w:pPr>
    </w:p>
    <w:p>
      <w:pPr>
        <w:pStyle w:val="26"/>
        <w:spacing w:line="420" w:lineRule="exact"/>
        <w:ind w:firstLine="602"/>
        <w:jc w:val="center"/>
        <w:rPr>
          <w:rFonts w:cs="Times New Roman"/>
          <w:b/>
          <w:bCs/>
          <w:color w:val="000000" w:themeColor="text1"/>
          <w:sz w:val="30"/>
          <w:szCs w:val="30"/>
          <w14:textFill>
            <w14:solidFill>
              <w14:schemeClr w14:val="tx1"/>
            </w14:solidFill>
          </w14:textFill>
        </w:rPr>
        <w:sectPr>
          <w:pgSz w:w="11906" w:h="16838"/>
          <w:pgMar w:top="1440" w:right="1800" w:bottom="1440" w:left="1417" w:header="851" w:footer="992" w:gutter="0"/>
          <w:cols w:space="0" w:num="1"/>
          <w:docGrid w:type="lines" w:linePitch="312" w:charSpace="0"/>
        </w:sectPr>
      </w:pPr>
    </w:p>
    <w:p>
      <w:pPr>
        <w:pStyle w:val="138"/>
        <w:snapToGrid w:val="0"/>
        <w:spacing w:after="0" w:line="520" w:lineRule="exact"/>
        <w:ind w:firstLine="0" w:firstLineChars="0"/>
        <w:jc w:val="center"/>
        <w:rPr>
          <w:rFonts w:ascii="Calibri" w:cs="Times New Roman"/>
          <w:color w:val="000000" w:themeColor="text1"/>
          <w:sz w:val="36"/>
          <w:szCs w:val="36"/>
          <w14:textFill>
            <w14:solidFill>
              <w14:schemeClr w14:val="tx1"/>
            </w14:solidFill>
          </w14:textFill>
        </w:rPr>
      </w:pPr>
      <w:r>
        <w:rPr>
          <w:rFonts w:ascii="Calibri" w:cs="Times New Roman"/>
          <w:color w:val="000000" w:themeColor="text1"/>
          <w:sz w:val="36"/>
          <w:szCs w:val="36"/>
          <w14:textFill>
            <w14:solidFill>
              <w14:schemeClr w14:val="tx1"/>
            </w14:solidFill>
          </w14:textFill>
        </w:rPr>
        <w:t>一、招标公告</w:t>
      </w:r>
    </w:p>
    <w:p>
      <w:pPr>
        <w:pStyle w:val="138"/>
        <w:snapToGrid w:val="0"/>
        <w:spacing w:after="0" w:line="520" w:lineRule="exact"/>
        <w:ind w:firstLine="0" w:firstLineChars="0"/>
        <w:jc w:val="center"/>
        <w:rPr>
          <w:rFonts w:ascii="Calibri" w:cs="Times New Roman"/>
          <w:color w:val="000000" w:themeColor="text1"/>
          <w:sz w:val="32"/>
          <w:szCs w:val="32"/>
          <w14:textFill>
            <w14:solidFill>
              <w14:schemeClr w14:val="tx1"/>
            </w14:solidFill>
          </w14:textFill>
        </w:rPr>
      </w:pPr>
      <w:bookmarkStart w:id="1" w:name="OLE_LINK1"/>
      <w:r>
        <w:rPr>
          <w:rFonts w:hint="eastAsia" w:ascii="宋体" w:hAnsi="宋体" w:eastAsia="宋体" w:cs="宋体"/>
          <w:color w:val="000000" w:themeColor="text1"/>
          <w14:textFill>
            <w14:solidFill>
              <w14:schemeClr w14:val="tx1"/>
            </w14:solidFill>
          </w14:textFill>
        </w:rPr>
        <w:t>平阳县社会养老福利服务中心项目工程总承包</w:t>
      </w:r>
      <w:r>
        <w:rPr>
          <w:rFonts w:ascii="Calibri" w:cs="Times New Roman"/>
          <w:color w:val="000000" w:themeColor="text1"/>
          <w14:textFill>
            <w14:solidFill>
              <w14:schemeClr w14:val="tx1"/>
            </w14:solidFill>
          </w14:textFill>
        </w:rPr>
        <w:t>招标公告</w:t>
      </w:r>
    </w:p>
    <w:p>
      <w:pPr>
        <w:pStyle w:val="106"/>
        <w:adjustRightInd/>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 xml:space="preserve">1. </w:t>
      </w:r>
      <w:r>
        <w:rPr>
          <w:rFonts w:cs="Times New Roman" w:asciiTheme="minorEastAsia" w:hAnsiTheme="minorEastAsia" w:eastAsiaTheme="minorEastAsia"/>
          <w:b/>
          <w:bCs/>
          <w:color w:val="000000" w:themeColor="text1"/>
          <w:sz w:val="22"/>
          <w:szCs w:val="22"/>
          <w14:textFill>
            <w14:solidFill>
              <w14:schemeClr w14:val="tx1"/>
            </w14:solidFill>
          </w14:textFill>
        </w:rPr>
        <w:t>招标条件</w:t>
      </w:r>
    </w:p>
    <w:p>
      <w:pPr>
        <w:pStyle w:val="106"/>
        <w:adjustRightInd/>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本招标项目</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平阳县社会养老福利服务中心项目</w:t>
      </w:r>
      <w:r>
        <w:rPr>
          <w:rFonts w:cs="Times New Roman" w:asciiTheme="minorEastAsia" w:hAnsiTheme="minorEastAsia" w:eastAsiaTheme="minorEastAsia"/>
          <w:color w:val="000000" w:themeColor="text1"/>
          <w:sz w:val="22"/>
          <w:szCs w:val="22"/>
          <w14:textFill>
            <w14:solidFill>
              <w14:schemeClr w14:val="tx1"/>
            </w14:solidFill>
          </w14:textFill>
        </w:rPr>
        <w:t>已由</w:t>
      </w:r>
      <w:r>
        <w:rPr>
          <w:rFonts w:cs="Times New Roman" w:asciiTheme="minorEastAsia" w:hAnsiTheme="minorEastAsia" w:eastAsiaTheme="minorEastAsia"/>
          <w:color w:val="000000" w:themeColor="text1"/>
          <w:sz w:val="22"/>
          <w:szCs w:val="22"/>
          <w:u w:val="single"/>
          <w14:textFill>
            <w14:solidFill>
              <w14:schemeClr w14:val="tx1"/>
            </w14:solidFill>
          </w14:textFill>
        </w:rPr>
        <w:t>平阳县发展和改革局</w:t>
      </w:r>
      <w:r>
        <w:rPr>
          <w:rFonts w:hint="eastAsia" w:cs="Times New Roman" w:asciiTheme="minorEastAsia" w:hAnsiTheme="minorEastAsia" w:eastAsiaTheme="minorEastAsia"/>
          <w:color w:val="000000" w:themeColor="text1"/>
          <w:sz w:val="22"/>
          <w:szCs w:val="22"/>
          <w14:textFill>
            <w14:solidFill>
              <w14:schemeClr w14:val="tx1"/>
            </w14:solidFill>
          </w14:textFill>
        </w:rPr>
        <w:t>以</w:t>
      </w:r>
      <w:r>
        <w:rPr>
          <w:rFonts w:cs="Times New Roman" w:asciiTheme="minorEastAsia" w:hAnsiTheme="minorEastAsia" w:eastAsiaTheme="minorEastAsia"/>
          <w:color w:val="000000" w:themeColor="text1"/>
          <w:sz w:val="22"/>
          <w:szCs w:val="22"/>
          <w:u w:val="single"/>
          <w14:textFill>
            <w14:solidFill>
              <w14:schemeClr w14:val="tx1"/>
            </w14:solidFill>
          </w14:textFill>
        </w:rPr>
        <w:t>平发改投资【2020】273号</w:t>
      </w:r>
      <w:r>
        <w:rPr>
          <w:rFonts w:hint="eastAsia" w:cs="Times New Roman" w:asciiTheme="minorEastAsia" w:hAnsiTheme="minorEastAsia" w:eastAsiaTheme="minorEastAsia"/>
          <w:color w:val="000000" w:themeColor="text1"/>
          <w:sz w:val="22"/>
          <w:szCs w:val="22"/>
          <w14:textFill>
            <w14:solidFill>
              <w14:schemeClr w14:val="tx1"/>
            </w14:solidFill>
          </w14:textFill>
        </w:rPr>
        <w:t>等</w:t>
      </w:r>
      <w:r>
        <w:rPr>
          <w:rFonts w:cs="Times New Roman" w:asciiTheme="minorEastAsia" w:hAnsiTheme="minorEastAsia" w:eastAsiaTheme="minorEastAsia"/>
          <w:color w:val="000000" w:themeColor="text1"/>
          <w:sz w:val="22"/>
          <w:szCs w:val="22"/>
          <w14:textFill>
            <w14:solidFill>
              <w14:schemeClr w14:val="tx1"/>
            </w14:solidFill>
          </w14:textFill>
        </w:rPr>
        <w:t>批准建设，项目业主为</w:t>
      </w:r>
      <w:r>
        <w:rPr>
          <w:rFonts w:cs="Times New Roman" w:asciiTheme="minorEastAsia" w:hAnsiTheme="minorEastAsia" w:eastAsiaTheme="minorEastAsia"/>
          <w:color w:val="000000" w:themeColor="text1"/>
          <w:sz w:val="22"/>
          <w:szCs w:val="22"/>
          <w:u w:val="single"/>
          <w14:textFill>
            <w14:solidFill>
              <w14:schemeClr w14:val="tx1"/>
            </w14:solidFill>
          </w14:textFill>
        </w:rPr>
        <w:t>平阳县民政局</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、平阳县政府投资项目建设中心（代建单位）</w:t>
      </w:r>
      <w:r>
        <w:rPr>
          <w:rFonts w:cs="Times New Roman" w:asciiTheme="minorEastAsia" w:hAnsiTheme="minorEastAsia" w:eastAsiaTheme="minorEastAsia"/>
          <w:color w:val="000000" w:themeColor="text1"/>
          <w:sz w:val="22"/>
          <w:szCs w:val="22"/>
          <w14:textFill>
            <w14:solidFill>
              <w14:schemeClr w14:val="tx1"/>
            </w14:solidFill>
          </w14:textFill>
        </w:rPr>
        <w:t>，建设资金来自</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财政统</w:t>
      </w:r>
      <w:r>
        <w:rPr>
          <w:rFonts w:cs="Times New Roman" w:asciiTheme="minorEastAsia" w:hAnsiTheme="minorEastAsia" w:eastAsiaTheme="minorEastAsia"/>
          <w:color w:val="000000" w:themeColor="text1"/>
          <w:sz w:val="22"/>
          <w:szCs w:val="22"/>
          <w:u w:val="single"/>
          <w14:textFill>
            <w14:solidFill>
              <w14:schemeClr w14:val="tx1"/>
            </w14:solidFill>
          </w14:textFill>
        </w:rPr>
        <w:t>筹</w:t>
      </w:r>
      <w:r>
        <w:rPr>
          <w:rFonts w:asciiTheme="minorEastAsia" w:hAnsiTheme="minorEastAsia" w:eastAsiaTheme="minorEastAsia"/>
          <w:color w:val="000000" w:themeColor="text1"/>
          <w:sz w:val="22"/>
          <w:szCs w:val="22"/>
          <w:u w:val="single"/>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，项目出资比例为</w:t>
      </w:r>
      <w:r>
        <w:rPr>
          <w:rFonts w:asciiTheme="minorEastAsia" w:hAnsiTheme="minorEastAsia" w:eastAsiaTheme="minorEastAsia"/>
          <w:color w:val="000000" w:themeColor="text1"/>
          <w:sz w:val="22"/>
          <w:szCs w:val="22"/>
          <w:u w:val="single"/>
          <w14:textFill>
            <w14:solidFill>
              <w14:schemeClr w14:val="tx1"/>
            </w14:solidFill>
          </w14:textFill>
        </w:rPr>
        <w:t>100%</w:t>
      </w:r>
      <w:r>
        <w:rPr>
          <w:rFonts w:cs="Times New Roman" w:asciiTheme="minorEastAsia" w:hAnsiTheme="minorEastAsia" w:eastAsiaTheme="minorEastAsia"/>
          <w:color w:val="000000" w:themeColor="text1"/>
          <w:sz w:val="22"/>
          <w:szCs w:val="22"/>
          <w14:textFill>
            <w14:solidFill>
              <w14:schemeClr w14:val="tx1"/>
            </w14:solidFill>
          </w14:textFill>
        </w:rPr>
        <w:t>，招标人为</w:t>
      </w:r>
      <w:r>
        <w:rPr>
          <w:rFonts w:cs="Times New Roman" w:asciiTheme="minorEastAsia" w:hAnsiTheme="minorEastAsia" w:eastAsiaTheme="minorEastAsia"/>
          <w:color w:val="000000" w:themeColor="text1"/>
          <w:sz w:val="22"/>
          <w:szCs w:val="22"/>
          <w:u w:val="single"/>
          <w14:textFill>
            <w14:solidFill>
              <w14:schemeClr w14:val="tx1"/>
            </w14:solidFill>
          </w14:textFill>
        </w:rPr>
        <w:t>平阳县民政局</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、平阳县政府投资项目建设中心（代建单位）</w:t>
      </w:r>
      <w:r>
        <w:rPr>
          <w:rFonts w:cs="Times New Roman"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项目已具备招标条件，现对该项目的</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工程</w:t>
      </w:r>
      <w:r>
        <w:rPr>
          <w:rFonts w:cs="Times New Roman" w:asciiTheme="minorEastAsia" w:hAnsiTheme="minorEastAsia" w:eastAsiaTheme="minorEastAsia"/>
          <w:color w:val="000000" w:themeColor="text1"/>
          <w:sz w:val="22"/>
          <w:szCs w:val="22"/>
          <w:u w:val="single"/>
          <w14:textFill>
            <w14:solidFill>
              <w14:schemeClr w14:val="tx1"/>
            </w14:solidFill>
          </w14:textFill>
        </w:rPr>
        <w:t>总承包</w:t>
      </w:r>
      <w:r>
        <w:rPr>
          <w:rFonts w:cs="Times New Roman" w:asciiTheme="minorEastAsia" w:hAnsiTheme="minorEastAsia" w:eastAsiaTheme="minorEastAsia"/>
          <w:color w:val="000000" w:themeColor="text1"/>
          <w:sz w:val="22"/>
          <w:szCs w:val="22"/>
          <w14:textFill>
            <w14:solidFill>
              <w14:schemeClr w14:val="tx1"/>
            </w14:solidFill>
          </w14:textFill>
        </w:rPr>
        <w:t>进行公开招标。</w:t>
      </w:r>
    </w:p>
    <w:p>
      <w:pPr>
        <w:pStyle w:val="106"/>
        <w:adjustRightInd/>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 xml:space="preserve">2. </w:t>
      </w:r>
      <w:r>
        <w:rPr>
          <w:rFonts w:cs="Times New Roman" w:asciiTheme="minorEastAsia" w:hAnsiTheme="minorEastAsia" w:eastAsiaTheme="minorEastAsia"/>
          <w:b/>
          <w:bCs/>
          <w:color w:val="000000" w:themeColor="text1"/>
          <w:sz w:val="22"/>
          <w:szCs w:val="22"/>
          <w14:textFill>
            <w14:solidFill>
              <w14:schemeClr w14:val="tx1"/>
            </w14:solidFill>
          </w14:textFill>
        </w:rPr>
        <w:t>项目概况与招标范围</w:t>
      </w:r>
    </w:p>
    <w:p>
      <w:pPr>
        <w:widowControl/>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asciiTheme="minorEastAsia" w:hAnsiTheme="minorEastAsia" w:eastAsiaTheme="minorEastAsia"/>
          <w:color w:val="000000" w:themeColor="text1"/>
          <w:kern w:val="0"/>
          <w:sz w:val="22"/>
          <w:szCs w:val="22"/>
          <w14:textFill>
            <w14:solidFill>
              <w14:schemeClr w14:val="tx1"/>
            </w14:solidFill>
          </w14:textFill>
        </w:rPr>
        <w:t>2.1</w:t>
      </w:r>
      <w:r>
        <w:rPr>
          <w:rFonts w:cs="Times New Roman" w:asciiTheme="minorEastAsia" w:hAnsiTheme="minorEastAsia" w:eastAsiaTheme="minorEastAsia"/>
          <w:color w:val="000000" w:themeColor="text1"/>
          <w:kern w:val="0"/>
          <w:sz w:val="22"/>
          <w:szCs w:val="22"/>
          <w14:textFill>
            <w14:solidFill>
              <w14:schemeClr w14:val="tx1"/>
            </w14:solidFill>
          </w14:textFill>
        </w:rPr>
        <w:t>工程地点：</w:t>
      </w:r>
      <w:bookmarkStart w:id="2" w:name="_Hlk54123241"/>
      <w:r>
        <w:rPr>
          <w:rFonts w:cs="Times New Roman" w:asciiTheme="minorEastAsia" w:hAnsiTheme="minorEastAsia" w:eastAsiaTheme="minorEastAsia"/>
          <w:color w:val="000000" w:themeColor="text1"/>
          <w:kern w:val="0"/>
          <w:sz w:val="22"/>
          <w:szCs w:val="22"/>
          <w14:textFill>
            <w14:solidFill>
              <w14:schemeClr w14:val="tx1"/>
            </w14:solidFill>
          </w14:textFill>
        </w:rPr>
        <w:t>本项目选址于平阳县昆阳镇坡南片，具体位于昆阳镇坡南片控制性详细规划的上山河与B-6路交叉口西北侧地块。</w:t>
      </w:r>
      <w:bookmarkEnd w:id="2"/>
    </w:p>
    <w:p>
      <w:pPr>
        <w:widowControl/>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kern w:val="0"/>
          <w:sz w:val="22"/>
          <w:szCs w:val="22"/>
          <w14:textFill>
            <w14:solidFill>
              <w14:schemeClr w14:val="tx1"/>
            </w14:solidFill>
          </w14:textFill>
        </w:rPr>
        <w:t>2.2</w:t>
      </w:r>
      <w:r>
        <w:rPr>
          <w:rFonts w:cs="Times New Roman" w:asciiTheme="minorEastAsia" w:hAnsiTheme="minorEastAsia" w:eastAsiaTheme="minorEastAsia"/>
          <w:color w:val="000000" w:themeColor="text1"/>
          <w:kern w:val="0"/>
          <w:sz w:val="22"/>
          <w:szCs w:val="22"/>
          <w14:textFill>
            <w14:solidFill>
              <w14:schemeClr w14:val="tx1"/>
            </w14:solidFill>
          </w14:textFill>
        </w:rPr>
        <w:t>工程概况：</w:t>
      </w:r>
      <w:r>
        <w:rPr>
          <w:rFonts w:cs="Times New Roman" w:asciiTheme="minorEastAsia" w:hAnsiTheme="minorEastAsia" w:eastAsiaTheme="minorEastAsia"/>
          <w:color w:val="000000" w:themeColor="text1"/>
          <w:sz w:val="22"/>
          <w:szCs w:val="22"/>
          <w14:textFill>
            <w14:solidFill>
              <w14:schemeClr w14:val="tx1"/>
            </w14:solidFill>
          </w14:textFill>
        </w:rPr>
        <w:t>总建筑面积19020平方米</w:t>
      </w:r>
      <w:r>
        <w:rPr>
          <w:rFonts w:hint="eastAsia" w:cs="Times New Roman" w:asciiTheme="minorEastAsia" w:hAnsiTheme="minorEastAsia" w:eastAsiaTheme="minorEastAsia"/>
          <w:color w:val="000000" w:themeColor="text1"/>
          <w:sz w:val="22"/>
          <w:szCs w:val="22"/>
          <w14:textFill>
            <w14:solidFill>
              <w14:schemeClr w14:val="tx1"/>
            </w14:solidFill>
          </w14:textFill>
        </w:rPr>
        <w:t>，具体详见附件；</w:t>
      </w:r>
      <w:r>
        <w:rPr>
          <w:rFonts w:hint="eastAsia" w:cs="Times New Roman" w:asciiTheme="minorEastAsia" w:hAnsiTheme="minorEastAsia" w:eastAsiaTheme="minorEastAsia"/>
          <w:color w:val="000000" w:themeColor="text1"/>
          <w:sz w:val="22"/>
          <w:szCs w:val="22"/>
          <w14:textFill>
            <w14:solidFill>
              <w14:schemeClr w14:val="tx1"/>
            </w14:solidFill>
          </w14:textFill>
        </w:rPr>
        <w:t>工程总投资：9</w:t>
      </w:r>
      <w:r>
        <w:rPr>
          <w:rFonts w:cs="Times New Roman" w:asciiTheme="minorEastAsia" w:hAnsiTheme="minorEastAsia" w:eastAsiaTheme="minorEastAsia"/>
          <w:color w:val="000000" w:themeColor="text1"/>
          <w:sz w:val="22"/>
          <w:szCs w:val="22"/>
          <w14:textFill>
            <w14:solidFill>
              <w14:schemeClr w14:val="tx1"/>
            </w14:solidFill>
          </w14:textFill>
        </w:rPr>
        <w:t>467.36</w:t>
      </w:r>
      <w:r>
        <w:rPr>
          <w:rFonts w:hint="eastAsia" w:cs="Times New Roman" w:asciiTheme="minorEastAsia" w:hAnsiTheme="minorEastAsia" w:eastAsiaTheme="minorEastAsia"/>
          <w:color w:val="000000" w:themeColor="text1"/>
          <w:sz w:val="22"/>
          <w:szCs w:val="22"/>
          <w14:textFill>
            <w14:solidFill>
              <w14:schemeClr w14:val="tx1"/>
            </w14:solidFill>
          </w14:textFill>
        </w:rPr>
        <w:t>万元，工程费用：</w:t>
      </w:r>
      <w:r>
        <w:rPr>
          <w:rFonts w:cs="Times New Roman" w:asciiTheme="minorEastAsia" w:hAnsiTheme="minorEastAsia" w:eastAsiaTheme="minorEastAsia"/>
          <w:color w:val="000000" w:themeColor="text1"/>
          <w:sz w:val="22"/>
          <w:szCs w:val="22"/>
          <w14:textFill>
            <w14:solidFill>
              <w14:schemeClr w14:val="tx1"/>
            </w14:solidFill>
          </w14:textFill>
        </w:rPr>
        <w:t>7094.16</w:t>
      </w:r>
      <w:r>
        <w:rPr>
          <w:rFonts w:hint="eastAsia" w:cs="Times New Roman" w:asciiTheme="minorEastAsia" w:hAnsiTheme="minorEastAsia" w:eastAsiaTheme="minorEastAsia"/>
          <w:color w:val="000000" w:themeColor="text1"/>
          <w:sz w:val="22"/>
          <w:szCs w:val="22"/>
          <w14:textFill>
            <w14:solidFill>
              <w14:schemeClr w14:val="tx1"/>
            </w14:solidFill>
          </w14:textFill>
        </w:rPr>
        <w:t>万元。</w:t>
      </w:r>
    </w:p>
    <w:p>
      <w:pPr>
        <w:widowControl/>
        <w:spacing w:line="360" w:lineRule="auto"/>
        <w:ind w:firstLine="440"/>
        <w:contextualSpacing/>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color w:val="000000" w:themeColor="text1"/>
          <w:kern w:val="0"/>
          <w:sz w:val="22"/>
          <w:szCs w:val="22"/>
          <w14:textFill>
            <w14:solidFill>
              <w14:schemeClr w14:val="tx1"/>
            </w14:solidFill>
          </w14:textFill>
        </w:rPr>
        <w:t>2.3</w:t>
      </w:r>
      <w:r>
        <w:rPr>
          <w:rFonts w:cs="Times New Roman" w:asciiTheme="minorEastAsia" w:hAnsiTheme="minorEastAsia" w:eastAsiaTheme="minorEastAsia"/>
          <w:color w:val="000000" w:themeColor="text1"/>
          <w:kern w:val="0"/>
          <w:sz w:val="22"/>
          <w:szCs w:val="22"/>
          <w14:textFill>
            <w14:solidFill>
              <w14:schemeClr w14:val="tx1"/>
            </w14:solidFill>
          </w14:textFill>
        </w:rPr>
        <w:t>招标内容、范围：</w:t>
      </w:r>
      <w:bookmarkStart w:id="3" w:name="_Hlk54126054"/>
      <w:r>
        <w:rPr>
          <w:rFonts w:cs="Times New Roman" w:asciiTheme="minorEastAsia" w:hAnsiTheme="minorEastAsia" w:eastAsiaTheme="minorEastAsia"/>
          <w:color w:val="000000" w:themeColor="text1"/>
          <w:kern w:val="0"/>
          <w:sz w:val="22"/>
          <w:szCs w:val="22"/>
          <w14:textFill>
            <w14:solidFill>
              <w14:schemeClr w14:val="tx1"/>
            </w14:solidFill>
          </w14:textFill>
        </w:rPr>
        <w:t>本项目工作内容包括但不限于工程规划范围内的施工图设计和专项设计等；本工程所有工程材料、设备的采购</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（不含变配电设备、分体式空调设备和生活家具）</w:t>
      </w:r>
      <w:r>
        <w:rPr>
          <w:rFonts w:cs="Times New Roman" w:asciiTheme="minorEastAsia" w:hAnsiTheme="minorEastAsia" w:eastAsiaTheme="minorEastAsia"/>
          <w:color w:val="000000" w:themeColor="text1"/>
          <w:kern w:val="0"/>
          <w:sz w:val="22"/>
          <w:szCs w:val="22"/>
          <w14:textFill>
            <w14:solidFill>
              <w14:schemeClr w14:val="tx1"/>
            </w14:solidFill>
          </w14:textFill>
        </w:rPr>
        <w:t>；工程施工、验收、移交、备案</w:t>
      </w:r>
      <w:r>
        <w:rPr>
          <w:rFonts w:hint="eastAsia"/>
          <w:color w:val="000000" w:themeColor="text1"/>
          <w:kern w:val="0"/>
          <w:sz w:val="22"/>
          <w:szCs w:val="22"/>
          <w14:textFill>
            <w14:solidFill>
              <w14:schemeClr w14:val="tx1"/>
            </w14:solidFill>
          </w14:textFill>
        </w:rPr>
        <w:t>（指验收资料归档备案、项目试运行结束正式移交前向有关部门的备案等，余同）</w:t>
      </w:r>
      <w:r>
        <w:rPr>
          <w:rFonts w:cs="Times New Roman" w:asciiTheme="minorEastAsia" w:hAnsiTheme="minorEastAsia" w:eastAsiaTheme="minorEastAsia"/>
          <w:color w:val="000000" w:themeColor="text1"/>
          <w:kern w:val="0"/>
          <w:sz w:val="22"/>
          <w:szCs w:val="22"/>
          <w14:textFill>
            <w14:solidFill>
              <w14:schemeClr w14:val="tx1"/>
            </w14:solidFill>
          </w14:textFill>
        </w:rPr>
        <w:t>和保修服务等。专项设计包括基坑支护专项设计、建筑智能化设计、消防工程设计、暖通工程设计、景观绿化设计及室外配套等涉及本项目所有的专项设计</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（含</w:t>
      </w:r>
      <w:r>
        <w:rPr>
          <w:rFonts w:cs="Times New Roman" w:asciiTheme="minorEastAsia" w:hAnsiTheme="minorEastAsia" w:eastAsiaTheme="minorEastAsia"/>
          <w:color w:val="000000" w:themeColor="text1"/>
          <w:kern w:val="0"/>
          <w:sz w:val="22"/>
          <w:szCs w:val="22"/>
          <w14:textFill>
            <w14:solidFill>
              <w14:schemeClr w14:val="tx1"/>
            </w14:solidFill>
          </w14:textFill>
        </w:rPr>
        <w:t>机电设备、通讯网络</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充电桩</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、电梯、二次装修，不含</w:t>
      </w:r>
      <w:r>
        <w:rPr>
          <w:rFonts w:cs="Times New Roman" w:asciiTheme="minorEastAsia" w:hAnsiTheme="minorEastAsia" w:eastAsiaTheme="minorEastAsia"/>
          <w:color w:val="000000" w:themeColor="text1"/>
          <w:kern w:val="0"/>
          <w:sz w:val="22"/>
          <w:szCs w:val="22"/>
          <w14:textFill>
            <w14:solidFill>
              <w14:schemeClr w14:val="tx1"/>
            </w14:solidFill>
          </w14:textFill>
        </w:rPr>
        <w:t>变配电设</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计；余同）</w:t>
      </w:r>
      <w:r>
        <w:rPr>
          <w:rFonts w:cs="Times New Roman" w:asciiTheme="minorEastAsia" w:hAnsiTheme="minorEastAsia" w:eastAsiaTheme="minorEastAsia"/>
          <w:color w:val="000000" w:themeColor="text1"/>
          <w:kern w:val="0"/>
          <w:sz w:val="22"/>
          <w:szCs w:val="22"/>
          <w14:textFill>
            <w14:solidFill>
              <w14:schemeClr w14:val="tx1"/>
            </w14:solidFill>
          </w14:textFill>
        </w:rPr>
        <w:t>以及相关的深化设计</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（其中项目</w:t>
      </w:r>
      <w:r>
        <w:rPr>
          <w:rFonts w:hint="eastAsia" w:ascii="宋体" w:hAnsi="宋体" w:eastAsia="宋体" w:cs="宋体"/>
          <w:color w:val="000000" w:themeColor="text1"/>
          <w:sz w:val="21"/>
          <w:szCs w:val="21"/>
          <w14:textFill>
            <w14:solidFill>
              <w14:schemeClr w14:val="tx1"/>
            </w14:solidFill>
          </w14:textFill>
        </w:rPr>
        <w:t>二次装修及室外工程初步设计成果将以补充文件形式另行发布</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本工程施工包含工程设计范围内建筑</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（含</w:t>
      </w:r>
      <w:r>
        <w:rPr>
          <w:rFonts w:cs="Times New Roman" w:asciiTheme="minorEastAsia" w:hAnsiTheme="minorEastAsia" w:eastAsiaTheme="minorEastAsia"/>
          <w:color w:val="000000" w:themeColor="text1"/>
          <w:kern w:val="0"/>
          <w:sz w:val="22"/>
          <w:szCs w:val="22"/>
          <w14:textFill>
            <w14:solidFill>
              <w14:schemeClr w14:val="tx1"/>
            </w14:solidFill>
          </w14:textFill>
        </w:rPr>
        <w:t>基坑</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围护，余同）</w:t>
      </w:r>
      <w:r>
        <w:rPr>
          <w:rFonts w:cs="Times New Roman" w:asciiTheme="minorEastAsia" w:hAnsiTheme="minorEastAsia" w:eastAsiaTheme="minorEastAsia"/>
          <w:color w:val="000000" w:themeColor="text1"/>
          <w:kern w:val="0"/>
          <w:sz w:val="22"/>
          <w:szCs w:val="22"/>
          <w14:textFill>
            <w14:solidFill>
              <w14:schemeClr w14:val="tx1"/>
            </w14:solidFill>
          </w14:textFill>
        </w:rPr>
        <w:t>、结构、电气、给排水、建筑智能化、消防、景观绿化、室外附属施工及机电抗震等涉及的</w:t>
      </w:r>
      <w:r>
        <w:rPr>
          <w:rFonts w:cs="Times New Roman" w:asciiTheme="minorEastAsia" w:hAnsiTheme="minorEastAsia" w:eastAsiaTheme="minorEastAsia"/>
          <w:color w:val="000000" w:themeColor="text1"/>
          <w:kern w:val="0"/>
          <w:sz w:val="22"/>
          <w:szCs w:val="22"/>
          <w14:textFill>
            <w14:solidFill>
              <w14:schemeClr w14:val="tx1"/>
            </w14:solidFill>
          </w14:textFill>
        </w:rPr>
        <w:t>所有主体工程</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（不含变配电工程施工）</w:t>
      </w:r>
      <w:r>
        <w:rPr>
          <w:rFonts w:cs="Times New Roman" w:asciiTheme="minorEastAsia" w:hAnsiTheme="minorEastAsia" w:eastAsiaTheme="minorEastAsia"/>
          <w:color w:val="000000" w:themeColor="text1"/>
          <w:kern w:val="0"/>
          <w:sz w:val="22"/>
          <w:szCs w:val="22"/>
          <w14:textFill>
            <w14:solidFill>
              <w14:schemeClr w14:val="tx1"/>
            </w14:solidFill>
          </w14:textFill>
        </w:rPr>
        <w:t>。设备采购包括电梯、充电桩等涉及本项目所有的采购</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（不含变配电设备、分体式空调设备和生活家具）</w:t>
      </w:r>
      <w:r>
        <w:rPr>
          <w:rFonts w:cs="Times New Roman" w:asciiTheme="minorEastAsia" w:hAnsiTheme="minorEastAsia" w:eastAsiaTheme="minorEastAsia"/>
          <w:color w:val="000000" w:themeColor="text1"/>
          <w:kern w:val="0"/>
          <w:sz w:val="22"/>
          <w:szCs w:val="22"/>
          <w14:textFill>
            <w14:solidFill>
              <w14:schemeClr w14:val="tx1"/>
            </w14:solidFill>
          </w14:textFill>
        </w:rPr>
        <w:t>。</w:t>
      </w:r>
    </w:p>
    <w:bookmarkEnd w:id="3"/>
    <w:p>
      <w:pPr>
        <w:widowControl/>
        <w:spacing w:line="360" w:lineRule="auto"/>
        <w:ind w:firstLine="440"/>
        <w:contextualSpacing/>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pPr>
      <w:r>
        <w:rPr>
          <w:rFonts w:asciiTheme="minorEastAsia" w:hAnsiTheme="minorEastAsia" w:eastAsiaTheme="minorEastAsia"/>
          <w:color w:val="000000" w:themeColor="text1"/>
          <w:kern w:val="0"/>
          <w:sz w:val="22"/>
          <w:szCs w:val="22"/>
          <w14:textFill>
            <w14:solidFill>
              <w14:schemeClr w14:val="tx1"/>
            </w14:solidFill>
          </w14:textFill>
        </w:rPr>
        <w:t xml:space="preserve">2.4 </w:t>
      </w:r>
      <w:r>
        <w:rPr>
          <w:rFonts w:cs="Times New Roman" w:asciiTheme="minorEastAsia" w:hAnsiTheme="minorEastAsia" w:eastAsiaTheme="minorEastAsia"/>
          <w:color w:val="000000" w:themeColor="text1"/>
          <w:kern w:val="0"/>
          <w:sz w:val="22"/>
          <w:szCs w:val="22"/>
          <w14:textFill>
            <w14:solidFill>
              <w14:schemeClr w14:val="tx1"/>
            </w14:solidFill>
          </w14:textFill>
        </w:rPr>
        <w:t>招标工期：总工期</w:t>
      </w:r>
      <w:r>
        <w:rPr>
          <w:rFonts w:cs="Times New Roman" w:asciiTheme="minorEastAsia" w:hAnsiTheme="minorEastAsia" w:eastAsiaTheme="minorEastAsia"/>
          <w:color w:val="000000" w:themeColor="text1"/>
          <w:kern w:val="0"/>
          <w:sz w:val="22"/>
          <w:szCs w:val="22"/>
          <w14:textFill>
            <w14:solidFill>
              <w14:schemeClr w14:val="tx1"/>
            </w14:solidFill>
          </w14:textFill>
        </w:rPr>
        <w:t>683日历天(</w:t>
      </w:r>
      <w:r>
        <w:rPr>
          <w:rFonts w:cs="Times New Roman" w:asciiTheme="minorEastAsia" w:hAnsiTheme="minorEastAsia" w:eastAsiaTheme="minorEastAsia"/>
          <w:color w:val="000000" w:themeColor="text1"/>
          <w:kern w:val="0"/>
          <w:sz w:val="22"/>
          <w:szCs w:val="22"/>
          <w14:textFill>
            <w14:solidFill>
              <w14:schemeClr w14:val="tx1"/>
            </w14:solidFill>
          </w14:textFill>
        </w:rPr>
        <w:t>工期以合同签订日起算，至发包人颁发工程接收证书之日止)</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其中</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建设工期638日历天</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，勘察设计服务工期</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45</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日历天。</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2.5工程质量要求：</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符合国家现行设计标准、工程质量验收合格。</w:t>
      </w:r>
    </w:p>
    <w:p>
      <w:pPr>
        <w:pStyle w:val="106"/>
        <w:numPr>
          <w:ilvl w:val="0"/>
          <w:numId w:val="3"/>
        </w:numPr>
        <w:adjustRightInd/>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投标人资格要求</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 w:asciiTheme="minorEastAsia" w:hAnsiTheme="minorEastAsia" w:eastAsiaTheme="minorEastAsia"/>
          <w:color w:val="000000" w:themeColor="text1"/>
          <w:sz w:val="22"/>
          <w:szCs w:val="22"/>
          <w14:textFill>
            <w14:solidFill>
              <w14:schemeClr w14:val="tx1"/>
            </w14:solidFill>
          </w14:textFill>
        </w:rPr>
        <w:t>3.1</w:t>
      </w:r>
      <w:r>
        <w:rPr>
          <w:rFonts w:cs="Times New Roman" w:asciiTheme="minorEastAsia" w:hAnsiTheme="minorEastAsia" w:eastAsiaTheme="minorEastAsia"/>
          <w:color w:val="000000" w:themeColor="text1"/>
          <w:kern w:val="0"/>
          <w:sz w:val="22"/>
          <w:szCs w:val="22"/>
          <w14:textFill>
            <w14:solidFill>
              <w14:schemeClr w14:val="tx1"/>
            </w14:solidFill>
          </w14:textFill>
        </w:rPr>
        <w:t>投标人企业须具有独立法人资格并依法取得企业营业执照，企业营业执照处于有效期内</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，且</w:t>
      </w:r>
      <w:r>
        <w:rPr>
          <w:rFonts w:cs="Times New Roman" w:asciiTheme="minorEastAsia" w:hAnsiTheme="minorEastAsia" w:eastAsiaTheme="minorEastAsia"/>
          <w:color w:val="000000" w:themeColor="text1"/>
          <w:kern w:val="0"/>
          <w:sz w:val="22"/>
          <w:szCs w:val="22"/>
          <w14:textFill>
            <w14:solidFill>
              <w14:schemeClr w14:val="tx1"/>
            </w14:solidFill>
          </w14:textFill>
        </w:rPr>
        <w:t>同时具备</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以下①和②</w:t>
      </w:r>
      <w:r>
        <w:rPr>
          <w:rFonts w:cs="Times New Roman" w:asciiTheme="minorEastAsia" w:hAnsiTheme="minorEastAsia" w:eastAsiaTheme="minorEastAsia"/>
          <w:color w:val="000000" w:themeColor="text1"/>
          <w:kern w:val="0"/>
          <w:sz w:val="22"/>
          <w:szCs w:val="22"/>
          <w14:textFill>
            <w14:solidFill>
              <w14:schemeClr w14:val="tx1"/>
            </w14:solidFill>
          </w14:textFill>
        </w:rPr>
        <w:t>：</w:t>
      </w:r>
    </w:p>
    <w:p>
      <w:pPr>
        <w:spacing w:line="360" w:lineRule="auto"/>
        <w:ind w:firstLineChars="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①</w:t>
      </w:r>
      <w:r>
        <w:rPr>
          <w:rFonts w:cs="Times New Roman" w:asciiTheme="minorEastAsia" w:hAnsiTheme="minorEastAsia" w:eastAsiaTheme="minorEastAsia"/>
          <w:color w:val="000000" w:themeColor="text1"/>
          <w:kern w:val="0"/>
          <w:sz w:val="22"/>
          <w:szCs w:val="22"/>
          <w14:textFill>
            <w14:solidFill>
              <w14:schemeClr w14:val="tx1"/>
            </w14:solidFill>
          </w14:textFill>
        </w:rPr>
        <w:t>建设行政主管部门颁发的建筑工程施工总承包</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叁</w:t>
      </w:r>
      <w:r>
        <w:rPr>
          <w:rFonts w:cs="Times New Roman" w:asciiTheme="minorEastAsia" w:hAnsiTheme="minorEastAsia" w:eastAsiaTheme="minorEastAsia"/>
          <w:color w:val="000000" w:themeColor="text1"/>
          <w:kern w:val="0"/>
          <w:sz w:val="22"/>
          <w:szCs w:val="22"/>
          <w14:textFill>
            <w14:solidFill>
              <w14:schemeClr w14:val="tx1"/>
            </w14:solidFill>
          </w14:textFill>
        </w:rPr>
        <w:t>级</w:t>
      </w:r>
      <w:r>
        <w:rPr>
          <w:rFonts w:cs="Times New Roman" w:asciiTheme="minorEastAsia" w:hAnsiTheme="minorEastAsia" w:eastAsiaTheme="minorEastAsia"/>
          <w:color w:val="000000" w:themeColor="text1"/>
          <w:kern w:val="0"/>
          <w:sz w:val="22"/>
          <w:szCs w:val="22"/>
          <w14:textFill>
            <w14:solidFill>
              <w14:schemeClr w14:val="tx1"/>
            </w14:solidFill>
          </w14:textFill>
        </w:rPr>
        <w:t>及以上资质，具有安全生产许可证</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p>
    <w:p>
      <w:pPr>
        <w:spacing w:line="360" w:lineRule="auto"/>
        <w:ind w:firstLineChars="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②</w:t>
      </w:r>
      <w:r>
        <w:rPr>
          <w:rFonts w:hint="eastAsia" w:cs="宋体" w:asciiTheme="minorEastAsia" w:hAnsiTheme="minorEastAsia" w:eastAsiaTheme="minorEastAsia"/>
          <w:color w:val="000000" w:themeColor="text1"/>
          <w:kern w:val="0"/>
          <w:sz w:val="22"/>
          <w:szCs w:val="22"/>
          <w:highlight w:val="yellow"/>
          <w14:textFill>
            <w14:solidFill>
              <w14:schemeClr w14:val="tx1"/>
            </w14:solidFill>
          </w14:textFill>
        </w:rPr>
        <w:t>同时具备</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建设行政主管部门颁发的工程设计综合甲级</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或建筑行业工程设计</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乙级及以上</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或建筑行业工程（建筑工程）专业设计</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乙</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级</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及以上</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资质</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）和风景园林乙级及以上资质</w:t>
      </w:r>
      <w:r>
        <w:rPr>
          <w:rFonts w:cs="Times New Roman" w:asciiTheme="minorEastAsia" w:hAnsiTheme="minorEastAsia" w:eastAsiaTheme="minorEastAsia"/>
          <w:color w:val="000000" w:themeColor="text1"/>
          <w:kern w:val="0"/>
          <w:sz w:val="22"/>
          <w:szCs w:val="22"/>
          <w:highlight w:val="yellow"/>
          <w14:textFill>
            <w14:solidFill>
              <w14:schemeClr w14:val="tx1"/>
            </w14:solidFill>
          </w14:textFill>
        </w:rPr>
        <w:t>。</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cs="??" w:asciiTheme="minorEastAsia" w:hAnsiTheme="minorEastAsia" w:eastAsiaTheme="minorEastAsia"/>
          <w:color w:val="000000" w:themeColor="text1"/>
          <w:sz w:val="22"/>
          <w:szCs w:val="22"/>
          <w14:textFill>
            <w14:solidFill>
              <w14:schemeClr w14:val="tx1"/>
            </w14:solidFill>
          </w14:textFill>
        </w:rPr>
        <w:t>3.2</w:t>
      </w:r>
      <w:r>
        <w:rPr>
          <w:rFonts w:hint="eastAsia" w:cs="Times New Roman" w:asciiTheme="minorEastAsia" w:hAnsiTheme="minorEastAsia" w:eastAsiaTheme="minorEastAsia"/>
          <w:color w:val="000000" w:themeColor="text1"/>
          <w:sz w:val="22"/>
          <w:szCs w:val="22"/>
          <w14:textFill>
            <w14:solidFill>
              <w14:schemeClr w14:val="tx1"/>
            </w14:solidFill>
          </w14:textFill>
        </w:rPr>
        <w:t>项目总负责人</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Times New Roman" w:asciiTheme="minorEastAsia" w:hAnsiTheme="minorEastAsia" w:eastAsiaTheme="minorEastAsia"/>
          <w:color w:val="000000" w:themeColor="text1"/>
          <w:sz w:val="22"/>
          <w:szCs w:val="22"/>
          <w14:textFill>
            <w14:solidFill>
              <w14:schemeClr w14:val="tx1"/>
            </w14:solidFill>
          </w14:textFill>
        </w:rPr>
        <w:t>具有二级及以上</w:t>
      </w:r>
      <w:r>
        <w:rPr>
          <w:rFonts w:hint="eastAsia" w:cs="Times New Roman" w:asciiTheme="minorEastAsia" w:hAnsiTheme="minorEastAsia" w:eastAsiaTheme="minorEastAsia"/>
          <w:color w:val="000000" w:themeColor="text1"/>
          <w:sz w:val="22"/>
          <w:szCs w:val="22"/>
          <w14:textFill>
            <w14:solidFill>
              <w14:schemeClr w14:val="tx1"/>
            </w14:solidFill>
          </w14:textFill>
        </w:rPr>
        <w:t>注册建筑师</w:t>
      </w:r>
      <w:r>
        <w:rPr>
          <w:rFonts w:cs="Times New Roman" w:asciiTheme="minorEastAsia" w:hAnsiTheme="minorEastAsia" w:eastAsiaTheme="minorEastAsia"/>
          <w:color w:val="000000" w:themeColor="text1"/>
          <w:sz w:val="22"/>
          <w:szCs w:val="22"/>
          <w14:textFill>
            <w14:solidFill>
              <w14:schemeClr w14:val="tx1"/>
            </w14:solidFill>
          </w14:textFill>
        </w:rPr>
        <w:t>执业资格或</w:t>
      </w:r>
      <w:r>
        <w:rPr>
          <w:rFonts w:hint="eastAsia" w:cs="Times New Roman" w:asciiTheme="minorEastAsia" w:hAnsiTheme="minorEastAsia" w:eastAsiaTheme="minorEastAsia"/>
          <w:color w:val="000000" w:themeColor="text1"/>
          <w:sz w:val="22"/>
          <w:szCs w:val="22"/>
          <w14:textFill>
            <w14:solidFill>
              <w14:schemeClr w14:val="tx1"/>
            </w14:solidFill>
          </w14:textFill>
        </w:rPr>
        <w:t>一</w:t>
      </w:r>
      <w:r>
        <w:rPr>
          <w:rFonts w:cs="Times New Roman" w:asciiTheme="minorEastAsia" w:hAnsiTheme="minorEastAsia" w:eastAsiaTheme="minorEastAsia"/>
          <w:color w:val="000000" w:themeColor="text1"/>
          <w:sz w:val="22"/>
          <w:szCs w:val="22"/>
          <w14:textFill>
            <w14:solidFill>
              <w14:schemeClr w14:val="tx1"/>
            </w14:solidFill>
          </w14:textFill>
        </w:rPr>
        <w:t>级注册结构工程师执业资格或勘察设计注册工程师或建筑工程专业二级及以上注册建造师或房屋建筑工程专业注册监理工程师或</w:t>
      </w:r>
      <w:r>
        <w:rPr>
          <w:rFonts w:hint="eastAsia" w:cs="Times New Roman" w:asciiTheme="minorEastAsia" w:hAnsiTheme="minorEastAsia" w:eastAsiaTheme="minorEastAsia"/>
          <w:color w:val="000000" w:themeColor="text1"/>
          <w:sz w:val="22"/>
          <w:szCs w:val="22"/>
          <w14:textFill>
            <w14:solidFill>
              <w14:schemeClr w14:val="tx1"/>
            </w14:solidFill>
          </w14:textFill>
        </w:rPr>
        <w:t>具有</w:t>
      </w:r>
      <w:r>
        <w:rPr>
          <w:rFonts w:cs="Times New Roman" w:asciiTheme="minorEastAsia" w:hAnsiTheme="minorEastAsia" w:eastAsiaTheme="minorEastAsia"/>
          <w:color w:val="000000" w:themeColor="text1"/>
          <w:sz w:val="22"/>
          <w:szCs w:val="22"/>
          <w14:textFill>
            <w14:solidFill>
              <w14:schemeClr w14:val="tx1"/>
            </w14:solidFill>
          </w14:textFill>
        </w:rPr>
        <w:t>建筑类高级以上</w:t>
      </w:r>
      <w:r>
        <w:rPr>
          <w:rFonts w:hint="eastAsia" w:cs="Times New Roman" w:asciiTheme="minorEastAsia" w:hAnsiTheme="minorEastAsia" w:eastAsiaTheme="minorEastAsia"/>
          <w:color w:val="000000" w:themeColor="text1"/>
          <w:sz w:val="22"/>
          <w:szCs w:val="22"/>
          <w14:textFill>
            <w14:solidFill>
              <w14:schemeClr w14:val="tx1"/>
            </w14:solidFill>
          </w14:textFill>
        </w:rPr>
        <w:t>技术</w:t>
      </w:r>
      <w:r>
        <w:rPr>
          <w:rFonts w:cs="Times New Roman" w:asciiTheme="minorEastAsia" w:hAnsiTheme="minorEastAsia" w:eastAsiaTheme="minorEastAsia"/>
          <w:color w:val="000000" w:themeColor="text1"/>
          <w:sz w:val="22"/>
          <w:szCs w:val="22"/>
          <w14:textFill>
            <w14:solidFill>
              <w14:schemeClr w14:val="tx1"/>
            </w14:solidFill>
          </w14:textFill>
        </w:rPr>
        <w:t>职称，其中要求：拟派注册建造师或监理工程师担任工程总承包</w:t>
      </w:r>
      <w:r>
        <w:rPr>
          <w:rFonts w:hint="eastAsia" w:cs="Times New Roman" w:asciiTheme="minorEastAsia" w:hAnsiTheme="minorEastAsia" w:eastAsiaTheme="minorEastAsia"/>
          <w:color w:val="000000" w:themeColor="text1"/>
          <w:sz w:val="22"/>
          <w:szCs w:val="22"/>
          <w14:textFill>
            <w14:solidFill>
              <w14:schemeClr w14:val="tx1"/>
            </w14:solidFill>
          </w14:textFill>
        </w:rPr>
        <w:t>项目总负责人</w:t>
      </w:r>
      <w:r>
        <w:rPr>
          <w:rFonts w:cs="Times New Roman" w:asciiTheme="minorEastAsia" w:hAnsiTheme="minorEastAsia" w:eastAsiaTheme="minorEastAsia"/>
          <w:color w:val="000000" w:themeColor="text1"/>
          <w:sz w:val="22"/>
          <w:szCs w:val="22"/>
          <w14:textFill>
            <w14:solidFill>
              <w14:schemeClr w14:val="tx1"/>
            </w14:solidFill>
          </w14:textFill>
        </w:rPr>
        <w:t>的，不得有在建（或在监）项目；拟派注册建造师担任工程总承包</w:t>
      </w:r>
      <w:r>
        <w:rPr>
          <w:rFonts w:hint="eastAsia" w:cs="Times New Roman" w:asciiTheme="minorEastAsia" w:hAnsiTheme="minorEastAsia" w:eastAsiaTheme="minorEastAsia"/>
          <w:color w:val="000000" w:themeColor="text1"/>
          <w:sz w:val="22"/>
          <w:szCs w:val="22"/>
          <w14:textFill>
            <w14:solidFill>
              <w14:schemeClr w14:val="tx1"/>
            </w14:solidFill>
          </w14:textFill>
        </w:rPr>
        <w:t>项目总负责人</w:t>
      </w:r>
      <w:r>
        <w:rPr>
          <w:rFonts w:cs="Times New Roman" w:asciiTheme="minorEastAsia" w:hAnsiTheme="minorEastAsia" w:eastAsiaTheme="minorEastAsia"/>
          <w:color w:val="000000" w:themeColor="text1"/>
          <w:sz w:val="22"/>
          <w:szCs w:val="22"/>
          <w14:textFill>
            <w14:solidFill>
              <w14:schemeClr w14:val="tx1"/>
            </w14:solidFill>
          </w14:textFill>
        </w:rPr>
        <w:t>的，应具备有效的安全生产考核B类合格证书</w:t>
      </w:r>
      <w:r>
        <w:rPr>
          <w:rFonts w:hint="eastAsia" w:cs="Times New Roman"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熟悉工程技术和工程总承包项目管理知识以及相关法律法规、标准规范；具有较强的组织协调能力和良好的职业道德</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pStyle w:val="41"/>
        <w:shd w:val="clear" w:color="auto" w:fill="FFFFFF"/>
        <w:spacing w:before="0" w:beforeAutospacing="0" w:after="0" w:afterAutospacing="0" w:line="360" w:lineRule="auto"/>
        <w:ind w:firstLine="44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Times New Roman" w:asciiTheme="minorEastAsia" w:hAnsiTheme="minorEastAsia" w:eastAsiaTheme="minorEastAsia"/>
          <w:color w:val="000000" w:themeColor="text1"/>
          <w:sz w:val="22"/>
          <w:szCs w:val="22"/>
          <w14:textFill>
            <w14:solidFill>
              <w14:schemeClr w14:val="tx1"/>
            </w14:solidFill>
          </w14:textFill>
        </w:rPr>
        <w:t>施工负责人：具备</w:t>
      </w:r>
      <w:r>
        <w:rPr>
          <w:rFonts w:cs="Times New Roman" w:asciiTheme="minorEastAsia" w:hAnsiTheme="minorEastAsia" w:eastAsiaTheme="minorEastAsia"/>
          <w:color w:val="000000" w:themeColor="text1"/>
          <w:sz w:val="22"/>
          <w:szCs w:val="22"/>
          <w14:textFill>
            <w14:solidFill>
              <w14:schemeClr w14:val="tx1"/>
            </w14:solidFill>
          </w14:textFill>
        </w:rPr>
        <w:t>建筑工程专业二级及以上注册建造师</w:t>
      </w:r>
      <w:r>
        <w:rPr>
          <w:rFonts w:hint="eastAsia" w:cs="Times New Roman" w:asciiTheme="minorEastAsia" w:hAnsiTheme="minorEastAsia" w:eastAsiaTheme="minorEastAsia"/>
          <w:color w:val="000000" w:themeColor="text1"/>
          <w:sz w:val="22"/>
          <w:szCs w:val="22"/>
          <w14:textFill>
            <w14:solidFill>
              <w14:schemeClr w14:val="tx1"/>
            </w14:solidFill>
          </w14:textFill>
        </w:rPr>
        <w:t>执业资格，</w:t>
      </w:r>
      <w:r>
        <w:rPr>
          <w:rFonts w:cs="Times New Roman" w:asciiTheme="minorEastAsia" w:hAnsiTheme="minorEastAsia" w:eastAsiaTheme="minorEastAsia"/>
          <w:color w:val="000000" w:themeColor="text1"/>
          <w:sz w:val="22"/>
          <w:szCs w:val="22"/>
          <w14:textFill>
            <w14:solidFill>
              <w14:schemeClr w14:val="tx1"/>
            </w14:solidFill>
          </w14:textFill>
        </w:rPr>
        <w:t>不得有在建</w:t>
      </w:r>
      <w:r>
        <w:rPr>
          <w:rFonts w:hint="eastAsia" w:cs="Times New Roman" w:asciiTheme="minorEastAsia" w:hAnsiTheme="minorEastAsia" w:eastAsiaTheme="minorEastAsia"/>
          <w:color w:val="000000" w:themeColor="text1"/>
          <w:sz w:val="22"/>
          <w:szCs w:val="22"/>
          <w14:textFill>
            <w14:solidFill>
              <w14:schemeClr w14:val="tx1"/>
            </w14:solidFill>
          </w14:textFill>
        </w:rPr>
        <w:t>项目</w:t>
      </w:r>
      <w:r>
        <w:rPr>
          <w:rFonts w:cs="Times New Roman" w:asciiTheme="minorEastAsia" w:hAnsiTheme="minorEastAsia" w:eastAsiaTheme="minorEastAsia"/>
          <w:color w:val="000000" w:themeColor="text1"/>
          <w:sz w:val="22"/>
          <w:szCs w:val="22"/>
          <w14:textFill>
            <w14:solidFill>
              <w14:schemeClr w14:val="tx1"/>
            </w14:solidFill>
          </w14:textFill>
        </w:rPr>
        <w:t>，须为投标人在职职</w:t>
      </w:r>
      <w:r>
        <w:rPr>
          <w:rFonts w:hint="eastAsia" w:cs="Times New Roman" w:asciiTheme="minorEastAsia" w:hAnsiTheme="minorEastAsia" w:eastAsiaTheme="minorEastAsia"/>
          <w:color w:val="000000" w:themeColor="text1"/>
          <w:sz w:val="22"/>
          <w:szCs w:val="22"/>
          <w14:textFill>
            <w14:solidFill>
              <w14:schemeClr w14:val="tx1"/>
            </w14:solidFill>
          </w14:textFill>
        </w:rPr>
        <w:t>员，其中一名可由具备</w:t>
      </w:r>
      <w:r>
        <w:rPr>
          <w:rFonts w:cs="Times New Roman" w:asciiTheme="minorEastAsia" w:hAnsiTheme="minorEastAsia" w:eastAsiaTheme="minorEastAsia"/>
          <w:color w:val="000000" w:themeColor="text1"/>
          <w:sz w:val="22"/>
          <w:szCs w:val="22"/>
          <w14:textFill>
            <w14:solidFill>
              <w14:schemeClr w14:val="tx1"/>
            </w14:solidFill>
          </w14:textFill>
        </w:rPr>
        <w:t>建筑工程专业二级及以上注册建造师</w:t>
      </w:r>
      <w:r>
        <w:rPr>
          <w:rFonts w:hint="eastAsia" w:cs="Times New Roman" w:asciiTheme="minorEastAsia" w:hAnsiTheme="minorEastAsia" w:eastAsiaTheme="minorEastAsia"/>
          <w:color w:val="000000" w:themeColor="text1"/>
          <w:sz w:val="22"/>
          <w:szCs w:val="22"/>
          <w14:textFill>
            <w14:solidFill>
              <w14:schemeClr w14:val="tx1"/>
            </w14:solidFill>
          </w14:textFill>
        </w:rPr>
        <w:t>的项目总负责人</w:t>
      </w:r>
      <w:r>
        <w:rPr>
          <w:rFonts w:cs="Times New Roman" w:asciiTheme="minorEastAsia" w:hAnsiTheme="minorEastAsia" w:eastAsiaTheme="minorEastAsia"/>
          <w:color w:val="000000" w:themeColor="text1"/>
          <w:sz w:val="22"/>
          <w:szCs w:val="22"/>
          <w14:textFill>
            <w14:solidFill>
              <w14:schemeClr w14:val="tx1"/>
            </w14:solidFill>
          </w14:textFill>
        </w:rPr>
        <w:t>兼任</w:t>
      </w:r>
      <w:r>
        <w:rPr>
          <w:rFonts w:hint="eastAsia" w:cs="Times New Roman" w:asciiTheme="minorEastAsia" w:hAnsiTheme="minorEastAsia" w:eastAsiaTheme="minorEastAsia"/>
          <w:color w:val="000000" w:themeColor="text1"/>
          <w:sz w:val="22"/>
          <w:szCs w:val="22"/>
          <w14:textFill>
            <w14:solidFill>
              <w14:schemeClr w14:val="tx1"/>
            </w14:solidFill>
          </w14:textFill>
        </w:rPr>
        <w:t>（如有），但其他人员不可兼任</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41"/>
        <w:shd w:val="clear" w:color="auto" w:fill="FFFFFF"/>
        <w:spacing w:before="0" w:beforeAutospacing="0" w:after="0" w:afterAutospacing="0" w:line="360" w:lineRule="auto"/>
        <w:ind w:firstLine="44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设计负责人</w:t>
      </w:r>
      <w:r>
        <w:rPr>
          <w:rFonts w:hint="eastAsia" w:cs="Times New Roman"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具有二级</w:t>
      </w:r>
      <w:r>
        <w:rPr>
          <w:rFonts w:hint="eastAsia" w:cs="Times New Roman" w:asciiTheme="minorEastAsia" w:hAnsiTheme="minorEastAsia" w:eastAsiaTheme="minorEastAsia"/>
          <w:color w:val="000000" w:themeColor="text1"/>
          <w:sz w:val="22"/>
          <w:szCs w:val="22"/>
          <w14:textFill>
            <w14:solidFill>
              <w14:schemeClr w14:val="tx1"/>
            </w14:solidFill>
          </w14:textFill>
        </w:rPr>
        <w:t>及以上</w:t>
      </w:r>
      <w:r>
        <w:rPr>
          <w:rFonts w:cs="Times New Roman" w:asciiTheme="minorEastAsia" w:hAnsiTheme="minorEastAsia" w:eastAsiaTheme="minorEastAsia"/>
          <w:color w:val="000000" w:themeColor="text1"/>
          <w:sz w:val="22"/>
          <w:szCs w:val="22"/>
          <w14:textFill>
            <w14:solidFill>
              <w14:schemeClr w14:val="tx1"/>
            </w14:solidFill>
          </w14:textFill>
        </w:rPr>
        <w:t>注册建筑师</w:t>
      </w:r>
      <w:r>
        <w:rPr>
          <w:rFonts w:hint="eastAsia" w:cs="Times New Roman" w:asciiTheme="minorEastAsia" w:hAnsiTheme="minorEastAsia" w:eastAsiaTheme="minorEastAsia"/>
          <w:color w:val="000000" w:themeColor="text1"/>
          <w:sz w:val="22"/>
          <w:szCs w:val="22"/>
          <w14:textFill>
            <w14:solidFill>
              <w14:schemeClr w14:val="tx1"/>
            </w14:solidFill>
          </w14:textFill>
        </w:rPr>
        <w:t>执业资格</w:t>
      </w:r>
      <w:r>
        <w:rPr>
          <w:rFonts w:cs="Times New Roman" w:asciiTheme="minorEastAsia" w:hAnsiTheme="minorEastAsia" w:eastAsiaTheme="minorEastAsia"/>
          <w:color w:val="000000" w:themeColor="text1"/>
          <w:sz w:val="22"/>
          <w:szCs w:val="22"/>
          <w14:textFill>
            <w14:solidFill>
              <w14:schemeClr w14:val="tx1"/>
            </w14:solidFill>
          </w14:textFill>
        </w:rPr>
        <w:t>，并同时具有高级及以上技术职称，须为投标人在职职</w:t>
      </w:r>
      <w:r>
        <w:rPr>
          <w:rFonts w:hint="eastAsia" w:cs="Times New Roman" w:asciiTheme="minorEastAsia" w:hAnsiTheme="minorEastAsia" w:eastAsiaTheme="minorEastAsia"/>
          <w:color w:val="000000" w:themeColor="text1"/>
          <w:sz w:val="22"/>
          <w:szCs w:val="22"/>
          <w14:textFill>
            <w14:solidFill>
              <w14:schemeClr w14:val="tx1"/>
            </w14:solidFill>
          </w14:textFill>
        </w:rPr>
        <w:t>员</w:t>
      </w:r>
      <w:r>
        <w:rPr>
          <w:rFonts w:cs="Times New Roman" w:asciiTheme="minorEastAsia" w:hAnsiTheme="minorEastAsia" w:eastAsiaTheme="minorEastAsia"/>
          <w:color w:val="000000" w:themeColor="text1"/>
          <w:sz w:val="22"/>
          <w:szCs w:val="22"/>
          <w14:textFill>
            <w14:solidFill>
              <w14:schemeClr w14:val="tx1"/>
            </w14:solidFill>
          </w14:textFill>
        </w:rPr>
        <w:t>，并注册在投标人单位</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highlight w:val="cyan"/>
          <w14:textFill>
            <w14:solidFill>
              <w14:schemeClr w14:val="tx1"/>
            </w14:solidFill>
          </w14:textFill>
        </w:rPr>
      </w:pPr>
      <w:r>
        <w:rPr>
          <w:rFonts w:cs="??" w:asciiTheme="minorEastAsia" w:hAnsiTheme="minorEastAsia" w:eastAsiaTheme="minorEastAsia"/>
          <w:color w:val="000000" w:themeColor="text1"/>
          <w:sz w:val="22"/>
          <w:szCs w:val="22"/>
          <w14:textFill>
            <w14:solidFill>
              <w14:schemeClr w14:val="tx1"/>
            </w14:solidFill>
          </w14:textFill>
        </w:rPr>
        <w:t>3.</w:t>
      </w:r>
      <w:r>
        <w:rPr>
          <w:rFonts w:hint="eastAsia" w:cs="??" w:asciiTheme="minorEastAsia" w:hAnsiTheme="minorEastAsia" w:eastAsiaTheme="minorEastAsia"/>
          <w:color w:val="000000" w:themeColor="text1"/>
          <w:sz w:val="22"/>
          <w:szCs w:val="22"/>
          <w14:textFill>
            <w14:solidFill>
              <w14:schemeClr w14:val="tx1"/>
            </w14:solidFill>
          </w14:textFill>
        </w:rPr>
        <w:t>3</w:t>
      </w:r>
      <w:r>
        <w:rPr>
          <w:rFonts w:hint="eastAsia" w:hAnsi="Arial"/>
          <w:color w:val="000000" w:themeColor="text1"/>
          <w:sz w:val="22"/>
          <w:szCs w:val="18"/>
          <w14:textFill>
            <w14:solidFill>
              <w14:schemeClr w14:val="tx1"/>
            </w14:solidFill>
          </w14:textFill>
        </w:rPr>
        <w:t>本工程接受联合体投标，其中联合体成员总数不可超过2家。联合体的各成员提交一份授权书，证明其代表人资格。若为联合体投标，则项目总负责人须为牵头人在职职员。投标报名和保证金由牵头人提供即可。</w:t>
      </w:r>
    </w:p>
    <w:p>
      <w:pPr>
        <w:pStyle w:val="41"/>
        <w:shd w:val="clear" w:color="auto" w:fill="FFFFFF"/>
        <w:spacing w:before="0" w:beforeAutospacing="0" w:after="0" w:afterAutospacing="0" w:line="360" w:lineRule="auto"/>
        <w:ind w:firstLine="442"/>
        <w:contextualSpacing/>
        <w:jc w:val="both"/>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4.</w:t>
      </w:r>
      <w:r>
        <w:rPr>
          <w:rFonts w:cs="Times New Roman" w:asciiTheme="minorEastAsia" w:hAnsiTheme="minorEastAsia" w:eastAsiaTheme="minorEastAsia"/>
          <w:b/>
          <w:bCs/>
          <w:color w:val="000000" w:themeColor="text1"/>
          <w:sz w:val="22"/>
          <w:szCs w:val="22"/>
          <w14:textFill>
            <w14:solidFill>
              <w14:schemeClr w14:val="tx1"/>
            </w14:solidFill>
          </w14:textFill>
        </w:rPr>
        <w:t>招标文件（工程量清单、图纸）的获取</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shd w:val="clear" w:color="auto" w:fill="FFFFFF"/>
          <w14:textFill>
            <w14:solidFill>
              <w14:schemeClr w14:val="tx1"/>
            </w14:solidFill>
          </w14:textFill>
        </w:rPr>
        <w:t>4.1</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凡有意参加投标者，请于</w:t>
      </w:r>
      <w:r>
        <w:rPr>
          <w:rFonts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年</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10</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月</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 xml:space="preserve"> 30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日至</w:t>
      </w:r>
      <w:r>
        <w:rPr>
          <w:rFonts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年</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12</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月</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4</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日，在平阳县政府门户网站公共资源交易网</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http://www.zjpy.gov.cn/col/col1229353018/index.html</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）建设工程项目窗口下载，答疑与补充网址同上。</w:t>
      </w:r>
    </w:p>
    <w:p>
      <w:pPr>
        <w:pStyle w:val="41"/>
        <w:shd w:val="clear" w:color="auto" w:fill="FFFFFF"/>
        <w:spacing w:before="0" w:beforeAutospacing="0" w:after="0" w:afterAutospacing="0" w:line="360" w:lineRule="auto"/>
        <w:ind w:firstLine="442"/>
        <w:contextualSpacing/>
        <w:jc w:val="both"/>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5.</w:t>
      </w:r>
      <w:r>
        <w:rPr>
          <w:rFonts w:cs="Times New Roman" w:asciiTheme="minorEastAsia" w:hAnsiTheme="minorEastAsia" w:eastAsiaTheme="minorEastAsia"/>
          <w:b/>
          <w:bCs/>
          <w:color w:val="000000" w:themeColor="text1"/>
          <w:sz w:val="22"/>
          <w:szCs w:val="22"/>
          <w14:textFill>
            <w14:solidFill>
              <w14:schemeClr w14:val="tx1"/>
            </w14:solidFill>
          </w14:textFill>
        </w:rPr>
        <w:t>投标报名：</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shd w:val="clear" w:color="auto" w:fill="FFFFFF"/>
          <w14:textFill>
            <w14:solidFill>
              <w14:schemeClr w14:val="tx1"/>
            </w14:solidFill>
          </w14:textFill>
        </w:rPr>
        <w:t>5.1</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报名时间：</w:t>
      </w:r>
      <w:r>
        <w:rPr>
          <w:rFonts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年</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10</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月</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30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日至</w:t>
      </w:r>
      <w:r>
        <w:rPr>
          <w:rFonts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20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年</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12</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月</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4</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日</w:t>
      </w:r>
      <w:r>
        <w:rPr>
          <w:rFonts w:asciiTheme="minorEastAsia" w:hAnsiTheme="minorEastAsia" w:eastAsiaTheme="minorEastAsia"/>
          <w:color w:val="000000" w:themeColor="text1"/>
          <w:sz w:val="22"/>
          <w:szCs w:val="22"/>
          <w:shd w:val="clear" w:color="auto" w:fill="FFFFFF"/>
          <w14:textFill>
            <w14:solidFill>
              <w14:schemeClr w14:val="tx1"/>
            </w14:solidFill>
          </w14:textFill>
        </w:rPr>
        <w:t>09_</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时</w:t>
      </w:r>
      <w:r>
        <w:rPr>
          <w:rFonts w:asciiTheme="minorEastAsia" w:hAnsiTheme="minorEastAsia" w:eastAsiaTheme="minorEastAsia"/>
          <w:color w:val="000000" w:themeColor="text1"/>
          <w:sz w:val="22"/>
          <w:szCs w:val="22"/>
          <w:shd w:val="clear" w:color="auto" w:fill="FFFFFF"/>
          <w14:textFill>
            <w14:solidFill>
              <w14:schemeClr w14:val="tx1"/>
            </w14:solidFill>
          </w14:textFill>
        </w:rPr>
        <w:t>_30</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分。</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shd w:val="clear" w:color="auto" w:fill="FFFFFF"/>
          <w14:textFill>
            <w14:solidFill>
              <w14:schemeClr w14:val="tx1"/>
            </w14:solidFill>
          </w14:textFill>
        </w:rPr>
        <w:t>5.2</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报名方式：网上报名。（在平阳县政府门户网站公共资源交易网</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http://www.zjpy.gov.cn/col/col1229353018/index.html</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）上自行报名。</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p>
    <w:p>
      <w:pPr>
        <w:pStyle w:val="41"/>
        <w:shd w:val="clear" w:color="auto" w:fill="FFFFFF"/>
        <w:spacing w:before="0" w:beforeAutospacing="0" w:after="0" w:afterAutospacing="0" w:line="360" w:lineRule="auto"/>
        <w:ind w:firstLine="442"/>
        <w:contextualSpacing/>
        <w:jc w:val="both"/>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6.</w:t>
      </w:r>
      <w:r>
        <w:rPr>
          <w:rFonts w:cs="Times New Roman" w:asciiTheme="minorEastAsia" w:hAnsiTheme="minorEastAsia" w:eastAsiaTheme="minorEastAsia"/>
          <w:b/>
          <w:bCs/>
          <w:color w:val="000000" w:themeColor="text1"/>
          <w:sz w:val="22"/>
          <w:szCs w:val="22"/>
          <w14:textFill>
            <w14:solidFill>
              <w14:schemeClr w14:val="tx1"/>
            </w14:solidFill>
          </w14:textFill>
        </w:rPr>
        <w:t>投标文件的递交</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shd w:val="clear" w:color="auto" w:fill="FFFFFF"/>
          <w14:textFill>
            <w14:solidFill>
              <w14:schemeClr w14:val="tx1"/>
            </w14:solidFill>
          </w14:textFill>
        </w:rPr>
      </w:pP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6.1 投标文件递交的截止时间（投标截止时间，下同）为</w:t>
      </w:r>
      <w:r>
        <w:rPr>
          <w:rFonts w:asciiTheme="minorEastAsia" w:hAnsiTheme="minorEastAsia" w:eastAsiaTheme="minorEastAsia"/>
          <w:color w:val="000000" w:themeColor="text1"/>
          <w:sz w:val="22"/>
          <w:szCs w:val="22"/>
          <w:shd w:val="clear" w:color="auto" w:fill="FFFFFF"/>
          <w14:textFill>
            <w14:solidFill>
              <w14:schemeClr w14:val="tx1"/>
            </w14:solidFill>
          </w14:textFill>
        </w:rPr>
        <w:t>2020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年</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12</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 xml:space="preserve"> 月</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4</w:t>
      </w: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日</w:t>
      </w:r>
      <w:r>
        <w:rPr>
          <w:rFonts w:asciiTheme="minorEastAsia" w:hAnsiTheme="minorEastAsia" w:eastAsiaTheme="minorEastAsia"/>
          <w:color w:val="000000" w:themeColor="text1"/>
          <w:sz w:val="22"/>
          <w:szCs w:val="22"/>
          <w:shd w:val="clear" w:color="auto" w:fill="FFFFFF"/>
          <w14:textFill>
            <w14:solidFill>
              <w14:schemeClr w14:val="tx1"/>
            </w14:solidFill>
          </w14:textFill>
        </w:rPr>
        <w:t>9</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时</w:t>
      </w:r>
      <w:r>
        <w:rPr>
          <w:rFonts w:asciiTheme="minorEastAsia" w:hAnsiTheme="minorEastAsia" w:eastAsiaTheme="minorEastAsia"/>
          <w:color w:val="000000" w:themeColor="text1"/>
          <w:sz w:val="22"/>
          <w:szCs w:val="22"/>
          <w:shd w:val="clear" w:color="auto" w:fill="FFFFFF"/>
          <w14:textFill>
            <w14:solidFill>
              <w14:schemeClr w14:val="tx1"/>
            </w14:solidFill>
          </w14:textFill>
        </w:rPr>
        <w:t>30</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分，地点为平阳县公共资源交易中心（平阳县鳌江镇火车站大道和环城路路口，和谐家园</w:t>
      </w:r>
      <w:r>
        <w:rPr>
          <w:rFonts w:asciiTheme="minorEastAsia" w:hAnsiTheme="minorEastAsia" w:eastAsiaTheme="minorEastAsia"/>
          <w:color w:val="000000" w:themeColor="text1"/>
          <w:sz w:val="22"/>
          <w:szCs w:val="22"/>
          <w:shd w:val="clear" w:color="auto" w:fill="FFFFFF"/>
          <w14:textFill>
            <w14:solidFill>
              <w14:schemeClr w14:val="tx1"/>
            </w14:solidFill>
          </w14:textFill>
        </w:rPr>
        <w:t>&lt;</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原剑桥华府</w:t>
      </w:r>
      <w:r>
        <w:rPr>
          <w:rFonts w:asciiTheme="minorEastAsia" w:hAnsiTheme="minorEastAsia" w:eastAsiaTheme="minorEastAsia"/>
          <w:color w:val="000000" w:themeColor="text1"/>
          <w:sz w:val="22"/>
          <w:szCs w:val="22"/>
          <w:shd w:val="clear" w:color="auto" w:fill="FFFFFF"/>
          <w14:textFill>
            <w14:solidFill>
              <w14:schemeClr w14:val="tx1"/>
            </w14:solidFill>
          </w14:textFill>
        </w:rPr>
        <w:t>&gt;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二层代理窗口）。</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shd w:val="clear" w:color="auto" w:fill="FFFFFF"/>
          <w14:textFill>
            <w14:solidFill>
              <w14:schemeClr w14:val="tx1"/>
            </w14:solidFill>
          </w14:textFill>
        </w:rPr>
      </w:pP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6</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2</w:t>
      </w:r>
      <w:r>
        <w:rPr>
          <w:rFonts w:asciiTheme="minorEastAsia" w:hAnsiTheme="minorEastAsia" w:eastAsiaTheme="minorEastAsia"/>
          <w:color w:val="000000" w:themeColor="text1"/>
          <w:sz w:val="22"/>
          <w:szCs w:val="22"/>
          <w:shd w:val="clear" w:color="auto" w:fill="FFFFFF"/>
          <w14:textFill>
            <w14:solidFill>
              <w14:schemeClr w14:val="tx1"/>
            </w14:solidFill>
          </w14:textFill>
        </w:rPr>
        <w:t> </w:t>
      </w:r>
      <w:r>
        <w:rPr>
          <w:rFonts w:hint="eastAsia" w:asciiTheme="minorEastAsia" w:hAnsiTheme="minorEastAsia" w:eastAsiaTheme="minorEastAsia"/>
          <w:color w:val="000000" w:themeColor="text1"/>
          <w:sz w:val="22"/>
          <w:szCs w:val="22"/>
          <w:shd w:val="clear" w:color="auto" w:fill="FFFFFF"/>
          <w14:textFill>
            <w14:solidFill>
              <w14:schemeClr w14:val="tx1"/>
            </w14:solidFill>
          </w14:textFill>
        </w:rPr>
        <w:t>逾期送达的或者未送达指定地点的投标文件，招标人不予受理。</w:t>
      </w:r>
    </w:p>
    <w:p>
      <w:pPr>
        <w:pStyle w:val="41"/>
        <w:shd w:val="clear" w:color="auto" w:fill="FFFFFF"/>
        <w:spacing w:before="0" w:beforeAutospacing="0" w:after="0" w:afterAutospacing="0" w:line="360" w:lineRule="auto"/>
        <w:ind w:firstLine="442"/>
        <w:contextualSpacing/>
        <w:jc w:val="both"/>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7. </w:t>
      </w:r>
      <w:r>
        <w:rPr>
          <w:rFonts w:cs="Times New Roman" w:asciiTheme="minorEastAsia" w:hAnsiTheme="minorEastAsia" w:eastAsiaTheme="minorEastAsia"/>
          <w:b/>
          <w:bCs/>
          <w:color w:val="000000" w:themeColor="text1"/>
          <w:sz w:val="22"/>
          <w:szCs w:val="22"/>
          <w14:textFill>
            <w14:solidFill>
              <w14:schemeClr w14:val="tx1"/>
            </w14:solidFill>
          </w14:textFill>
        </w:rPr>
        <w:t>发布公告的媒介</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本次招标公告在</w:t>
      </w:r>
      <w:r>
        <w:rPr>
          <w:rFonts w:hint="eastAsia" w:cs="宋体" w:asciiTheme="minorEastAsia" w:hAnsiTheme="minorEastAsia" w:eastAsiaTheme="minorEastAsia"/>
          <w:color w:val="000000" w:themeColor="text1"/>
          <w:sz w:val="22"/>
          <w:szCs w:val="22"/>
          <w:u w:val="single"/>
          <w:shd w:val="clear" w:color="auto" w:fill="FFFFFF"/>
          <w14:textFill>
            <w14:solidFill>
              <w14:schemeClr w14:val="tx1"/>
            </w14:solidFill>
          </w14:textFill>
        </w:rPr>
        <w:t>平阳县政府门户网站公共资源交易网</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上发布。</w:t>
      </w:r>
    </w:p>
    <w:p>
      <w:pPr>
        <w:pStyle w:val="41"/>
        <w:shd w:val="clear" w:color="auto" w:fill="FFFFFF"/>
        <w:spacing w:before="0" w:beforeAutospacing="0" w:after="0" w:afterAutospacing="0" w:line="360" w:lineRule="auto"/>
        <w:ind w:firstLine="442"/>
        <w:contextualSpacing/>
        <w:jc w:val="both"/>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8. </w:t>
      </w:r>
      <w:r>
        <w:rPr>
          <w:rFonts w:cs="Times New Roman" w:asciiTheme="minorEastAsia" w:hAnsiTheme="minorEastAsia" w:eastAsiaTheme="minorEastAsia"/>
          <w:b/>
          <w:bCs/>
          <w:color w:val="000000" w:themeColor="text1"/>
          <w:sz w:val="22"/>
          <w:szCs w:val="22"/>
          <w14:textFill>
            <w14:solidFill>
              <w14:schemeClr w14:val="tx1"/>
            </w14:solidFill>
          </w14:textFill>
        </w:rPr>
        <w:t>其他说明</w:t>
      </w:r>
    </w:p>
    <w:p>
      <w:pPr>
        <w:pStyle w:val="41"/>
        <w:shd w:val="clear" w:color="auto" w:fill="FFFFFF"/>
        <w:spacing w:before="0" w:beforeAutospacing="0" w:after="0" w:afterAutospacing="0" w:line="360" w:lineRule="auto"/>
        <w:ind w:firstLine="440"/>
        <w:contextualSpacing/>
        <w:jc w:val="both"/>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shd w:val="clear" w:color="auto" w:fill="FFFFFF"/>
          <w14:textFill>
            <w14:solidFill>
              <w14:schemeClr w14:val="tx1"/>
            </w14:solidFill>
          </w14:textFill>
        </w:rPr>
        <w:t xml:space="preserve">8.1 </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此项目在平阳县公共资源网上交易系统进行网上报名。凡有意参加此项目的投标人，必须于投标截止时间之前完成投标人企业入库工作及网上报名，否则，其投标文件将被否决，后果由投标人自负。企业入库办理须知详见本网站</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关于应用温州市建设工程招标投标交易主体信息库有关事项的通知</w:t>
      </w:r>
      <w:r>
        <w:rPr>
          <w:rFonts w:asciiTheme="minorEastAsia" w:hAnsiTheme="minorEastAsia" w:eastAsiaTheme="minorEastAsia"/>
          <w:color w:val="000000" w:themeColor="text1"/>
          <w:sz w:val="22"/>
          <w:szCs w:val="22"/>
          <w:shd w:val="clear" w:color="auto" w:fill="FFFFFF"/>
          <w14:textFill>
            <w14:solidFill>
              <w14:schemeClr w14:val="tx1"/>
            </w14:solidFill>
          </w14:textFill>
        </w:rPr>
        <w:t>”</w:t>
      </w:r>
      <w:r>
        <w:rPr>
          <w:rFonts w:hint="eastAsia" w:cs="宋体" w:asciiTheme="minorEastAsia" w:hAnsiTheme="minorEastAsia" w:eastAsiaTheme="minorEastAsia"/>
          <w:color w:val="000000" w:themeColor="text1"/>
          <w:sz w:val="22"/>
          <w:szCs w:val="22"/>
          <w:shd w:val="clear" w:color="auto" w:fill="FFFFFF"/>
          <w14:textFill>
            <w14:solidFill>
              <w14:schemeClr w14:val="tx1"/>
            </w14:solidFill>
          </w14:textFill>
        </w:rPr>
        <w:t>。</w:t>
      </w:r>
    </w:p>
    <w:p>
      <w:pPr>
        <w:pStyle w:val="106"/>
        <w:adjustRightInd/>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 xml:space="preserve">9. </w:t>
      </w:r>
      <w:r>
        <w:rPr>
          <w:rFonts w:cs="Times New Roman" w:asciiTheme="minorEastAsia" w:hAnsiTheme="minorEastAsia" w:eastAsiaTheme="minorEastAsia"/>
          <w:b/>
          <w:bCs/>
          <w:color w:val="000000" w:themeColor="text1"/>
          <w:sz w:val="22"/>
          <w:szCs w:val="22"/>
          <w14:textFill>
            <w14:solidFill>
              <w14:schemeClr w14:val="tx1"/>
            </w14:solidFill>
          </w14:textFill>
        </w:rPr>
        <w:t>联系方式</w:t>
      </w:r>
    </w:p>
    <w:tbl>
      <w:tblPr>
        <w:tblStyle w:val="45"/>
        <w:tblW w:w="9070" w:type="dxa"/>
        <w:tblInd w:w="-106" w:type="dxa"/>
        <w:tblLayout w:type="fixed"/>
        <w:tblCellMar>
          <w:top w:w="0" w:type="dxa"/>
          <w:left w:w="108" w:type="dxa"/>
          <w:bottom w:w="0" w:type="dxa"/>
          <w:right w:w="108" w:type="dxa"/>
        </w:tblCellMar>
      </w:tblPr>
      <w:tblGrid>
        <w:gridCol w:w="4195"/>
        <w:gridCol w:w="4875"/>
      </w:tblGrid>
      <w:tr>
        <w:tblPrEx>
          <w:tblCellMar>
            <w:top w:w="0" w:type="dxa"/>
            <w:left w:w="108" w:type="dxa"/>
            <w:bottom w:w="0" w:type="dxa"/>
            <w:right w:w="108" w:type="dxa"/>
          </w:tblCellMar>
        </w:tblPrEx>
        <w:trPr>
          <w:trHeight w:val="90" w:hRule="atLeast"/>
        </w:trPr>
        <w:tc>
          <w:tcPr>
            <w:tcW w:w="419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招标人：平阳县民政局</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Times New Roman" w:asciiTheme="minorEastAsia" w:hAnsiTheme="minorEastAsia" w:eastAsiaTheme="minorEastAsia"/>
                <w:color w:val="000000" w:themeColor="text1"/>
                <w:sz w:val="22"/>
                <w:szCs w:val="22"/>
                <w:lang w:val="zh-CN"/>
                <w14:textFill>
                  <w14:solidFill>
                    <w14:schemeClr w14:val="tx1"/>
                  </w14:solidFill>
                </w14:textFill>
              </w:rPr>
              <w:t>平阳县政府投资项目建设中心（</w:t>
            </w:r>
            <w:r>
              <w:rPr>
                <w:rFonts w:hint="eastAsia" w:cs="Times New Roman" w:asciiTheme="minorEastAsia" w:hAnsiTheme="minorEastAsia" w:eastAsiaTheme="minorEastAsia"/>
                <w:color w:val="000000" w:themeColor="text1"/>
                <w:sz w:val="22"/>
                <w:szCs w:val="22"/>
                <w14:textFill>
                  <w14:solidFill>
                    <w14:schemeClr w14:val="tx1"/>
                  </w14:solidFill>
                </w14:textFill>
              </w:rPr>
              <w:t>代建单位</w:t>
            </w:r>
            <w:r>
              <w:rPr>
                <w:rFonts w:hint="eastAsia" w:cs="Times New Roman" w:asciiTheme="minorEastAsia" w:hAnsiTheme="minorEastAsia" w:eastAsiaTheme="minorEastAsia"/>
                <w:color w:val="000000" w:themeColor="text1"/>
                <w:sz w:val="22"/>
                <w:szCs w:val="22"/>
                <w:lang w:val="zh-CN"/>
                <w14:textFill>
                  <w14:solidFill>
                    <w14:schemeClr w14:val="tx1"/>
                  </w14:solidFill>
                </w14:textFill>
              </w:rPr>
              <w:t>）</w:t>
            </w:r>
          </w:p>
        </w:tc>
        <w:tc>
          <w:tcPr>
            <w:tcW w:w="487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招标代理机构：浙江名进建设项目管理有限公司</w:t>
            </w:r>
          </w:p>
        </w:tc>
      </w:tr>
      <w:tr>
        <w:tblPrEx>
          <w:tblCellMar>
            <w:top w:w="0" w:type="dxa"/>
            <w:left w:w="108" w:type="dxa"/>
            <w:bottom w:w="0" w:type="dxa"/>
            <w:right w:w="108" w:type="dxa"/>
          </w:tblCellMar>
        </w:tblPrEx>
        <w:trPr>
          <w:trHeight w:val="463" w:hRule="atLeast"/>
        </w:trPr>
        <w:tc>
          <w:tcPr>
            <w:tcW w:w="419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地址：</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平阳县昆阳镇体育馆路1</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Times New Roman" w:asciiTheme="minorEastAsia" w:hAnsiTheme="minorEastAsia" w:eastAsiaTheme="minorEastAsia"/>
                <w:color w:val="000000" w:themeColor="text1"/>
                <w:sz w:val="22"/>
                <w:szCs w:val="22"/>
                <w14:textFill>
                  <w14:solidFill>
                    <w14:schemeClr w14:val="tx1"/>
                  </w14:solidFill>
                </w14:textFill>
              </w:rPr>
              <w:t>8号</w:t>
            </w:r>
          </w:p>
        </w:tc>
        <w:tc>
          <w:tcPr>
            <w:tcW w:w="487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地址：</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平阳县鳌江镇车站大道博鳌锦苑4幢702室</w:t>
            </w:r>
          </w:p>
        </w:tc>
      </w:tr>
      <w:tr>
        <w:tblPrEx>
          <w:tblCellMar>
            <w:top w:w="0" w:type="dxa"/>
            <w:left w:w="108" w:type="dxa"/>
            <w:bottom w:w="0" w:type="dxa"/>
            <w:right w:w="108" w:type="dxa"/>
          </w:tblCellMar>
        </w:tblPrEx>
        <w:trPr>
          <w:trHeight w:val="463" w:hRule="atLeast"/>
        </w:trPr>
        <w:tc>
          <w:tcPr>
            <w:tcW w:w="419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联系人：</w:t>
            </w:r>
            <w:r>
              <w:rPr>
                <w:rFonts w:hint="eastAsia" w:cs="Times New Roman" w:asciiTheme="minorEastAsia" w:hAnsiTheme="minorEastAsia" w:eastAsiaTheme="minorEastAsia"/>
                <w:color w:val="000000" w:themeColor="text1"/>
                <w:sz w:val="22"/>
                <w:szCs w:val="22"/>
                <w14:textFill>
                  <w14:solidFill>
                    <w14:schemeClr w14:val="tx1"/>
                  </w14:solidFill>
                </w14:textFill>
              </w:rPr>
              <w:t>施女士</w:t>
            </w:r>
          </w:p>
        </w:tc>
        <w:tc>
          <w:tcPr>
            <w:tcW w:w="487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联系人：</w:t>
            </w:r>
            <w:r>
              <w:rPr>
                <w:rFonts w:hint="eastAsia" w:cs="Times New Roman" w:asciiTheme="minorEastAsia" w:hAnsiTheme="minorEastAsia" w:eastAsiaTheme="minorEastAsia"/>
                <w:color w:val="000000" w:themeColor="text1"/>
                <w:sz w:val="22"/>
                <w:szCs w:val="22"/>
                <w14:textFill>
                  <w14:solidFill>
                    <w14:schemeClr w14:val="tx1"/>
                  </w14:solidFill>
                </w14:textFill>
              </w:rPr>
              <w:t>苏先生</w:t>
            </w:r>
          </w:p>
        </w:tc>
      </w:tr>
      <w:tr>
        <w:tblPrEx>
          <w:tblCellMar>
            <w:top w:w="0" w:type="dxa"/>
            <w:left w:w="108" w:type="dxa"/>
            <w:bottom w:w="0" w:type="dxa"/>
            <w:right w:w="108" w:type="dxa"/>
          </w:tblCellMar>
        </w:tblPrEx>
        <w:trPr>
          <w:trHeight w:val="463" w:hRule="atLeast"/>
        </w:trPr>
        <w:tc>
          <w:tcPr>
            <w:tcW w:w="419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电话：</w:t>
            </w:r>
            <w:r>
              <w:rPr>
                <w:rFonts w:hint="eastAsia" w:cs="Times New Roman" w:asciiTheme="minorEastAsia" w:hAnsiTheme="minorEastAsia" w:eastAsiaTheme="minorEastAsia"/>
                <w:color w:val="000000" w:themeColor="text1"/>
                <w:sz w:val="22"/>
                <w:szCs w:val="22"/>
                <w14:textFill>
                  <w14:solidFill>
                    <w14:schemeClr w14:val="tx1"/>
                  </w14:solidFill>
                </w14:textFill>
              </w:rPr>
              <w:t>0577-</w:t>
            </w:r>
            <w:r>
              <w:rPr>
                <w:rFonts w:cs="Times New Roman" w:asciiTheme="minorEastAsia" w:hAnsiTheme="minorEastAsia" w:eastAsiaTheme="minorEastAsia"/>
                <w:color w:val="000000" w:themeColor="text1"/>
                <w:sz w:val="22"/>
                <w:szCs w:val="22"/>
                <w14:textFill>
                  <w14:solidFill>
                    <w14:schemeClr w14:val="tx1"/>
                  </w14:solidFill>
                </w14:textFill>
              </w:rPr>
              <w:t>58102128</w:t>
            </w:r>
          </w:p>
        </w:tc>
        <w:tc>
          <w:tcPr>
            <w:tcW w:w="4875" w:type="dxa"/>
            <w:vAlign w:val="center"/>
          </w:tcPr>
          <w:p>
            <w:pPr>
              <w:pStyle w:val="106"/>
              <w:adjustRightInd/>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电话：</w:t>
            </w:r>
            <w:r>
              <w:rPr>
                <w:rFonts w:hint="eastAsia" w:cs="Times New Roman" w:asciiTheme="minorEastAsia" w:hAnsiTheme="minorEastAsia" w:eastAsiaTheme="minorEastAsia"/>
                <w:color w:val="000000" w:themeColor="text1"/>
                <w:sz w:val="22"/>
                <w:szCs w:val="22"/>
                <w14:textFill>
                  <w14:solidFill>
                    <w14:schemeClr w14:val="tx1"/>
                  </w14:solidFill>
                </w14:textFill>
              </w:rPr>
              <w:t>0577-63639288</w:t>
            </w:r>
          </w:p>
        </w:tc>
      </w:tr>
    </w:tbl>
    <w:p>
      <w:pPr>
        <w:pStyle w:val="106"/>
        <w:adjustRightInd/>
        <w:spacing w:line="360" w:lineRule="auto"/>
        <w:ind w:firstLine="6160" w:firstLineChars="280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20</w:t>
      </w:r>
      <w:r>
        <w:rPr>
          <w:rFonts w:hint="eastAsia" w:asciiTheme="minorEastAsia" w:hAnsiTheme="minorEastAsia" w:eastAsiaTheme="minorEastAsia"/>
          <w:color w:val="000000" w:themeColor="text1"/>
          <w:sz w:val="22"/>
          <w:szCs w:val="22"/>
          <w14:textFill>
            <w14:solidFill>
              <w14:schemeClr w14:val="tx1"/>
            </w14:solidFill>
          </w14:textFill>
        </w:rPr>
        <w:t>20</w:t>
      </w:r>
      <w:r>
        <w:rPr>
          <w:rFonts w:cs="Times New Roman" w:asciiTheme="minorEastAsia" w:hAnsiTheme="minorEastAsia" w:eastAsiaTheme="minorEastAsia"/>
          <w:color w:val="000000" w:themeColor="text1"/>
          <w:sz w:val="22"/>
          <w:szCs w:val="22"/>
          <w14:textFill>
            <w14:solidFill>
              <w14:schemeClr w14:val="tx1"/>
            </w14:solidFill>
          </w14:textFill>
        </w:rPr>
        <w:t>年</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hint="eastAsia" w:asciiTheme="minorEastAsia" w:hAnsiTheme="minorEastAsia" w:eastAsiaTheme="minorEastAsia"/>
          <w:color w:val="000000" w:themeColor="text1"/>
          <w:sz w:val="22"/>
          <w:szCs w:val="22"/>
          <w14:textFill>
            <w14:solidFill>
              <w14:schemeClr w14:val="tx1"/>
            </w14:solidFill>
          </w14:textFill>
        </w:rPr>
        <w:t>10</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月</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hint="eastAsia" w:asciiTheme="minorEastAsia" w:hAnsiTheme="minorEastAsia" w:eastAsiaTheme="minorEastAsia"/>
          <w:color w:val="000000" w:themeColor="text1"/>
          <w:sz w:val="22"/>
          <w:szCs w:val="22"/>
          <w14:textFill>
            <w14:solidFill>
              <w14:schemeClr w14:val="tx1"/>
            </w14:solidFill>
          </w14:textFill>
        </w:rPr>
        <w:t>29</w:t>
      </w:r>
      <w:r>
        <w:rPr>
          <w:rFonts w:cs="Times New Roman" w:asciiTheme="minorEastAsia" w:hAnsiTheme="minorEastAsia" w:eastAsiaTheme="minorEastAsia"/>
          <w:color w:val="000000" w:themeColor="text1"/>
          <w:sz w:val="22"/>
          <w:szCs w:val="22"/>
          <w14:textFill>
            <w14:solidFill>
              <w14:schemeClr w14:val="tx1"/>
            </w14:solidFill>
          </w14:textFill>
        </w:rPr>
        <w:t>日</w:t>
      </w:r>
      <w:bookmarkEnd w:id="1"/>
    </w:p>
    <w:p>
      <w:pPr>
        <w:ind w:firstLine="0" w:firstLineChars="0"/>
        <w:jc w:val="center"/>
        <w:rPr>
          <w:rFonts w:hAnsi="Arial" w:cs="Times New Roman"/>
          <w:b/>
          <w:bCs/>
          <w:color w:val="000000" w:themeColor="text1"/>
          <w:sz w:val="32"/>
          <w:szCs w:val="32"/>
          <w14:textFill>
            <w14:solidFill>
              <w14:schemeClr w14:val="tx1"/>
            </w14:solidFill>
          </w14:textFill>
        </w:rPr>
      </w:pPr>
      <w:r>
        <w:rPr>
          <w:rFonts w:hAnsi="Arial" w:cs="Times New Roman"/>
          <w:b/>
          <w:bCs/>
          <w:color w:val="000000" w:themeColor="text1"/>
          <w:sz w:val="32"/>
          <w:szCs w:val="32"/>
          <w14:textFill>
            <w14:solidFill>
              <w14:schemeClr w14:val="tx1"/>
            </w14:solidFill>
          </w14:textFill>
        </w:rPr>
        <w:br w:type="page"/>
      </w:r>
      <w:r>
        <w:rPr>
          <w:rFonts w:hAnsi="Arial" w:cs="Times New Roman"/>
          <w:b/>
          <w:bCs/>
          <w:color w:val="000000" w:themeColor="text1"/>
          <w:sz w:val="32"/>
          <w:szCs w:val="32"/>
          <w14:textFill>
            <w14:solidFill>
              <w14:schemeClr w14:val="tx1"/>
            </w14:solidFill>
          </w14:textFill>
        </w:rPr>
        <w:t>投标须知前附表</w:t>
      </w:r>
    </w:p>
    <w:tbl>
      <w:tblPr>
        <w:tblStyle w:val="45"/>
        <w:tblW w:w="898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849"/>
        <w:gridCol w:w="1610"/>
        <w:gridCol w:w="19"/>
        <w:gridCol w:w="6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项号</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条款号</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内容</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工程名称</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平阳县社会养老福利服务中心项目工程总承包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建设地点</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平阳县昆阳镇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3</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建设规模及工程内容</w:t>
            </w:r>
          </w:p>
        </w:tc>
        <w:tc>
          <w:tcPr>
            <w:tcW w:w="6031" w:type="dxa"/>
            <w:gridSpan w:val="2"/>
            <w:vAlign w:val="center"/>
          </w:tcPr>
          <w:p>
            <w:pPr>
              <w:widowControl/>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工程概况：</w:t>
            </w:r>
            <w:r>
              <w:rPr>
                <w:rFonts w:cs="Times New Roman" w:asciiTheme="minorEastAsia" w:hAnsiTheme="minorEastAsia" w:eastAsiaTheme="minorEastAsia"/>
                <w:color w:val="000000" w:themeColor="text1"/>
                <w:sz w:val="22"/>
                <w:szCs w:val="22"/>
                <w14:textFill>
                  <w14:solidFill>
                    <w14:schemeClr w14:val="tx1"/>
                  </w14:solidFill>
                </w14:textFill>
              </w:rPr>
              <w:t>总建筑面积19020平方米，具体详见附件；</w:t>
            </w:r>
          </w:p>
          <w:p>
            <w:pPr>
              <w:pStyle w:val="19"/>
              <w:ind w:firstLine="0" w:firstLineChars="0"/>
              <w:rPr>
                <w:color w:val="000000" w:themeColor="text1"/>
                <w14:textFill>
                  <w14:solidFill>
                    <w14:schemeClr w14:val="tx1"/>
                  </w14:solidFill>
                </w14:textFill>
              </w:rPr>
            </w:pPr>
            <w:r>
              <w:rPr>
                <w:rFonts w:cs="Times New Roman" w:asciiTheme="minorEastAsia" w:hAnsiTheme="minorEastAsia" w:eastAsiaTheme="minorEastAsia"/>
                <w:color w:val="000000" w:themeColor="text1"/>
                <w:kern w:val="2"/>
                <w:sz w:val="22"/>
                <w:szCs w:val="22"/>
                <w14:textFill>
                  <w14:solidFill>
                    <w14:schemeClr w14:val="tx1"/>
                  </w14:solidFill>
                </w14:textFill>
              </w:rPr>
              <w:t>工程总投资：9467.36万元，工程费用：7094.16万元。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4</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承包方式</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总价包干。投标单位的中标工程费为签约合同时的暂定工程费，最终结算价以业主委托的第三方审价单位审定的价格*（1-投标下浮率）为准</w:t>
            </w:r>
            <w:r>
              <w:rPr>
                <w:rFonts w:hint="eastAsia" w:ascii="宋体" w:hAnsi="宋体" w:eastAsia="宋体" w:cs="宋体"/>
                <w:color w:val="000000" w:themeColor="text1"/>
                <w:kern w:val="2"/>
                <w:sz w:val="21"/>
                <w:szCs w:val="21"/>
                <w:highlight w:val="green"/>
                <w14:textFill>
                  <w14:solidFill>
                    <w14:schemeClr w14:val="tx1"/>
                  </w14:solidFill>
                </w14:textFill>
              </w:rPr>
              <w:t>，其中下浮率=(工程概算建筑安装工程费-中标价建筑安装工程费）/工程概算建筑安装工程费。</w:t>
            </w:r>
            <w:r>
              <w:rPr>
                <w:rFonts w:hint="eastAsia" w:ascii="宋体" w:hAnsi="宋体" w:eastAsia="宋体" w:cs="宋体"/>
                <w:color w:val="000000" w:themeColor="text1"/>
                <w:kern w:val="2"/>
                <w:sz w:val="21"/>
                <w:szCs w:val="21"/>
                <w14:textFill>
                  <w14:solidFill>
                    <w14:schemeClr w14:val="tx1"/>
                  </w14:solidFill>
                </w14:textFill>
              </w:rPr>
              <w:t>投标人在施工图设计时应充分考虑该合同价的限额因素，报价要符合设计的内容。人工、材料价格以本工程实际施工期间《平阳县建材价格信息》算数平均价为准，无信息价的材料参考当地市场价，工程量按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5</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质量要求</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（1）设计质量标准：符合现行设计规范、规程和有关政策、法规及发包人要求。</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（2）施工质量标准：达到现行工程验收规范的合格标准。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6</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招标范围</w:t>
            </w:r>
          </w:p>
        </w:tc>
        <w:tc>
          <w:tcPr>
            <w:tcW w:w="6031" w:type="dxa"/>
            <w:gridSpan w:val="2"/>
            <w:vAlign w:val="center"/>
          </w:tcPr>
          <w:p>
            <w:pPr>
              <w:pStyle w:val="19"/>
              <w:spacing w:after="0"/>
              <w:ind w:firstLine="0" w:firstLineChars="0"/>
              <w:contextualSpacing/>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工作内容包括但不限于工程规划范围内的施工图设计和专项设计等；本工程所有工程材料、设备的采购（不含变配电设备、</w:t>
            </w:r>
            <w:r>
              <w:rPr>
                <w:rFonts w:hint="eastAsia" w:ascii="宋体" w:hAnsi="宋体" w:cs="宋体"/>
                <w:color w:val="000000" w:themeColor="text1"/>
                <w14:textFill>
                  <w14:solidFill>
                    <w14:schemeClr w14:val="tx1"/>
                  </w14:solidFill>
                </w14:textFill>
              </w:rPr>
              <w:t>分体式</w:t>
            </w:r>
            <w:r>
              <w:rPr>
                <w:rFonts w:ascii="宋体" w:hAnsi="宋体" w:cs="宋体"/>
                <w:color w:val="000000" w:themeColor="text1"/>
                <w14:textFill>
                  <w14:solidFill>
                    <w14:schemeClr w14:val="tx1"/>
                  </w14:solidFill>
                </w14:textFill>
              </w:rPr>
              <w:t>空调设备和生活家具）；工程施工、验收、移交、备案（指验收资料归档备案、项目试运行结束正式移交前向有关部门的备案等，余同）和保修服务等。专项设计包括基坑支护专项设计、建筑智能化设计、消防工程设计、暖通工程设计、景观绿化设计及室外配套等涉及本项目所有的专项设计（含机电设备、通讯网络、充电桩、电梯、二次装修，不含变配电设计；余同）以及相关的深化设计</w:t>
            </w:r>
            <w:r>
              <w:rPr>
                <w:rFonts w:hint="eastAsia" w:cs="Times New Roman" w:asciiTheme="minorEastAsia" w:hAnsiTheme="minorEastAsia" w:eastAsiaTheme="minorEastAsia"/>
                <w:color w:val="000000" w:themeColor="text1"/>
                <w:sz w:val="22"/>
                <w:szCs w:val="22"/>
                <w14:textFill>
                  <w14:solidFill>
                    <w14:schemeClr w14:val="tx1"/>
                  </w14:solidFill>
                </w14:textFill>
              </w:rPr>
              <w:t>（其中项目</w:t>
            </w:r>
            <w:r>
              <w:rPr>
                <w:rFonts w:hint="eastAsia" w:ascii="宋体" w:hAnsi="宋体" w:cs="宋体"/>
                <w:color w:val="000000" w:themeColor="text1"/>
                <w:kern w:val="2"/>
                <w14:textFill>
                  <w14:solidFill>
                    <w14:schemeClr w14:val="tx1"/>
                  </w14:solidFill>
                </w14:textFill>
              </w:rPr>
              <w:t>二次装修及室外工程初步设计成果将以补充文件形式另行发布</w:t>
            </w:r>
            <w:r>
              <w:rPr>
                <w:rFonts w:hint="eastAsia" w:cs="Times New Roman" w:asciiTheme="minorEastAsia" w:hAnsiTheme="minorEastAsia" w:eastAsiaTheme="minorEastAsia"/>
                <w:color w:val="000000" w:themeColor="text1"/>
                <w:sz w:val="22"/>
                <w:szCs w:val="22"/>
                <w14:textFill>
                  <w14:solidFill>
                    <w14:schemeClr w14:val="tx1"/>
                  </w14:solidFill>
                </w14:textFill>
              </w:rPr>
              <w:t>）；</w:t>
            </w:r>
            <w:r>
              <w:rPr>
                <w:rFonts w:ascii="宋体" w:hAnsi="宋体" w:cs="宋体"/>
                <w:color w:val="000000" w:themeColor="text1"/>
                <w14:textFill>
                  <w14:solidFill>
                    <w14:schemeClr w14:val="tx1"/>
                  </w14:solidFill>
                </w14:textFill>
              </w:rPr>
              <w:t>。本工程施工包含工程设计范围内建筑（含基坑围护，余同）、结构、电气、给排水、建筑智能化、消防、景观绿化、室外附属施工及机电抗震等涉及的所有主体工程（不含变配电工程施工）。设备采购包括电梯、充电桩等涉及本项目所有的采购（不含变配电设备、</w:t>
            </w:r>
            <w:r>
              <w:rPr>
                <w:rFonts w:hint="eastAsia" w:ascii="宋体" w:hAnsi="宋体" w:cs="宋体"/>
                <w:color w:val="000000" w:themeColor="text1"/>
                <w14:textFill>
                  <w14:solidFill>
                    <w14:schemeClr w14:val="tx1"/>
                  </w14:solidFill>
                </w14:textFill>
              </w:rPr>
              <w:t>分体式</w:t>
            </w:r>
            <w:r>
              <w:rPr>
                <w:rFonts w:ascii="宋体" w:hAnsi="宋体" w:cs="宋体"/>
                <w:color w:val="000000" w:themeColor="text1"/>
                <w14:textFill>
                  <w14:solidFill>
                    <w14:schemeClr w14:val="tx1"/>
                  </w14:solidFill>
                </w14:textFill>
              </w:rPr>
              <w:t>空调设备和生活家具）。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7</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2．2</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工期要求</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highlight w:val="yellow"/>
                <w14:textFill>
                  <w14:solidFill>
                    <w14:schemeClr w14:val="tx1"/>
                  </w14:solidFill>
                </w14:textFill>
              </w:rPr>
              <w:t>总工期</w:t>
            </w:r>
            <w:r>
              <w:rPr>
                <w:rFonts w:ascii="宋体" w:hAnsi="宋体" w:eastAsia="宋体" w:cs="宋体"/>
                <w:color w:val="000000" w:themeColor="text1"/>
                <w:sz w:val="21"/>
                <w:szCs w:val="21"/>
                <w:highlight w:val="yellow"/>
                <w14:textFill>
                  <w14:solidFill>
                    <w14:schemeClr w14:val="tx1"/>
                  </w14:solidFill>
                </w14:textFill>
              </w:rPr>
              <w:t>683</w:t>
            </w:r>
            <w:r>
              <w:rPr>
                <w:rFonts w:hint="eastAsia" w:ascii="宋体" w:hAnsi="宋体" w:eastAsia="宋体" w:cs="宋体"/>
                <w:color w:val="000000" w:themeColor="text1"/>
                <w:sz w:val="21"/>
                <w:szCs w:val="21"/>
                <w:highlight w:val="yellow"/>
                <w14:textFill>
                  <w14:solidFill>
                    <w14:schemeClr w14:val="tx1"/>
                  </w14:solidFill>
                </w14:textFill>
              </w:rPr>
              <w:t>日历天</w:t>
            </w:r>
            <w:r>
              <w:rPr>
                <w:rFonts w:hint="eastAsia" w:ascii="宋体" w:hAnsi="宋体" w:eastAsia="宋体" w:cs="宋体"/>
                <w:color w:val="000000" w:themeColor="text1"/>
                <w:sz w:val="21"/>
                <w:szCs w:val="21"/>
                <w14:textFill>
                  <w14:solidFill>
                    <w14:schemeClr w14:val="tx1"/>
                  </w14:solidFill>
                </w14:textFill>
              </w:rPr>
              <w:t>(工期以合同签订日起算，至发包人颁发工程接收证书之日止。)</w:t>
            </w:r>
            <w:r>
              <w:rPr>
                <w:rFonts w:hint="eastAsia" w:ascii="宋体" w:hAnsi="宋体" w:eastAsia="宋体" w:cs="宋体"/>
                <w:color w:val="000000" w:themeColor="text1"/>
                <w:kern w:val="2"/>
                <w:sz w:val="21"/>
                <w:szCs w:val="21"/>
                <w14:textFill>
                  <w14:solidFill>
                    <w14:schemeClr w14:val="tx1"/>
                  </w14:solidFill>
                </w14:textFill>
              </w:rPr>
              <w:t>其中：建设工期</w:t>
            </w:r>
            <w:r>
              <w:rPr>
                <w:rFonts w:ascii="宋体" w:hAnsi="宋体" w:eastAsia="宋体" w:cs="宋体"/>
                <w:color w:val="000000" w:themeColor="text1"/>
                <w:kern w:val="2"/>
                <w:sz w:val="21"/>
                <w:szCs w:val="21"/>
                <w14:textFill>
                  <w14:solidFill>
                    <w14:schemeClr w14:val="tx1"/>
                  </w14:solidFill>
                </w14:textFill>
              </w:rPr>
              <w:t>638</w:t>
            </w:r>
            <w:r>
              <w:rPr>
                <w:rFonts w:hint="eastAsia" w:ascii="宋体" w:hAnsi="宋体" w:eastAsia="宋体" w:cs="宋体"/>
                <w:color w:val="000000" w:themeColor="text1"/>
                <w:kern w:val="2"/>
                <w:sz w:val="21"/>
                <w:szCs w:val="21"/>
                <w14:textFill>
                  <w14:solidFill>
                    <w14:schemeClr w14:val="tx1"/>
                  </w14:solidFill>
                </w14:textFill>
              </w:rPr>
              <w:t>日历天，勘察设计服务工期</w:t>
            </w:r>
            <w:r>
              <w:rPr>
                <w:rFonts w:ascii="宋体" w:hAnsi="宋体" w:eastAsia="宋体" w:cs="宋体"/>
                <w:color w:val="000000" w:themeColor="text1"/>
                <w:kern w:val="2"/>
                <w:sz w:val="21"/>
                <w:szCs w:val="21"/>
                <w14:textFill>
                  <w14:solidFill>
                    <w14:schemeClr w14:val="tx1"/>
                  </w14:solidFill>
                </w14:textFill>
              </w:rPr>
              <w:t>45</w:t>
            </w:r>
            <w:r>
              <w:rPr>
                <w:rFonts w:hint="eastAsia" w:ascii="宋体" w:hAnsi="宋体" w:eastAsia="宋体" w:cs="宋体"/>
                <w:color w:val="000000" w:themeColor="text1"/>
                <w:kern w:val="2"/>
                <w:sz w:val="21"/>
                <w:szCs w:val="21"/>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8</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3．1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资金来源</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资金已落实。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9</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4.1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投标人资质</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要求</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1.投标人企业须具有独立法人资格并依法取得企业营业执照，企业营业执照处于有效期内，且同时具备以下①和②：</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①建设行政主管部门颁发的建筑工程施工总承包</w:t>
            </w:r>
            <w:r>
              <w:rPr>
                <w:rFonts w:hint="eastAsia" w:ascii="宋体" w:hAnsi="宋体" w:eastAsia="宋体" w:cs="宋体"/>
                <w:color w:val="000000" w:themeColor="text1"/>
                <w:sz w:val="21"/>
                <w:szCs w:val="21"/>
                <w14:textFill>
                  <w14:solidFill>
                    <w14:schemeClr w14:val="tx1"/>
                  </w14:solidFill>
                </w14:textFill>
              </w:rPr>
              <w:t>叁级</w:t>
            </w:r>
            <w:r>
              <w:rPr>
                <w:rFonts w:hint="eastAsia" w:ascii="宋体" w:hAnsi="宋体" w:eastAsia="宋体" w:cs="宋体"/>
                <w:color w:val="000000" w:themeColor="text1"/>
                <w:sz w:val="21"/>
                <w:szCs w:val="21"/>
                <w14:textFill>
                  <w14:solidFill>
                    <w14:schemeClr w14:val="tx1"/>
                  </w14:solidFill>
                </w14:textFill>
              </w:rPr>
              <w:t>及以上资质，具有安全生产许可证。</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highlight w:val="yellow"/>
                <w14:textFill>
                  <w14:solidFill>
                    <w14:schemeClr w14:val="tx1"/>
                  </w14:solidFill>
                </w14:textFill>
              </w:rPr>
              <w:t>②同时具备</w:t>
            </w:r>
            <w:r>
              <w:rPr>
                <w:rFonts w:ascii="宋体" w:hAnsi="宋体" w:eastAsia="宋体" w:cs="宋体"/>
                <w:color w:val="000000" w:themeColor="text1"/>
                <w:sz w:val="21"/>
                <w:szCs w:val="21"/>
                <w:highlight w:val="yellow"/>
                <w14:textFill>
                  <w14:solidFill>
                    <w14:schemeClr w14:val="tx1"/>
                  </w14:solidFill>
                </w14:textFill>
              </w:rPr>
              <w:t>建设行政主管部门颁发的工程设计综合甲级</w:t>
            </w:r>
            <w:r>
              <w:rPr>
                <w:rFonts w:hint="eastAsia" w:ascii="宋体" w:hAnsi="宋体" w:eastAsia="宋体" w:cs="宋体"/>
                <w:color w:val="000000" w:themeColor="text1"/>
                <w:sz w:val="21"/>
                <w:szCs w:val="21"/>
                <w:highlight w:val="yellow"/>
                <w14:textFill>
                  <w14:solidFill>
                    <w14:schemeClr w14:val="tx1"/>
                  </w14:solidFill>
                </w14:textFill>
              </w:rPr>
              <w:t>（</w:t>
            </w:r>
            <w:r>
              <w:rPr>
                <w:rFonts w:ascii="宋体" w:hAnsi="宋体" w:eastAsia="宋体" w:cs="宋体"/>
                <w:color w:val="000000" w:themeColor="text1"/>
                <w:sz w:val="21"/>
                <w:szCs w:val="21"/>
                <w:highlight w:val="yellow"/>
                <w14:textFill>
                  <w14:solidFill>
                    <w14:schemeClr w14:val="tx1"/>
                  </w14:solidFill>
                </w14:textFill>
              </w:rPr>
              <w:t>或建筑行业工程设计</w:t>
            </w:r>
            <w:r>
              <w:rPr>
                <w:rFonts w:hint="eastAsia" w:ascii="宋体" w:hAnsi="宋体" w:eastAsia="宋体" w:cs="宋体"/>
                <w:color w:val="000000" w:themeColor="text1"/>
                <w:sz w:val="21"/>
                <w:szCs w:val="21"/>
                <w:highlight w:val="yellow"/>
                <w14:textFill>
                  <w14:solidFill>
                    <w14:schemeClr w14:val="tx1"/>
                  </w14:solidFill>
                </w14:textFill>
              </w:rPr>
              <w:t>乙级及以上</w:t>
            </w:r>
            <w:r>
              <w:rPr>
                <w:rFonts w:ascii="宋体" w:hAnsi="宋体" w:eastAsia="宋体" w:cs="宋体"/>
                <w:color w:val="000000" w:themeColor="text1"/>
                <w:sz w:val="21"/>
                <w:szCs w:val="21"/>
                <w:highlight w:val="yellow"/>
                <w14:textFill>
                  <w14:solidFill>
                    <w14:schemeClr w14:val="tx1"/>
                  </w14:solidFill>
                </w14:textFill>
              </w:rPr>
              <w:t>或建筑行业工程（建筑工程）专业设计</w:t>
            </w:r>
            <w:r>
              <w:rPr>
                <w:rFonts w:hint="eastAsia" w:ascii="宋体" w:hAnsi="宋体" w:eastAsia="宋体" w:cs="宋体"/>
                <w:color w:val="000000" w:themeColor="text1"/>
                <w:sz w:val="21"/>
                <w:szCs w:val="21"/>
                <w:highlight w:val="yellow"/>
                <w14:textFill>
                  <w14:solidFill>
                    <w14:schemeClr w14:val="tx1"/>
                  </w14:solidFill>
                </w14:textFill>
              </w:rPr>
              <w:t>乙</w:t>
            </w:r>
            <w:r>
              <w:rPr>
                <w:rFonts w:ascii="宋体" w:hAnsi="宋体" w:eastAsia="宋体" w:cs="宋体"/>
                <w:color w:val="000000" w:themeColor="text1"/>
                <w:sz w:val="21"/>
                <w:szCs w:val="21"/>
                <w:highlight w:val="yellow"/>
                <w14:textFill>
                  <w14:solidFill>
                    <w14:schemeClr w14:val="tx1"/>
                  </w14:solidFill>
                </w14:textFill>
              </w:rPr>
              <w:t>级</w:t>
            </w:r>
            <w:r>
              <w:rPr>
                <w:rFonts w:hint="eastAsia" w:ascii="宋体" w:hAnsi="宋体" w:eastAsia="宋体" w:cs="宋体"/>
                <w:color w:val="000000" w:themeColor="text1"/>
                <w:sz w:val="21"/>
                <w:szCs w:val="21"/>
                <w:highlight w:val="yellow"/>
                <w14:textFill>
                  <w14:solidFill>
                    <w14:schemeClr w14:val="tx1"/>
                  </w14:solidFill>
                </w14:textFill>
              </w:rPr>
              <w:t>及以上</w:t>
            </w:r>
            <w:r>
              <w:rPr>
                <w:rFonts w:ascii="宋体" w:hAnsi="宋体" w:eastAsia="宋体" w:cs="宋体"/>
                <w:color w:val="000000" w:themeColor="text1"/>
                <w:sz w:val="21"/>
                <w:szCs w:val="21"/>
                <w:highlight w:val="yellow"/>
                <w14:textFill>
                  <w14:solidFill>
                    <w14:schemeClr w14:val="tx1"/>
                  </w14:solidFill>
                </w14:textFill>
              </w:rPr>
              <w:t>资质</w:t>
            </w:r>
            <w:r>
              <w:rPr>
                <w:rFonts w:hint="eastAsia" w:ascii="宋体" w:hAnsi="宋体" w:eastAsia="宋体" w:cs="宋体"/>
                <w:color w:val="000000" w:themeColor="text1"/>
                <w:sz w:val="21"/>
                <w:szCs w:val="21"/>
                <w:highlight w:val="yellow"/>
                <w14:textFill>
                  <w14:solidFill>
                    <w14:schemeClr w14:val="tx1"/>
                  </w14:solidFill>
                </w14:textFill>
              </w:rPr>
              <w:t>）和风景园林乙级及以上资质</w:t>
            </w:r>
            <w:r>
              <w:rPr>
                <w:rFonts w:ascii="宋体" w:hAnsi="宋体" w:eastAsia="宋体" w:cs="宋体"/>
                <w:color w:val="000000" w:themeColor="text1"/>
                <w:sz w:val="21"/>
                <w:szCs w:val="21"/>
                <w:highlight w:val="yellow"/>
                <w14:textFill>
                  <w14:solidFill>
                    <w14:schemeClr w14:val="tx1"/>
                  </w14:solidFill>
                </w14:textFill>
              </w:rPr>
              <w:t>。</w:t>
            </w:r>
          </w:p>
          <w:p>
            <w:pPr>
              <w:pStyle w:val="41"/>
              <w:shd w:val="clear" w:color="auto" w:fill="FFFFFF"/>
              <w:spacing w:before="0" w:beforeAutospacing="0" w:after="0" w:afterAutospacing="0"/>
              <w:ind w:firstLine="0" w:firstLineChars="0"/>
              <w:contextualSpacing/>
              <w:jc w:val="both"/>
              <w:rPr>
                <w:rFonts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14:textFill>
                  <w14:solidFill>
                    <w14:schemeClr w14:val="tx1"/>
                  </w14:solidFill>
                </w14:textFill>
              </w:rPr>
              <w:t>2.项目总负责人：具有二级及以上注册建筑师执业资格或一级注册结构工程师执业资格或勘察设计注册工程师或建筑工程专业二级及以上注册建造师或房屋建筑工程专业注册监理工程师或具有建筑类高级以上技术职称，其中要求：拟派注册建造师或监理工程师担任工程总承包项目总负责人的，不得有在建（或在监）项目；拟派注册建造师担任工程总承包项目总负责人的，应具备有效的安全生产考核B类合格证书，熟悉工程技术和工程总承包项目管理知识以及相关法律法规、标准规范；具有较强的组织协调能力和良好的职业道德。</w:t>
            </w:r>
          </w:p>
          <w:p>
            <w:pPr>
              <w:pStyle w:val="41"/>
              <w:shd w:val="clear" w:color="auto" w:fill="FFFFFF"/>
              <w:spacing w:before="0" w:beforeAutospacing="0" w:after="0" w:afterAutospacing="0"/>
              <w:ind w:firstLine="0" w:firstLineChars="0"/>
              <w:contextualSpacing/>
              <w:jc w:val="both"/>
              <w:rPr>
                <w:rFonts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14:textFill>
                  <w14:solidFill>
                    <w14:schemeClr w14:val="tx1"/>
                  </w14:solidFill>
                </w14:textFill>
              </w:rPr>
              <w:t>施工负责人：具备建筑工程专业二级及以上注册建造师执业资格，不得有在建项目，须为投标人在职职员，其中一名可由具备建筑工程专业二级及以上注册建造师的项目总负责人兼任（如有），但其他人员不可兼任。</w:t>
            </w:r>
          </w:p>
          <w:p>
            <w:pPr>
              <w:pStyle w:val="41"/>
              <w:shd w:val="clear" w:color="auto" w:fill="FFFFFF"/>
              <w:spacing w:before="0" w:beforeAutospacing="0" w:after="0" w:afterAutospacing="0"/>
              <w:ind w:firstLine="0" w:firstLineChars="0"/>
              <w:contextualSpacing/>
              <w:jc w:val="both"/>
              <w:rPr>
                <w:rFonts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kern w:val="2"/>
                <w:sz w:val="21"/>
                <w:szCs w:val="21"/>
                <w14:textFill>
                  <w14:solidFill>
                    <w14:schemeClr w14:val="tx1"/>
                  </w14:solidFill>
                </w14:textFill>
              </w:rPr>
              <w:t>设计负责人：具有二级及以上注册建筑师执业资格，并同时具有高级及以上技术职称，须为投标人在职职员，并注册在投标人单位。</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3.本工程接受联合体招标。其中联合体成员总数不可超过2家。联合体的各成员提交一份授权书，证明其代表人资格。若为联合体投标，则项目总负责人须为牵头人在职职员。投标报名和保证金由牵头人提供即可。</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highlight w:val="yellow"/>
                <w14:textFill>
                  <w14:solidFill>
                    <w14:schemeClr w14:val="tx1"/>
                  </w14:solidFill>
                </w14:textFill>
              </w:rPr>
              <w:t>5.本工程除项目总负责人按上面要求外，其施工项目负责人另作要求如下：投标文件递交时随投标文件证书原件中提供施工项目负责人建筑工程注册建造师二级及以上执业资格，同时须提供人员的本单位社保证明材料复印件和执业资格证书等材料复印件，原件备查。</w:t>
            </w:r>
            <w:r>
              <w:rPr>
                <w:rFonts w:hint="eastAsia" w:ascii="宋体" w:hAnsi="宋体" w:eastAsia="宋体" w:cs="宋体"/>
                <w:color w:val="000000" w:themeColor="text1"/>
                <w:sz w:val="21"/>
                <w:szCs w:val="21"/>
                <w14:textFill>
                  <w14:solidFill>
                    <w14:schemeClr w14:val="tx1"/>
                  </w14:solidFill>
                </w14:textFill>
              </w:rPr>
              <w:t>施工班组其它人员要求：待办理施工许可证时应按照项目需求配备相应人员：技术负责人</w:t>
            </w:r>
            <w:r>
              <w:rPr>
                <w:rFonts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名（房建类专业中级及以上技术职称），施工员</w:t>
            </w:r>
            <w:r>
              <w:rPr>
                <w:rFonts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人（具备房建类专业施工员上岗证），质检员</w:t>
            </w:r>
            <w:r>
              <w:rPr>
                <w:rFonts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人（具备房建类专业质检员上岗证），安全员</w:t>
            </w:r>
            <w:r>
              <w:rPr>
                <w:rFonts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人（具备安全生产考核C类合格证书，具体人员中标后根据各地块实际规模及需求配备相应数量安全员），并要求中标人在合同签订前提供。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10</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4.2</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资格审查方法</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12</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15．1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投标有效期</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90 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13</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16．1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投标保证金</w:t>
            </w:r>
          </w:p>
        </w:tc>
        <w:tc>
          <w:tcPr>
            <w:tcW w:w="6031" w:type="dxa"/>
            <w:gridSpan w:val="2"/>
            <w:vAlign w:val="center"/>
          </w:tcPr>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1、金额：人民币</w:t>
            </w:r>
            <w:r>
              <w:rPr>
                <w:rFonts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0万元（大写：伍拾万元整）；</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2、投标保证金的形式：银行转账或保险电子保函；</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3、投标保证金（银行转账）截止时间为2020年</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12月4日09:30；保险电子保函办理截止时间（以保费支付到账时间为准）为 2020年 12</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3日17:00 （投标截止时间前一天的17时） </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4、投标保证金注意事项</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网上报名后,并在报名界面获取投标保证金子账户），并应于规定时间前到达平阳县公共资源交易中心保证金帐户，不得现金解入、禁止使用银行本票、不得通过投标单位的分支机构或第三者帐户转入。</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1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①</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各投标人在转（汇）款时须充分考虑银行转（汇）的时间差风险。</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2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②</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保证金按招标文件规定独立汇入，不允许几个项目或标的保证金捆绑汇入，否则中心财务室将作为错汇款予以退回，一切后果由投标单位自负。</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3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③</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提供《基本帐户开户许可证》（或中国人民银行发放的基本帐户备案资料）</w:t>
            </w:r>
          </w:p>
          <w:p>
            <w:pPr>
              <w:ind w:firstLine="0" w:firstLineChars="0"/>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4.2如投标人采用保险电子保函的，电子保险保函（瓯e保）生成流程如下：投标人登录平阳县电子招投标交易平台→【填写投标信息（网上报名）】选择项目报名→业务管理【电子保函申请】→选择要办理的工程项目名称→申请保函，点选 投标保证保险电子保函→瓯e保电子保函办理平台→CA登录→选择要办理的工程项目名称→办理保函→电子签章→银行基本户支付保费→电子保函生成并推送至交易平台（如有需要可下载PDF电子版）。</w:t>
            </w:r>
          </w:p>
          <w:p>
            <w:pPr>
              <w:spacing w:line="320" w:lineRule="exact"/>
              <w:ind w:firstLine="0" w:firstLineChars="0"/>
              <w:contextualSpacing/>
              <w:rPr>
                <w:rFonts w:ascii="宋体" w:hAnsi="宋体" w:eastAsia="宋体" w:cs="宋体"/>
                <w:i/>
                <w:iCs/>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（电子保函申请咨询电话 :4008576077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14</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6．1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踏勘现场</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不组织，请各投标人自行踏勘，费用自理。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15</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17．1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投标预备会</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（答疑会）</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不组织集中答疑。如对招标文件有疑问的投标人，应在投标人须知前附表的规定时间在平阳县政府门户网站公共资源交易网（网址：http://www.zjpy.gov.cn/col/col1229353018/index.html）提交质疑，招标人在投标人须知前附表的规定时间将答疑结果在平阳县政府门户网站公共资源交易网（网址：http://www.zjpy.gov.cn/col/col1229353018/index.html）公布。对招标文件中存在有表达不清或有多种解释而未明确规定，投标单位又没有在规定时间提出，由此而导致投标单位不中标或中标后产生不利因素，责任由投标单位自负。</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2、招标文件的答疑与澄清、修改、补充等内容将在平阳县政府门户网站公共资源交易网（http://www.zjpy.gov.cn/col/col1229353018/index.html）“建设工程”栏上发布。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16</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18．1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投标人的</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替代方案</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17</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20．1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投标文件份数、装订要求</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资信标：正本1份、副本</w:t>
            </w:r>
            <w:r>
              <w:rPr>
                <w:rFonts w:ascii="宋体" w:hAnsi="宋体" w:eastAsia="宋体" w:cs="宋体"/>
                <w:color w:val="000000" w:themeColor="text1"/>
                <w:kern w:val="2"/>
                <w:sz w:val="21"/>
                <w:szCs w:val="21"/>
                <w14:textFill>
                  <w14:solidFill>
                    <w14:schemeClr w14:val="tx1"/>
                  </w14:solidFill>
                </w14:textFill>
              </w:rPr>
              <w:t>6</w:t>
            </w:r>
            <w:r>
              <w:rPr>
                <w:rFonts w:hint="eastAsia" w:ascii="宋体" w:hAnsi="宋体" w:eastAsia="宋体" w:cs="宋体"/>
                <w:color w:val="000000" w:themeColor="text1"/>
                <w:kern w:val="2"/>
                <w:sz w:val="21"/>
                <w:szCs w:val="21"/>
                <w14:textFill>
                  <w14:solidFill>
                    <w14:schemeClr w14:val="tx1"/>
                  </w14:solidFill>
                </w14:textFill>
              </w:rPr>
              <w:t>份；</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电子文件（光盘或U盘）1份（内含所有投标文件，密封在资信标中）；</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技术标：正本1份、副本</w:t>
            </w:r>
            <w:r>
              <w:rPr>
                <w:rFonts w:ascii="宋体" w:hAnsi="宋体" w:eastAsia="宋体" w:cs="宋体"/>
                <w:color w:val="000000" w:themeColor="text1"/>
                <w:kern w:val="2"/>
                <w:sz w:val="21"/>
                <w:szCs w:val="21"/>
                <w14:textFill>
                  <w14:solidFill>
                    <w14:schemeClr w14:val="tx1"/>
                  </w14:solidFill>
                </w14:textFill>
              </w:rPr>
              <w:t>6</w:t>
            </w:r>
            <w:r>
              <w:rPr>
                <w:rFonts w:hint="eastAsia" w:ascii="宋体" w:hAnsi="宋体" w:eastAsia="宋体" w:cs="宋体"/>
                <w:color w:val="000000" w:themeColor="text1"/>
                <w:kern w:val="2"/>
                <w:sz w:val="21"/>
                <w:szCs w:val="21"/>
                <w14:textFill>
                  <w14:solidFill>
                    <w14:schemeClr w14:val="tx1"/>
                  </w14:solidFill>
                </w14:textFill>
              </w:rPr>
              <w:t>份；</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证书原件：资信标及技术标中需要提供的证明材料原件（如有）。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18</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21．1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投标文件递交地点及截止日期</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地址：</w:t>
            </w:r>
            <w:r>
              <w:rPr>
                <w:rFonts w:hint="eastAsia" w:ascii="宋体" w:hAnsi="宋体" w:eastAsia="宋体" w:cs="宋体"/>
                <w:color w:val="000000" w:themeColor="text1"/>
                <w:sz w:val="21"/>
                <w:szCs w:val="21"/>
                <w:shd w:val="clear" w:color="auto" w:fill="FFFFFF"/>
                <w14:textFill>
                  <w14:solidFill>
                    <w14:schemeClr w14:val="tx1"/>
                  </w14:solidFill>
                </w14:textFill>
              </w:rPr>
              <w:t>平阳县公共资源交易中心（平阳县鳌江镇火车站大道和环城路路口，和谐家园&lt;原剑桥华府&gt; 二层代理窗口）</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时间：2020年</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12</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 4</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 9 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19</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24．1</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开标会地时间、地点</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时间：2020年 12</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4</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 9 时30分</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地址：平阳县公共资源交易中心（平阳县鳌江镇火车站大道和环城路路口，和谐家园&lt;原剑桥华府&gt;）二楼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20</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32．3</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评标标准</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及方法</w:t>
            </w:r>
          </w:p>
        </w:tc>
        <w:tc>
          <w:tcPr>
            <w:tcW w:w="6031" w:type="dxa"/>
            <w:gridSpan w:val="2"/>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综合评估法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21</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13.5</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投标最高限价</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highlight w:val="yellow"/>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本项目投标最高限价</w:t>
            </w:r>
            <w:r>
              <w:rPr>
                <w:rFonts w:ascii="宋体" w:hAnsi="宋体" w:eastAsia="宋体" w:cs="宋体"/>
                <w:color w:val="000000" w:themeColor="text1"/>
                <w:kern w:val="2"/>
                <w:sz w:val="21"/>
                <w:szCs w:val="21"/>
                <w14:textFill>
                  <w14:solidFill>
                    <w14:schemeClr w14:val="tx1"/>
                  </w14:solidFill>
                </w14:textFill>
              </w:rPr>
              <w:t>6793.48</w:t>
            </w:r>
            <w:r>
              <w:rPr>
                <w:rFonts w:hint="eastAsia" w:ascii="宋体" w:hAnsi="宋体" w:eastAsia="宋体" w:cs="宋体"/>
                <w:color w:val="000000" w:themeColor="text1"/>
                <w:kern w:val="2"/>
                <w:sz w:val="21"/>
                <w:szCs w:val="21"/>
                <w14:textFill>
                  <w14:solidFill>
                    <w14:schemeClr w14:val="tx1"/>
                  </w14:solidFill>
                </w14:textFill>
              </w:rPr>
              <w:t>万元【其中工程设计费：工程设计固定报价</w:t>
            </w:r>
            <w:r>
              <w:rPr>
                <w:rFonts w:ascii="宋体" w:hAnsi="宋体" w:eastAsia="宋体" w:cs="宋体"/>
                <w:color w:val="000000" w:themeColor="text1"/>
                <w:kern w:val="2"/>
                <w:sz w:val="21"/>
                <w:szCs w:val="21"/>
                <w14:textFill>
                  <w14:solidFill>
                    <w14:schemeClr w14:val="tx1"/>
                  </w14:solidFill>
                </w14:textFill>
              </w:rPr>
              <w:t>73.1</w:t>
            </w:r>
            <w:r>
              <w:rPr>
                <w:rFonts w:hint="eastAsia" w:ascii="宋体" w:hAnsi="宋体" w:eastAsia="宋体" w:cs="宋体"/>
                <w:color w:val="000000" w:themeColor="text1"/>
                <w:kern w:val="2"/>
                <w:sz w:val="21"/>
                <w:szCs w:val="21"/>
                <w14:textFill>
                  <w14:solidFill>
                    <w14:schemeClr w14:val="tx1"/>
                  </w14:solidFill>
                </w14:textFill>
              </w:rPr>
              <w:t>万元，设备购置费（不含分体式空调、变配电设备、厨房设备及生活家具）固定报价</w:t>
            </w:r>
            <w:r>
              <w:rPr>
                <w:rFonts w:ascii="宋体" w:hAnsi="宋体" w:eastAsia="宋体" w:cs="宋体"/>
                <w:color w:val="000000" w:themeColor="text1"/>
                <w:kern w:val="2"/>
                <w:sz w:val="21"/>
                <w:szCs w:val="21"/>
                <w14:textFill>
                  <w14:solidFill>
                    <w14:schemeClr w14:val="tx1"/>
                  </w14:solidFill>
                </w14:textFill>
              </w:rPr>
              <w:t>152.8</w:t>
            </w:r>
            <w:r>
              <w:rPr>
                <w:rFonts w:hint="eastAsia" w:ascii="宋体" w:hAnsi="宋体" w:eastAsia="宋体" w:cs="宋体"/>
                <w:color w:val="000000" w:themeColor="text1"/>
                <w:kern w:val="2"/>
                <w:sz w:val="21"/>
                <w:szCs w:val="21"/>
                <w14:textFill>
                  <w14:solidFill>
                    <w14:schemeClr w14:val="tx1"/>
                  </w14:solidFill>
                </w14:textFill>
              </w:rPr>
              <w:t>万元，建筑安装工程费（含总承包管理及试运行费用）最高限价</w:t>
            </w:r>
            <w:r>
              <w:rPr>
                <w:rFonts w:ascii="宋体" w:hAnsi="宋体" w:eastAsia="宋体" w:cs="宋体"/>
                <w:color w:val="000000" w:themeColor="text1"/>
                <w:kern w:val="2"/>
                <w:sz w:val="21"/>
                <w:szCs w:val="21"/>
                <w14:textFill>
                  <w14:solidFill>
                    <w14:schemeClr w14:val="tx1"/>
                  </w14:solidFill>
                </w14:textFill>
              </w:rPr>
              <w:t>6526.63</w:t>
            </w:r>
            <w:r>
              <w:rPr>
                <w:rFonts w:hint="eastAsia" w:ascii="宋体" w:hAnsi="宋体" w:eastAsia="宋体" w:cs="宋体"/>
                <w:color w:val="000000" w:themeColor="text1"/>
                <w:kern w:val="2"/>
                <w:sz w:val="21"/>
                <w:szCs w:val="21"/>
                <w14:textFill>
                  <w14:solidFill>
                    <w14:schemeClr w14:val="tx1"/>
                  </w14:solidFill>
                </w14:textFill>
              </w:rPr>
              <w:t>万元，招标代理费</w:t>
            </w:r>
            <w:r>
              <w:rPr>
                <w:rFonts w:ascii="宋体" w:hAnsi="宋体" w:eastAsia="宋体" w:cs="宋体"/>
                <w:color w:val="000000" w:themeColor="text1"/>
                <w:kern w:val="2"/>
                <w:sz w:val="21"/>
                <w:szCs w:val="21"/>
                <w14:textFill>
                  <w14:solidFill>
                    <w14:schemeClr w14:val="tx1"/>
                  </w14:solidFill>
                </w14:textFill>
              </w:rPr>
              <w:t>16.75</w:t>
            </w:r>
            <w:r>
              <w:rPr>
                <w:rFonts w:hint="eastAsia" w:ascii="宋体" w:hAnsi="宋体" w:eastAsia="宋体" w:cs="宋体"/>
                <w:color w:val="000000" w:themeColor="text1"/>
                <w:kern w:val="2"/>
                <w:sz w:val="21"/>
                <w:szCs w:val="21"/>
                <w14:textFill>
                  <w14:solidFill>
                    <w14:schemeClr w14:val="tx1"/>
                  </w14:solidFill>
                </w14:textFill>
              </w:rPr>
              <w:t>万元，二次装修初步设计编制费</w:t>
            </w:r>
            <w:r>
              <w:rPr>
                <w:rFonts w:ascii="宋体" w:hAnsi="宋体" w:eastAsia="宋体" w:cs="宋体"/>
                <w:color w:val="000000" w:themeColor="text1"/>
                <w:kern w:val="2"/>
                <w:sz w:val="21"/>
                <w:szCs w:val="21"/>
                <w14:textFill>
                  <w14:solidFill>
                    <w14:schemeClr w14:val="tx1"/>
                  </w14:solidFill>
                </w14:textFill>
              </w:rPr>
              <w:t>18.2</w:t>
            </w:r>
            <w:r>
              <w:rPr>
                <w:rFonts w:hint="eastAsia" w:ascii="宋体" w:hAnsi="宋体" w:eastAsia="宋体" w:cs="宋体"/>
                <w:color w:val="000000" w:themeColor="text1"/>
                <w:kern w:val="2"/>
                <w:sz w:val="21"/>
                <w:szCs w:val="21"/>
                <w14:textFill>
                  <w14:solidFill>
                    <w14:schemeClr w14:val="tx1"/>
                  </w14:solidFill>
                </w14:textFill>
              </w:rPr>
              <w:t>万元，室外工程初步设计编制费6万元】。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98"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22</w:t>
            </w:r>
          </w:p>
        </w:tc>
        <w:tc>
          <w:tcPr>
            <w:tcW w:w="849"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37．3</w:t>
            </w:r>
          </w:p>
        </w:tc>
        <w:tc>
          <w:tcPr>
            <w:tcW w:w="1610"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履约担保金额</w:t>
            </w:r>
          </w:p>
        </w:tc>
        <w:tc>
          <w:tcPr>
            <w:tcW w:w="6031" w:type="dxa"/>
            <w:gridSpan w:val="2"/>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履约担保的金额：合同总价的</w:t>
            </w:r>
            <w:r>
              <w:rPr>
                <w:rFonts w:ascii="宋体" w:hAnsi="宋体" w:eastAsia="宋体" w:cs="宋体"/>
                <w:color w:val="000000" w:themeColor="text1"/>
                <w:kern w:val="2"/>
                <w:sz w:val="21"/>
                <w:szCs w:val="21"/>
                <w14:textFill>
                  <w14:solidFill>
                    <w14:schemeClr w14:val="tx1"/>
                  </w14:solidFill>
                </w14:textFill>
              </w:rPr>
              <w:t>2</w:t>
            </w:r>
            <w:r>
              <w:rPr>
                <w:rFonts w:hint="eastAsia" w:ascii="宋体" w:hAnsi="宋体" w:eastAsia="宋体" w:cs="宋体"/>
                <w:color w:val="000000" w:themeColor="text1"/>
                <w:kern w:val="2"/>
                <w:sz w:val="21"/>
                <w:szCs w:val="21"/>
                <w14:textFill>
                  <w14:solidFill>
                    <w14:schemeClr w14:val="tx1"/>
                  </w14:solidFill>
                </w14:textFill>
              </w:rPr>
              <w:t xml:space="preserve">% </w:t>
            </w:r>
          </w:p>
          <w:p>
            <w:pPr>
              <w:pStyle w:val="26"/>
              <w:spacing w:line="320" w:lineRule="exact"/>
              <w:ind w:firstLine="0" w:firstLineChars="0"/>
              <w:contextualSpacing/>
              <w:rPr>
                <w:rFonts w:ascii="宋体" w:hAnsi="宋体" w:eastAsia="宋体" w:cs="宋体"/>
                <w:b/>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履约担保的形式：银行保函</w:t>
            </w:r>
          </w:p>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注：</w:t>
            </w:r>
            <w:r>
              <w:rPr>
                <w:rFonts w:hint="eastAsia" w:ascii="宋体" w:hAnsi="宋体" w:eastAsia="宋体" w:cs="宋体"/>
                <w:color w:val="000000" w:themeColor="text1"/>
                <w:kern w:val="2"/>
                <w:sz w:val="21"/>
                <w:szCs w:val="21"/>
                <w:u w:val="single"/>
                <w14:textFill>
                  <w14:solidFill>
                    <w14:schemeClr w14:val="tx1"/>
                  </w14:solidFill>
                </w14:textFill>
              </w:rPr>
              <w:t>履约保证金的缴纳：招标人在发出中标通知书同时出具履约保证金缴纳通知单，中标单位按通知单要求在五日内将履约保证金存入招标人指定的专户。履约保证金必须从中标人的基本银行帐户中划出，不得在其他帐户中办理转划；履约保证金用现金[（银行保函及浙江裕沣担保有限公司（平阳县中小企业融资担保有限公司）保函形式或保险公司保函）]进行交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988" w:type="dxa"/>
            <w:gridSpan w:val="5"/>
            <w:vAlign w:val="center"/>
          </w:tcPr>
          <w:p>
            <w:pPr>
              <w:pStyle w:val="26"/>
              <w:spacing w:line="320" w:lineRule="exact"/>
              <w:ind w:firstLine="0" w:firstLineChars="0"/>
              <w:contextualSpacing/>
              <w:rPr>
                <w:rFonts w:ascii="宋体" w:hAnsi="宋体" w:eastAsia="宋体" w:cs="宋体"/>
                <w:bCs/>
                <w:color w:val="000000" w:themeColor="text1"/>
                <w:kern w:val="2"/>
                <w:sz w:val="21"/>
                <w:szCs w:val="21"/>
                <w14:textFill>
                  <w14:solidFill>
                    <w14:schemeClr w14:val="tx1"/>
                  </w14:solidFill>
                </w14:textFill>
              </w:rPr>
            </w:pPr>
            <w:r>
              <w:rPr>
                <w:rFonts w:hint="eastAsia" w:ascii="宋体" w:hAnsi="宋体" w:eastAsia="宋体" w:cs="宋体"/>
                <w:bCs/>
                <w:color w:val="000000" w:themeColor="text1"/>
                <w:kern w:val="2"/>
                <w:sz w:val="21"/>
                <w:szCs w:val="21"/>
                <w14:textFill>
                  <w14:solidFill>
                    <w14:schemeClr w14:val="tx1"/>
                  </w14:solidFill>
                </w14:textFill>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开标会议</w:t>
            </w:r>
          </w:p>
        </w:tc>
        <w:tc>
          <w:tcPr>
            <w:tcW w:w="6012" w:type="dxa"/>
            <w:vAlign w:val="center"/>
          </w:tcPr>
          <w:p>
            <w:pPr>
              <w:pStyle w:val="134"/>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投标单位必须由法定代表人携带有效身份证明到场参加开标会议；法定代表人不能到场参加开标会议的，可委托本企业人员（需提供由社会保障部门出具的内的本单位社保在保证明原件或提供“地方政务服务网”生成的电子证明，自行下载打印并加盖公章，电子证明上有“地方政务服务网”二维码或条形码等可查询标注。若因扫描件或复印件上的二维码或条形码无法查询而引起的一切后果，均由投标单位自行承担）携带有效身份证明到场参加开标会议，有效身份证明详见第二章4.2.5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976" w:type="dxa"/>
            <w:gridSpan w:val="4"/>
            <w:vAlign w:val="center"/>
          </w:tcPr>
          <w:p>
            <w:pPr>
              <w:pStyle w:val="106"/>
              <w:adjustRightInd/>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投标人提出问题的截止时间</w:t>
            </w:r>
          </w:p>
        </w:tc>
        <w:tc>
          <w:tcPr>
            <w:tcW w:w="6012" w:type="dxa"/>
            <w:vAlign w:val="center"/>
          </w:tcPr>
          <w:p>
            <w:pPr>
              <w:pStyle w:val="106"/>
              <w:adjustRightInd/>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t xml:space="preserve">2020 </w:t>
            </w:r>
            <w:r>
              <w:rPr>
                <w:rFonts w:hint="eastAsia" w:ascii="宋体" w:hAnsi="宋体" w:eastAsia="宋体" w:cs="宋体"/>
                <w:color w:val="000000" w:themeColor="text1"/>
                <w:sz w:val="21"/>
                <w:szCs w:val="21"/>
                <w14:textFill>
                  <w14:solidFill>
                    <w14:schemeClr w14:val="tx1"/>
                  </w14:solidFill>
                </w14:textFill>
              </w:rPr>
              <w:t>年 11 月</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16</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日17:00前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976" w:type="dxa"/>
            <w:gridSpan w:val="4"/>
            <w:vAlign w:val="center"/>
          </w:tcPr>
          <w:p>
            <w:pPr>
              <w:pStyle w:val="106"/>
              <w:adjustRightInd/>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招标人书面澄清的时间</w:t>
            </w:r>
          </w:p>
        </w:tc>
        <w:tc>
          <w:tcPr>
            <w:tcW w:w="6012" w:type="dxa"/>
            <w:vAlign w:val="center"/>
          </w:tcPr>
          <w:p>
            <w:pPr>
              <w:pStyle w:val="106"/>
              <w:adjustRightInd/>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t xml:space="preserve">2020 </w:t>
            </w:r>
            <w:r>
              <w:rPr>
                <w:rFonts w:hint="eastAsia" w:ascii="宋体" w:hAnsi="宋体" w:eastAsia="宋体" w:cs="宋体"/>
                <w:color w:val="000000" w:themeColor="text1"/>
                <w:sz w:val="21"/>
                <w:szCs w:val="21"/>
                <w14:textFill>
                  <w14:solidFill>
                    <w14:schemeClr w14:val="tx1"/>
                  </w14:solidFill>
                </w14:textFill>
              </w:rPr>
              <w:t xml:space="preserve">年 </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11</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ascii="宋体" w:hAnsi="宋体" w:eastAsia="宋体" w:cs="宋体"/>
                <w:color w:val="000000" w:themeColor="text1"/>
                <w:sz w:val="21"/>
                <w:szCs w:val="21"/>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19 日17:00后开始提供下载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评标委员会的组建</w:t>
            </w:r>
          </w:p>
        </w:tc>
        <w:tc>
          <w:tcPr>
            <w:tcW w:w="6012"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 xml:space="preserve">评标工作由招标人依法组建的评标委员会负责，评标委员会成员为5人及以上单数。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是否授权评标委员会确定中标人</w:t>
            </w:r>
          </w:p>
        </w:tc>
        <w:tc>
          <w:tcPr>
            <w:tcW w:w="6012" w:type="dxa"/>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否，推荐的中标候选人的人数为1名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盖章或签字要求</w:t>
            </w:r>
          </w:p>
        </w:tc>
        <w:tc>
          <w:tcPr>
            <w:tcW w:w="6012" w:type="dxa"/>
            <w:vAlign w:val="center"/>
          </w:tcPr>
          <w:p>
            <w:pPr>
              <w:pStyle w:val="26"/>
              <w:spacing w:line="320" w:lineRule="exact"/>
              <w:ind w:firstLine="0" w:firstLineChars="0"/>
              <w:contextualSpacing/>
              <w:rPr>
                <w:rFonts w:ascii="宋体" w:hAnsi="宋体" w:eastAsia="宋体" w:cs="宋体"/>
                <w:b/>
                <w:bCs/>
                <w:color w:val="000000" w:themeColor="text1"/>
                <w:kern w:val="2"/>
                <w:sz w:val="21"/>
                <w:szCs w:val="21"/>
                <w14:textFill>
                  <w14:solidFill>
                    <w14:schemeClr w14:val="tx1"/>
                  </w14:solidFill>
                </w14:textFill>
              </w:rPr>
            </w:pPr>
            <w:r>
              <w:rPr>
                <w:rFonts w:hint="eastAsia" w:ascii="宋体" w:hAnsi="宋体" w:eastAsia="宋体" w:cs="宋体"/>
                <w:snapToGrid w:val="0"/>
                <w:color w:val="000000" w:themeColor="text1"/>
                <w:kern w:val="2"/>
                <w:sz w:val="21"/>
                <w:szCs w:val="21"/>
                <w14:textFill>
                  <w14:solidFill>
                    <w14:schemeClr w14:val="tx1"/>
                  </w14:solidFill>
                </w14:textFill>
              </w:rPr>
              <w:t>投标文件均须按招标文件所附的投标文件格式要求加盖投标人印章并经法定代表人或其授权委托代理人签字或盖章。由委托代理人签字或盖章的在投标文件中必须同时提交投标文件签署授权委托书，投标文件签署授权委托书格式、签字、盖章及内容均应符合要求，否则投标文件签署授权委托书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6"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费用承担和设计成果补偿</w:t>
            </w:r>
          </w:p>
        </w:tc>
        <w:tc>
          <w:tcPr>
            <w:tcW w:w="6012" w:type="dxa"/>
            <w:vAlign w:val="center"/>
          </w:tcPr>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设计补偿费用：本项目设置设计补偿费。</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分别补偿如下：</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综合得分第二名的投标人：3万元；</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综合得分第三名的投标人：2万元；</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由综合得分第二名和第三名的单位在中标通知书发出后凭正式发票向招标人获取。</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知识产权：</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（1）投标人须保证本投标文件及资料均未侵犯他人的知识产权，否则须承担由此引起的全部法律责任和经济责任。</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（2）若投标人使用他人的专利、专有技术时，所涉及到的费用及产生的纠纷，由投标人自行解决。</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（3）招标人提供的相关资料只供本次活动使用，各投标人应承担保密义务，不得擅自拷贝和传播。</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（4）投标人的所有投标文件不予退还，所有投标文件的所有权（包括知识产权）归招标人所有。</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（5）招标人有权通过传媒或其它形式介绍、展示或评价设计方案，所有展示、推介、广告均不再向投标人支付费用。</w:t>
            </w:r>
          </w:p>
          <w:p>
            <w:pPr>
              <w:spacing w:line="320" w:lineRule="exact"/>
              <w:ind w:firstLine="0" w:firstLineChars="0"/>
              <w:contextualSpacing/>
              <w:rPr>
                <w:rFonts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（6）中标人未经招标人许可，不得将中标成果用于其他任何项目的投标和设计，不得在国内外刊物、学术或技术交流会上发表该成果。</w:t>
            </w:r>
          </w:p>
          <w:p>
            <w:pPr>
              <w:pStyle w:val="19"/>
              <w:ind w:firstLine="0" w:firstLineChars="0"/>
              <w:rPr>
                <w:color w:val="000000" w:themeColor="text1"/>
                <w14:textFill>
                  <w14:solidFill>
                    <w14:schemeClr w14:val="tx1"/>
                  </w14:solidFill>
                </w14:textFill>
              </w:rPr>
            </w:pPr>
            <w:r>
              <w:rPr>
                <w:rFonts w:hint="eastAsia" w:ascii="宋体" w:hAnsi="宋体" w:cs="宋体"/>
                <w:snapToGrid w:val="0"/>
                <w:color w:val="000000" w:themeColor="text1"/>
                <w:kern w:val="2"/>
                <w14:textFill>
                  <w14:solidFill>
                    <w14:schemeClr w14:val="tx1"/>
                  </w14:solidFill>
                </w14:textFill>
              </w:rPr>
              <w:t>（7）中标人须在领取中标通知书前向招标代理机构支付招标代理费16.75万元；签订合同前向初步设计单位支付二次装修初步设计编制费18.2万元，室外工程初步设计编制费6万元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构成招标文件的其他资料</w:t>
            </w:r>
          </w:p>
        </w:tc>
        <w:tc>
          <w:tcPr>
            <w:tcW w:w="6012" w:type="dxa"/>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附件1：平阳县社会养老福利服务中心项目工程项目范围红线图；</w:t>
            </w:r>
          </w:p>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附件2：</w:t>
            </w:r>
            <w:r>
              <w:rPr>
                <w:rFonts w:hint="eastAsia" w:ascii="宋体" w:hAnsi="宋体" w:eastAsia="宋体" w:cs="宋体"/>
                <w:color w:val="000000" w:themeColor="text1"/>
                <w:sz w:val="21"/>
                <w:szCs w:val="21"/>
                <w:highlight w:val="yellow"/>
                <w14:textFill>
                  <w14:solidFill>
                    <w14:schemeClr w14:val="tx1"/>
                  </w14:solidFill>
                </w14:textFill>
              </w:rPr>
              <w:t>工程可行性研究报告、初步设计文本。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中标候选人公示媒介</w:t>
            </w:r>
          </w:p>
        </w:tc>
        <w:tc>
          <w:tcPr>
            <w:tcW w:w="6012" w:type="dxa"/>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在平阳县公共资源交易中心网公示3个工作日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2976" w:type="dxa"/>
            <w:gridSpan w:val="4"/>
            <w:vAlign w:val="center"/>
          </w:tcPr>
          <w:p>
            <w:pPr>
              <w:pStyle w:val="26"/>
              <w:spacing w:line="320" w:lineRule="exact"/>
              <w:ind w:firstLine="0" w:firstLineChars="0"/>
              <w:contextualSpacing/>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注意事项</w:t>
            </w:r>
          </w:p>
        </w:tc>
        <w:tc>
          <w:tcPr>
            <w:tcW w:w="6012" w:type="dxa"/>
            <w:vAlign w:val="center"/>
          </w:tcPr>
          <w:p>
            <w:pPr>
              <w:spacing w:line="320" w:lineRule="exact"/>
              <w:ind w:firstLine="0" w:firstLineChars="0"/>
              <w:contextualSpacing/>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本招标文件中有关时间安排如有不一致的，一律以本“投标须知前附表”为准；本招标文件涉及的时间为“北京时间”。</w:t>
            </w:r>
          </w:p>
        </w:tc>
      </w:tr>
    </w:tbl>
    <w:p>
      <w:pPr>
        <w:pStyle w:val="26"/>
        <w:spacing w:line="440" w:lineRule="exact"/>
        <w:ind w:firstLine="400"/>
        <w:jc w:val="center"/>
        <w:rPr>
          <w:rFonts w:hAnsi="Arial" w:cs="Times New Roman"/>
          <w:b/>
          <w:bCs/>
          <w:color w:val="000000" w:themeColor="text1"/>
          <w:sz w:val="36"/>
          <w:szCs w:val="36"/>
          <w14:textFill>
            <w14:solidFill>
              <w14:schemeClr w14:val="tx1"/>
            </w14:solidFill>
          </w14:textFill>
        </w:rPr>
      </w:pPr>
      <w:r>
        <w:rPr>
          <w:rFonts w:hAnsi="Arial" w:cs="Times New Roman"/>
          <w:color w:val="000000" w:themeColor="text1"/>
          <w14:textFill>
            <w14:solidFill>
              <w14:schemeClr w14:val="tx1"/>
            </w14:solidFill>
          </w14:textFill>
        </w:rPr>
        <w:br w:type="page"/>
      </w:r>
      <w:r>
        <w:rPr>
          <w:rFonts w:hAnsi="Arial" w:cs="Times New Roman"/>
          <w:b/>
          <w:bCs/>
          <w:color w:val="000000" w:themeColor="text1"/>
          <w:sz w:val="36"/>
          <w:szCs w:val="36"/>
          <w14:textFill>
            <w14:solidFill>
              <w14:schemeClr w14:val="tx1"/>
            </w14:solidFill>
          </w14:textFill>
        </w:rPr>
        <w:t>二、投标须知</w:t>
      </w:r>
    </w:p>
    <w:p>
      <w:pPr>
        <w:pStyle w:val="26"/>
        <w:spacing w:line="580" w:lineRule="exact"/>
        <w:ind w:firstLine="562"/>
        <w:contextualSpacing/>
        <w:rPr>
          <w:rFonts w:cs="Times New Roman" w:asciiTheme="minorEastAsia" w:hAnsiTheme="minorEastAsia" w:eastAsiaTheme="minorEastAsia"/>
          <w:b/>
          <w:bCs/>
          <w:color w:val="000000" w:themeColor="text1"/>
          <w:sz w:val="24"/>
          <w:szCs w:val="24"/>
          <w14:textFill>
            <w14:solidFill>
              <w14:schemeClr w14:val="tx1"/>
            </w14:solidFill>
          </w14:textFill>
        </w:rPr>
      </w:pPr>
      <w:r>
        <w:rPr>
          <w:rFonts w:asciiTheme="minorEastAsia" w:hAnsiTheme="minorEastAsia" w:eastAsiaTheme="minorEastAsia"/>
          <w:b/>
          <w:bCs/>
          <w:color w:val="000000" w:themeColor="text1"/>
          <w:sz w:val="28"/>
          <w:szCs w:val="28"/>
          <w14:textFill>
            <w14:solidFill>
              <w14:schemeClr w14:val="tx1"/>
            </w14:solidFill>
          </w14:textFill>
        </w:rPr>
        <w:t xml:space="preserve"> </w:t>
      </w:r>
      <w:r>
        <w:rPr>
          <w:rFonts w:asciiTheme="minorEastAsia" w:hAnsiTheme="minorEastAsia" w:eastAsiaTheme="minorEastAsia"/>
          <w:b/>
          <w:bCs/>
          <w:color w:val="000000" w:themeColor="text1"/>
          <w:sz w:val="24"/>
          <w:szCs w:val="24"/>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14:textFill>
            <w14:solidFill>
              <w14:schemeClr w14:val="tx1"/>
            </w14:solidFill>
          </w14:textFill>
        </w:rPr>
        <w:t>一</w:t>
      </w:r>
      <w:r>
        <w:rPr>
          <w:rFonts w:asciiTheme="minorEastAsia" w:hAnsiTheme="minorEastAsia" w:eastAsiaTheme="minorEastAsia"/>
          <w:b/>
          <w:bCs/>
          <w:color w:val="000000" w:themeColor="text1"/>
          <w:sz w:val="24"/>
          <w:szCs w:val="24"/>
          <w14:textFill>
            <w14:solidFill>
              <w14:schemeClr w14:val="tx1"/>
            </w14:solidFill>
          </w14:textFill>
        </w:rPr>
        <w:t>)</w:t>
      </w:r>
      <w:r>
        <w:rPr>
          <w:rFonts w:cs="Times New Roman" w:asciiTheme="minorEastAsia" w:hAnsiTheme="minorEastAsia" w:eastAsiaTheme="minorEastAsia"/>
          <w:b/>
          <w:bCs/>
          <w:color w:val="000000" w:themeColor="text1"/>
          <w:sz w:val="24"/>
          <w:szCs w:val="24"/>
          <w14:textFill>
            <w14:solidFill>
              <w14:schemeClr w14:val="tx1"/>
            </w14:solidFill>
          </w14:textFill>
        </w:rPr>
        <w:t>总则</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、工程说明</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工程说明见投标须知前附表</w:t>
      </w:r>
      <w:r>
        <w:rPr>
          <w:rFont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以下简称</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前附表</w:t>
      </w:r>
      <w:r>
        <w:rPr>
          <w:rFonts w:cs="Arial"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第</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项</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第</w:t>
      </w:r>
      <w:r>
        <w:rPr>
          <w:rFonts w:asciiTheme="minorEastAsia" w:hAnsiTheme="minorEastAsia" w:eastAsiaTheme="minorEastAsia"/>
          <w:color w:val="000000" w:themeColor="text1"/>
          <w:sz w:val="22"/>
          <w:szCs w:val="22"/>
          <w14:textFill>
            <w14:solidFill>
              <w14:schemeClr w14:val="tx1"/>
            </w14:solidFill>
          </w14:textFill>
        </w:rPr>
        <w:t>5</w:t>
      </w:r>
      <w:r>
        <w:rPr>
          <w:rFonts w:cs="Times New Roman" w:asciiTheme="minorEastAsia" w:hAnsiTheme="minorEastAsia" w:eastAsiaTheme="minorEastAsia"/>
          <w:color w:val="000000" w:themeColor="text1"/>
          <w:sz w:val="22"/>
          <w:szCs w:val="22"/>
          <w14:textFill>
            <w14:solidFill>
              <w14:schemeClr w14:val="tx1"/>
            </w14:solidFill>
          </w14:textFill>
        </w:rPr>
        <w:t>项所述；</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上述工程按照《中华人民共和国招标投标法》等有关法律、法规、规章规定通过招标来择优选定中标单位。</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、招标范围及工期</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本次招标的工程范围见前附表第</w:t>
      </w:r>
      <w:r>
        <w:rPr>
          <w:rFonts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项所述；</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本工程的工期要求见前附表第</w:t>
      </w:r>
      <w:r>
        <w:rPr>
          <w:rFonts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项所述。</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、资金来源</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本工程立项计划已得到有关部门的批准，工程资金通过前附表第</w:t>
      </w:r>
      <w:r>
        <w:rPr>
          <w:rFonts w:asciiTheme="minorEastAsia" w:hAnsiTheme="minorEastAsia" w:eastAsiaTheme="minorEastAsia"/>
          <w:color w:val="000000" w:themeColor="text1"/>
          <w:sz w:val="22"/>
          <w:szCs w:val="22"/>
          <w14:textFill>
            <w14:solidFill>
              <w14:schemeClr w14:val="tx1"/>
            </w14:solidFill>
          </w14:textFill>
        </w:rPr>
        <w:t>8</w:t>
      </w:r>
      <w:r>
        <w:rPr>
          <w:rFonts w:cs="Times New Roman" w:asciiTheme="minorEastAsia" w:hAnsiTheme="minorEastAsia" w:eastAsiaTheme="minorEastAsia"/>
          <w:color w:val="000000" w:themeColor="text1"/>
          <w:sz w:val="22"/>
          <w:szCs w:val="22"/>
          <w14:textFill>
            <w14:solidFill>
              <w14:schemeClr w14:val="tx1"/>
            </w14:solidFill>
          </w14:textFill>
        </w:rPr>
        <w:t>项所述的方式获得。</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4</w:t>
      </w:r>
      <w:r>
        <w:rPr>
          <w:rFonts w:cs="Times New Roman" w:asciiTheme="minorEastAsia" w:hAnsiTheme="minorEastAsia" w:eastAsiaTheme="minorEastAsia"/>
          <w:color w:val="000000" w:themeColor="text1"/>
          <w:sz w:val="22"/>
          <w:szCs w:val="22"/>
          <w14:textFill>
            <w14:solidFill>
              <w14:schemeClr w14:val="tx1"/>
            </w14:solidFill>
          </w14:textFill>
        </w:rPr>
        <w:t>、合格的投标人</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4</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投标人资质等级要求见前附表第</w:t>
      </w:r>
      <w:r>
        <w:rPr>
          <w:rFonts w:asciiTheme="minorEastAsia" w:hAnsiTheme="minorEastAsia" w:eastAsiaTheme="minorEastAsia"/>
          <w:color w:val="000000" w:themeColor="text1"/>
          <w:sz w:val="22"/>
          <w:szCs w:val="22"/>
          <w14:textFill>
            <w14:solidFill>
              <w14:schemeClr w14:val="tx1"/>
            </w14:solidFill>
          </w14:textFill>
        </w:rPr>
        <w:t>9</w:t>
      </w:r>
      <w:r>
        <w:rPr>
          <w:rFonts w:cs="Times New Roman" w:asciiTheme="minorEastAsia" w:hAnsiTheme="minorEastAsia" w:eastAsiaTheme="minorEastAsia"/>
          <w:color w:val="000000" w:themeColor="text1"/>
          <w:sz w:val="22"/>
          <w:szCs w:val="22"/>
          <w14:textFill>
            <w14:solidFill>
              <w14:schemeClr w14:val="tx1"/>
            </w14:solidFill>
          </w14:textFill>
        </w:rPr>
        <w:t>项所述；</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4</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本工程采用前附表第</w:t>
      </w:r>
      <w:r>
        <w:rPr>
          <w:rFonts w:asciiTheme="minorEastAsia" w:hAnsiTheme="minorEastAsia" w:eastAsiaTheme="minorEastAsia"/>
          <w:color w:val="000000" w:themeColor="text1"/>
          <w:sz w:val="22"/>
          <w:szCs w:val="22"/>
          <w14:textFill>
            <w14:solidFill>
              <w14:schemeClr w14:val="tx1"/>
            </w14:solidFill>
          </w14:textFill>
        </w:rPr>
        <w:t>10</w:t>
      </w:r>
      <w:r>
        <w:rPr>
          <w:rFonts w:cs="Times New Roman" w:asciiTheme="minorEastAsia" w:hAnsiTheme="minorEastAsia" w:eastAsiaTheme="minorEastAsia"/>
          <w:color w:val="000000" w:themeColor="text1"/>
          <w:sz w:val="22"/>
          <w:szCs w:val="22"/>
          <w14:textFill>
            <w14:solidFill>
              <w14:schemeClr w14:val="tx1"/>
            </w14:solidFill>
          </w14:textFill>
        </w:rPr>
        <w:t>项所述的资格审查方法确定合格投标人，投标人必须按资格审查文件要求在递交投标文件时一同报送资格后审的资料；</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4. 3</w:t>
      </w:r>
      <w:r>
        <w:rPr>
          <w:rFonts w:cs="Times New Roman" w:asciiTheme="minorEastAsia" w:hAnsiTheme="minorEastAsia" w:eastAsiaTheme="minorEastAsia"/>
          <w:color w:val="000000" w:themeColor="text1"/>
          <w:sz w:val="22"/>
          <w:szCs w:val="22"/>
          <w14:textFill>
            <w14:solidFill>
              <w14:schemeClr w14:val="tx1"/>
            </w14:solidFill>
          </w14:textFill>
        </w:rPr>
        <w:t>具有熟悉基本建设管理程序，具有独立协调各类基建事务的能力；</w:t>
      </w:r>
    </w:p>
    <w:p>
      <w:pPr>
        <w:pStyle w:val="26"/>
        <w:spacing w:line="360" w:lineRule="auto"/>
        <w:ind w:firstLine="440"/>
        <w:contextualSpacing/>
        <w:rPr>
          <w:rFonts w:cs="Times New Roman" w:asciiTheme="minorEastAsia" w:hAnsiTheme="minorEastAsia" w:eastAsiaTheme="minorEastAsia"/>
          <w:b/>
          <w:bCs/>
          <w:color w:val="000000" w:themeColor="text1"/>
          <w:sz w:val="22"/>
          <w:szCs w:val="22"/>
          <w:highlight w:val="cyan"/>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4. 4</w:t>
      </w:r>
      <w:r>
        <w:rPr>
          <w:rFonts w:cs="Times New Roman" w:asciiTheme="minorEastAsia" w:hAnsiTheme="minorEastAsia" w:eastAsiaTheme="minorEastAsia"/>
          <w:color w:val="000000" w:themeColor="text1"/>
          <w:sz w:val="22"/>
          <w:szCs w:val="22"/>
          <w14:textFill>
            <w14:solidFill>
              <w14:schemeClr w14:val="tx1"/>
            </w14:solidFill>
          </w14:textFill>
        </w:rPr>
        <w:t>具备与项目相适应的资金实力和承担经济风险的能力，财务状况和银行资信良好；</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5</w:t>
      </w:r>
      <w:r>
        <w:rPr>
          <w:rFonts w:cs="Times New Roman" w:asciiTheme="minorEastAsia" w:hAnsiTheme="minorEastAsia" w:eastAsiaTheme="minorEastAsia"/>
          <w:color w:val="000000" w:themeColor="text1"/>
          <w:sz w:val="22"/>
          <w:szCs w:val="22"/>
          <w14:textFill>
            <w14:solidFill>
              <w14:schemeClr w14:val="tx1"/>
            </w14:solidFill>
          </w14:textFill>
        </w:rPr>
        <w:t>、投标费用</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5</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投标人应承担其编制投标文件与递交投标文件所涉及的一切费用。不论投标结果如何，招标人在任何情况下无义务和也无责任承担这些费用。</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、踏勘现场</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6</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招标人将按前附表第</w:t>
      </w:r>
      <w:r>
        <w:rPr>
          <w:rFonts w:asciiTheme="minorEastAsia" w:hAnsiTheme="minorEastAsia" w:eastAsiaTheme="minorEastAsia"/>
          <w:color w:val="000000" w:themeColor="text1"/>
          <w:sz w:val="22"/>
          <w:szCs w:val="22"/>
          <w14:textFill>
            <w14:solidFill>
              <w14:schemeClr w14:val="tx1"/>
            </w14:solidFill>
          </w14:textFill>
        </w:rPr>
        <w:t>14</w:t>
      </w:r>
      <w:r>
        <w:rPr>
          <w:rFonts w:cs="Times New Roman" w:asciiTheme="minorEastAsia" w:hAnsiTheme="minorEastAsia" w:eastAsiaTheme="minorEastAsia"/>
          <w:color w:val="000000" w:themeColor="text1"/>
          <w:sz w:val="22"/>
          <w:szCs w:val="22"/>
          <w14:textFill>
            <w14:solidFill>
              <w14:schemeClr w14:val="tx1"/>
            </w14:solidFill>
          </w14:textFill>
        </w:rPr>
        <w:t>项所述时间组织投标人对工程现场及周围环境进行踏勘，以便投标人获取须自己负责的有关编制投标文件和签署合同所需的所有资料。踏勘现场所发生的费用由投标人自己承担；</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招标人向投标人提供的有关现场的资料和数据，是招标人现有的能使投标人利用的资料。招标人对投标人由此而做出的推论、理解和结论概不负责；</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4</w:t>
      </w:r>
      <w:r>
        <w:rPr>
          <w:rFonts w:cs="Times New Roman" w:asciiTheme="minorEastAsia" w:hAnsiTheme="minorEastAsia" w:eastAsiaTheme="minorEastAsia"/>
          <w:color w:val="000000" w:themeColor="text1"/>
          <w:sz w:val="22"/>
          <w:szCs w:val="22"/>
          <w14:textFill>
            <w14:solidFill>
              <w14:schemeClr w14:val="tx1"/>
            </w14:solidFill>
          </w14:textFill>
        </w:rPr>
        <w:t>如果投标人认为需要再次进行现场踏勘，招标人将予以支持，费用自理。</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 xml:space="preserve"> (</w:t>
      </w:r>
      <w:r>
        <w:rPr>
          <w:rFonts w:cs="Times New Roman" w:asciiTheme="minorEastAsia" w:hAnsiTheme="minorEastAsia" w:eastAsiaTheme="minorEastAsia"/>
          <w:b/>
          <w:bCs/>
          <w:color w:val="000000" w:themeColor="text1"/>
          <w:sz w:val="22"/>
          <w:szCs w:val="22"/>
          <w14:textFill>
            <w14:solidFill>
              <w14:schemeClr w14:val="tx1"/>
            </w14:solidFill>
          </w14:textFill>
        </w:rPr>
        <w:t>二</w:t>
      </w:r>
      <w:r>
        <w:rPr>
          <w:rFonts w:asciiTheme="minorEastAsia" w:hAnsiTheme="minorEastAsia" w:eastAsiaTheme="minorEastAsia"/>
          <w:b/>
          <w:bCs/>
          <w:color w:val="000000" w:themeColor="text1"/>
          <w:sz w:val="22"/>
          <w:szCs w:val="22"/>
          <w14:textFill>
            <w14:solidFill>
              <w14:schemeClr w14:val="tx1"/>
            </w14:solidFill>
          </w14:textFill>
        </w:rPr>
        <w:t>)</w:t>
      </w:r>
      <w:r>
        <w:rPr>
          <w:rFonts w:cs="Times New Roman" w:asciiTheme="minorEastAsia" w:hAnsiTheme="minorEastAsia" w:eastAsiaTheme="minorEastAsia"/>
          <w:b/>
          <w:bCs/>
          <w:color w:val="000000" w:themeColor="text1"/>
          <w:sz w:val="22"/>
          <w:szCs w:val="22"/>
          <w14:textFill>
            <w14:solidFill>
              <w14:schemeClr w14:val="tx1"/>
            </w14:solidFill>
          </w14:textFill>
        </w:rPr>
        <w:t>招标文件</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、招标文件的组成</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招标文件除以下内容外，招标人在招标期间发出的答疑纪要和其他补充修改函件，均是招标文件的组成部分，对投标人起约束作用；</w:t>
      </w:r>
    </w:p>
    <w:p>
      <w:pPr>
        <w:pStyle w:val="26"/>
        <w:spacing w:line="360" w:lineRule="auto"/>
        <w:ind w:firstLine="495" w:firstLineChars="225"/>
        <w:contextualSpacing/>
        <w:rPr>
          <w:rFonts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招标文件包括下列内容</w:t>
      </w:r>
      <w:r>
        <w:rPr>
          <w:rFonts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第一卷</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投标须知、合同条款及合同格式</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一、前附表</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二、投标须知</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三、招标评标办法</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四、合同条款及合同格式</w:t>
      </w:r>
    </w:p>
    <w:p>
      <w:pPr>
        <w:pStyle w:val="26"/>
        <w:spacing w:line="360" w:lineRule="auto"/>
        <w:ind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第二卷</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投标文件格式</w:t>
      </w:r>
    </w:p>
    <w:p>
      <w:pPr>
        <w:pStyle w:val="26"/>
        <w:spacing w:line="360" w:lineRule="auto"/>
        <w:ind w:firstLine="565" w:firstLineChars="257"/>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五、</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投标函格式</w:t>
      </w:r>
    </w:p>
    <w:p>
      <w:pPr>
        <w:pStyle w:val="26"/>
        <w:spacing w:line="360" w:lineRule="auto"/>
        <w:ind w:firstLine="550" w:firstLineChars="2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 xml:space="preserve">2 </w:t>
      </w:r>
      <w:r>
        <w:rPr>
          <w:rFonts w:cs="Times New Roman" w:asciiTheme="minorEastAsia" w:hAnsiTheme="minorEastAsia" w:eastAsiaTheme="minorEastAsia"/>
          <w:color w:val="000000" w:themeColor="text1"/>
          <w:sz w:val="22"/>
          <w:szCs w:val="22"/>
          <w14:textFill>
            <w14:solidFill>
              <w14:schemeClr w14:val="tx1"/>
            </w14:solidFill>
          </w14:textFill>
        </w:rPr>
        <w:t>投标人获取招标文件后，应仔细检查招标文件的所有内容，如有残缺应在领到招标文件后</w:t>
      </w: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日内向招标人提出，否则，由此引起的投标损失自负；投标人同时应认真审阅招标文件中所有的事项、格式、条款和规范要求等，如果投标人的投标文件没有按照招标文件要求提交全部资料或者投标文件没有对招标文件做出实质性响应，其风险应由投标人自行承担并根据有关条款规定，其投标有可能被拒绝。</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8</w:t>
      </w:r>
      <w:r>
        <w:rPr>
          <w:rFonts w:cs="Times New Roman" w:asciiTheme="minorEastAsia" w:hAnsiTheme="minorEastAsia" w:eastAsiaTheme="minorEastAsia"/>
          <w:color w:val="000000" w:themeColor="text1"/>
          <w:sz w:val="22"/>
          <w:szCs w:val="22"/>
          <w14:textFill>
            <w14:solidFill>
              <w14:schemeClr w14:val="tx1"/>
            </w14:solidFill>
          </w14:textFill>
        </w:rPr>
        <w:t>、招标文件的质疑于答疑、</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8</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投标人应仔细阅读和检查招标文件的全部内容。如发现缺页或附件不全，应及时向招标人提出，以便补齐。如对招标文件有疑问的投标人，应在投标人须知前附表的规定时间向</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"http://www.pyztb.com/" </w:instrText>
      </w:r>
      <w:r>
        <w:rPr>
          <w:color w:val="000000" w:themeColor="text1"/>
          <w14:textFill>
            <w14:solidFill>
              <w14:schemeClr w14:val="tx1"/>
            </w14:solidFill>
          </w14:textFill>
        </w:rPr>
        <w:fldChar w:fldCharType="separate"/>
      </w:r>
      <w:r>
        <w:rPr>
          <w:rFonts w:hint="eastAsia"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）提交质疑，招标人在投标人须知前附表的规定时间将答疑结果在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"http://www.pyztb.com/" </w:instrText>
      </w:r>
      <w:r>
        <w:rPr>
          <w:color w:val="000000" w:themeColor="text1"/>
          <w14:textFill>
            <w14:solidFill>
              <w14:schemeClr w14:val="tx1"/>
            </w14:solidFill>
          </w14:textFill>
        </w:rPr>
        <w:fldChar w:fldCharType="separate"/>
      </w:r>
      <w:r>
        <w:rPr>
          <w:rFonts w:hint="eastAsia"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）公布。对招标文件中存在有表达不清或有多种解释而未明确规定，投标单位又没有在规定时间提出，由此而导致投标单位不中标或中标后产生不利因素，责任由投标单位自负。</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8.2</w:t>
      </w:r>
      <w:r>
        <w:rPr>
          <w:rFonts w:cs="Times New Roman" w:asciiTheme="minorEastAsia" w:hAnsiTheme="minorEastAsia" w:eastAsiaTheme="minorEastAsia"/>
          <w:color w:val="000000" w:themeColor="text1"/>
          <w:sz w:val="22"/>
          <w:szCs w:val="22"/>
          <w14:textFill>
            <w14:solidFill>
              <w14:schemeClr w14:val="tx1"/>
            </w14:solidFill>
          </w14:textFill>
        </w:rPr>
        <w:t>招标文件的答疑将在投标人须知前附表规定的时间在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"http://www.pyztb.com/" </w:instrText>
      </w:r>
      <w:r>
        <w:rPr>
          <w:color w:val="000000" w:themeColor="text1"/>
          <w14:textFill>
            <w14:solidFill>
              <w14:schemeClr w14:val="tx1"/>
            </w14:solidFill>
          </w14:textFill>
        </w:rPr>
        <w:fldChar w:fldCharType="separate"/>
      </w:r>
      <w:r>
        <w:rPr>
          <w:rFonts w:hint="eastAsia"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）公布，但不指明答疑问题的来源。如果答疑发出的时间距投标截止时间不足</w:t>
      </w:r>
      <w:r>
        <w:rPr>
          <w:rFonts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天，相应延长投标截止时间。</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9</w:t>
      </w:r>
      <w:r>
        <w:rPr>
          <w:rFonts w:cs="Times New Roman" w:asciiTheme="minorEastAsia" w:hAnsiTheme="minorEastAsia" w:eastAsiaTheme="minorEastAsia"/>
          <w:color w:val="000000" w:themeColor="text1"/>
          <w:sz w:val="22"/>
          <w:szCs w:val="22"/>
          <w14:textFill>
            <w14:solidFill>
              <w14:schemeClr w14:val="tx1"/>
            </w14:solidFill>
          </w14:textFill>
        </w:rPr>
        <w:t>、招标文件的澄清或修改</w:t>
      </w:r>
    </w:p>
    <w:p>
      <w:pPr>
        <w:pStyle w:val="106"/>
        <w:adjustRightInd/>
        <w:spacing w:line="360" w:lineRule="auto"/>
        <w:ind w:firstLine="550" w:firstLineChars="2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9.1在投标截止时间前，招标人有权以补充说明的形式澄清或修改招标文件，该补充说明将在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"http://www.pyztb.com/" </w:instrText>
      </w:r>
      <w:r>
        <w:rPr>
          <w:color w:val="000000" w:themeColor="text1"/>
          <w14:textFill>
            <w14:solidFill>
              <w14:schemeClr w14:val="tx1"/>
            </w14:solidFill>
          </w14:textFill>
        </w:rPr>
        <w:fldChar w:fldCharType="separate"/>
      </w:r>
      <w:r>
        <w:rPr>
          <w:rFonts w:hint="eastAsia" w:cs="Times New Roman"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cs="Times New Roman"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）公布。据此发出的补充说明将构成招标文件的一部分。补充说明如对招标文件发生实质性的变化</w:t>
      </w:r>
      <w:r>
        <w:rPr>
          <w:rFonts w:cs="Times New Roman" w:asciiTheme="minorEastAsia" w:hAnsiTheme="minorEastAsia" w:eastAsiaTheme="minorEastAsia"/>
          <w:color w:val="000000" w:themeColor="text1"/>
          <w:sz w:val="22"/>
          <w:szCs w:val="22"/>
          <w:lang w:val="en-GB"/>
          <w14:textFill>
            <w14:solidFill>
              <w14:schemeClr w14:val="tx1"/>
            </w14:solidFill>
          </w14:textFill>
        </w:rPr>
        <w:t>，不做修改的可能影响评标结果的公正性，</w:t>
      </w:r>
      <w:r>
        <w:rPr>
          <w:rFonts w:cs="Times New Roman" w:asciiTheme="minorEastAsia" w:hAnsiTheme="minorEastAsia" w:eastAsiaTheme="minorEastAsia"/>
          <w:color w:val="000000" w:themeColor="text1"/>
          <w:sz w:val="22"/>
          <w:szCs w:val="22"/>
          <w14:textFill>
            <w14:solidFill>
              <w14:schemeClr w14:val="tx1"/>
            </w14:solidFill>
          </w14:textFill>
        </w:rPr>
        <w:t>则应在投标截止时间15天前发出，如果补充说明文件发出的时间距投标截止时间不足15天，相应延长投标截止时间；</w:t>
      </w:r>
    </w:p>
    <w:p>
      <w:pPr>
        <w:pStyle w:val="106"/>
        <w:adjustRightInd/>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9.2招标文件的澄清、修改、补遗等内容将在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平阳县公共资源交易中心</w:t>
      </w:r>
      <w:r>
        <w:rPr>
          <w:rFonts w:cs="Times New Roman" w:asciiTheme="minorEastAsia" w:hAnsiTheme="minorEastAsia" w:eastAsiaTheme="minorEastAsia"/>
          <w:color w:val="000000" w:themeColor="text1"/>
          <w:sz w:val="22"/>
          <w:szCs w:val="22"/>
          <w14:textFill>
            <w14:solidFill>
              <w14:schemeClr w14:val="tx1"/>
            </w14:solidFill>
          </w14:textFill>
        </w:rPr>
        <w:t>备案，并在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"http://www.pyztb.com/" </w:instrText>
      </w:r>
      <w:r>
        <w:rPr>
          <w:color w:val="000000" w:themeColor="text1"/>
          <w14:textFill>
            <w14:solidFill>
              <w14:schemeClr w14:val="tx1"/>
            </w14:solidFill>
          </w14:textFill>
        </w:rPr>
        <w:fldChar w:fldCharType="separate"/>
      </w:r>
      <w:r>
        <w:rPr>
          <w:rFonts w:hint="eastAsia" w:cs="Times New Roman"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cs="Times New Roman"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）上发布信息向所有投标人公告。招标文件的澄清、修改、补遗等内容作为招标文件的组成部分，具有约束作用。</w:t>
      </w:r>
    </w:p>
    <w:p>
      <w:pPr>
        <w:pStyle w:val="18"/>
        <w:spacing w:line="360" w:lineRule="auto"/>
        <w:ind w:firstLine="44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9.3 </w:t>
      </w:r>
      <w:r>
        <w:rPr>
          <w:rFonts w:cs="Times New Roman" w:asciiTheme="minorEastAsia" w:hAnsiTheme="minorEastAsia" w:eastAsiaTheme="minorEastAsia"/>
          <w:color w:val="000000" w:themeColor="text1"/>
          <w:sz w:val="22"/>
          <w:szCs w:val="22"/>
          <w14:textFill>
            <w14:solidFill>
              <w14:schemeClr w14:val="tx1"/>
            </w14:solidFill>
          </w14:textFill>
        </w:rPr>
        <w:t>招标文件的澄清、修改、补遗等内容均以在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平阳县公共资源交易中心</w:t>
      </w:r>
      <w:r>
        <w:rPr>
          <w:rFonts w:cs="Times New Roman" w:asciiTheme="minorEastAsia" w:hAnsiTheme="minorEastAsia" w:eastAsiaTheme="minorEastAsia"/>
          <w:color w:val="000000" w:themeColor="text1"/>
          <w:sz w:val="22"/>
          <w:szCs w:val="22"/>
          <w14:textFill>
            <w14:solidFill>
              <w14:schemeClr w14:val="tx1"/>
            </w14:solidFill>
          </w14:textFill>
        </w:rPr>
        <w:t>备案的书面形式明确的内容为准。当招标文件、招标文件的澄清、修改、补遗等在同一内容的表述上不一致时，以最后发出的文件（或公告）为准。</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 xml:space="preserve">   (</w:t>
      </w:r>
      <w:r>
        <w:rPr>
          <w:rFonts w:cs="Times New Roman" w:asciiTheme="minorEastAsia" w:hAnsiTheme="minorEastAsia" w:eastAsiaTheme="minorEastAsia"/>
          <w:b/>
          <w:bCs/>
          <w:color w:val="000000" w:themeColor="text1"/>
          <w:sz w:val="22"/>
          <w:szCs w:val="22"/>
          <w14:textFill>
            <w14:solidFill>
              <w14:schemeClr w14:val="tx1"/>
            </w14:solidFill>
          </w14:textFill>
        </w:rPr>
        <w:t>三</w:t>
      </w:r>
      <w:r>
        <w:rPr>
          <w:rFonts w:asciiTheme="minorEastAsia" w:hAnsiTheme="minorEastAsia" w:eastAsiaTheme="minorEastAsia"/>
          <w:b/>
          <w:bCs/>
          <w:color w:val="000000" w:themeColor="text1"/>
          <w:sz w:val="22"/>
          <w:szCs w:val="22"/>
          <w14:textFill>
            <w14:solidFill>
              <w14:schemeClr w14:val="tx1"/>
            </w14:solidFill>
          </w14:textFill>
        </w:rPr>
        <w:t>)</w:t>
      </w:r>
      <w:r>
        <w:rPr>
          <w:rFonts w:cs="Times New Roman" w:asciiTheme="minorEastAsia" w:hAnsiTheme="minorEastAsia" w:eastAsiaTheme="minorEastAsia"/>
          <w:b/>
          <w:bCs/>
          <w:color w:val="000000" w:themeColor="text1"/>
          <w:sz w:val="22"/>
          <w:szCs w:val="22"/>
          <w14:textFill>
            <w14:solidFill>
              <w14:schemeClr w14:val="tx1"/>
            </w14:solidFill>
          </w14:textFill>
        </w:rPr>
        <w:t>投标文件的编制</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10</w:t>
      </w:r>
      <w:r>
        <w:rPr>
          <w:rFonts w:cs="Times New Roman" w:asciiTheme="minorEastAsia" w:hAnsiTheme="minorEastAsia" w:eastAsiaTheme="minorEastAsia"/>
          <w:color w:val="000000" w:themeColor="text1"/>
          <w:sz w:val="22"/>
          <w:szCs w:val="22"/>
          <w14:textFill>
            <w14:solidFill>
              <w14:schemeClr w14:val="tx1"/>
            </w14:solidFill>
          </w14:textFill>
        </w:rPr>
        <w:t>、投标文件的语言及度量衡单位</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10</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投标人与招标人之间对投标有关的所有往来通知、函件和投标文件均使用中文。投标人随投标文件提供的证明文件和资料可以为其它语言，但必须附中文译文，解释这些文件，应以中文为准；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10</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除技术规范另有规定外，投标文件使用的度量衡单位，均采用中华人民共和国法定计量单位。</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11</w:t>
      </w:r>
      <w:r>
        <w:rPr>
          <w:rFonts w:cs="Times New Roman" w:asciiTheme="minorEastAsia" w:hAnsiTheme="minorEastAsia" w:eastAsiaTheme="minorEastAsia"/>
          <w:color w:val="000000" w:themeColor="text1"/>
          <w:sz w:val="22"/>
          <w:szCs w:val="22"/>
          <w14:textFill>
            <w14:solidFill>
              <w14:schemeClr w14:val="tx1"/>
            </w14:solidFill>
          </w14:textFill>
        </w:rPr>
        <w:t>、投标文件的组成</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11</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投标文件由</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资信标</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（含资格审查，余同）</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、技术标（含</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施工图</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设计图册</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，余同</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、商务标、证书原件（如有）等</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部分文</w:t>
      </w:r>
      <w:r>
        <w:rPr>
          <w:rFonts w:cs="Times New Roman" w:asciiTheme="minorEastAsia" w:hAnsiTheme="minorEastAsia" w:eastAsiaTheme="minorEastAsia"/>
          <w:color w:val="000000" w:themeColor="text1"/>
          <w:sz w:val="22"/>
          <w:szCs w:val="22"/>
          <w14:textFill>
            <w14:solidFill>
              <w14:schemeClr w14:val="tx1"/>
            </w14:solidFill>
          </w14:textFill>
        </w:rPr>
        <w:t>件组成。</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11.2</w:t>
      </w:r>
      <w:r>
        <w:rPr>
          <w:rFonts w:cs="Times New Roman" w:asciiTheme="minorEastAsia" w:hAnsiTheme="minorEastAsia" w:eastAsiaTheme="minorEastAsia"/>
          <w:color w:val="000000" w:themeColor="text1"/>
          <w:sz w:val="22"/>
          <w:szCs w:val="22"/>
          <w14:textFill>
            <w14:solidFill>
              <w14:schemeClr w14:val="tx1"/>
            </w14:solidFill>
          </w14:textFill>
        </w:rPr>
        <w:t>资信标包括（</w:t>
      </w:r>
      <w:r>
        <w:rPr>
          <w:rFonts w:asciiTheme="minorEastAsia" w:hAnsiTheme="minorEastAsia" w:eastAsiaTheme="minorEastAsia"/>
          <w:color w:val="000000" w:themeColor="text1"/>
          <w:sz w:val="22"/>
          <w:szCs w:val="22"/>
          <w14:textFill>
            <w14:solidFill>
              <w14:schemeClr w14:val="tx1"/>
            </w14:solidFill>
          </w14:textFill>
        </w:rPr>
        <w:t>A4</w:t>
      </w:r>
      <w:r>
        <w:rPr>
          <w:rFonts w:cs="Times New Roman" w:asciiTheme="minorEastAsia" w:hAnsiTheme="minorEastAsia" w:eastAsiaTheme="minorEastAsia"/>
          <w:color w:val="000000" w:themeColor="text1"/>
          <w:sz w:val="22"/>
          <w:szCs w:val="22"/>
          <w14:textFill>
            <w14:solidFill>
              <w14:schemeClr w14:val="tx1"/>
            </w14:solidFill>
          </w14:textFill>
        </w:rPr>
        <w:t>规格）：</w:t>
      </w:r>
    </w:p>
    <w:p>
      <w:pPr>
        <w:pStyle w:val="26"/>
        <w:tabs>
          <w:tab w:val="left" w:pos="426"/>
        </w:tabs>
        <w:adjustRightInd w:val="0"/>
        <w:snapToGrid w:val="0"/>
        <w:spacing w:line="400" w:lineRule="exact"/>
        <w:ind w:firstLine="440"/>
        <w:rPr>
          <w:rFonts w:hAnsi="Cambria" w:eastAsiaTheme="minorEastAsia"/>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（1）投标人基本情况表</w:t>
      </w:r>
      <w:r>
        <w:rPr>
          <w:rFonts w:cs="Times New Roman" w:asciiTheme="minorEastAsia" w:hAnsiTheme="minorEastAsia" w:eastAsiaTheme="minorEastAsia"/>
          <w:color w:val="000000" w:themeColor="text1"/>
          <w:sz w:val="22"/>
          <w:szCs w:val="22"/>
          <w14:textFill>
            <w14:solidFill>
              <w14:schemeClr w14:val="tx1"/>
            </w14:solidFill>
          </w14:textFill>
        </w:rPr>
        <w:t>（若为联合体投标，则联合体各方均需提供）</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w:t>
      </w:r>
      <w:r>
        <w:rPr>
          <w:rFonts w:hint="eastAsia" w:hAnsi="Cambria" w:eastAsia="宋体"/>
          <w:color w:val="000000" w:themeColor="text1"/>
          <w:sz w:val="22"/>
          <w:szCs w:val="22"/>
          <w14:textFill>
            <w14:solidFill>
              <w14:schemeClr w14:val="tx1"/>
            </w14:solidFill>
          </w14:textFill>
        </w:rPr>
        <w:t>2</w:t>
      </w:r>
      <w:r>
        <w:rPr>
          <w:rFonts w:hint="eastAsia" w:hAnsi="Cambria"/>
          <w:color w:val="000000" w:themeColor="text1"/>
          <w:sz w:val="22"/>
          <w:szCs w:val="22"/>
          <w14:textFill>
            <w14:solidFill>
              <w14:schemeClr w14:val="tx1"/>
            </w14:solidFill>
          </w14:textFill>
        </w:rPr>
        <w:t>）投标人承接类似工程情况汇总表</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w:t>
      </w:r>
      <w:r>
        <w:rPr>
          <w:rFonts w:hint="eastAsia" w:hAnsi="Cambria" w:eastAsia="宋体"/>
          <w:color w:val="000000" w:themeColor="text1"/>
          <w:sz w:val="22"/>
          <w:szCs w:val="22"/>
          <w14:textFill>
            <w14:solidFill>
              <w14:schemeClr w14:val="tx1"/>
            </w14:solidFill>
          </w14:textFill>
        </w:rPr>
        <w:t>3</w:t>
      </w:r>
      <w:r>
        <w:rPr>
          <w:rFonts w:hint="eastAsia" w:hAnsi="Cambria"/>
          <w:color w:val="000000" w:themeColor="text1"/>
          <w:sz w:val="22"/>
          <w:szCs w:val="22"/>
          <w14:textFill>
            <w14:solidFill>
              <w14:schemeClr w14:val="tx1"/>
            </w14:solidFill>
          </w14:textFill>
        </w:rPr>
        <w:t>）项目组人员配备</w:t>
      </w:r>
    </w:p>
    <w:p>
      <w:pPr>
        <w:tabs>
          <w:tab w:val="left" w:pos="1440"/>
          <w:tab w:val="left" w:pos="21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a</w:t>
      </w:r>
      <w:r>
        <w:rPr>
          <w:rFonts w:cs="Times New Roman" w:asciiTheme="minorEastAsia" w:hAnsiTheme="minorEastAsia" w:eastAsiaTheme="minorEastAsia"/>
          <w:color w:val="000000" w:themeColor="text1"/>
          <w:sz w:val="22"/>
          <w:szCs w:val="22"/>
          <w14:textFill>
            <w14:solidFill>
              <w14:schemeClr w14:val="tx1"/>
            </w14:solidFill>
          </w14:textFill>
        </w:rPr>
        <w:t>）总承包项目各阶段项目部管理人员的配备情况（所有人员都须为投标单位在职人员，均须提供由社会保障部门出具本单位社保</w:t>
      </w:r>
      <w:r>
        <w:rPr>
          <w:rFonts w:hint="eastAsia" w:cs="Times New Roman" w:asciiTheme="minorEastAsia" w:hAnsiTheme="minorEastAsia" w:eastAsiaTheme="minorEastAsia"/>
          <w:color w:val="000000" w:themeColor="text1"/>
          <w:sz w:val="22"/>
          <w:szCs w:val="22"/>
          <w14:textFill>
            <w14:solidFill>
              <w14:schemeClr w14:val="tx1"/>
            </w14:solidFill>
          </w14:textFill>
        </w:rPr>
        <w:t>的</w:t>
      </w:r>
      <w:r>
        <w:rPr>
          <w:rFonts w:cs="Times New Roman" w:asciiTheme="minorEastAsia" w:hAnsiTheme="minorEastAsia" w:eastAsiaTheme="minorEastAsia"/>
          <w:color w:val="000000" w:themeColor="text1"/>
          <w:sz w:val="22"/>
          <w:szCs w:val="22"/>
          <w14:textFill>
            <w14:solidFill>
              <w14:schemeClr w14:val="tx1"/>
            </w14:solidFill>
          </w14:textFill>
        </w:rPr>
        <w:t>在保证明</w:t>
      </w:r>
      <w:r>
        <w:rPr>
          <w:rFonts w:hint="eastAsia" w:cs="Times New Roman"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p>
    <w:p>
      <w:pPr>
        <w:tabs>
          <w:tab w:val="left" w:pos="1440"/>
          <w:tab w:val="left" w:pos="21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b</w:t>
      </w:r>
      <w:r>
        <w:rPr>
          <w:rFonts w:cs="Times New Roman" w:asciiTheme="minorEastAsia" w:hAnsiTheme="minorEastAsia" w:eastAsiaTheme="minorEastAsia"/>
          <w:color w:val="000000" w:themeColor="text1"/>
          <w:sz w:val="22"/>
          <w:szCs w:val="22"/>
          <w14:textFill>
            <w14:solidFill>
              <w14:schemeClr w14:val="tx1"/>
            </w14:solidFill>
          </w14:textFill>
        </w:rPr>
        <w:t>）拟派</w:t>
      </w:r>
      <w:r>
        <w:rPr>
          <w:rFonts w:hint="eastAsia" w:cs="Times New Roman" w:asciiTheme="minorEastAsia" w:hAnsiTheme="minorEastAsia" w:eastAsiaTheme="minorEastAsia"/>
          <w:color w:val="000000" w:themeColor="text1"/>
          <w:sz w:val="22"/>
          <w:szCs w:val="22"/>
          <w14:textFill>
            <w14:solidFill>
              <w14:schemeClr w14:val="tx1"/>
            </w14:solidFill>
          </w14:textFill>
        </w:rPr>
        <w:t>项目总负责人</w:t>
      </w:r>
      <w:r>
        <w:rPr>
          <w:rFonts w:cs="Times New Roman" w:asciiTheme="minorEastAsia" w:hAnsiTheme="minorEastAsia" w:eastAsiaTheme="minorEastAsia"/>
          <w:color w:val="000000" w:themeColor="text1"/>
          <w:sz w:val="22"/>
          <w:szCs w:val="22"/>
          <w14:textFill>
            <w14:solidFill>
              <w14:schemeClr w14:val="tx1"/>
            </w14:solidFill>
          </w14:textFill>
        </w:rPr>
        <w:t>相关资格证书、职称证书（需提供由社会保障部门出具的内的本单位社保在保证明</w:t>
      </w:r>
      <w:r>
        <w:rPr>
          <w:rFonts w:hint="eastAsia" w:cs="Times New Roman" w:asciiTheme="minorEastAsia" w:hAnsiTheme="minorEastAsia" w:eastAsiaTheme="minorEastAsia"/>
          <w:color w:val="000000" w:themeColor="text1"/>
          <w:sz w:val="22"/>
          <w:szCs w:val="22"/>
          <w14:textFill>
            <w14:solidFill>
              <w14:schemeClr w14:val="tx1"/>
            </w14:solidFill>
          </w14:textFill>
        </w:rPr>
        <w:t>原件或</w:t>
      </w:r>
      <w:r>
        <w:rPr>
          <w:rFonts w:cs="Times New Roman" w:asciiTheme="minorEastAsia" w:hAnsiTheme="minorEastAsia" w:eastAsiaTheme="minorEastAsia"/>
          <w:color w:val="000000" w:themeColor="text1"/>
          <w:sz w:val="22"/>
          <w:szCs w:val="22"/>
          <w14:textFill>
            <w14:solidFill>
              <w14:schemeClr w14:val="tx1"/>
            </w14:solidFill>
          </w14:textFill>
        </w:rPr>
        <w:t>提供“地方政务服务网”生成的电子证明，自行下载打印并加盖公章，电子证明上有“地方政务服务网”二维码</w:t>
      </w:r>
      <w:r>
        <w:rPr>
          <w:rFonts w:hint="eastAsia" w:cs="Times New Roman" w:asciiTheme="minorEastAsia" w:hAnsiTheme="minorEastAsia" w:eastAsiaTheme="minorEastAsia"/>
          <w:color w:val="000000" w:themeColor="text1"/>
          <w:sz w:val="22"/>
          <w:szCs w:val="22"/>
          <w14:textFill>
            <w14:solidFill>
              <w14:schemeClr w14:val="tx1"/>
            </w14:solidFill>
          </w14:textFill>
        </w:rPr>
        <w:t>或条形码等可查询标注</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Times New Roman"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联合体投标的，</w:t>
      </w:r>
      <w:r>
        <w:rPr>
          <w:rFonts w:hint="eastAsia" w:cs="Times New Roman" w:asciiTheme="minorEastAsia" w:hAnsiTheme="minorEastAsia" w:eastAsiaTheme="minorEastAsia"/>
          <w:color w:val="000000" w:themeColor="text1"/>
          <w:sz w:val="22"/>
          <w:szCs w:val="22"/>
          <w14:textFill>
            <w14:solidFill>
              <w14:schemeClr w14:val="tx1"/>
            </w14:solidFill>
          </w14:textFill>
        </w:rPr>
        <w:t>项目总负责人</w:t>
      </w:r>
      <w:r>
        <w:rPr>
          <w:rFonts w:cs="Times New Roman" w:asciiTheme="minorEastAsia" w:hAnsiTheme="minorEastAsia" w:eastAsiaTheme="minorEastAsia"/>
          <w:color w:val="000000" w:themeColor="text1"/>
          <w:sz w:val="22"/>
          <w:szCs w:val="22"/>
          <w14:textFill>
            <w14:solidFill>
              <w14:schemeClr w14:val="tx1"/>
            </w14:solidFill>
          </w14:textFill>
        </w:rPr>
        <w:t>为牵头人在职职工（在职职工不包括离、退休返聘人员）。</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c</w:t>
      </w:r>
      <w:r>
        <w:rPr>
          <w:rFonts w:cs="Times New Roman" w:asciiTheme="minorEastAsia" w:hAnsiTheme="minorEastAsia" w:eastAsiaTheme="minorEastAsia"/>
          <w:color w:val="000000" w:themeColor="text1"/>
          <w:sz w:val="22"/>
          <w:szCs w:val="22"/>
          <w14:textFill>
            <w14:solidFill>
              <w14:schemeClr w14:val="tx1"/>
            </w14:solidFill>
          </w14:textFill>
        </w:rPr>
        <w:t>）拟派项目施工负责人建造师证书</w:t>
      </w:r>
      <w:r>
        <w:rPr>
          <w:rFonts w:hint="eastAsia" w:cs="Times New Roman" w:asciiTheme="minorEastAsia" w:hAnsiTheme="minorEastAsia" w:eastAsiaTheme="minorEastAsia"/>
          <w:color w:val="000000" w:themeColor="text1"/>
          <w:sz w:val="22"/>
          <w:szCs w:val="22"/>
          <w14:textFill>
            <w14:solidFill>
              <w14:schemeClr w14:val="tx1"/>
            </w14:solidFill>
          </w14:textFill>
        </w:rPr>
        <w:t>复印件及无在建承诺函，并</w:t>
      </w:r>
      <w:r>
        <w:rPr>
          <w:rFonts w:cs="Times New Roman" w:asciiTheme="minorEastAsia" w:hAnsiTheme="minorEastAsia" w:eastAsiaTheme="minorEastAsia"/>
          <w:color w:val="000000" w:themeColor="text1"/>
          <w:sz w:val="22"/>
          <w:szCs w:val="22"/>
          <w14:textFill>
            <w14:solidFill>
              <w14:schemeClr w14:val="tx1"/>
            </w14:solidFill>
          </w14:textFill>
        </w:rPr>
        <w:t>需提供由社会保障部门出具的内的本单位社保在保证明</w:t>
      </w:r>
      <w:r>
        <w:rPr>
          <w:rFonts w:hint="eastAsia" w:cs="Times New Roman" w:asciiTheme="minorEastAsia" w:hAnsiTheme="minorEastAsia" w:eastAsiaTheme="minorEastAsia"/>
          <w:color w:val="000000" w:themeColor="text1"/>
          <w:sz w:val="22"/>
          <w:szCs w:val="22"/>
          <w14:textFill>
            <w14:solidFill>
              <w14:schemeClr w14:val="tx1"/>
            </w14:solidFill>
          </w14:textFill>
        </w:rPr>
        <w:t>材料或</w:t>
      </w:r>
      <w:r>
        <w:rPr>
          <w:rFonts w:cs="Times New Roman" w:asciiTheme="minorEastAsia" w:hAnsiTheme="minorEastAsia" w:eastAsiaTheme="minorEastAsia"/>
          <w:color w:val="000000" w:themeColor="text1"/>
          <w:sz w:val="22"/>
          <w:szCs w:val="22"/>
          <w14:textFill>
            <w14:solidFill>
              <w14:schemeClr w14:val="tx1"/>
            </w14:solidFill>
          </w14:textFill>
        </w:rPr>
        <w:t>提供“地方政务服务网”生成的电子证明，自行下载打印并加盖公章，电子证明上有“地方政务服务网”二维码</w:t>
      </w:r>
      <w:r>
        <w:rPr>
          <w:rFonts w:hint="eastAsia" w:cs="Times New Roman" w:asciiTheme="minorEastAsia" w:hAnsiTheme="minorEastAsia" w:eastAsiaTheme="minorEastAsia"/>
          <w:color w:val="000000" w:themeColor="text1"/>
          <w:sz w:val="22"/>
          <w:szCs w:val="22"/>
          <w14:textFill>
            <w14:solidFill>
              <w14:schemeClr w14:val="tx1"/>
            </w14:solidFill>
          </w14:textFill>
        </w:rPr>
        <w:t>或条形码等可查询标注</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40"/>
        <w:contextualSpacing/>
        <w:rPr>
          <w:rFonts w:hAnsi="Cambr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d</w:t>
      </w:r>
      <w:r>
        <w:rPr>
          <w:rFonts w:cs="Times New Roman" w:asciiTheme="minorEastAsia" w:hAnsiTheme="minorEastAsia" w:eastAsiaTheme="minorEastAsia"/>
          <w:color w:val="000000" w:themeColor="text1"/>
          <w:sz w:val="22"/>
          <w:szCs w:val="22"/>
          <w14:textFill>
            <w14:solidFill>
              <w14:schemeClr w14:val="tx1"/>
            </w14:solidFill>
          </w14:textFill>
        </w:rPr>
        <w:t>）拟派</w:t>
      </w:r>
      <w:r>
        <w:rPr>
          <w:rFonts w:hint="eastAsia" w:cs="Times New Roman" w:asciiTheme="minorEastAsia" w:hAnsiTheme="minorEastAsia" w:eastAsiaTheme="minorEastAsia"/>
          <w:color w:val="000000" w:themeColor="text1"/>
          <w:sz w:val="22"/>
          <w:szCs w:val="22"/>
          <w14:textFill>
            <w14:solidFill>
              <w14:schemeClr w14:val="tx1"/>
            </w14:solidFill>
          </w14:textFill>
        </w:rPr>
        <w:t>项目</w:t>
      </w:r>
      <w:r>
        <w:rPr>
          <w:rFonts w:cs="Times New Roman" w:asciiTheme="minorEastAsia" w:hAnsiTheme="minorEastAsia" w:eastAsiaTheme="minorEastAsia"/>
          <w:color w:val="000000" w:themeColor="text1"/>
          <w:sz w:val="22"/>
          <w:szCs w:val="22"/>
          <w14:textFill>
            <w14:solidFill>
              <w14:schemeClr w14:val="tx1"/>
            </w14:solidFill>
          </w14:textFill>
        </w:rPr>
        <w:t>设计负责人职称证书及相关资格证书，需提供由社会保障部门出具的内的本单位社保在保证明</w:t>
      </w:r>
      <w:r>
        <w:rPr>
          <w:rFonts w:hint="eastAsia" w:cs="Times New Roman" w:asciiTheme="minorEastAsia" w:hAnsiTheme="minorEastAsia" w:eastAsiaTheme="minorEastAsia"/>
          <w:color w:val="000000" w:themeColor="text1"/>
          <w:sz w:val="22"/>
          <w:szCs w:val="22"/>
          <w14:textFill>
            <w14:solidFill>
              <w14:schemeClr w14:val="tx1"/>
            </w14:solidFill>
          </w14:textFill>
        </w:rPr>
        <w:t>材料或</w:t>
      </w:r>
      <w:r>
        <w:rPr>
          <w:rFonts w:cs="Times New Roman" w:asciiTheme="minorEastAsia" w:hAnsiTheme="minorEastAsia" w:eastAsiaTheme="minorEastAsia"/>
          <w:color w:val="000000" w:themeColor="text1"/>
          <w:sz w:val="22"/>
          <w:szCs w:val="22"/>
          <w14:textFill>
            <w14:solidFill>
              <w14:schemeClr w14:val="tx1"/>
            </w14:solidFill>
          </w14:textFill>
        </w:rPr>
        <w:t>提供“地方政务服务网”生成的电子证明，自行下载打印并加盖公章，电子证明上有“地方政务服务网”二维码</w:t>
      </w:r>
      <w:r>
        <w:rPr>
          <w:rFonts w:hint="eastAsia" w:cs="Times New Roman" w:asciiTheme="minorEastAsia" w:hAnsiTheme="minorEastAsia" w:eastAsiaTheme="minorEastAsia"/>
          <w:color w:val="000000" w:themeColor="text1"/>
          <w:sz w:val="22"/>
          <w:szCs w:val="22"/>
          <w14:textFill>
            <w14:solidFill>
              <w14:schemeClr w14:val="tx1"/>
            </w14:solidFill>
          </w14:textFill>
        </w:rPr>
        <w:t>或条形码等可查询标注</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w:t>
      </w:r>
      <w:r>
        <w:rPr>
          <w:rFonts w:hint="eastAsia" w:hAnsi="Cambria" w:eastAsia="宋体"/>
          <w:color w:val="000000" w:themeColor="text1"/>
          <w:sz w:val="22"/>
          <w:szCs w:val="22"/>
          <w14:textFill>
            <w14:solidFill>
              <w14:schemeClr w14:val="tx1"/>
            </w14:solidFill>
          </w14:textFill>
        </w:rPr>
        <w:t>4</w:t>
      </w:r>
      <w:r>
        <w:rPr>
          <w:rFonts w:hint="eastAsia" w:hAnsi="Cambria"/>
          <w:color w:val="000000" w:themeColor="text1"/>
          <w:sz w:val="22"/>
          <w:szCs w:val="22"/>
          <w14:textFill>
            <w14:solidFill>
              <w14:schemeClr w14:val="tx1"/>
            </w14:solidFill>
          </w14:textFill>
        </w:rPr>
        <w:t>）联合体协议书</w:t>
      </w:r>
      <w:r>
        <w:rPr>
          <w:rFonts w:hint="eastAsia" w:hAnsi="Cambria" w:eastAsia="宋体"/>
          <w:color w:val="000000" w:themeColor="text1"/>
          <w:sz w:val="22"/>
          <w:szCs w:val="22"/>
          <w14:textFill>
            <w14:solidFill>
              <w14:schemeClr w14:val="tx1"/>
            </w14:solidFill>
          </w14:textFill>
        </w:rPr>
        <w:t>（如为联合体投标，则提供）；</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（5）承诺函；</w:t>
      </w:r>
    </w:p>
    <w:p>
      <w:pPr>
        <w:pStyle w:val="26"/>
        <w:tabs>
          <w:tab w:val="left" w:pos="426"/>
        </w:tabs>
        <w:spacing w:line="360" w:lineRule="auto"/>
        <w:ind w:firstLine="440"/>
        <w:contextualSpacing/>
        <w:rPr>
          <w:rFonts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6</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投标人获奖情况</w:t>
      </w:r>
      <w:r>
        <w:rPr>
          <w:rFonts w:hint="eastAsia" w:asciiTheme="minorEastAsia" w:hAnsiTheme="minorEastAsia" w:eastAsiaTheme="minorEastAsia"/>
          <w:color w:val="000000" w:themeColor="text1"/>
          <w:sz w:val="22"/>
          <w:szCs w:val="22"/>
          <w14:textFill>
            <w14:solidFill>
              <w14:schemeClr w14:val="tx1"/>
            </w14:solidFill>
          </w14:textFill>
        </w:rPr>
        <w:t>（如有则提供）；</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（7）</w:t>
      </w:r>
      <w:r>
        <w:rPr>
          <w:rFonts w:cs="Times New Roman" w:asciiTheme="minorEastAsia" w:hAnsiTheme="minorEastAsia" w:eastAsiaTheme="minorEastAsia"/>
          <w:color w:val="000000" w:themeColor="text1"/>
          <w:sz w:val="22"/>
          <w:szCs w:val="22"/>
          <w14:textFill>
            <w14:solidFill>
              <w14:schemeClr w14:val="tx1"/>
            </w14:solidFill>
          </w14:textFill>
        </w:rPr>
        <w:t>投标人需要提交的其他资料（如有，格式自拟）。</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highlight w:val="yellow"/>
          <w14:textFill>
            <w14:solidFill>
              <w14:schemeClr w14:val="tx1"/>
            </w14:solidFill>
          </w14:textFill>
        </w:rPr>
      </w:pPr>
      <w:r>
        <w:rPr>
          <w:rFonts w:cs="Times New Roman" w:asciiTheme="minorEastAsia" w:hAnsiTheme="minorEastAsia" w:eastAsiaTheme="minorEastAsia"/>
          <w:color w:val="000000" w:themeColor="text1"/>
          <w:sz w:val="22"/>
          <w:szCs w:val="22"/>
          <w:highlight w:val="yellow"/>
          <w14:textFill>
            <w14:solidFill>
              <w14:schemeClr w14:val="tx1"/>
            </w14:solidFill>
          </w14:textFill>
        </w:rPr>
        <w:t>注：</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1）以上需要提供证书原件的有：</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企业资质证书</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原件、营业执照原件、有效的安全生产许可证原件、</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投标人获奖情况</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及企业资格证明材料原件；其中</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企业资质证书</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、营业执照如无原件，可用</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提供</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其</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有效电子证书（含</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清晰可见的</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二维码）打印件</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替代。</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highlight w:val="yellow"/>
          <w14:textFill>
            <w14:solidFill>
              <w14:schemeClr w14:val="tx1"/>
            </w14:solidFill>
          </w14:textFill>
        </w:rPr>
      </w:pP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2）以上可以提供复印件的有：</w:t>
      </w:r>
      <w:r>
        <w:rPr>
          <w:rFonts w:cs="Times New Roman" w:asciiTheme="minorEastAsia" w:hAnsiTheme="minorEastAsia" w:eastAsiaTheme="minorEastAsia"/>
          <w:color w:val="000000" w:themeColor="text1"/>
          <w:sz w:val="22"/>
          <w:szCs w:val="22"/>
          <w:highlight w:val="yellow"/>
          <w14:textFill>
            <w14:solidFill>
              <w14:schemeClr w14:val="tx1"/>
            </w14:solidFill>
          </w14:textFill>
        </w:rPr>
        <w:t>投标人的类似业绩</w:t>
      </w: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材料、项目总负责人资格证明材料、项目施工负责人及项目设计负责人资格证明材料。</w:t>
      </w:r>
    </w:p>
    <w:p>
      <w:pPr>
        <w:pStyle w:val="26"/>
        <w:tabs>
          <w:tab w:val="left" w:pos="540"/>
          <w:tab w:val="left" w:pos="709"/>
        </w:tabs>
        <w:spacing w:line="360" w:lineRule="auto"/>
        <w:ind w:firstLine="442"/>
        <w:contextualSpacing/>
        <w:rPr>
          <w:rFonts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11</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asciiTheme="minorEastAsia" w:hAnsiTheme="minorEastAsia" w:eastAsiaTheme="minorEastAsia"/>
          <w:b/>
          <w:bCs/>
          <w:color w:val="000000" w:themeColor="text1"/>
          <w:sz w:val="22"/>
          <w:szCs w:val="22"/>
          <w14:textFill>
            <w14:solidFill>
              <w14:schemeClr w14:val="tx1"/>
            </w14:solidFill>
          </w14:textFill>
        </w:rPr>
        <w:t>3</w:t>
      </w:r>
      <w:r>
        <w:rPr>
          <w:rFonts w:cs="Times New Roman" w:asciiTheme="minorEastAsia" w:hAnsiTheme="minorEastAsia" w:eastAsiaTheme="minorEastAsia"/>
          <w:b/>
          <w:bCs/>
          <w:color w:val="000000" w:themeColor="text1"/>
          <w:sz w:val="22"/>
          <w:szCs w:val="22"/>
          <w14:textFill>
            <w14:solidFill>
              <w14:schemeClr w14:val="tx1"/>
            </w14:solidFill>
          </w14:textFill>
        </w:rPr>
        <w:t>技术标主要包括下列内容（</w:t>
      </w:r>
      <w:r>
        <w:rPr>
          <w:rFonts w:hint="eastAsia" w:asciiTheme="minorEastAsia" w:hAnsiTheme="minorEastAsia" w:eastAsiaTheme="minorEastAsia"/>
          <w:b/>
          <w:bCs/>
          <w:color w:val="000000" w:themeColor="text1"/>
          <w:sz w:val="22"/>
          <w:szCs w:val="22"/>
          <w14:textFill>
            <w14:solidFill>
              <w14:schemeClr w14:val="tx1"/>
            </w14:solidFill>
          </w14:textFill>
        </w:rPr>
        <w:t>不小于A2</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asciiTheme="minorEastAsia" w:hAnsiTheme="minorEastAsia" w:eastAsiaTheme="minorEastAsia"/>
          <w:b/>
          <w:bCs/>
          <w:color w:val="000000" w:themeColor="text1"/>
          <w:sz w:val="22"/>
          <w:szCs w:val="22"/>
          <w14:textFill>
            <w14:solidFill>
              <w14:schemeClr w14:val="tx1"/>
            </w14:solidFill>
          </w14:textFill>
        </w:rPr>
        <w:t>:</w:t>
      </w:r>
    </w:p>
    <w:p>
      <w:pPr>
        <w:pStyle w:val="26"/>
        <w:tabs>
          <w:tab w:val="left" w:pos="540"/>
          <w:tab w:val="left" w:pos="709"/>
        </w:tabs>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asciiTheme="minorEastAsia" w:hAnsiTheme="minorEastAsia" w:eastAsiaTheme="minorEastAsia"/>
          <w:b/>
          <w:bCs/>
          <w:color w:val="000000" w:themeColor="text1"/>
          <w:sz w:val="22"/>
          <w:szCs w:val="22"/>
          <w14:textFill>
            <w14:solidFill>
              <w14:schemeClr w14:val="tx1"/>
            </w14:solidFill>
          </w14:textFill>
        </w:rPr>
        <w:t>1</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Times New Roman" w:asciiTheme="minorEastAsia" w:hAnsiTheme="minorEastAsia" w:eastAsiaTheme="minorEastAsia"/>
          <w:b/>
          <w:bCs/>
          <w:color w:val="000000" w:themeColor="text1"/>
          <w:sz w:val="22"/>
          <w:szCs w:val="22"/>
          <w14:textFill>
            <w14:solidFill>
              <w14:schemeClr w14:val="tx1"/>
            </w14:solidFill>
          </w14:textFill>
        </w:rPr>
        <w:t>图纸</w:t>
      </w:r>
      <w:r>
        <w:rPr>
          <w:rFonts w:cs="Times New Roman" w:asciiTheme="minorEastAsia" w:hAnsiTheme="minorEastAsia" w:eastAsiaTheme="minorEastAsia"/>
          <w:b/>
          <w:bCs/>
          <w:color w:val="000000" w:themeColor="text1"/>
          <w:sz w:val="22"/>
          <w:szCs w:val="22"/>
          <w14:textFill>
            <w14:solidFill>
              <w14:schemeClr w14:val="tx1"/>
            </w14:solidFill>
          </w14:textFill>
        </w:rPr>
        <w:t>设计方案</w:t>
      </w:r>
    </w:p>
    <w:p>
      <w:pPr>
        <w:pStyle w:val="26"/>
        <w:tabs>
          <w:tab w:val="left" w:pos="540"/>
          <w:tab w:val="left" w:pos="709"/>
        </w:tabs>
        <w:spacing w:line="360" w:lineRule="auto"/>
        <w:ind w:firstLine="440"/>
        <w:contextualSpacing/>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设计内容结合初步设计自行编制，提供内容及深度由各投标人视项目情况自行提供。（中标后须根据招标人要求深化修改，直到施工图深度要能通过图审。）</w:t>
      </w:r>
    </w:p>
    <w:p>
      <w:pPr>
        <w:pStyle w:val="26"/>
        <w:tabs>
          <w:tab w:val="left" w:pos="540"/>
          <w:tab w:val="left" w:pos="709"/>
        </w:tabs>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asciiTheme="minorEastAsia" w:hAnsiTheme="minorEastAsia" w:eastAsiaTheme="minorEastAsia"/>
          <w:b/>
          <w:bCs/>
          <w:color w:val="000000" w:themeColor="text1"/>
          <w:sz w:val="22"/>
          <w:szCs w:val="22"/>
          <w14:textFill>
            <w14:solidFill>
              <w14:schemeClr w14:val="tx1"/>
            </w14:solidFill>
          </w14:textFill>
        </w:rPr>
        <w:t>2</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asciiTheme="minorEastAsia" w:hAnsiTheme="minorEastAsia" w:eastAsiaTheme="minorEastAsia"/>
          <w:b/>
          <w:bCs/>
          <w:color w:val="000000" w:themeColor="text1"/>
          <w:sz w:val="22"/>
          <w:szCs w:val="22"/>
          <w14:textFill>
            <w14:solidFill>
              <w14:schemeClr w14:val="tx1"/>
            </w14:solidFill>
          </w14:textFill>
        </w:rPr>
        <w:t>工程总承包</w:t>
      </w:r>
      <w:r>
        <w:rPr>
          <w:rFonts w:cs="Times New Roman" w:asciiTheme="minorEastAsia" w:hAnsiTheme="minorEastAsia" w:eastAsiaTheme="minorEastAsia"/>
          <w:b/>
          <w:bCs/>
          <w:color w:val="000000" w:themeColor="text1"/>
          <w:sz w:val="22"/>
          <w:szCs w:val="22"/>
          <w14:textFill>
            <w14:solidFill>
              <w14:schemeClr w14:val="tx1"/>
            </w14:solidFill>
          </w14:textFill>
        </w:rPr>
        <w:t>管理方案</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Times New Roman" w:asciiTheme="minorEastAsia" w:hAnsiTheme="minorEastAsia" w:eastAsiaTheme="minorEastAsia"/>
          <w:color w:val="000000" w:themeColor="text1"/>
          <w:sz w:val="22"/>
          <w:szCs w:val="22"/>
          <w14:textFill>
            <w14:solidFill>
              <w14:schemeClr w14:val="tx1"/>
            </w14:solidFill>
          </w14:textFill>
        </w:rPr>
        <w:t>具体结合评标标准和办法进行编制。</w:t>
      </w:r>
    </w:p>
    <w:p>
      <w:pPr>
        <w:pStyle w:val="26"/>
        <w:tabs>
          <w:tab w:val="left" w:pos="540"/>
          <w:tab w:val="left" w:pos="709"/>
        </w:tabs>
        <w:spacing w:line="360" w:lineRule="auto"/>
        <w:ind w:firstLine="440"/>
        <w:contextualSpacing/>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11</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4</w:t>
      </w:r>
      <w:r>
        <w:rPr>
          <w:rFonts w:hint="eastAsia" w:asciiTheme="minorEastAsia" w:hAnsiTheme="minorEastAsia" w:eastAsiaTheme="minorEastAsia"/>
          <w:color w:val="000000" w:themeColor="text1"/>
          <w:sz w:val="22"/>
          <w:szCs w:val="22"/>
          <w14:textFill>
            <w14:solidFill>
              <w14:schemeClr w14:val="tx1"/>
            </w14:solidFill>
          </w14:textFill>
        </w:rPr>
        <w:t>商务</w:t>
      </w:r>
      <w:r>
        <w:rPr>
          <w:rFonts w:cs="Times New Roman" w:asciiTheme="minorEastAsia" w:hAnsiTheme="minorEastAsia" w:eastAsiaTheme="minorEastAsia"/>
          <w:color w:val="000000" w:themeColor="text1"/>
          <w:sz w:val="22"/>
          <w:szCs w:val="22"/>
          <w14:textFill>
            <w14:solidFill>
              <w14:schemeClr w14:val="tx1"/>
            </w14:solidFill>
          </w14:textFill>
        </w:rPr>
        <w:t>标主要包括下列内容</w:t>
      </w:r>
      <w:r>
        <w:rPr>
          <w:rFonts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）投标函及投标函附录</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）法定代表人身份证明书</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）法定代表人授权委托书</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asciiTheme="minorEastAsia" w:hAnsiTheme="minorEastAsia" w:eastAsiaTheme="minorEastAsia"/>
          <w:color w:val="000000" w:themeColor="text1"/>
          <w:sz w:val="22"/>
          <w:szCs w:val="22"/>
          <w14:textFill>
            <w14:solidFill>
              <w14:schemeClr w14:val="tx1"/>
            </w14:solidFill>
          </w14:textFill>
        </w:rPr>
        <w:t>4</w:t>
      </w:r>
      <w:r>
        <w:rPr>
          <w:rFonts w:cs="Times New Roman" w:asciiTheme="minorEastAsia" w:hAnsiTheme="minorEastAsia" w:eastAsiaTheme="minorEastAsia"/>
          <w:color w:val="000000" w:themeColor="text1"/>
          <w:sz w:val="22"/>
          <w:szCs w:val="22"/>
          <w14:textFill>
            <w14:solidFill>
              <w14:schemeClr w14:val="tx1"/>
            </w14:solidFill>
          </w14:textFill>
        </w:rPr>
        <w:t>）价格清单</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540"/>
          <w:tab w:val="left" w:pos="709"/>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Times New Roman" w:asciiTheme="minorEastAsia" w:hAnsiTheme="minorEastAsia" w:eastAsiaTheme="minorEastAsia"/>
          <w:color w:val="000000" w:themeColor="text1"/>
          <w:sz w:val="22"/>
          <w:szCs w:val="22"/>
          <w:highlight w:val="yellow"/>
          <w14:textFill>
            <w14:solidFill>
              <w14:schemeClr w14:val="tx1"/>
            </w14:solidFill>
          </w14:textFill>
        </w:rPr>
        <w:t>具体格式见本文附表。</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12</w:t>
      </w:r>
      <w:r>
        <w:rPr>
          <w:rFonts w:cs="Times New Roman" w:asciiTheme="minorEastAsia" w:hAnsiTheme="minorEastAsia" w:eastAsiaTheme="minorEastAsia"/>
          <w:color w:val="000000" w:themeColor="text1"/>
          <w:sz w:val="22"/>
          <w:szCs w:val="22"/>
          <w14:textFill>
            <w14:solidFill>
              <w14:schemeClr w14:val="tx1"/>
            </w14:solidFill>
          </w14:textFill>
        </w:rPr>
        <w:t>、投标文件格式</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12</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投标文件包括本须知第</w:t>
      </w:r>
      <w:r>
        <w:rPr>
          <w:rFonts w:asciiTheme="minorEastAsia" w:hAnsiTheme="minorEastAsia" w:eastAsiaTheme="minorEastAsia"/>
          <w:color w:val="000000" w:themeColor="text1"/>
          <w:sz w:val="22"/>
          <w:szCs w:val="22"/>
          <w14:textFill>
            <w14:solidFill>
              <w14:schemeClr w14:val="tx1"/>
            </w14:solidFill>
          </w14:textFill>
        </w:rPr>
        <w:t>11</w:t>
      </w:r>
      <w:r>
        <w:rPr>
          <w:rFonts w:cs="Times New Roman" w:asciiTheme="minorEastAsia" w:hAnsiTheme="minorEastAsia" w:eastAsiaTheme="minorEastAsia"/>
          <w:color w:val="000000" w:themeColor="text1"/>
          <w:sz w:val="22"/>
          <w:szCs w:val="22"/>
          <w14:textFill>
            <w14:solidFill>
              <w14:schemeClr w14:val="tx1"/>
            </w14:solidFill>
          </w14:textFill>
        </w:rPr>
        <w:t>条中规定的内容，投标人提交的投标文件必须毫无例外地使用招标文件所提供的投标文件全部格式</w:t>
      </w:r>
      <w:r>
        <w:rPr>
          <w:rFont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表格可以按同样格式扩展</w:t>
      </w:r>
      <w:r>
        <w:rPr>
          <w:rFont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13</w:t>
      </w:r>
      <w:r>
        <w:rPr>
          <w:rFonts w:cs="Times New Roman" w:asciiTheme="minorEastAsia" w:hAnsiTheme="minorEastAsia" w:eastAsiaTheme="minorEastAsia"/>
          <w:color w:val="000000" w:themeColor="text1"/>
          <w:sz w:val="22"/>
          <w:szCs w:val="22"/>
          <w14:textFill>
            <w14:solidFill>
              <w14:schemeClr w14:val="tx1"/>
            </w14:solidFill>
          </w14:textFill>
        </w:rPr>
        <w:t>、投标报价</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13. 1 </w:t>
      </w:r>
      <w:r>
        <w:rPr>
          <w:rFonts w:cs="Times New Roman" w:asciiTheme="minorEastAsia" w:hAnsiTheme="minorEastAsia" w:eastAsiaTheme="minorEastAsia"/>
          <w:color w:val="000000" w:themeColor="text1"/>
          <w:sz w:val="22"/>
          <w:szCs w:val="22"/>
          <w14:textFill>
            <w14:solidFill>
              <w14:schemeClr w14:val="tx1"/>
            </w14:solidFill>
          </w14:textFill>
        </w:rPr>
        <w:t>本项目工程总承包项目报价表清单包括</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工程总承包费用汇总表</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设计费</w:t>
      </w:r>
      <w:r>
        <w:rPr>
          <w:rFonts w:cs="Arial"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设备购置费</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建筑安装工程费</w:t>
      </w:r>
      <w:r>
        <w:rPr>
          <w:rFonts w:cs="Arial"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等四部分组成。</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13. 2</w:t>
      </w:r>
      <w:r>
        <w:rPr>
          <w:rFonts w:cs="Times New Roman" w:asciiTheme="minorEastAsia" w:hAnsiTheme="minorEastAsia" w:eastAsiaTheme="minorEastAsia"/>
          <w:color w:val="000000" w:themeColor="text1"/>
          <w:sz w:val="22"/>
          <w:szCs w:val="22"/>
          <w14:textFill>
            <w14:solidFill>
              <w14:schemeClr w14:val="tx1"/>
            </w14:solidFill>
          </w14:textFill>
        </w:rPr>
        <w:t>工程总承包项目报价：投标人根据招标人提供的招标文件及相关技术资料，对项目进行准确定位，制定相应的设计方案，结合自身的项目管理经验，认真分析测算，确定工程总承包项目报价。</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14:textFill>
            <w14:solidFill>
              <w14:schemeClr w14:val="tx1"/>
            </w14:solidFill>
          </w14:textFill>
        </w:rPr>
        <w:t>13.3.1</w:t>
      </w:r>
      <w:r>
        <w:rPr>
          <w:rFonts w:cs="Times New Roman" w:asciiTheme="minorEastAsia" w:hAnsiTheme="minorEastAsia" w:eastAsiaTheme="minorEastAsia"/>
          <w:bCs/>
          <w:color w:val="000000" w:themeColor="text1"/>
          <w:sz w:val="22"/>
          <w:szCs w:val="22"/>
          <w14:textFill>
            <w14:solidFill>
              <w14:schemeClr w14:val="tx1"/>
            </w14:solidFill>
          </w14:textFill>
        </w:rPr>
        <w:t>承包商在中标后按业主要求完成设计优化，优化的方案经业主审批同意后，提供经图审合格后的全套施工图，承包商根据图审合格后的全套施工图重新编制施工图预算并按时完成提交招标人。</w:t>
      </w:r>
      <w:r>
        <w:rPr>
          <w:rFonts w:cs="Times New Roman" w:asciiTheme="minorEastAsia" w:hAnsiTheme="minorEastAsia" w:eastAsiaTheme="minorEastAsia"/>
          <w:color w:val="000000" w:themeColor="text1"/>
          <w:sz w:val="22"/>
          <w:szCs w:val="22"/>
          <w14:textFill>
            <w14:solidFill>
              <w14:schemeClr w14:val="tx1"/>
            </w14:solidFill>
          </w14:textFill>
        </w:rPr>
        <w:t>设计标准、设计方案和设计概算必须经招标人审核确定后方可实施，一经确认，投标人不得随意修改调整。</w:t>
      </w:r>
      <w:r>
        <w:rPr>
          <w:rFonts w:hint="eastAsia" w:cs="宋体" w:asciiTheme="minorEastAsia" w:hAnsiTheme="minorEastAsia" w:eastAsiaTheme="minorEastAsia"/>
          <w:color w:val="000000" w:themeColor="text1"/>
          <w:sz w:val="22"/>
          <w:szCs w:val="22"/>
          <w14:textFill>
            <w14:solidFill>
              <w14:schemeClr w14:val="tx1"/>
            </w14:solidFill>
          </w14:textFill>
        </w:rPr>
        <w:t>承包商如违反，招标人有权单方面终止合同，由此产生的一切费用均由承包商自行承担。</w:t>
      </w:r>
    </w:p>
    <w:p>
      <w:pPr>
        <w:spacing w:line="360" w:lineRule="auto"/>
        <w:ind w:firstLine="440"/>
        <w:contextualSpacing/>
        <w:rPr>
          <w:rFonts w:cs="Times New Roman" w:asciiTheme="minorEastAsia" w:hAnsiTheme="minorEastAsia" w:eastAsiaTheme="minorEastAsia"/>
          <w:bCs/>
          <w:color w:val="000000" w:themeColor="text1"/>
          <w:sz w:val="22"/>
          <w:szCs w:val="22"/>
          <w14:textFill>
            <w14:solidFill>
              <w14:schemeClr w14:val="tx1"/>
            </w14:solidFill>
          </w14:textFill>
        </w:rPr>
      </w:pPr>
      <w:r>
        <w:rPr>
          <w:rFonts w:asciiTheme="minorEastAsia" w:hAnsiTheme="minorEastAsia" w:eastAsiaTheme="minorEastAsia"/>
          <w:bCs/>
          <w:color w:val="000000" w:themeColor="text1"/>
          <w:sz w:val="22"/>
          <w:szCs w:val="22"/>
          <w14:textFill>
            <w14:solidFill>
              <w14:schemeClr w14:val="tx1"/>
            </w14:solidFill>
          </w14:textFill>
        </w:rPr>
        <w:t>13.3.2</w:t>
      </w:r>
      <w:r>
        <w:rPr>
          <w:rFonts w:cs="Times New Roman" w:asciiTheme="minorEastAsia" w:hAnsiTheme="minorEastAsia" w:eastAsiaTheme="minorEastAsia"/>
          <w:bCs/>
          <w:color w:val="000000" w:themeColor="text1"/>
          <w:sz w:val="22"/>
          <w:szCs w:val="22"/>
          <w14:textFill>
            <w14:solidFill>
              <w14:schemeClr w14:val="tx1"/>
            </w14:solidFill>
          </w14:textFill>
        </w:rPr>
        <w:t>本项目的设计方案如有需要需进行公示，公示要求须满足有关规定，相关费用由投标单位在投标时综合考虑，不再另行支付。</w:t>
      </w:r>
    </w:p>
    <w:p>
      <w:pPr>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asciiTheme="minorEastAsia" w:hAnsiTheme="minorEastAsia" w:eastAsiaTheme="minorEastAsia"/>
          <w:b/>
          <w:bCs/>
          <w:color w:val="000000" w:themeColor="text1"/>
          <w:sz w:val="22"/>
          <w:szCs w:val="22"/>
          <w:highlight w:val="yellow"/>
          <w14:textFill>
            <w14:solidFill>
              <w14:schemeClr w14:val="tx1"/>
            </w14:solidFill>
          </w14:textFill>
        </w:rPr>
        <w:t>13.3.</w:t>
      </w:r>
      <w:r>
        <w:rPr>
          <w:rFonts w:hint="eastAsia" w:asciiTheme="minorEastAsia" w:hAnsiTheme="minorEastAsia" w:eastAsiaTheme="minorEastAsia"/>
          <w:b/>
          <w:bCs/>
          <w:color w:val="000000" w:themeColor="text1"/>
          <w:sz w:val="22"/>
          <w:szCs w:val="22"/>
          <w:highlight w:val="yellow"/>
          <w14:textFill>
            <w14:solidFill>
              <w14:schemeClr w14:val="tx1"/>
            </w14:solidFill>
          </w14:textFill>
        </w:rPr>
        <w:t>3</w:t>
      </w:r>
      <w:r>
        <w:rPr>
          <w:rFonts w:cs="Times New Roman" w:asciiTheme="minorEastAsia" w:hAnsiTheme="minorEastAsia" w:eastAsiaTheme="minorEastAsia"/>
          <w:b/>
          <w:bCs/>
          <w:color w:val="000000" w:themeColor="text1"/>
          <w:sz w:val="22"/>
          <w:szCs w:val="22"/>
          <w:highlight w:val="yellow"/>
          <w14:textFill>
            <w14:solidFill>
              <w14:schemeClr w14:val="tx1"/>
            </w14:solidFill>
          </w14:textFill>
        </w:rPr>
        <w:t>设计人必须对其编制的</w:t>
      </w:r>
      <w:r>
        <w:rPr>
          <w:rFonts w:hint="eastAsia" w:cs="Times New Roman" w:asciiTheme="minorEastAsia" w:hAnsiTheme="minorEastAsia" w:eastAsiaTheme="minorEastAsia"/>
          <w:b/>
          <w:bCs/>
          <w:color w:val="000000" w:themeColor="text1"/>
          <w:sz w:val="22"/>
          <w:szCs w:val="22"/>
          <w:highlight w:val="yellow"/>
          <w14:textFill>
            <w14:solidFill>
              <w14:schemeClr w14:val="tx1"/>
            </w14:solidFill>
          </w14:textFill>
        </w:rPr>
        <w:t>施工图预</w:t>
      </w:r>
      <w:r>
        <w:rPr>
          <w:rFonts w:cs="Times New Roman" w:asciiTheme="minorEastAsia" w:hAnsiTheme="minorEastAsia" w:eastAsiaTheme="minorEastAsia"/>
          <w:b/>
          <w:bCs/>
          <w:color w:val="000000" w:themeColor="text1"/>
          <w:sz w:val="22"/>
          <w:szCs w:val="22"/>
          <w:highlight w:val="yellow"/>
          <w14:textFill>
            <w14:solidFill>
              <w14:schemeClr w14:val="tx1"/>
            </w14:solidFill>
          </w14:textFill>
        </w:rPr>
        <w:t>算负责</w:t>
      </w:r>
      <w:r>
        <w:rPr>
          <w:rFonts w:hint="eastAsia" w:cs="Times New Roman" w:asciiTheme="minorEastAsia" w:hAnsiTheme="minorEastAsia" w:eastAsiaTheme="minorEastAsia"/>
          <w:b/>
          <w:bCs/>
          <w:color w:val="000000" w:themeColor="text1"/>
          <w:sz w:val="22"/>
          <w:szCs w:val="22"/>
          <w:highlight w:val="yellow"/>
          <w14:textFill>
            <w14:solidFill>
              <w14:schemeClr w14:val="tx1"/>
            </w14:solidFill>
          </w14:textFill>
        </w:rPr>
        <w:t>；</w:t>
      </w:r>
      <w:r>
        <w:rPr>
          <w:rFonts w:cs="Times New Roman" w:asciiTheme="minorEastAsia" w:hAnsiTheme="minorEastAsia" w:eastAsiaTheme="minorEastAsia"/>
          <w:b/>
          <w:bCs/>
          <w:color w:val="000000" w:themeColor="text1"/>
          <w:sz w:val="22"/>
          <w:szCs w:val="22"/>
          <w:highlight w:val="yellow"/>
          <w14:textFill>
            <w14:solidFill>
              <w14:schemeClr w14:val="tx1"/>
            </w14:solidFill>
          </w14:textFill>
        </w:rPr>
        <w:t>一旦中标，在建设单位无重大设计变更（工程范围、规模、主要技术标准）要求的前提下，必须进行限额设计，严格控制</w:t>
      </w:r>
      <w:r>
        <w:rPr>
          <w:rFonts w:hint="eastAsia" w:cs="Times New Roman" w:asciiTheme="minorEastAsia" w:hAnsiTheme="minorEastAsia" w:eastAsiaTheme="minorEastAsia"/>
          <w:b/>
          <w:bCs/>
          <w:color w:val="000000" w:themeColor="text1"/>
          <w:sz w:val="22"/>
          <w:szCs w:val="22"/>
          <w:highlight w:val="yellow"/>
          <w14:textFill>
            <w14:solidFill>
              <w14:schemeClr w14:val="tx1"/>
            </w14:solidFill>
          </w14:textFill>
        </w:rPr>
        <w:t>施工图</w:t>
      </w:r>
      <w:r>
        <w:rPr>
          <w:rFonts w:cs="Times New Roman" w:asciiTheme="minorEastAsia" w:hAnsiTheme="minorEastAsia" w:eastAsiaTheme="minorEastAsia"/>
          <w:b/>
          <w:bCs/>
          <w:color w:val="000000" w:themeColor="text1"/>
          <w:sz w:val="22"/>
          <w:szCs w:val="22"/>
          <w:highlight w:val="yellow"/>
          <w14:textFill>
            <w14:solidFill>
              <w14:schemeClr w14:val="tx1"/>
            </w14:solidFill>
          </w14:textFill>
        </w:rPr>
        <w:t>预算。</w:t>
      </w:r>
    </w:p>
    <w:p>
      <w:pPr>
        <w:spacing w:line="360" w:lineRule="auto"/>
        <w:ind w:firstLine="440"/>
        <w:contextualSpacing/>
        <w:rPr>
          <w:rFonts w:cs="Times New Roman" w:asciiTheme="minorEastAsia" w:hAnsiTheme="minorEastAsia" w:eastAsiaTheme="minorEastAsia"/>
          <w:bCs/>
          <w:color w:val="000000" w:themeColor="text1"/>
          <w:sz w:val="22"/>
          <w:szCs w:val="22"/>
          <w14:textFill>
            <w14:solidFill>
              <w14:schemeClr w14:val="tx1"/>
            </w14:solidFill>
          </w14:textFill>
        </w:rPr>
      </w:pPr>
      <w:r>
        <w:rPr>
          <w:rFonts w:asciiTheme="minorEastAsia" w:hAnsiTheme="minorEastAsia" w:eastAsiaTheme="minorEastAsia"/>
          <w:bCs/>
          <w:color w:val="000000" w:themeColor="text1"/>
          <w:sz w:val="22"/>
          <w:szCs w:val="22"/>
          <w14:textFill>
            <w14:solidFill>
              <w14:schemeClr w14:val="tx1"/>
            </w14:solidFill>
          </w14:textFill>
        </w:rPr>
        <w:t>13.3.</w:t>
      </w:r>
      <w:r>
        <w:rPr>
          <w:rFonts w:hint="eastAsia" w:asciiTheme="minorEastAsia" w:hAnsiTheme="minorEastAsia" w:eastAsiaTheme="minorEastAsia"/>
          <w:bCs/>
          <w:color w:val="000000" w:themeColor="text1"/>
          <w:sz w:val="22"/>
          <w:szCs w:val="22"/>
          <w14:textFill>
            <w14:solidFill>
              <w14:schemeClr w14:val="tx1"/>
            </w14:solidFill>
          </w14:textFill>
        </w:rPr>
        <w:t>4</w:t>
      </w:r>
      <w:r>
        <w:rPr>
          <w:rFonts w:cs="Times New Roman" w:asciiTheme="minorEastAsia" w:hAnsiTheme="minorEastAsia" w:eastAsiaTheme="minorEastAsia"/>
          <w:bCs/>
          <w:color w:val="000000" w:themeColor="text1"/>
          <w:sz w:val="22"/>
          <w:szCs w:val="22"/>
          <w14:textFill>
            <w14:solidFill>
              <w14:schemeClr w14:val="tx1"/>
            </w14:solidFill>
          </w14:textFill>
        </w:rPr>
        <w:t>经</w:t>
      </w:r>
      <w:r>
        <w:rPr>
          <w:rFonts w:hint="eastAsia" w:cs="Times New Roman" w:asciiTheme="minorEastAsia" w:hAnsiTheme="minorEastAsia" w:eastAsiaTheme="minorEastAsia"/>
          <w:bCs/>
          <w:color w:val="000000" w:themeColor="text1"/>
          <w:sz w:val="22"/>
          <w:szCs w:val="22"/>
          <w14:textFill>
            <w14:solidFill>
              <w14:schemeClr w14:val="tx1"/>
            </w14:solidFill>
          </w14:textFill>
        </w:rPr>
        <w:t>业主等有关</w:t>
      </w:r>
      <w:r>
        <w:rPr>
          <w:rFonts w:cs="Times New Roman" w:asciiTheme="minorEastAsia" w:hAnsiTheme="minorEastAsia" w:eastAsiaTheme="minorEastAsia"/>
          <w:bCs/>
          <w:color w:val="000000" w:themeColor="text1"/>
          <w:sz w:val="22"/>
          <w:szCs w:val="22"/>
          <w14:textFill>
            <w14:solidFill>
              <w14:schemeClr w14:val="tx1"/>
            </w14:solidFill>
          </w14:textFill>
        </w:rPr>
        <w:t>部门审定后的施工图预算和</w:t>
      </w:r>
      <w:r>
        <w:rPr>
          <w:rFonts w:hint="eastAsia" w:cs="Times New Roman" w:asciiTheme="minorEastAsia" w:hAnsiTheme="minorEastAsia" w:eastAsiaTheme="minorEastAsia"/>
          <w:bCs/>
          <w:color w:val="000000" w:themeColor="text1"/>
          <w:sz w:val="22"/>
          <w:szCs w:val="22"/>
          <w14:textFill>
            <w14:solidFill>
              <w14:schemeClr w14:val="tx1"/>
            </w14:solidFill>
          </w14:textFill>
        </w:rPr>
        <w:t>工程</w:t>
      </w:r>
      <w:r>
        <w:rPr>
          <w:rFonts w:cs="Times New Roman" w:asciiTheme="minorEastAsia" w:hAnsiTheme="minorEastAsia" w:eastAsiaTheme="minorEastAsia"/>
          <w:bCs/>
          <w:color w:val="000000" w:themeColor="text1"/>
          <w:sz w:val="22"/>
          <w:szCs w:val="22"/>
          <w14:textFill>
            <w14:solidFill>
              <w14:schemeClr w14:val="tx1"/>
            </w14:solidFill>
          </w14:textFill>
        </w:rPr>
        <w:t>设计费用的总价不得超过投标单位的中标价，超过部分将不予结算</w:t>
      </w:r>
      <w:r>
        <w:rPr>
          <w:rFonts w:hint="eastAsia" w:cs="Times New Roman" w:asciiTheme="minorEastAsia" w:hAnsiTheme="minorEastAsia" w:eastAsiaTheme="minorEastAsia"/>
          <w:bCs/>
          <w:color w:val="000000" w:themeColor="text1"/>
          <w:sz w:val="22"/>
          <w:szCs w:val="22"/>
          <w14:textFill>
            <w14:solidFill>
              <w14:schemeClr w14:val="tx1"/>
            </w14:solidFill>
          </w14:textFill>
        </w:rPr>
        <w:t>,由承包商自行承担</w:t>
      </w:r>
      <w:r>
        <w:rPr>
          <w:rFonts w:cs="Times New Roman" w:asciiTheme="minorEastAsia" w:hAnsiTheme="minorEastAsia" w:eastAsiaTheme="minorEastAsia"/>
          <w:bCs/>
          <w:color w:val="000000" w:themeColor="text1"/>
          <w:sz w:val="22"/>
          <w:szCs w:val="22"/>
          <w14:textFill>
            <w14:solidFill>
              <w14:schemeClr w14:val="tx1"/>
            </w14:solidFill>
          </w14:textFill>
        </w:rPr>
        <w:t>。</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13.4</w:t>
      </w:r>
      <w:r>
        <w:rPr>
          <w:rFonts w:cs="Times New Roman" w:asciiTheme="minorEastAsia" w:hAnsiTheme="minorEastAsia" w:eastAsiaTheme="minorEastAsia"/>
          <w:color w:val="000000" w:themeColor="text1"/>
          <w:sz w:val="22"/>
          <w:szCs w:val="22"/>
          <w14:textFill>
            <w14:solidFill>
              <w14:schemeClr w14:val="tx1"/>
            </w14:solidFill>
          </w14:textFill>
        </w:rPr>
        <w:t>本项目招投标人报价均不得超过其投标最高限价，否则按否决投标处理。</w:t>
      </w:r>
      <w:r>
        <w:rPr>
          <w:rFonts w:asciiTheme="minorEastAsia" w:hAnsiTheme="minorEastAsia" w:eastAsiaTheme="minorEastAsia"/>
          <w:color w:val="000000" w:themeColor="text1"/>
          <w:sz w:val="22"/>
          <w:szCs w:val="22"/>
          <w14:textFill>
            <w14:solidFill>
              <w14:schemeClr w14:val="tx1"/>
            </w14:solidFill>
          </w14:textFill>
        </w:rPr>
        <w:t xml:space="preserve"> </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13.5</w:t>
      </w:r>
      <w:r>
        <w:rPr>
          <w:rFonts w:cs="Times New Roman" w:asciiTheme="minorEastAsia" w:hAnsiTheme="minorEastAsia" w:eastAsiaTheme="minorEastAsia"/>
          <w:color w:val="000000" w:themeColor="text1"/>
          <w:sz w:val="22"/>
          <w:szCs w:val="22"/>
          <w14:textFill>
            <w14:solidFill>
              <w14:schemeClr w14:val="tx1"/>
            </w14:solidFill>
          </w14:textFill>
        </w:rPr>
        <w:t>投标最高限价：详见前附表</w:t>
      </w:r>
      <w:r>
        <w:rPr>
          <w:rFonts w:asciiTheme="minorEastAsia" w:hAnsiTheme="minorEastAsia" w:eastAsiaTheme="minorEastAsia"/>
          <w:color w:val="000000" w:themeColor="text1"/>
          <w:sz w:val="22"/>
          <w:szCs w:val="22"/>
          <w14:textFill>
            <w14:solidFill>
              <w14:schemeClr w14:val="tx1"/>
            </w14:solidFill>
          </w14:textFill>
        </w:rPr>
        <w:t>21</w:t>
      </w:r>
      <w:r>
        <w:rPr>
          <w:rFonts w:cs="Times New Roman" w:asciiTheme="minorEastAsia" w:hAnsiTheme="minorEastAsia" w:eastAsiaTheme="minorEastAsia"/>
          <w:color w:val="000000" w:themeColor="text1"/>
          <w:sz w:val="22"/>
          <w:szCs w:val="22"/>
          <w14:textFill>
            <w14:solidFill>
              <w14:schemeClr w14:val="tx1"/>
            </w14:solidFill>
          </w14:textFill>
        </w:rPr>
        <w:t>项。</w:t>
      </w:r>
    </w:p>
    <w:p>
      <w:pPr>
        <w:pStyle w:val="26"/>
        <w:spacing w:line="360" w:lineRule="auto"/>
        <w:ind w:firstLine="440"/>
        <w:contextualSpacing/>
        <w:rPr>
          <w:rFonts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14</w:t>
      </w:r>
      <w:r>
        <w:rPr>
          <w:rFonts w:cs="Times New Roman" w:asciiTheme="minorEastAsia" w:hAnsiTheme="minorEastAsia" w:eastAsiaTheme="minorEastAsia"/>
          <w:color w:val="000000" w:themeColor="text1"/>
          <w:sz w:val="22"/>
          <w:szCs w:val="22"/>
          <w14:textFill>
            <w14:solidFill>
              <w14:schemeClr w14:val="tx1"/>
            </w14:solidFill>
          </w14:textFill>
        </w:rPr>
        <w:t>、投标货币</w:t>
      </w:r>
      <w:r>
        <w:rPr>
          <w:rFonts w:asciiTheme="minorEastAsia" w:hAnsiTheme="minorEastAsia" w:eastAsiaTheme="minorEastAsia"/>
          <w:color w:val="000000" w:themeColor="text1"/>
          <w:sz w:val="22"/>
          <w:szCs w:val="22"/>
          <w14:textFill>
            <w14:solidFill>
              <w14:schemeClr w14:val="tx1"/>
            </w14:solidFill>
          </w14:textFill>
        </w:rPr>
        <w:t xml:space="preserve">                                      </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14.1</w:t>
      </w:r>
      <w:r>
        <w:rPr>
          <w:rFonts w:cs="Times New Roman" w:asciiTheme="minorEastAsia" w:hAnsiTheme="minorEastAsia" w:eastAsiaTheme="minorEastAsia"/>
          <w:color w:val="000000" w:themeColor="text1"/>
          <w:sz w:val="22"/>
          <w:szCs w:val="22"/>
          <w14:textFill>
            <w14:solidFill>
              <w14:schemeClr w14:val="tx1"/>
            </w14:solidFill>
          </w14:textFill>
        </w:rPr>
        <w:t>本工程的投标应以人民币报价。</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15</w:t>
      </w:r>
      <w:r>
        <w:rPr>
          <w:rFonts w:cs="Times New Roman" w:asciiTheme="minorEastAsia" w:hAnsiTheme="minorEastAsia" w:eastAsiaTheme="minorEastAsia"/>
          <w:color w:val="000000" w:themeColor="text1"/>
          <w:sz w:val="22"/>
          <w:szCs w:val="22"/>
          <w14:textFill>
            <w14:solidFill>
              <w14:schemeClr w14:val="tx1"/>
            </w14:solidFill>
          </w14:textFill>
        </w:rPr>
        <w:t>、投标有效期</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15</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投标有效期见本须知前附表第</w:t>
      </w:r>
      <w:r>
        <w:rPr>
          <w:rFonts w:asciiTheme="minorEastAsia" w:hAnsiTheme="minorEastAsia" w:eastAsiaTheme="minorEastAsia"/>
          <w:color w:val="000000" w:themeColor="text1"/>
          <w:sz w:val="22"/>
          <w:szCs w:val="22"/>
          <w14:textFill>
            <w14:solidFill>
              <w14:schemeClr w14:val="tx1"/>
            </w14:solidFill>
          </w14:textFill>
        </w:rPr>
        <w:t>12</w:t>
      </w:r>
      <w:r>
        <w:rPr>
          <w:rFonts w:cs="Times New Roman" w:asciiTheme="minorEastAsia" w:hAnsiTheme="minorEastAsia" w:eastAsiaTheme="minorEastAsia"/>
          <w:color w:val="000000" w:themeColor="text1"/>
          <w:sz w:val="22"/>
          <w:szCs w:val="22"/>
          <w14:textFill>
            <w14:solidFill>
              <w14:schemeClr w14:val="tx1"/>
            </w14:solidFill>
          </w14:textFill>
        </w:rPr>
        <w:t>项所规定的期限，在此期限内，凡符合本招标文件要求的投标文件均保持有效；</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15.2</w:t>
      </w:r>
      <w:r>
        <w:rPr>
          <w:rFonts w:cs="Times New Roman" w:asciiTheme="minorEastAsia" w:hAnsiTheme="minorEastAsia" w:eastAsiaTheme="minorEastAsia"/>
          <w:color w:val="000000" w:themeColor="text1"/>
          <w:sz w:val="22"/>
          <w:szCs w:val="22"/>
          <w14:textFill>
            <w14:solidFill>
              <w14:schemeClr w14:val="tx1"/>
            </w14:solidFill>
          </w14:textFill>
        </w:rPr>
        <w:t>出现特殊情况需要延长投标有效期的，招标人在</w:t>
      </w:r>
      <w:r>
        <w:rPr>
          <w:rFonts w:hint="eastAsia" w:cs="Times New Roman" w:asciiTheme="minorEastAsia" w:hAnsiTheme="minorEastAsia" w:eastAsiaTheme="minorEastAsia"/>
          <w:color w:val="000000" w:themeColor="text1"/>
          <w:sz w:val="22"/>
          <w:szCs w:val="22"/>
          <w14:textFill>
            <w14:solidFill>
              <w14:schemeClr w14:val="tx1"/>
            </w14:solidFill>
          </w14:textFill>
        </w:rPr>
        <w:t>平阳县政府门户网站公共资源交易网</w:t>
      </w:r>
      <w:r>
        <w:rPr>
          <w:rFonts w:cs="Times New Roman" w:asciiTheme="minorEastAsia" w:hAnsiTheme="minorEastAsia" w:eastAsiaTheme="minorEastAsia"/>
          <w:color w:val="000000" w:themeColor="text1"/>
          <w:sz w:val="22"/>
          <w:szCs w:val="22"/>
          <w14:textFill>
            <w14:solidFill>
              <w14:schemeClr w14:val="tx1"/>
            </w14:solidFill>
          </w14:textFill>
        </w:rPr>
        <w:t>（网址：</w:t>
      </w:r>
      <w:r>
        <w:rPr>
          <w:rFonts w:hint="eastAsia" w:asciiTheme="minorEastAsia" w:hAnsiTheme="minorEastAsia" w:eastAsiaTheme="minorEastAsia"/>
          <w:color w:val="000000" w:themeColor="text1"/>
          <w:sz w:val="22"/>
          <w:szCs w:val="22"/>
          <w14:textFill>
            <w14:solidFill>
              <w14:schemeClr w14:val="tx1"/>
            </w14:solidFill>
          </w14:textFill>
        </w:rPr>
        <w:t>http://www.zjpy.gov.cn/col/col1229353018/index.html</w:t>
      </w:r>
      <w:r>
        <w:rPr>
          <w:rFonts w:cs="Times New Roman" w:asciiTheme="minorEastAsia" w:hAnsiTheme="minorEastAsia" w:eastAsiaTheme="minorEastAsia"/>
          <w:color w:val="000000" w:themeColor="text1"/>
          <w:sz w:val="22"/>
          <w:szCs w:val="22"/>
          <w14:textFill>
            <w14:solidFill>
              <w14:schemeClr w14:val="tx1"/>
            </w14:solidFill>
          </w14:textFill>
        </w:rPr>
        <w:t>）上公告通知所有投标人延长投标有效期。投标人同意延长的，应相应延长其投标保证金的有效期，但不得要求或被允许修改或撤销其投标文件；投标人拒绝延长的，其投标失效，但投标人有权收回其投标保证金。</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16</w:t>
      </w:r>
      <w:r>
        <w:rPr>
          <w:rFonts w:cs="Times New Roman" w:asciiTheme="minorEastAsia" w:hAnsiTheme="minorEastAsia" w:eastAsiaTheme="minorEastAsia"/>
          <w:color w:val="000000" w:themeColor="text1"/>
          <w:sz w:val="22"/>
          <w:szCs w:val="22"/>
          <w14:textFill>
            <w14:solidFill>
              <w14:schemeClr w14:val="tx1"/>
            </w14:solidFill>
          </w14:textFill>
        </w:rPr>
        <w:t>、投标保证金</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16.1</w:t>
      </w:r>
      <w:r>
        <w:rPr>
          <w:rFonts w:cs="Times New Roman" w:asciiTheme="minorEastAsia" w:hAnsiTheme="minorEastAsia" w:eastAsiaTheme="minorEastAsia"/>
          <w:color w:val="000000" w:themeColor="text1"/>
          <w:sz w:val="22"/>
          <w:szCs w:val="22"/>
          <w14:textFill>
            <w14:solidFill>
              <w14:schemeClr w14:val="tx1"/>
            </w14:solidFill>
          </w14:textFill>
        </w:rPr>
        <w:t>各投标单位按照投标人须知前附表中第</w:t>
      </w:r>
      <w:r>
        <w:rPr>
          <w:rFonts w:asciiTheme="minorEastAsia" w:hAnsiTheme="minorEastAsia" w:eastAsiaTheme="minorEastAsia"/>
          <w:color w:val="000000" w:themeColor="text1"/>
          <w:sz w:val="22"/>
          <w:szCs w:val="22"/>
          <w14:textFill>
            <w14:solidFill>
              <w14:schemeClr w14:val="tx1"/>
            </w14:solidFill>
          </w14:textFill>
        </w:rPr>
        <w:t>13</w:t>
      </w:r>
      <w:r>
        <w:rPr>
          <w:rFonts w:cs="Times New Roman" w:asciiTheme="minorEastAsia" w:hAnsiTheme="minorEastAsia" w:eastAsiaTheme="minorEastAsia"/>
          <w:color w:val="000000" w:themeColor="text1"/>
          <w:sz w:val="22"/>
          <w:szCs w:val="22"/>
          <w14:textFill>
            <w14:solidFill>
              <w14:schemeClr w14:val="tx1"/>
            </w14:solidFill>
          </w14:textFill>
        </w:rPr>
        <w:t>项的规定，将投标保证金汇至到达平阳县公共资源交易中心保证金专户，不得现金解入、禁止使用银行本票、不得通过投标单位的分支机构或第三者帐户转入，如联合体投标的则须由牵头人账户汇出。如投标单位以保险电子保函形式缴纳的，按规定程序申请办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备注：</w:t>
      </w:r>
      <w:r>
        <w:rPr>
          <w:rFonts w:asciiTheme="minorEastAsia" w:hAnsiTheme="minorEastAsia" w:eastAsiaTheme="minorEastAsia"/>
          <w:color w:val="000000" w:themeColor="text1"/>
          <w:sz w:val="22"/>
          <w:szCs w:val="22"/>
          <w14:textFill>
            <w14:solidFill>
              <w14:schemeClr w14:val="tx1"/>
            </w14:solidFill>
          </w14:textFill>
        </w:rPr>
        <w:fldChar w:fldCharType="begin"/>
      </w:r>
      <w:r>
        <w:rPr>
          <w:rFonts w:asciiTheme="minorEastAsia" w:hAnsiTheme="minorEastAsia" w:eastAsiaTheme="minorEastAsia"/>
          <w:color w:val="000000" w:themeColor="text1"/>
          <w:sz w:val="22"/>
          <w:szCs w:val="22"/>
          <w14:textFill>
            <w14:solidFill>
              <w14:schemeClr w14:val="tx1"/>
            </w14:solidFill>
          </w14:textFill>
        </w:rPr>
        <w:instrText xml:space="preserve"> = 1 \* GB3 </w:instrText>
      </w:r>
      <w:r>
        <w:rPr>
          <w:rFonts w:asciiTheme="minorEastAsia" w:hAnsiTheme="minorEastAsia" w:eastAsiaTheme="minorEastAsia"/>
          <w:color w:val="000000" w:themeColor="text1"/>
          <w:sz w:val="22"/>
          <w:szCs w:val="22"/>
          <w14:textFill>
            <w14:solidFill>
              <w14:schemeClr w14:val="tx1"/>
            </w14:solidFill>
          </w14:textFill>
        </w:rPr>
        <w:fldChar w:fldCharType="separate"/>
      </w:r>
      <w:r>
        <w:rPr>
          <w:rFonts w:hint="eastAsia" w:cs="宋体" w:asciiTheme="minorEastAsia" w:hAnsiTheme="minorEastAsia" w:eastAsiaTheme="minorEastAsia"/>
          <w:color w:val="000000" w:themeColor="text1"/>
          <w:sz w:val="22"/>
          <w:szCs w:val="22"/>
          <w14:textFill>
            <w14:solidFill>
              <w14:schemeClr w14:val="tx1"/>
            </w14:solidFill>
          </w14:textFill>
        </w:rPr>
        <w:t>①</w:t>
      </w:r>
      <w:r>
        <w:rPr>
          <w:rFonts w:asciiTheme="minorEastAsia" w:hAnsiTheme="minorEastAsia" w:eastAsiaTheme="minorEastAsia"/>
          <w:color w:val="000000" w:themeColor="text1"/>
          <w:sz w:val="22"/>
          <w:szCs w:val="22"/>
          <w14:textFill>
            <w14:solidFill>
              <w14:schemeClr w14:val="tx1"/>
            </w14:solidFill>
          </w14:textFill>
        </w:rPr>
        <w:fldChar w:fldCharType="end"/>
      </w:r>
      <w:r>
        <w:rPr>
          <w:rFonts w:cs="Times New Roman" w:asciiTheme="minorEastAsia" w:hAnsiTheme="minorEastAsia" w:eastAsiaTheme="minorEastAsia"/>
          <w:color w:val="000000" w:themeColor="text1"/>
          <w:sz w:val="22"/>
          <w:szCs w:val="22"/>
          <w14:textFill>
            <w14:solidFill>
              <w14:schemeClr w14:val="tx1"/>
            </w14:solidFill>
          </w14:textFill>
        </w:rPr>
        <w:t>各投标人在转（汇）款时须充分考虑银行转（汇）的时间差风险。</w:t>
      </w:r>
      <w:r>
        <w:rPr>
          <w:rFonts w:asciiTheme="minorEastAsia" w:hAnsiTheme="minorEastAsia" w:eastAsiaTheme="minorEastAsia"/>
          <w:color w:val="000000" w:themeColor="text1"/>
          <w:sz w:val="22"/>
          <w:szCs w:val="22"/>
          <w14:textFill>
            <w14:solidFill>
              <w14:schemeClr w14:val="tx1"/>
            </w14:solidFill>
          </w14:textFill>
        </w:rPr>
        <w:fldChar w:fldCharType="begin"/>
      </w:r>
      <w:r>
        <w:rPr>
          <w:rFonts w:asciiTheme="minorEastAsia" w:hAnsiTheme="minorEastAsia" w:eastAsiaTheme="minorEastAsia"/>
          <w:color w:val="000000" w:themeColor="text1"/>
          <w:sz w:val="22"/>
          <w:szCs w:val="22"/>
          <w14:textFill>
            <w14:solidFill>
              <w14:schemeClr w14:val="tx1"/>
            </w14:solidFill>
          </w14:textFill>
        </w:rPr>
        <w:instrText xml:space="preserve"> = 2 \* GB3 </w:instrText>
      </w:r>
      <w:r>
        <w:rPr>
          <w:rFonts w:asciiTheme="minorEastAsia" w:hAnsiTheme="minorEastAsia" w:eastAsiaTheme="minorEastAsia"/>
          <w:color w:val="000000" w:themeColor="text1"/>
          <w:sz w:val="22"/>
          <w:szCs w:val="22"/>
          <w14:textFill>
            <w14:solidFill>
              <w14:schemeClr w14:val="tx1"/>
            </w14:solidFill>
          </w14:textFill>
        </w:rPr>
        <w:fldChar w:fldCharType="separate"/>
      </w:r>
      <w:r>
        <w:rPr>
          <w:rFonts w:hint="eastAsia" w:cs="宋体" w:asciiTheme="minorEastAsia" w:hAnsiTheme="minorEastAsia" w:eastAsiaTheme="minorEastAsia"/>
          <w:color w:val="000000" w:themeColor="text1"/>
          <w:sz w:val="22"/>
          <w:szCs w:val="22"/>
          <w14:textFill>
            <w14:solidFill>
              <w14:schemeClr w14:val="tx1"/>
            </w14:solidFill>
          </w14:textFill>
        </w:rPr>
        <w:t>②</w:t>
      </w:r>
      <w:r>
        <w:rPr>
          <w:rFonts w:asciiTheme="minorEastAsia" w:hAnsiTheme="minorEastAsia" w:eastAsiaTheme="minorEastAsia"/>
          <w:color w:val="000000" w:themeColor="text1"/>
          <w:sz w:val="22"/>
          <w:szCs w:val="22"/>
          <w14:textFill>
            <w14:solidFill>
              <w14:schemeClr w14:val="tx1"/>
            </w14:solidFill>
          </w14:textFill>
        </w:rPr>
        <w:fldChar w:fldCharType="end"/>
      </w:r>
      <w:r>
        <w:rPr>
          <w:rFonts w:hint="eastAsia" w:cs="宋体" w:asciiTheme="minorEastAsia" w:hAnsiTheme="minorEastAsia" w:eastAsiaTheme="minorEastAsia"/>
          <w:color w:val="000000" w:themeColor="text1"/>
          <w:sz w:val="22"/>
          <w:szCs w:val="22"/>
          <w14:textFill>
            <w14:solidFill>
              <w14:schemeClr w14:val="tx1"/>
            </w14:solidFill>
          </w14:textFill>
        </w:rPr>
        <w:t>保证金按招标文件规定独立汇入，不允许几个项目或标的保证金捆绑汇入，否则中心财务室将作为错汇款予以退回，一切后果由投标单位自负。</w:t>
      </w:r>
      <w:r>
        <w:rPr>
          <w:rFonts w:cs="Times New Roman" w:asciiTheme="minorEastAsia" w:hAnsiTheme="minorEastAsia" w:eastAsiaTheme="minorEastAsia"/>
          <w:color w:val="000000" w:themeColor="text1"/>
          <w:sz w:val="22"/>
          <w:szCs w:val="22"/>
          <w14:textFill>
            <w14:solidFill>
              <w14:schemeClr w14:val="tx1"/>
            </w14:solidFill>
          </w14:textFill>
        </w:rPr>
        <w:fldChar w:fldCharType="begin"/>
      </w:r>
      <w:r>
        <w:rPr>
          <w:rFonts w:cs="Times New Roman" w:asciiTheme="minorEastAsia" w:hAnsiTheme="minorEastAsia" w:eastAsiaTheme="minorEastAsia"/>
          <w:color w:val="000000" w:themeColor="text1"/>
          <w:sz w:val="22"/>
          <w:szCs w:val="22"/>
          <w14:textFill>
            <w14:solidFill>
              <w14:schemeClr w14:val="tx1"/>
            </w14:solidFill>
          </w14:textFill>
        </w:rPr>
        <w:instrText xml:space="preserve"> = 3 \* GB3 </w:instrText>
      </w:r>
      <w:r>
        <w:rPr>
          <w:rFonts w:cs="Times New Roman" w:asciiTheme="minorEastAsia" w:hAnsiTheme="minorEastAsia" w:eastAsiaTheme="minorEastAsia"/>
          <w:color w:val="000000" w:themeColor="text1"/>
          <w:sz w:val="22"/>
          <w:szCs w:val="22"/>
          <w14:textFill>
            <w14:solidFill>
              <w14:schemeClr w14:val="tx1"/>
            </w14:solidFill>
          </w14:textFill>
        </w:rPr>
        <w:fldChar w:fldCharType="separate"/>
      </w:r>
      <w:r>
        <w:rPr>
          <w:rFonts w:cs="Times New Roman" w:asciiTheme="minorEastAsia" w:hAnsiTheme="minorEastAsia" w:eastAsiaTheme="minorEastAsia"/>
          <w:color w:val="000000" w:themeColor="text1"/>
          <w:sz w:val="22"/>
          <w:szCs w:val="22"/>
          <w14:textFill>
            <w14:solidFill>
              <w14:schemeClr w14:val="tx1"/>
            </w14:solidFill>
          </w14:textFill>
        </w:rPr>
        <w:t>③</w:t>
      </w:r>
      <w:r>
        <w:rPr>
          <w:rFonts w:cs="Times New Roman" w:asciiTheme="minorEastAsia" w:hAnsiTheme="minorEastAsia" w:eastAsiaTheme="minorEastAsia"/>
          <w:color w:val="000000" w:themeColor="text1"/>
          <w:sz w:val="22"/>
          <w:szCs w:val="22"/>
          <w14:textFill>
            <w14:solidFill>
              <w14:schemeClr w14:val="tx1"/>
            </w14:solidFill>
          </w14:textFill>
        </w:rPr>
        <w:fldChar w:fldCharType="end"/>
      </w:r>
      <w:r>
        <w:rPr>
          <w:rFonts w:hint="eastAsia" w:cs="宋体" w:asciiTheme="minorEastAsia" w:hAnsiTheme="minorEastAsia" w:eastAsiaTheme="minorEastAsia"/>
          <w:color w:val="000000" w:themeColor="text1"/>
          <w:sz w:val="22"/>
          <w:szCs w:val="22"/>
          <w14:textFill>
            <w14:solidFill>
              <w14:schemeClr w14:val="tx1"/>
            </w14:solidFill>
          </w14:textFill>
        </w:rPr>
        <w:t>提供《基本帐户开户许可证》（或中国人民银行发放的基本帐户备案资料）</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16.2</w:t>
      </w:r>
      <w:r>
        <w:rPr>
          <w:rFonts w:hint="eastAsia" w:cs="宋体" w:asciiTheme="minorEastAsia" w:hAnsiTheme="minorEastAsia" w:eastAsiaTheme="minorEastAsia"/>
          <w:color w:val="000000" w:themeColor="text1"/>
          <w:sz w:val="22"/>
          <w:szCs w:val="22"/>
          <w14:textFill>
            <w14:solidFill>
              <w14:schemeClr w14:val="tx1"/>
            </w14:solidFill>
          </w14:textFill>
        </w:rPr>
        <w:t>投标人不按前附表第</w:t>
      </w:r>
      <w:r>
        <w:rPr>
          <w:rFonts w:cs="Times New Roman" w:asciiTheme="minorEastAsia" w:hAnsiTheme="minorEastAsia" w:eastAsiaTheme="minorEastAsia"/>
          <w:color w:val="000000" w:themeColor="text1"/>
          <w:sz w:val="22"/>
          <w:szCs w:val="22"/>
          <w14:textFill>
            <w14:solidFill>
              <w14:schemeClr w14:val="tx1"/>
            </w14:solidFill>
          </w14:textFill>
        </w:rPr>
        <w:t>13</w:t>
      </w:r>
      <w:r>
        <w:rPr>
          <w:rFonts w:hint="eastAsia" w:cs="宋体" w:asciiTheme="minorEastAsia" w:hAnsiTheme="minorEastAsia" w:eastAsiaTheme="minorEastAsia"/>
          <w:color w:val="000000" w:themeColor="text1"/>
          <w:sz w:val="22"/>
          <w:szCs w:val="22"/>
          <w14:textFill>
            <w14:solidFill>
              <w14:schemeClr w14:val="tx1"/>
            </w14:solidFill>
          </w14:textFill>
        </w:rPr>
        <w:t>项要求提交投标保证金的，评标委员会将否决其投标。</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16.3</w:t>
      </w:r>
      <w:r>
        <w:rPr>
          <w:rFonts w:hint="eastAsia" w:cs="宋体" w:asciiTheme="minorEastAsia" w:hAnsiTheme="minorEastAsia" w:eastAsiaTheme="minorEastAsia"/>
          <w:color w:val="000000" w:themeColor="text1"/>
          <w:sz w:val="22"/>
          <w:szCs w:val="22"/>
          <w14:textFill>
            <w14:solidFill>
              <w14:schemeClr w14:val="tx1"/>
            </w14:solidFill>
          </w14:textFill>
        </w:rPr>
        <w:t>自始至终参加投标的未中标单位，投标保证金在中标公示期满后（中标公示期如有投诉除外），经招标人同意后予以退还。中标单位的投标保证金在办理交易确认单和合同签订后，经招标人同意后予以退还。</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16.4</w:t>
      </w:r>
      <w:r>
        <w:rPr>
          <w:rFonts w:hint="eastAsia" w:cs="宋体" w:asciiTheme="minorEastAsia" w:hAnsiTheme="minorEastAsia" w:eastAsiaTheme="minorEastAsia"/>
          <w:color w:val="000000" w:themeColor="text1"/>
          <w:sz w:val="22"/>
          <w:szCs w:val="22"/>
          <w14:textFill>
            <w14:solidFill>
              <w14:schemeClr w14:val="tx1"/>
            </w14:solidFill>
          </w14:textFill>
        </w:rPr>
        <w:t>有下列情形之一的，投标保证金将不予退还：</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）投标人在规定的投标有效期内撤销或修改其投标文件；</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）投标人无故放弃中标资格的；</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）拒绝接受投标文件中已确认的承诺或条款；</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）中标人在收到中标通知书后，无正当理由拒签合同协议书或未按招标文件规定提交履约担保；</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16.5</w:t>
      </w:r>
      <w:r>
        <w:rPr>
          <w:rFonts w:hint="eastAsia" w:cs="宋体" w:asciiTheme="minorEastAsia" w:hAnsiTheme="minorEastAsia" w:eastAsiaTheme="minorEastAsia"/>
          <w:color w:val="000000" w:themeColor="text1"/>
          <w:sz w:val="22"/>
          <w:szCs w:val="22"/>
          <w14:textFill>
            <w14:solidFill>
              <w14:schemeClr w14:val="tx1"/>
            </w14:solidFill>
          </w14:textFill>
        </w:rPr>
        <w:t>出现招标文件约定投标保证金不予退还情形的，由平阳县公共资源交易中心代收该单位的投标保证金后，直接转交给招标人。</w:t>
      </w:r>
    </w:p>
    <w:p>
      <w:pPr>
        <w:pStyle w:val="26"/>
        <w:spacing w:line="360" w:lineRule="auto"/>
        <w:ind w:firstLineChars="0"/>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17</w:t>
      </w:r>
      <w:r>
        <w:rPr>
          <w:rFonts w:hint="eastAsia" w:cs="宋体" w:asciiTheme="minorEastAsia" w:hAnsiTheme="minorEastAsia" w:eastAsiaTheme="minorEastAsia"/>
          <w:color w:val="000000" w:themeColor="text1"/>
          <w:sz w:val="22"/>
          <w:szCs w:val="22"/>
          <w14:textFill>
            <w14:solidFill>
              <w14:schemeClr w14:val="tx1"/>
            </w14:solidFill>
          </w14:textFill>
        </w:rPr>
        <w:t>、投标预备会</w:t>
      </w:r>
      <w:r>
        <w:rPr>
          <w:rFonts w:hint="eastAsia" w:cs="宋体" w:asciiTheme="minorEastAsia" w:hAnsiTheme="minorEastAsia" w:eastAsiaTheme="minorEastAsia"/>
          <w:b/>
          <w:bCs/>
          <w:color w:val="000000" w:themeColor="text1"/>
          <w:sz w:val="22"/>
          <w:szCs w:val="22"/>
          <w14:textFill>
            <w14:solidFill>
              <w14:schemeClr w14:val="tx1"/>
            </w14:solidFill>
          </w14:textFill>
        </w:rPr>
        <w:t>（本项目不采用）</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投标预备会</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答疑会</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，如招标人认为有必要召开投标预备会，投标人应按照前附表第</w:t>
      </w:r>
      <w:r>
        <w:rPr>
          <w:rFonts w:cs="Times New Roman" w:asciiTheme="minorEastAsia" w:hAnsiTheme="minorEastAsia" w:eastAsiaTheme="minorEastAsia"/>
          <w:color w:val="000000" w:themeColor="text1"/>
          <w:sz w:val="22"/>
          <w:szCs w:val="22"/>
          <w14:textFill>
            <w14:solidFill>
              <w14:schemeClr w14:val="tx1"/>
            </w14:solidFill>
          </w14:textFill>
        </w:rPr>
        <w:t>15</w:t>
      </w:r>
      <w:r>
        <w:rPr>
          <w:rFonts w:hint="eastAsia" w:cs="宋体" w:asciiTheme="minorEastAsia" w:hAnsiTheme="minorEastAsia" w:eastAsiaTheme="minorEastAsia"/>
          <w:color w:val="000000" w:themeColor="text1"/>
          <w:sz w:val="22"/>
          <w:szCs w:val="22"/>
          <w14:textFill>
            <w14:solidFill>
              <w14:schemeClr w14:val="tx1"/>
            </w14:solidFill>
          </w14:textFill>
        </w:rPr>
        <w:t>项规定的或招标人另行书面通知的时间和地点，派出代表出席招标人主持的投标预备会；</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投标预备会的目的是澄清、解答投标人在查阅招标文件后和现场踏勘中可能提出的任何方面的问题；</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投标人提出的与投标有关的任何问题须在投标预备会召开前</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天，以书面形式提交给招标人，在投标预备会上，招标人将做出澄清和解答；</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招标人在投标预备会上所做出的澄清和解答，以书面答复为准，投标人在收到投标答疑纪要时应以书面形式予以确认。答疑纪要的有效性规定按照本须知第</w:t>
      </w:r>
      <w:r>
        <w:rPr>
          <w:rFonts w:cs="Times New Roman" w:asciiTheme="minorEastAsia" w:hAnsiTheme="minorEastAsia" w:eastAsiaTheme="minorEastAsia"/>
          <w:color w:val="000000" w:themeColor="text1"/>
          <w:sz w:val="22"/>
          <w:szCs w:val="22"/>
          <w14:textFill>
            <w14:solidFill>
              <w14:schemeClr w14:val="tx1"/>
            </w14:solidFill>
          </w14:textFill>
        </w:rPr>
        <w:t>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款规定执行；</w:t>
      </w:r>
    </w:p>
    <w:p>
      <w:pPr>
        <w:pStyle w:val="26"/>
        <w:spacing w:line="360" w:lineRule="auto"/>
        <w:ind w:firstLine="209" w:firstLineChars="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未出席投标预备会不作为否定投标人资格的理由。</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18</w:t>
      </w:r>
      <w:r>
        <w:rPr>
          <w:rFonts w:hint="eastAsia" w:cs="宋体" w:asciiTheme="minorEastAsia" w:hAnsiTheme="minorEastAsia" w:eastAsiaTheme="minorEastAsia"/>
          <w:color w:val="000000" w:themeColor="text1"/>
          <w:sz w:val="22"/>
          <w:szCs w:val="22"/>
          <w14:textFill>
            <w14:solidFill>
              <w14:schemeClr w14:val="tx1"/>
            </w14:solidFill>
          </w14:textFill>
        </w:rPr>
        <w:t>、投标人的替代方案</w:t>
      </w:r>
      <w:r>
        <w:rPr>
          <w:rFonts w:hint="eastAsia" w:cs="宋体" w:asciiTheme="minorEastAsia" w:hAnsiTheme="minorEastAsia" w:eastAsiaTheme="minorEastAsia"/>
          <w:b/>
          <w:bCs/>
          <w:color w:val="000000" w:themeColor="text1"/>
          <w:sz w:val="22"/>
          <w:szCs w:val="22"/>
          <w14:textFill>
            <w14:solidFill>
              <w14:schemeClr w14:val="tx1"/>
            </w14:solidFill>
          </w14:textFill>
        </w:rPr>
        <w:t>（本项目不采用）</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19</w:t>
      </w:r>
      <w:r>
        <w:rPr>
          <w:rFonts w:hint="eastAsia" w:cs="宋体" w:asciiTheme="minorEastAsia" w:hAnsiTheme="minorEastAsia" w:eastAsiaTheme="minorEastAsia"/>
          <w:color w:val="000000" w:themeColor="text1"/>
          <w:sz w:val="22"/>
          <w:szCs w:val="22"/>
          <w14:textFill>
            <w14:solidFill>
              <w14:schemeClr w14:val="tx1"/>
            </w14:solidFill>
          </w14:textFill>
        </w:rPr>
        <w:t>、投标文件的份数和签署</w:t>
      </w:r>
    </w:p>
    <w:p>
      <w:pPr>
        <w:pStyle w:val="26"/>
        <w:spacing w:line="360" w:lineRule="auto"/>
        <w:ind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投标人应按本投标须知有关规定编制前附表第</w:t>
      </w:r>
      <w:r>
        <w:rPr>
          <w:rFonts w:cs="Times New Roman" w:asciiTheme="minorEastAsia" w:hAnsiTheme="minorEastAsia" w:eastAsiaTheme="minorEastAsia"/>
          <w:color w:val="000000" w:themeColor="text1"/>
          <w:sz w:val="22"/>
          <w:szCs w:val="22"/>
          <w14:textFill>
            <w14:solidFill>
              <w14:schemeClr w14:val="tx1"/>
            </w14:solidFill>
          </w14:textFill>
        </w:rPr>
        <w:t>17</w:t>
      </w:r>
      <w:r>
        <w:rPr>
          <w:rFonts w:hint="eastAsia" w:cs="宋体" w:asciiTheme="minorEastAsia" w:hAnsiTheme="minorEastAsia" w:eastAsiaTheme="minorEastAsia"/>
          <w:color w:val="000000" w:themeColor="text1"/>
          <w:sz w:val="22"/>
          <w:szCs w:val="22"/>
          <w14:textFill>
            <w14:solidFill>
              <w14:schemeClr w14:val="tx1"/>
            </w14:solidFill>
          </w14:textFill>
        </w:rPr>
        <w:t>项规定份数的投标文件；</w:t>
      </w:r>
    </w:p>
    <w:p>
      <w:pPr>
        <w:pStyle w:val="26"/>
        <w:spacing w:line="360" w:lineRule="auto"/>
        <w:ind w:firstLine="110" w:firstLineChars="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投标文件的正本和副本均需打印或使用不褪色的墨水笔书写，字迹应清晰易于辨认。并应在投标文件封面的右上角清楚地注明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正本</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或</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副本</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。正本和副本如有不一致之处，以正本为准；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投标文件封面、投标函均应加盖投标人印章并经法定代表人或其委托代理人盖章或签字，电子签章具有同等法律效力。由委托代理人签字或盖章的在投标文件中必须同时提交投标文件签署授权委托书，投标文件签署授权委托书格式、签字、盖章及内容均应符合要求；否则投标文件签署授权委托书无效；</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除投标人对错误之处必须修改外，全套投标文件应无涂改或行间插字和增删，如有修改，修改处应由投标人加盖投标人的校对章或由投标文件签字人签字或盖章。</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四</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投标文件的递交</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投标文件的密封和标记</w:t>
      </w:r>
    </w:p>
    <w:p>
      <w:pPr>
        <w:pStyle w:val="26"/>
        <w:spacing w:line="360" w:lineRule="auto"/>
        <w:ind w:firstLine="440"/>
        <w:contextualSpacing/>
        <w:rPr>
          <w:rFonts w:cs="宋体"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投标人提供</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个密封袋。</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资信标、电子文件（光盘或</w:t>
      </w:r>
      <w:r>
        <w:rPr>
          <w:rFonts w:cs="Times New Roman" w:asciiTheme="minorEastAsia" w:hAnsiTheme="minorEastAsia" w:eastAsiaTheme="minorEastAsia"/>
          <w:color w:val="000000" w:themeColor="text1"/>
          <w:sz w:val="22"/>
          <w:szCs w:val="22"/>
          <w14:textFill>
            <w14:solidFill>
              <w14:schemeClr w14:val="tx1"/>
            </w14:solidFill>
          </w14:textFill>
        </w:rPr>
        <w:t>U</w:t>
      </w:r>
      <w:r>
        <w:rPr>
          <w:rFonts w:hint="eastAsia" w:cs="宋体" w:asciiTheme="minorEastAsia" w:hAnsiTheme="minorEastAsia" w:eastAsiaTheme="minorEastAsia"/>
          <w:color w:val="000000" w:themeColor="text1"/>
          <w:sz w:val="22"/>
          <w:szCs w:val="22"/>
          <w14:textFill>
            <w14:solidFill>
              <w14:schemeClr w14:val="tx1"/>
            </w14:solidFill>
          </w14:textFill>
        </w:rPr>
        <w:t>盘，内含所有投标文件）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密封在一个密封袋里，</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商务标</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密封在一个密封袋里，</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技术标</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密封在另一投标文件密封袋里，</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证书原件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单独密封，并在投标文件的密封袋上清楚标明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资信标投标文件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技术标投标文件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商务标投标文件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证书原件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。同时除证书原件外的投标文件上均应清楚标明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正本</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或</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副本</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。密封袋封口处必须加盖单位公章和法定代表人或其投标文件签署的授权委托代理人签字或盖章。</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在投标文件密封袋上均应</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(1)</w:t>
      </w:r>
      <w:r>
        <w:rPr>
          <w:rFonts w:hint="eastAsia" w:cs="宋体" w:asciiTheme="minorEastAsia" w:hAnsiTheme="minorEastAsia" w:eastAsiaTheme="minorEastAsia"/>
          <w:color w:val="000000" w:themeColor="text1"/>
          <w:sz w:val="22"/>
          <w:szCs w:val="22"/>
          <w14:textFill>
            <w14:solidFill>
              <w14:schemeClr w14:val="tx1"/>
            </w14:solidFill>
          </w14:textFill>
        </w:rPr>
        <w:t>写明招标人名称；</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w:t>
      </w:r>
      <w:r>
        <w:rPr>
          <w:rFonts w:hint="eastAsia" w:cs="宋体" w:asciiTheme="minorEastAsia" w:hAnsiTheme="minorEastAsia" w:eastAsiaTheme="minorEastAsia"/>
          <w:color w:val="000000" w:themeColor="text1"/>
          <w:sz w:val="22"/>
          <w:szCs w:val="22"/>
          <w14:textFill>
            <w14:solidFill>
              <w14:schemeClr w14:val="tx1"/>
            </w14:solidFill>
          </w14:textFill>
        </w:rPr>
        <w:t>注明下列识别标志；</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·a·</w:t>
      </w:r>
      <w:r>
        <w:rPr>
          <w:rFonts w:cs="宋体" w:asciiTheme="minorEastAsia" w:hAnsiTheme="minorEastAsia" w:eastAsiaTheme="minorEastAsia"/>
          <w:color w:val="000000" w:themeColor="text1"/>
          <w:sz w:val="22"/>
          <w:szCs w:val="22"/>
          <w14:textFill>
            <w14:solidFill>
              <w14:schemeClr w14:val="tx1"/>
            </w14:solidFill>
          </w14:textFill>
        </w:rPr>
        <w:t>“资信标投标文件”</w:t>
      </w:r>
      <w:r>
        <w:rPr>
          <w:rFonts w:hint="eastAsia" w:cs="宋体" w:asciiTheme="minorEastAsia" w:hAnsiTheme="minorEastAsia" w:eastAsiaTheme="minorEastAsia"/>
          <w:color w:val="000000" w:themeColor="text1"/>
          <w:sz w:val="22"/>
          <w:szCs w:val="22"/>
          <w14:textFill>
            <w14:solidFill>
              <w14:schemeClr w14:val="tx1"/>
            </w14:solidFill>
          </w14:textFill>
        </w:rPr>
        <w:t>或</w:t>
      </w:r>
      <w:r>
        <w:rPr>
          <w:rFonts w:cs="宋体" w:asciiTheme="minorEastAsia" w:hAnsiTheme="minorEastAsia" w:eastAsiaTheme="minorEastAsia"/>
          <w:color w:val="000000" w:themeColor="text1"/>
          <w:sz w:val="22"/>
          <w:szCs w:val="22"/>
          <w14:textFill>
            <w14:solidFill>
              <w14:schemeClr w14:val="tx1"/>
            </w14:solidFill>
          </w14:textFill>
        </w:rPr>
        <w:t xml:space="preserve">“技术标投标文件” </w:t>
      </w:r>
      <w:r>
        <w:rPr>
          <w:rFonts w:hint="eastAsia" w:cs="宋体" w:asciiTheme="minorEastAsia" w:hAnsiTheme="minorEastAsia" w:eastAsiaTheme="minorEastAsia"/>
          <w:color w:val="000000" w:themeColor="text1"/>
          <w:sz w:val="22"/>
          <w:szCs w:val="22"/>
          <w14:textFill>
            <w14:solidFill>
              <w14:schemeClr w14:val="tx1"/>
            </w14:solidFill>
          </w14:textFill>
        </w:rPr>
        <w:t>或</w:t>
      </w:r>
      <w:r>
        <w:rPr>
          <w:rFonts w:cs="宋体" w:asciiTheme="minorEastAsia" w:hAnsiTheme="minorEastAsia" w:eastAsiaTheme="minorEastAsia"/>
          <w:color w:val="000000" w:themeColor="text1"/>
          <w:sz w:val="22"/>
          <w:szCs w:val="22"/>
          <w14:textFill>
            <w14:solidFill>
              <w14:schemeClr w14:val="tx1"/>
            </w14:solidFill>
          </w14:textFill>
        </w:rPr>
        <w:t>“商务标投标文件”</w:t>
      </w:r>
      <w:r>
        <w:rPr>
          <w:rFonts w:hint="eastAsia" w:cs="宋体" w:asciiTheme="minorEastAsia" w:hAnsiTheme="minorEastAsia" w:eastAsiaTheme="minorEastAsia"/>
          <w:color w:val="000000" w:themeColor="text1"/>
          <w:sz w:val="22"/>
          <w:szCs w:val="22"/>
          <w14:textFill>
            <w14:solidFill>
              <w14:schemeClr w14:val="tx1"/>
            </w14:solidFill>
          </w14:textFill>
        </w:rPr>
        <w:t>或</w:t>
      </w:r>
      <w:r>
        <w:rPr>
          <w:rFonts w:cs="宋体" w:asciiTheme="minorEastAsia" w:hAnsiTheme="minorEastAsia" w:eastAsiaTheme="minorEastAsia"/>
          <w:color w:val="000000" w:themeColor="text1"/>
          <w:sz w:val="22"/>
          <w:szCs w:val="22"/>
          <w14:textFill>
            <w14:solidFill>
              <w14:schemeClr w14:val="tx1"/>
            </w14:solidFill>
          </w14:textFill>
        </w:rPr>
        <w:t>“证书原件”</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·b·</w:t>
      </w:r>
      <w:r>
        <w:rPr>
          <w:rFonts w:hint="eastAsia" w:cs="宋体" w:asciiTheme="minorEastAsia" w:hAnsiTheme="minorEastAsia" w:eastAsiaTheme="minorEastAsia"/>
          <w:color w:val="000000" w:themeColor="text1"/>
          <w:sz w:val="22"/>
          <w:szCs w:val="22"/>
          <w14:textFill>
            <w14:solidFill>
              <w14:schemeClr w14:val="tx1"/>
            </w14:solidFill>
          </w14:textFill>
        </w:rPr>
        <w:t>工程名称；</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·c·__</w:t>
      </w:r>
      <w:r>
        <w:rPr>
          <w:rFonts w:hint="eastAsia" w:cs="宋体" w:asciiTheme="minorEastAsia" w:hAnsiTheme="minorEastAsia" w:eastAsiaTheme="minorEastAsia"/>
          <w:color w:val="000000" w:themeColor="text1"/>
          <w:sz w:val="22"/>
          <w:szCs w:val="22"/>
          <w14:textFill>
            <w14:solidFill>
              <w14:schemeClr w14:val="tx1"/>
            </w14:solidFill>
          </w14:textFill>
        </w:rPr>
        <w:t>年</w:t>
      </w:r>
      <w:r>
        <w:rPr>
          <w:rFonts w:cs="Times New Roman" w:asciiTheme="minorEastAsia" w:hAnsiTheme="minorEastAsia" w:eastAsiaTheme="minorEastAsia"/>
          <w:color w:val="000000" w:themeColor="text1"/>
          <w:sz w:val="22"/>
          <w:szCs w:val="22"/>
          <w14:textFill>
            <w14:solidFill>
              <w14:schemeClr w14:val="tx1"/>
            </w14:solidFill>
          </w14:textFill>
        </w:rPr>
        <w:t>___</w:t>
      </w:r>
      <w:r>
        <w:rPr>
          <w:rFonts w:hint="eastAsia" w:cs="宋体" w:asciiTheme="minorEastAsia" w:hAnsiTheme="minorEastAsia" w:eastAsiaTheme="minorEastAsia"/>
          <w:color w:val="000000" w:themeColor="text1"/>
          <w:sz w:val="22"/>
          <w:szCs w:val="22"/>
          <w14:textFill>
            <w14:solidFill>
              <w14:schemeClr w14:val="tx1"/>
            </w14:solidFill>
          </w14:textFill>
        </w:rPr>
        <w:t>月</w:t>
      </w:r>
      <w:r>
        <w:rPr>
          <w:rFonts w:cs="Times New Roman" w:asciiTheme="minorEastAsia" w:hAnsiTheme="minorEastAsia" w:eastAsiaTheme="minorEastAsia"/>
          <w:color w:val="000000" w:themeColor="text1"/>
          <w:sz w:val="22"/>
          <w:szCs w:val="22"/>
          <w14:textFill>
            <w14:solidFill>
              <w14:schemeClr w14:val="tx1"/>
            </w14:solidFill>
          </w14:textFill>
        </w:rPr>
        <w:t>___</w:t>
      </w:r>
      <w:r>
        <w:rPr>
          <w:rFonts w:hint="eastAsia" w:cs="宋体" w:asciiTheme="minorEastAsia" w:hAnsiTheme="minorEastAsia" w:eastAsiaTheme="minorEastAsia"/>
          <w:color w:val="000000" w:themeColor="text1"/>
          <w:sz w:val="22"/>
          <w:szCs w:val="22"/>
          <w14:textFill>
            <w14:solidFill>
              <w14:schemeClr w14:val="tx1"/>
            </w14:solidFill>
          </w14:textFill>
        </w:rPr>
        <w:t>日</w:t>
      </w:r>
      <w:r>
        <w:rPr>
          <w:rFonts w:cs="Times New Roman" w:asciiTheme="minorEastAsia" w:hAnsiTheme="minorEastAsia" w:eastAsiaTheme="minorEastAsia"/>
          <w:color w:val="000000" w:themeColor="text1"/>
          <w:sz w:val="22"/>
          <w:szCs w:val="22"/>
          <w14:textFill>
            <w14:solidFill>
              <w14:schemeClr w14:val="tx1"/>
            </w14:solidFill>
          </w14:textFill>
        </w:rPr>
        <w:t>___</w:t>
      </w:r>
      <w:r>
        <w:rPr>
          <w:rFonts w:hint="eastAsia" w:cs="宋体" w:asciiTheme="minorEastAsia" w:hAnsiTheme="minorEastAsia" w:eastAsiaTheme="minorEastAsia"/>
          <w:color w:val="000000" w:themeColor="text1"/>
          <w:sz w:val="22"/>
          <w:szCs w:val="22"/>
          <w14:textFill>
            <w14:solidFill>
              <w14:schemeClr w14:val="tx1"/>
            </w14:solidFill>
          </w14:textFill>
        </w:rPr>
        <w:t>时</w:t>
      </w:r>
      <w:r>
        <w:rPr>
          <w:rFonts w:cs="Times New Roman" w:asciiTheme="minorEastAsia" w:hAnsiTheme="minorEastAsia" w:eastAsiaTheme="minorEastAsia"/>
          <w:color w:val="000000" w:themeColor="text1"/>
          <w:sz w:val="22"/>
          <w:szCs w:val="22"/>
          <w14:textFill>
            <w14:solidFill>
              <w14:schemeClr w14:val="tx1"/>
            </w14:solidFill>
          </w14:textFill>
        </w:rPr>
        <w:t>___</w:t>
      </w:r>
      <w:r>
        <w:rPr>
          <w:rFonts w:hint="eastAsia" w:cs="宋体" w:asciiTheme="minorEastAsia" w:hAnsiTheme="minorEastAsia" w:eastAsiaTheme="minorEastAsia"/>
          <w:color w:val="000000" w:themeColor="text1"/>
          <w:sz w:val="22"/>
          <w:szCs w:val="22"/>
          <w14:textFill>
            <w14:solidFill>
              <w14:schemeClr w14:val="tx1"/>
            </w14:solidFill>
          </w14:textFill>
        </w:rPr>
        <w:t>分开标</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此时间以前不得开封。</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如果投标文件没有按本投标须知第</w:t>
      </w:r>
      <w:r>
        <w:rPr>
          <w:rFonts w:cs="Times New Roman" w:asciiTheme="minorEastAsia" w:hAnsiTheme="minorEastAsia" w:eastAsiaTheme="minorEastAsia"/>
          <w:color w:val="000000" w:themeColor="text1"/>
          <w:sz w:val="22"/>
          <w:szCs w:val="22"/>
          <w14:textFill>
            <w14:solidFill>
              <w14:schemeClr w14:val="tx1"/>
            </w14:solidFill>
          </w14:textFill>
        </w:rPr>
        <w:t>20.1</w:t>
      </w:r>
      <w:r>
        <w:rPr>
          <w:rFonts w:hint="eastAsia" w:cs="宋体" w:asciiTheme="minorEastAsia" w:hAnsiTheme="minorEastAsia" w:eastAsiaTheme="minorEastAsia"/>
          <w:color w:val="000000" w:themeColor="text1"/>
          <w:sz w:val="22"/>
          <w:szCs w:val="22"/>
          <w14:textFill>
            <w14:solidFill>
              <w14:schemeClr w14:val="tx1"/>
            </w14:solidFill>
          </w14:textFill>
        </w:rPr>
        <w:t>款、第</w:t>
      </w:r>
      <w:r>
        <w:rPr>
          <w:rFonts w:cs="Times New Roman" w:asciiTheme="minorEastAsia" w:hAnsiTheme="minorEastAsia" w:eastAsiaTheme="minorEastAsia"/>
          <w:color w:val="000000" w:themeColor="text1"/>
          <w:sz w:val="22"/>
          <w:szCs w:val="22"/>
          <w14:textFill>
            <w14:solidFill>
              <w14:schemeClr w14:val="tx1"/>
            </w14:solidFill>
          </w14:textFill>
        </w:rPr>
        <w:t>20.2</w:t>
      </w:r>
      <w:r>
        <w:rPr>
          <w:rFonts w:hint="eastAsia" w:cs="宋体" w:asciiTheme="minorEastAsia" w:hAnsiTheme="minorEastAsia" w:eastAsiaTheme="minorEastAsia"/>
          <w:color w:val="000000" w:themeColor="text1"/>
          <w:sz w:val="22"/>
          <w:szCs w:val="22"/>
          <w14:textFill>
            <w14:solidFill>
              <w14:schemeClr w14:val="tx1"/>
            </w14:solidFill>
          </w14:textFill>
        </w:rPr>
        <w:t>款规定加写标记和密封</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招标人将拒收或者告知投标人招标人将不承担投标文件错放或提前开封的责任。对由此造成的提前开封的投标文件将予以拒绝，并退还给投标人；</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所有投标文件的密封袋的封口处应加盖密封章或投标人印章。</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21</w:t>
      </w:r>
      <w:r>
        <w:rPr>
          <w:rFonts w:hint="eastAsia" w:cs="宋体" w:asciiTheme="minorEastAsia" w:hAnsiTheme="minorEastAsia" w:eastAsiaTheme="minorEastAsia"/>
          <w:color w:val="000000" w:themeColor="text1"/>
          <w:sz w:val="22"/>
          <w:szCs w:val="22"/>
          <w14:textFill>
            <w14:solidFill>
              <w14:schemeClr w14:val="tx1"/>
            </w14:solidFill>
          </w14:textFill>
        </w:rPr>
        <w:t>、投标截止日期</w:t>
      </w:r>
    </w:p>
    <w:p>
      <w:pPr>
        <w:pStyle w:val="26"/>
        <w:spacing w:line="360" w:lineRule="auto"/>
        <w:ind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投标人应按投标须知前附表第</w:t>
      </w:r>
      <w:r>
        <w:rPr>
          <w:rFonts w:cs="Times New Roman" w:asciiTheme="minorEastAsia" w:hAnsiTheme="minorEastAsia" w:eastAsiaTheme="minorEastAsia"/>
          <w:color w:val="000000" w:themeColor="text1"/>
          <w:sz w:val="22"/>
          <w:szCs w:val="22"/>
          <w14:textFill>
            <w14:solidFill>
              <w14:schemeClr w14:val="tx1"/>
            </w14:solidFill>
          </w14:textFill>
        </w:rPr>
        <w:t>18</w:t>
      </w:r>
      <w:r>
        <w:rPr>
          <w:rFonts w:hint="eastAsia" w:cs="宋体" w:asciiTheme="minorEastAsia" w:hAnsiTheme="minorEastAsia" w:eastAsiaTheme="minorEastAsia"/>
          <w:color w:val="000000" w:themeColor="text1"/>
          <w:sz w:val="22"/>
          <w:szCs w:val="22"/>
          <w14:textFill>
            <w14:solidFill>
              <w14:schemeClr w14:val="tx1"/>
            </w14:solidFill>
          </w14:textFill>
        </w:rPr>
        <w:t>项所规定的地址并在投标截止时间前将投标文件送达给招标人；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p>
    <w:p>
      <w:pPr>
        <w:pStyle w:val="26"/>
        <w:spacing w:line="360" w:lineRule="auto"/>
        <w:ind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招标人按本须知第</w:t>
      </w:r>
      <w:r>
        <w:rPr>
          <w:rFonts w:cs="Times New Roman" w:asciiTheme="minorEastAsia" w:hAnsiTheme="minorEastAsia" w:eastAsiaTheme="minorEastAsia"/>
          <w:color w:val="000000" w:themeColor="text1"/>
          <w:sz w:val="22"/>
          <w:szCs w:val="22"/>
          <w14:textFill>
            <w14:solidFill>
              <w14:schemeClr w14:val="tx1"/>
            </w14:solidFill>
          </w14:textFill>
        </w:rPr>
        <w:t>15</w:t>
      </w:r>
      <w:r>
        <w:rPr>
          <w:rFonts w:hint="eastAsia" w:cs="宋体" w:asciiTheme="minorEastAsia" w:hAnsiTheme="minorEastAsia" w:eastAsiaTheme="minorEastAsia"/>
          <w:color w:val="000000" w:themeColor="text1"/>
          <w:sz w:val="22"/>
          <w:szCs w:val="22"/>
          <w14:textFill>
            <w14:solidFill>
              <w14:schemeClr w14:val="tx1"/>
            </w14:solidFill>
          </w14:textFill>
        </w:rPr>
        <w:t>条规定以修改补充通知的方式，酌情延长递交投标文件的截止日期。</w:t>
      </w:r>
    </w:p>
    <w:p>
      <w:pPr>
        <w:pStyle w:val="26"/>
        <w:spacing w:line="360" w:lineRule="auto"/>
        <w:ind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在此情况下</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投标人的所有权利和义务以及投标人受制约的截止日期，均以延长后新的投标截止日期为准；</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投标截止期满后，招标人收到的投标文件少于法定数的</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招标人将依法重新组织招标。</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22</w:t>
      </w:r>
      <w:r>
        <w:rPr>
          <w:rFonts w:hint="eastAsia" w:cs="宋体" w:asciiTheme="minorEastAsia" w:hAnsiTheme="minorEastAsia" w:eastAsiaTheme="minorEastAsia"/>
          <w:color w:val="000000" w:themeColor="text1"/>
          <w:sz w:val="22"/>
          <w:szCs w:val="22"/>
          <w14:textFill>
            <w14:solidFill>
              <w14:schemeClr w14:val="tx1"/>
            </w14:solidFill>
          </w14:textFill>
        </w:rPr>
        <w:t>、迟交的投标文件</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招标人在投标须知前附表第</w:t>
      </w:r>
      <w:r>
        <w:rPr>
          <w:rFonts w:cs="Times New Roman" w:asciiTheme="minorEastAsia" w:hAnsiTheme="minorEastAsia" w:eastAsiaTheme="minorEastAsia"/>
          <w:color w:val="000000" w:themeColor="text1"/>
          <w:sz w:val="22"/>
          <w:szCs w:val="22"/>
          <w14:textFill>
            <w14:solidFill>
              <w14:schemeClr w14:val="tx1"/>
            </w14:solidFill>
          </w14:textFill>
        </w:rPr>
        <w:t>18</w:t>
      </w:r>
      <w:r>
        <w:rPr>
          <w:rFonts w:hint="eastAsia" w:cs="宋体" w:asciiTheme="minorEastAsia" w:hAnsiTheme="minorEastAsia" w:eastAsiaTheme="minorEastAsia"/>
          <w:color w:val="000000" w:themeColor="text1"/>
          <w:sz w:val="22"/>
          <w:szCs w:val="22"/>
          <w14:textFill>
            <w14:solidFill>
              <w14:schemeClr w14:val="tx1"/>
            </w14:solidFill>
          </w14:textFill>
        </w:rPr>
        <w:t>条规定的投标截止日期以后收到的投标文件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将被拒绝或返回给投标人。</w:t>
      </w:r>
    </w:p>
    <w:p>
      <w:pPr>
        <w:pStyle w:val="26"/>
        <w:spacing w:line="360" w:lineRule="auto"/>
        <w:ind w:firstLine="316" w:firstLineChars="14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23</w:t>
      </w:r>
      <w:r>
        <w:rPr>
          <w:rFonts w:hint="eastAsia" w:cs="宋体" w:asciiTheme="minorEastAsia" w:hAnsiTheme="minorEastAsia" w:eastAsiaTheme="minorEastAsia"/>
          <w:color w:val="000000" w:themeColor="text1"/>
          <w:sz w:val="22"/>
          <w:szCs w:val="22"/>
          <w14:textFill>
            <w14:solidFill>
              <w14:schemeClr w14:val="tx1"/>
            </w14:solidFill>
          </w14:textFill>
        </w:rPr>
        <w:t>、投标文件的补充、修改与撤回</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23</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投标人在递交投标文件以后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在规定的投标截止时间之前，可以书面形式补充修改或撤回已提交的投标文件，并通知招标人。补充、修改的内容为投标文件的组成部分；</w:t>
      </w:r>
    </w:p>
    <w:p>
      <w:pPr>
        <w:pStyle w:val="26"/>
        <w:spacing w:line="360" w:lineRule="auto"/>
        <w:ind w:firstLine="220" w:firstLineChars="10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1</w:t>
      </w:r>
      <w:r>
        <w:rPr>
          <w:rFonts w:cs="Times New Roman" w:asciiTheme="minorEastAsia" w:hAnsiTheme="minorEastAsia" w:eastAsiaTheme="minorEastAsia"/>
          <w:color w:val="000000" w:themeColor="text1"/>
          <w:sz w:val="22"/>
          <w:szCs w:val="22"/>
          <w14:textFill>
            <w14:solidFill>
              <w14:schemeClr w14:val="tx1"/>
            </w14:solidFill>
          </w14:textFill>
        </w:rPr>
        <w:t>）在投标须知前附表第</w:t>
      </w:r>
      <w:r>
        <w:rPr>
          <w:rFonts w:asciiTheme="minorEastAsia" w:hAnsiTheme="minorEastAsia" w:eastAsiaTheme="minorEastAsia"/>
          <w:color w:val="000000" w:themeColor="text1"/>
          <w:sz w:val="22"/>
          <w:szCs w:val="22"/>
          <w14:textFill>
            <w14:solidFill>
              <w14:schemeClr w14:val="tx1"/>
            </w14:solidFill>
          </w14:textFill>
        </w:rPr>
        <w:t>18</w:t>
      </w:r>
      <w:r>
        <w:rPr>
          <w:rFonts w:cs="Times New Roman" w:asciiTheme="minorEastAsia" w:hAnsiTheme="minorEastAsia" w:eastAsiaTheme="minorEastAsia"/>
          <w:color w:val="000000" w:themeColor="text1"/>
          <w:sz w:val="22"/>
          <w:szCs w:val="22"/>
          <w14:textFill>
            <w14:solidFill>
              <w14:schemeClr w14:val="tx1"/>
            </w14:solidFill>
          </w14:textFill>
        </w:rPr>
        <w:t>项规定的投标截止时间前，投标人可以修改或撤回已递交的投标文件，但应以书面形式通知招标人。</w:t>
      </w:r>
    </w:p>
    <w:p>
      <w:pPr>
        <w:pStyle w:val="106"/>
        <w:adjustRightInd/>
        <w:spacing w:line="360" w:lineRule="auto"/>
        <w:ind w:firstLine="220" w:firstLineChars="10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2</w:t>
      </w:r>
      <w:r>
        <w:rPr>
          <w:rFonts w:cs="Times New Roman" w:asciiTheme="minorEastAsia" w:hAnsiTheme="minorEastAsia" w:eastAsiaTheme="minorEastAsia"/>
          <w:color w:val="000000" w:themeColor="text1"/>
          <w:sz w:val="22"/>
          <w:szCs w:val="22"/>
          <w14:textFill>
            <w14:solidFill>
              <w14:schemeClr w14:val="tx1"/>
            </w14:solidFill>
          </w14:textFill>
        </w:rPr>
        <w:t>）投标人修改或撤回已递交投标文件的书面通知应按照前附表须知的要求盖章或签字。招标人收到书面通知后，向投标人出具签收凭证。</w:t>
      </w:r>
    </w:p>
    <w:p>
      <w:pPr>
        <w:pStyle w:val="106"/>
        <w:adjustRightInd/>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w:t>
      </w:r>
      <w:r>
        <w:rPr>
          <w:rFonts w:asciiTheme="minorEastAsia" w:hAnsiTheme="minorEastAsia" w:eastAsiaTheme="minorEastAsia"/>
          <w:color w:val="000000" w:themeColor="text1"/>
          <w:sz w:val="22"/>
          <w:szCs w:val="22"/>
          <w14:textFill>
            <w14:solidFill>
              <w14:schemeClr w14:val="tx1"/>
            </w14:solidFill>
          </w14:textFill>
        </w:rPr>
        <w:t>3</w:t>
      </w:r>
      <w:r>
        <w:rPr>
          <w:rFonts w:cs="Times New Roman" w:asciiTheme="minorEastAsia" w:hAnsiTheme="minorEastAsia" w:eastAsiaTheme="minorEastAsia"/>
          <w:color w:val="000000" w:themeColor="text1"/>
          <w:sz w:val="22"/>
          <w:szCs w:val="22"/>
          <w14:textFill>
            <w14:solidFill>
              <w14:schemeClr w14:val="tx1"/>
            </w14:solidFill>
          </w14:textFill>
        </w:rPr>
        <w:t>）修改的内容为投标文件的组成部分。修改的投标文件应按照本章第</w:t>
      </w:r>
      <w:r>
        <w:rPr>
          <w:rFonts w:cs="楷体_GB2312" w:asciiTheme="minorEastAsia" w:hAnsiTheme="minorEastAsia" w:eastAsiaTheme="minorEastAsia"/>
          <w:color w:val="000000" w:themeColor="text1"/>
          <w:sz w:val="22"/>
          <w:szCs w:val="22"/>
          <w14:textFill>
            <w14:solidFill>
              <w14:schemeClr w14:val="tx1"/>
            </w14:solidFill>
          </w14:textFill>
        </w:rPr>
        <w:t>20.1</w:t>
      </w:r>
      <w:r>
        <w:rPr>
          <w:rFonts w:cs="Times New Roman" w:asciiTheme="minorEastAsia" w:hAnsiTheme="minorEastAsia" w:eastAsiaTheme="minorEastAsia"/>
          <w:color w:val="000000" w:themeColor="text1"/>
          <w:sz w:val="22"/>
          <w:szCs w:val="22"/>
          <w14:textFill>
            <w14:solidFill>
              <w14:schemeClr w14:val="tx1"/>
            </w14:solidFill>
          </w14:textFill>
        </w:rPr>
        <w:t>条、第</w:t>
      </w:r>
      <w:r>
        <w:rPr>
          <w:rFonts w:cs="楷体_GB2312" w:asciiTheme="minorEastAsia" w:hAnsiTheme="minorEastAsia" w:eastAsiaTheme="minorEastAsia"/>
          <w:color w:val="000000" w:themeColor="text1"/>
          <w:sz w:val="22"/>
          <w:szCs w:val="22"/>
          <w14:textFill>
            <w14:solidFill>
              <w14:schemeClr w14:val="tx1"/>
            </w14:solidFill>
          </w14:textFill>
        </w:rPr>
        <w:t>20.2</w:t>
      </w:r>
      <w:r>
        <w:rPr>
          <w:rFonts w:cs="Times New Roman" w:asciiTheme="minorEastAsia" w:hAnsiTheme="minorEastAsia" w:eastAsiaTheme="minorEastAsia"/>
          <w:color w:val="000000" w:themeColor="text1"/>
          <w:sz w:val="22"/>
          <w:szCs w:val="22"/>
          <w14:textFill>
            <w14:solidFill>
              <w14:schemeClr w14:val="tx1"/>
            </w14:solidFill>
          </w14:textFill>
        </w:rPr>
        <w:t>条规定进行编制、密封、标记和递交，并标明</w:t>
      </w:r>
      <w:r>
        <w:rPr>
          <w:rFonts w:c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修改</w:t>
      </w:r>
      <w:r>
        <w:rPr>
          <w:rFonts w:cs="??"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字样。</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23.2</w:t>
      </w:r>
      <w:r>
        <w:rPr>
          <w:rFonts w:hint="eastAsia" w:cs="宋体" w:asciiTheme="minorEastAsia" w:hAnsiTheme="minorEastAsia" w:eastAsiaTheme="minorEastAsia"/>
          <w:color w:val="000000" w:themeColor="text1"/>
          <w:sz w:val="22"/>
          <w:szCs w:val="22"/>
          <w14:textFill>
            <w14:solidFill>
              <w14:schemeClr w14:val="tx1"/>
            </w14:solidFill>
          </w14:textFill>
        </w:rPr>
        <w:t>根据本须知第</w:t>
      </w:r>
      <w:r>
        <w:rPr>
          <w:rFonts w:cs="Times New Roman" w:asciiTheme="minorEastAsia" w:hAnsiTheme="minorEastAsia" w:eastAsiaTheme="minorEastAsia"/>
          <w:color w:val="000000" w:themeColor="text1"/>
          <w:sz w:val="22"/>
          <w:szCs w:val="22"/>
          <w14:textFill>
            <w14:solidFill>
              <w14:schemeClr w14:val="tx1"/>
            </w14:solidFill>
          </w14:textFill>
        </w:rPr>
        <w:t>21</w:t>
      </w:r>
      <w:r>
        <w:rPr>
          <w:rFonts w:hint="eastAsia" w:cs="宋体" w:asciiTheme="minorEastAsia" w:hAnsiTheme="minorEastAsia" w:eastAsiaTheme="minorEastAsia"/>
          <w:color w:val="000000" w:themeColor="text1"/>
          <w:sz w:val="22"/>
          <w:szCs w:val="22"/>
          <w14:textFill>
            <w14:solidFill>
              <w14:schemeClr w14:val="tx1"/>
            </w14:solidFill>
          </w14:textFill>
        </w:rPr>
        <w:t>条规定，在投标截止日期以后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不得补充修改投标文件；</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23</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在投标截止日期至投标人在投标函中规定的投标有效期满之前的这段时间内</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投标人不得撤回其投标文件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否则其投标保证金或投标保函将被没收。</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五</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开</w:t>
      </w:r>
      <w:r>
        <w:rPr>
          <w:rFonts w:cs="Times New Roman" w:asciiTheme="minorEastAsia" w:hAnsiTheme="minorEastAsia" w:eastAsiaTheme="minorEastAsia"/>
          <w:b/>
          <w:bCs/>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b/>
          <w:bCs/>
          <w:color w:val="000000" w:themeColor="text1"/>
          <w:sz w:val="22"/>
          <w:szCs w:val="22"/>
          <w14:textFill>
            <w14:solidFill>
              <w14:schemeClr w14:val="tx1"/>
            </w14:solidFill>
          </w14:textFill>
        </w:rPr>
        <w:t>标</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24</w:t>
      </w:r>
      <w:r>
        <w:rPr>
          <w:rFonts w:hint="eastAsia" w:cs="宋体" w:asciiTheme="minorEastAsia" w:hAnsiTheme="minorEastAsia" w:eastAsiaTheme="minorEastAsia"/>
          <w:color w:val="000000" w:themeColor="text1"/>
          <w:sz w:val="22"/>
          <w:szCs w:val="22"/>
          <w14:textFill>
            <w14:solidFill>
              <w14:schemeClr w14:val="tx1"/>
            </w14:solidFill>
          </w14:textFill>
        </w:rPr>
        <w:t>、开标</w:t>
      </w:r>
    </w:p>
    <w:p>
      <w:pPr>
        <w:pStyle w:val="26"/>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24</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本招标工程招标人将于投标截止时间的同一时间即按照本须知前附表第</w:t>
      </w:r>
      <w:r>
        <w:rPr>
          <w:rFonts w:cs="Times New Roman" w:asciiTheme="minorEastAsia" w:hAnsiTheme="minorEastAsia" w:eastAsiaTheme="minorEastAsia"/>
          <w:color w:val="000000" w:themeColor="text1"/>
          <w:sz w:val="22"/>
          <w:szCs w:val="22"/>
          <w14:textFill>
            <w14:solidFill>
              <w14:schemeClr w14:val="tx1"/>
            </w14:solidFill>
          </w14:textFill>
        </w:rPr>
        <w:t>19</w:t>
      </w:r>
      <w:r>
        <w:rPr>
          <w:rFonts w:hint="eastAsia" w:cs="宋体" w:asciiTheme="minorEastAsia" w:hAnsiTheme="minorEastAsia" w:eastAsiaTheme="minorEastAsia"/>
          <w:color w:val="000000" w:themeColor="text1"/>
          <w:sz w:val="22"/>
          <w:szCs w:val="22"/>
          <w14:textFill>
            <w14:solidFill>
              <w14:schemeClr w14:val="tx1"/>
            </w14:solidFill>
          </w14:textFill>
        </w:rPr>
        <w:t>项所规定的时间和地点公开举行开标会议，并邀请所有投标人代表参加开标会议；</w:t>
      </w:r>
    </w:p>
    <w:p>
      <w:pPr>
        <w:pStyle w:val="26"/>
        <w:spacing w:line="360" w:lineRule="auto"/>
        <w:ind w:firstLine="440"/>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24</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b/>
          <w:bCs/>
          <w:color w:val="000000" w:themeColor="text1"/>
          <w:sz w:val="22"/>
          <w:szCs w:val="22"/>
          <w14:textFill>
            <w14:solidFill>
              <w14:schemeClr w14:val="tx1"/>
            </w14:solidFill>
          </w14:textFill>
        </w:rPr>
        <w:t>投标单位必须由法定代表人携带有效身份证明到场参加开标会议；法定代表人不能到场参加开标会议的，可委托本企业人员（需提供由社会保障部门出具的内的本单位社保在保证明。）携带有效身份证明到场参加开标会议，有效身份证明详见第二章</w:t>
      </w:r>
      <w:r>
        <w:rPr>
          <w:rFonts w:cs="Times New Roman" w:asciiTheme="minorEastAsia" w:hAnsiTheme="minorEastAsia" w:eastAsiaTheme="minorEastAsia"/>
          <w:b/>
          <w:bCs/>
          <w:color w:val="000000" w:themeColor="text1"/>
          <w:sz w:val="22"/>
          <w:szCs w:val="22"/>
          <w14:textFill>
            <w14:solidFill>
              <w14:schemeClr w14:val="tx1"/>
            </w14:solidFill>
          </w14:textFill>
        </w:rPr>
        <w:t>4.2.5</w:t>
      </w:r>
      <w:r>
        <w:rPr>
          <w:rFonts w:hint="eastAsia" w:cs="宋体" w:asciiTheme="minorEastAsia" w:hAnsiTheme="minorEastAsia" w:eastAsiaTheme="minorEastAsia"/>
          <w:b/>
          <w:bCs/>
          <w:color w:val="000000" w:themeColor="text1"/>
          <w:sz w:val="22"/>
          <w:szCs w:val="22"/>
          <w14:textFill>
            <w14:solidFill>
              <w14:schemeClr w14:val="tx1"/>
            </w14:solidFill>
          </w14:textFill>
        </w:rPr>
        <w:t>款。（若联合体投标的，则由牵头人提供以上资料及联合体协议书参加开标会议）</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24</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按规定撤回的投标文件不予开封，并退给投标人；按本须知第</w:t>
      </w:r>
      <w:r>
        <w:rPr>
          <w:rFonts w:cs="Times New Roman" w:asciiTheme="minorEastAsia" w:hAnsiTheme="minorEastAsia" w:eastAsiaTheme="minorEastAsia"/>
          <w:color w:val="000000" w:themeColor="text1"/>
          <w:sz w:val="22"/>
          <w:szCs w:val="22"/>
          <w14:textFill>
            <w14:solidFill>
              <w14:schemeClr w14:val="tx1"/>
            </w14:solidFill>
          </w14:textFill>
        </w:rPr>
        <w:t>25</w:t>
      </w:r>
      <w:r>
        <w:rPr>
          <w:rFonts w:hint="eastAsia" w:cs="宋体" w:asciiTheme="minorEastAsia" w:hAnsiTheme="minorEastAsia" w:eastAsiaTheme="minorEastAsia"/>
          <w:color w:val="000000" w:themeColor="text1"/>
          <w:sz w:val="22"/>
          <w:szCs w:val="22"/>
          <w14:textFill>
            <w14:solidFill>
              <w14:schemeClr w14:val="tx1"/>
            </w14:solidFill>
          </w14:textFill>
        </w:rPr>
        <w:t>条规定宣布为无效的投标文件，不予详细评审。</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asciiTheme="minorEastAsia" w:hAnsiTheme="minorEastAsia" w:eastAsiaTheme="minorEastAsia"/>
          <w:color w:val="000000" w:themeColor="text1"/>
          <w:kern w:val="24"/>
          <w:sz w:val="22"/>
          <w:szCs w:val="22"/>
          <w14:textFill>
            <w14:solidFill>
              <w14:schemeClr w14:val="tx1"/>
            </w14:solidFill>
          </w14:textFill>
        </w:rPr>
        <w:t>24</w:t>
      </w: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4</w:t>
      </w:r>
      <w:r>
        <w:rPr>
          <w:rFonts w:cs="Times New Roman" w:asciiTheme="minorEastAsia" w:hAnsiTheme="minorEastAsia" w:eastAsiaTheme="minorEastAsia"/>
          <w:color w:val="000000" w:themeColor="text1"/>
          <w:kern w:val="24"/>
          <w:sz w:val="22"/>
          <w:szCs w:val="22"/>
          <w14:textFill>
            <w14:solidFill>
              <w14:schemeClr w14:val="tx1"/>
            </w14:solidFill>
          </w14:textFill>
        </w:rPr>
        <w:t>开标会议由招标人主持，按下列程序进行开标：</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1</w:t>
      </w:r>
      <w:r>
        <w:rPr>
          <w:rFonts w:cs="Times New Roman" w:asciiTheme="minorEastAsia" w:hAnsiTheme="minorEastAsia" w:eastAsiaTheme="minorEastAsia"/>
          <w:color w:val="000000" w:themeColor="text1"/>
          <w:kern w:val="24"/>
          <w:sz w:val="22"/>
          <w:szCs w:val="22"/>
          <w14:textFill>
            <w14:solidFill>
              <w14:schemeClr w14:val="tx1"/>
            </w14:solidFill>
          </w14:textFill>
        </w:rPr>
        <w:t>）宣布开标纪律；</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2</w:t>
      </w:r>
      <w:r>
        <w:rPr>
          <w:rFonts w:cs="Times New Roman" w:asciiTheme="minorEastAsia" w:hAnsiTheme="minorEastAsia" w:eastAsiaTheme="minorEastAsia"/>
          <w:color w:val="000000" w:themeColor="text1"/>
          <w:kern w:val="24"/>
          <w:sz w:val="22"/>
          <w:szCs w:val="22"/>
          <w14:textFill>
            <w14:solidFill>
              <w14:schemeClr w14:val="tx1"/>
            </w14:solidFill>
          </w14:textFill>
        </w:rPr>
        <w:t>）公布在投标截止时间前递交投标文件的投标人名称，并确认投标人是否派人到场；</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3</w:t>
      </w:r>
      <w:r>
        <w:rPr>
          <w:rFonts w:cs="Times New Roman" w:asciiTheme="minorEastAsia" w:hAnsiTheme="minorEastAsia" w:eastAsiaTheme="minorEastAsia"/>
          <w:color w:val="000000" w:themeColor="text1"/>
          <w:kern w:val="24"/>
          <w:sz w:val="22"/>
          <w:szCs w:val="22"/>
          <w14:textFill>
            <w14:solidFill>
              <w14:schemeClr w14:val="tx1"/>
            </w14:solidFill>
          </w14:textFill>
        </w:rPr>
        <w:t>）检查投标文件的密封情况；</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4</w:t>
      </w:r>
      <w:r>
        <w:rPr>
          <w:rFonts w:cs="Times New Roman" w:asciiTheme="minorEastAsia" w:hAnsiTheme="minorEastAsia" w:eastAsiaTheme="minorEastAsia"/>
          <w:color w:val="000000" w:themeColor="text1"/>
          <w:kern w:val="24"/>
          <w:sz w:val="22"/>
          <w:szCs w:val="22"/>
          <w14:textFill>
            <w14:solidFill>
              <w14:schemeClr w14:val="tx1"/>
            </w14:solidFill>
          </w14:textFill>
        </w:rPr>
        <w:t>）开启投标文件，公布投标人名称、投标报价、工期、</w:t>
      </w:r>
      <w:r>
        <w:rPr>
          <w:rFonts w:hint="eastAsia" w:cs="Times New Roman" w:asciiTheme="minorEastAsia" w:hAnsiTheme="minorEastAsia" w:eastAsiaTheme="minorEastAsia"/>
          <w:color w:val="000000" w:themeColor="text1"/>
          <w:kern w:val="24"/>
          <w:sz w:val="22"/>
          <w:szCs w:val="22"/>
          <w14:textFill>
            <w14:solidFill>
              <w14:schemeClr w14:val="tx1"/>
            </w14:solidFill>
          </w14:textFill>
        </w:rPr>
        <w:t>项目总负责人</w:t>
      </w:r>
      <w:r>
        <w:rPr>
          <w:rFonts w:cs="Times New Roman" w:asciiTheme="minorEastAsia" w:hAnsiTheme="minorEastAsia" w:eastAsiaTheme="minorEastAsia"/>
          <w:color w:val="000000" w:themeColor="text1"/>
          <w:kern w:val="24"/>
          <w:sz w:val="22"/>
          <w:szCs w:val="22"/>
          <w14:textFill>
            <w14:solidFill>
              <w14:schemeClr w14:val="tx1"/>
            </w14:solidFill>
          </w14:textFill>
        </w:rPr>
        <w:t>及其他内容，并记录在案；</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5</w:t>
      </w:r>
      <w:r>
        <w:rPr>
          <w:rFonts w:cs="Times New Roman" w:asciiTheme="minorEastAsia" w:hAnsiTheme="minorEastAsia" w:eastAsiaTheme="minorEastAsia"/>
          <w:color w:val="000000" w:themeColor="text1"/>
          <w:kern w:val="24"/>
          <w:sz w:val="22"/>
          <w:szCs w:val="22"/>
          <w14:textFill>
            <w14:solidFill>
              <w14:schemeClr w14:val="tx1"/>
            </w14:solidFill>
          </w14:textFill>
        </w:rPr>
        <w:t>）投标人、招标人代表、监标人、招标代理项目负责人、记录人等有关人员在开标记录上签字确认；</w:t>
      </w:r>
    </w:p>
    <w:p>
      <w:pPr>
        <w:pStyle w:val="18"/>
        <w:spacing w:line="360" w:lineRule="auto"/>
        <w:ind w:firstLine="440"/>
        <w:contextualSpacing/>
        <w:jc w:val="both"/>
        <w:rPr>
          <w:rFonts w:cs="Times New Roman" w:asciiTheme="minorEastAsia" w:hAnsiTheme="minorEastAsia" w:eastAsiaTheme="minorEastAsia"/>
          <w:color w:val="000000" w:themeColor="text1"/>
          <w:kern w:val="24"/>
          <w:sz w:val="22"/>
          <w:szCs w:val="22"/>
          <w14:textFill>
            <w14:solidFill>
              <w14:schemeClr w14:val="tx1"/>
            </w14:solidFill>
          </w14:textFill>
        </w:rPr>
      </w:pPr>
      <w:r>
        <w:rPr>
          <w:rFonts w:cs="Times New Roman" w:asciiTheme="minorEastAsia" w:hAnsiTheme="minorEastAsia" w:eastAsiaTheme="minorEastAsia"/>
          <w:color w:val="000000" w:themeColor="text1"/>
          <w:kern w:val="24"/>
          <w:sz w:val="22"/>
          <w:szCs w:val="22"/>
          <w14:textFill>
            <w14:solidFill>
              <w14:schemeClr w14:val="tx1"/>
            </w14:solidFill>
          </w14:textFill>
        </w:rPr>
        <w:t>（</w:t>
      </w:r>
      <w:r>
        <w:rPr>
          <w:rFonts w:asciiTheme="minorEastAsia" w:hAnsiTheme="minorEastAsia" w:eastAsiaTheme="minorEastAsia"/>
          <w:color w:val="000000" w:themeColor="text1"/>
          <w:kern w:val="24"/>
          <w:sz w:val="22"/>
          <w:szCs w:val="22"/>
          <w14:textFill>
            <w14:solidFill>
              <w14:schemeClr w14:val="tx1"/>
            </w14:solidFill>
          </w14:textFill>
        </w:rPr>
        <w:t>6</w:t>
      </w:r>
      <w:r>
        <w:rPr>
          <w:rFonts w:cs="Times New Roman" w:asciiTheme="minorEastAsia" w:hAnsiTheme="minorEastAsia" w:eastAsiaTheme="minorEastAsia"/>
          <w:color w:val="000000" w:themeColor="text1"/>
          <w:kern w:val="24"/>
          <w:sz w:val="22"/>
          <w:szCs w:val="22"/>
          <w14:textFill>
            <w14:solidFill>
              <w14:schemeClr w14:val="tx1"/>
            </w14:solidFill>
          </w14:textFill>
        </w:rPr>
        <w:t>）开标结束。</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25</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投标文件有下列情形之一的，招标人不予接受：</w:t>
      </w:r>
    </w:p>
    <w:p>
      <w:pPr>
        <w:numPr>
          <w:ilvl w:val="0"/>
          <w:numId w:val="4"/>
        </w:numPr>
        <w:spacing w:line="360" w:lineRule="auto"/>
        <w:ind w:left="0"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逾期送达的或者未送达指定地点的；</w:t>
      </w:r>
    </w:p>
    <w:p>
      <w:pPr>
        <w:numPr>
          <w:ilvl w:val="0"/>
          <w:numId w:val="4"/>
        </w:numPr>
        <w:spacing w:line="360" w:lineRule="auto"/>
        <w:ind w:left="0"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未按招标文件要求密封的；</w:t>
      </w:r>
    </w:p>
    <w:p>
      <w:pPr>
        <w:numPr>
          <w:ilvl w:val="0"/>
          <w:numId w:val="4"/>
        </w:numPr>
        <w:spacing w:line="360" w:lineRule="auto"/>
        <w:ind w:left="0" w:firstLine="495" w:firstLineChars="22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未按第</w:t>
      </w:r>
      <w:r>
        <w:rPr>
          <w:rFonts w:cs="Times New Roman" w:asciiTheme="minorEastAsia" w:hAnsiTheme="minorEastAsia" w:eastAsiaTheme="minorEastAsia"/>
          <w:color w:val="000000" w:themeColor="text1"/>
          <w:sz w:val="22"/>
          <w:szCs w:val="22"/>
          <w14:textFill>
            <w14:solidFill>
              <w14:schemeClr w14:val="tx1"/>
            </w14:solidFill>
          </w14:textFill>
        </w:rPr>
        <w:t>24.2</w:t>
      </w:r>
      <w:r>
        <w:rPr>
          <w:rFonts w:hint="eastAsia" w:cs="宋体" w:asciiTheme="minorEastAsia" w:hAnsiTheme="minorEastAsia" w:eastAsiaTheme="minorEastAsia"/>
          <w:color w:val="000000" w:themeColor="text1"/>
          <w:sz w:val="22"/>
          <w:szCs w:val="22"/>
          <w14:textFill>
            <w14:solidFill>
              <w14:schemeClr w14:val="tx1"/>
            </w14:solidFill>
          </w14:textFill>
        </w:rPr>
        <w:t>条递交开标资料的。</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六</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评</w:t>
      </w:r>
      <w:r>
        <w:rPr>
          <w:rFonts w:cs="Times New Roman" w:asciiTheme="minorEastAsia" w:hAnsiTheme="minorEastAsia" w:eastAsiaTheme="minorEastAsia"/>
          <w:b/>
          <w:bCs/>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b/>
          <w:bCs/>
          <w:color w:val="000000" w:themeColor="text1"/>
          <w:sz w:val="22"/>
          <w:szCs w:val="22"/>
          <w14:textFill>
            <w14:solidFill>
              <w14:schemeClr w14:val="tx1"/>
            </w14:solidFill>
          </w14:textFill>
        </w:rPr>
        <w:t>标</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26</w:t>
      </w:r>
      <w:r>
        <w:rPr>
          <w:rFonts w:hint="eastAsia" w:cs="宋体" w:asciiTheme="minorEastAsia" w:hAnsiTheme="minorEastAsia" w:eastAsiaTheme="minorEastAsia"/>
          <w:b/>
          <w:bCs/>
          <w:color w:val="000000" w:themeColor="text1"/>
          <w:sz w:val="22"/>
          <w:szCs w:val="22"/>
          <w14:textFill>
            <w14:solidFill>
              <w14:schemeClr w14:val="tx1"/>
            </w14:solidFill>
          </w14:textFill>
        </w:rPr>
        <w:t>、评标会议</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开标会议结束后，召开评标会议，评标会议采用保密方式进行。评标由评标委员会负责。</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评标委员会由招标人依据有关法律规定组织。</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27</w:t>
      </w:r>
      <w:r>
        <w:rPr>
          <w:rFonts w:hint="eastAsia" w:cs="宋体" w:asciiTheme="minorEastAsia" w:hAnsiTheme="minorEastAsia" w:eastAsiaTheme="minorEastAsia"/>
          <w:b/>
          <w:bCs/>
          <w:color w:val="000000" w:themeColor="text1"/>
          <w:sz w:val="22"/>
          <w:szCs w:val="22"/>
          <w14:textFill>
            <w14:solidFill>
              <w14:schemeClr w14:val="tx1"/>
            </w14:solidFill>
          </w14:textFill>
        </w:rPr>
        <w:t>、评标过程的保密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公开开标后，直到授予中标人合同为止，凡属于对投标文件的审查、澄清、评价和比较的有关资料以及中标候选人的推荐情况、与评标有关的其他任何情况均应严格保密；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在投标文件的评审和比较、中标侯选人推荐以及授予合同的过程中，投标人如试图向招标人和评标委员会施加影响的任何行为，都将会导致其投标被拒绝。</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27</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合同授予后，招标人不对未中标人就评标过程情况以及未能中标原因作任何解释。未中标人不得向评委或其他有关人员处获取评标过程的情况和材料。</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28</w:t>
      </w:r>
      <w:r>
        <w:rPr>
          <w:rFonts w:hint="eastAsia" w:cs="宋体" w:asciiTheme="minorEastAsia" w:hAnsiTheme="minorEastAsia" w:eastAsiaTheme="minorEastAsia"/>
          <w:b/>
          <w:bCs/>
          <w:color w:val="000000" w:themeColor="text1"/>
          <w:sz w:val="22"/>
          <w:szCs w:val="22"/>
          <w14:textFill>
            <w14:solidFill>
              <w14:schemeClr w14:val="tx1"/>
            </w14:solidFill>
          </w14:textFill>
        </w:rPr>
        <w:t>、资格后审</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28</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本工程采用资格后审，评标委员会应按照资格后审评标办法审查其是否有能力和条件有效地履行合同义务。</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29</w:t>
      </w:r>
      <w:r>
        <w:rPr>
          <w:rFonts w:hint="eastAsia" w:cs="宋体" w:asciiTheme="minorEastAsia" w:hAnsiTheme="minorEastAsia" w:eastAsiaTheme="minorEastAsia"/>
          <w:b/>
          <w:bCs/>
          <w:color w:val="000000" w:themeColor="text1"/>
          <w:sz w:val="22"/>
          <w:szCs w:val="22"/>
          <w14:textFill>
            <w14:solidFill>
              <w14:schemeClr w14:val="tx1"/>
            </w14:solidFill>
          </w14:textFill>
        </w:rPr>
        <w:t>、投标文件的澄清</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29</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为了有助于投标文件的审查、评价和比较，评标委员会可以用书面形式要求投标人对投标文件含义不明确的内容作必要的澄清或者说明。有关澄清说明与答复、投标人应以书面形式进行，但对投标报价和实质性的内容不得更改。根据本须知第</w:t>
      </w:r>
      <w:r>
        <w:rPr>
          <w:rFonts w:cs="Times New Roman" w:asciiTheme="minorEastAsia" w:hAnsiTheme="minorEastAsia" w:eastAsiaTheme="minorEastAsia"/>
          <w:color w:val="000000" w:themeColor="text1"/>
          <w:sz w:val="22"/>
          <w:szCs w:val="22"/>
          <w14:textFill>
            <w14:solidFill>
              <w14:schemeClr w14:val="tx1"/>
            </w14:solidFill>
          </w14:textFill>
        </w:rPr>
        <w:t>31</w:t>
      </w:r>
      <w:r>
        <w:rPr>
          <w:rFonts w:hint="eastAsia" w:cs="宋体" w:asciiTheme="minorEastAsia" w:hAnsiTheme="minorEastAsia" w:eastAsiaTheme="minorEastAsia"/>
          <w:color w:val="000000" w:themeColor="text1"/>
          <w:sz w:val="22"/>
          <w:szCs w:val="22"/>
          <w14:textFill>
            <w14:solidFill>
              <w14:schemeClr w14:val="tx1"/>
            </w14:solidFill>
          </w14:textFill>
        </w:rPr>
        <w:t>条，凡属于评标委员会在评标中发现的算术错误进行核实的修改不在此列。</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30</w:t>
      </w:r>
      <w:r>
        <w:rPr>
          <w:rFonts w:hint="eastAsia" w:cs="宋体" w:asciiTheme="minorEastAsia" w:hAnsiTheme="minorEastAsia" w:eastAsiaTheme="minorEastAsia"/>
          <w:b/>
          <w:bCs/>
          <w:color w:val="000000" w:themeColor="text1"/>
          <w:sz w:val="22"/>
          <w:szCs w:val="22"/>
          <w14:textFill>
            <w14:solidFill>
              <w14:schemeClr w14:val="tx1"/>
            </w14:solidFill>
          </w14:textFill>
        </w:rPr>
        <w:t>、投标文件的符合性鉴定</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开标后，投标文件经审查符合本须知规定的投标文件由评标委员会进行评审；</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评标时，评标委员会将首先评定每份投标文件是否在实质上响应了招标文件的要求，所谓实质上响应是指投标文件应与招标文件的所有实质性条款、条件和规定相符，无显著差异或保留，或者对合同中约定的招标人的权利和投标人的义务方面造成重大的限制，纠正这些显著差异或保留将会对其他实质上响应招标文件要求的投标文件的投标人的竞争地位产生不公正的影响。投标文件实质上不响应招标文件要求的标准以评标办法中列举的废标条件为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30</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如果投标文件实质上不响应招标文件各项要求，评标委员会将予以拒绝，并且不允许投标人通过修改或撤消其不符合要求的差异或保留，使之成为具有响应性的投标。</w:t>
      </w:r>
    </w:p>
    <w:p>
      <w:pPr>
        <w:tabs>
          <w:tab w:val="left" w:pos="0"/>
        </w:tabs>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31</w:t>
      </w:r>
      <w:r>
        <w:rPr>
          <w:rFonts w:hint="eastAsia" w:cs="宋体" w:asciiTheme="minorEastAsia" w:hAnsiTheme="minorEastAsia" w:eastAsiaTheme="minorEastAsia"/>
          <w:b/>
          <w:bCs/>
          <w:color w:val="000000" w:themeColor="text1"/>
          <w:sz w:val="22"/>
          <w:szCs w:val="22"/>
          <w14:textFill>
            <w14:solidFill>
              <w14:schemeClr w14:val="tx1"/>
            </w14:solidFill>
          </w14:textFill>
        </w:rPr>
        <w:t>、错误的修正</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评标委员会将对确定为实质上响应招标文件要求的投标文件进行校核，看其是否有计算上、累计上或表达上的错误，修正错误的原则如下</w:t>
      </w:r>
      <w:r>
        <w:rPr>
          <w:rFonts w:cs="Times New Roman" w:asciiTheme="minorEastAsia" w:hAnsiTheme="minorEastAsia" w:eastAsiaTheme="minorEastAsia"/>
          <w:color w:val="000000" w:themeColor="text1"/>
          <w:sz w:val="22"/>
          <w:szCs w:val="22"/>
          <w14:textFill>
            <w14:solidFill>
              <w14:schemeClr w14:val="tx1"/>
            </w14:solidFill>
          </w14:textFill>
        </w:rPr>
        <w:t>:</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如果数字表示的金额和用文字表示的金额不一致时，应以文字表示的金额为准；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当单价与数量的乘积与合价不一致时，以单价为准，除非评标委员会认为单价有明显的小数点错误，此时应以标出的合价为准，并修改单价。</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合价累计金额与小计</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合计</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金额不一致的，以合价金额为准，并修改小计</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合计</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金额及总报价。</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当评标委员会按照上述原则修正错误</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发现其错误达到或超过原总报价</w:t>
      </w:r>
      <w:r>
        <w:rPr>
          <w:rFonts w:cs="Times New Roman" w:asciiTheme="minorEastAsia" w:hAnsiTheme="minorEastAsia" w:eastAsiaTheme="minorEastAsia"/>
          <w:color w:val="000000" w:themeColor="text1"/>
          <w:sz w:val="22"/>
          <w:szCs w:val="22"/>
          <w14:textFill>
            <w14:solidFill>
              <w14:schemeClr w14:val="tx1"/>
            </w14:solidFill>
          </w14:textFill>
        </w:rPr>
        <w:t>0.5%</w:t>
      </w:r>
      <w:r>
        <w:rPr>
          <w:rFonts w:hint="eastAsia" w:cs="宋体" w:asciiTheme="minorEastAsia" w:hAnsiTheme="minorEastAsia" w:eastAsiaTheme="minorEastAsia"/>
          <w:color w:val="000000" w:themeColor="text1"/>
          <w:sz w:val="22"/>
          <w:szCs w:val="22"/>
          <w14:textFill>
            <w14:solidFill>
              <w14:schemeClr w14:val="tx1"/>
            </w14:solidFill>
          </w14:textFill>
        </w:rPr>
        <w:t>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将认定其投标文件质量较差</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其错误不予修正</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作废标处理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31</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按上述修正错误的原则及方法调整或修正投标文件的投标报价，投标人同意后，调整后的投标报价对投标人起约束作用。如果投标人不接受修正后的报价，则其投标将被拒绝并且其投标保证金或投标保函也将被没收，并不影响评标工作。</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32</w:t>
      </w:r>
      <w:r>
        <w:rPr>
          <w:rFonts w:hint="eastAsia" w:cs="宋体" w:asciiTheme="minorEastAsia" w:hAnsiTheme="minorEastAsia" w:eastAsiaTheme="minorEastAsia"/>
          <w:b/>
          <w:bCs/>
          <w:color w:val="000000" w:themeColor="text1"/>
          <w:sz w:val="22"/>
          <w:szCs w:val="22"/>
          <w14:textFill>
            <w14:solidFill>
              <w14:schemeClr w14:val="tx1"/>
            </w14:solidFill>
          </w14:textFill>
        </w:rPr>
        <w:t>、投标文件的评估和比较</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评标委员会将按照本须知第</w:t>
      </w:r>
      <w:r>
        <w:rPr>
          <w:rFonts w:cs="Times New Roman" w:asciiTheme="minorEastAsia" w:hAnsiTheme="minorEastAsia" w:eastAsiaTheme="minorEastAsia"/>
          <w:color w:val="000000" w:themeColor="text1"/>
          <w:sz w:val="22"/>
          <w:szCs w:val="22"/>
          <w14:textFill>
            <w14:solidFill>
              <w14:schemeClr w14:val="tx1"/>
            </w14:solidFill>
          </w14:textFill>
        </w:rPr>
        <w:t>30</w:t>
      </w:r>
      <w:r>
        <w:rPr>
          <w:rFonts w:hint="eastAsia" w:cs="宋体" w:asciiTheme="minorEastAsia" w:hAnsiTheme="minorEastAsia" w:eastAsiaTheme="minorEastAsia"/>
          <w:color w:val="000000" w:themeColor="text1"/>
          <w:sz w:val="22"/>
          <w:szCs w:val="22"/>
          <w14:textFill>
            <w14:solidFill>
              <w14:schemeClr w14:val="tx1"/>
            </w14:solidFill>
          </w14:textFill>
        </w:rPr>
        <w:t>条规定仅对确实为实质上响应招标文件要求的投标文件进行评估和比较；</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在评审过程中，评标委员会可能要求投标人就投标文件中的内容进行答辩，招标人将以书面形式通知投标人，投标人应按要求进行答辩；</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评标委员会依据前附表第</w:t>
      </w:r>
      <w:r>
        <w:rPr>
          <w:rFonts w:cs="Times New Roman" w:asciiTheme="minorEastAsia" w:hAnsiTheme="minorEastAsia" w:eastAsiaTheme="minorEastAsia"/>
          <w:color w:val="000000" w:themeColor="text1"/>
          <w:sz w:val="22"/>
          <w:szCs w:val="22"/>
          <w14:textFill>
            <w14:solidFill>
              <w14:schemeClr w14:val="tx1"/>
            </w14:solidFill>
          </w14:textFill>
        </w:rPr>
        <w:t>20</w:t>
      </w:r>
      <w:r>
        <w:rPr>
          <w:rFonts w:hint="eastAsia" w:cs="宋体" w:asciiTheme="minorEastAsia" w:hAnsiTheme="minorEastAsia" w:eastAsiaTheme="minorEastAsia"/>
          <w:color w:val="000000" w:themeColor="text1"/>
          <w:sz w:val="22"/>
          <w:szCs w:val="22"/>
          <w14:textFill>
            <w14:solidFill>
              <w14:schemeClr w14:val="tx1"/>
            </w14:solidFill>
          </w14:textFill>
        </w:rPr>
        <w:t>项规定的评标标准和方法进行评审和比较，向招标人提交评标报告并推荐中标候选人或受招标人委托确定中标人。</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评标方法和标准</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本项目采用综合评估法</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即是最大限度地满足招标文件中规定的各项综合评价标准的投标。衡量这一标准需要在招标文件中明确对资信标、技术标及商务标的具体评分办法（评价指标与对应分值），由评标委员会逐项评判打分，按照综合得分的高低顺序，推荐</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名中标候选人。推荐得分最高者为第一中标候选人。</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依法必须招标的项目，经评标委员会评审后有效投标人不足</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名时，评标委员会应判定本次投标是否具有竞争力。若评标委员会认为本次投标明显缺乏竞争的，可以否决全部投标，如有竞争力的可继续评标。</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中标人的确定</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中标候选人经公示后</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公示期为</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个工作日</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办理决标备案手续前，招标人有权对拟中标人的以下情况进行核实：</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招标人在中标公示之后，可以对拟中标人投标文件的人员、业绩、资格条件、财务状况等情况进行核实，也可以书面咨询拟中标企业所在地建设行政主管部门，发现投标过程中有串通投标、弄虚作假或其他违法的行为</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将视为不符合中标条件，招标人有权取消其中标资格。招标人经行政监督管理部门备案后重新招标。</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Times New Roman" w:asciiTheme="minorEastAsia" w:hAnsiTheme="minorEastAsia" w:eastAsiaTheme="minorEastAsia"/>
          <w:color w:val="000000" w:themeColor="text1"/>
          <w:sz w:val="22"/>
          <w:szCs w:val="22"/>
          <w14:textFill>
            <w14:solidFill>
              <w14:schemeClr w14:val="tx1"/>
            </w14:solidFill>
          </w14:textFill>
        </w:rPr>
        <w:t>且中标公示结束后，所有拟派施工负责人均不得更换。</w:t>
      </w:r>
    </w:p>
    <w:p>
      <w:pPr>
        <w:pStyle w:val="140"/>
        <w:adjustRightInd/>
        <w:spacing w:line="360" w:lineRule="auto"/>
        <w:ind w:firstLine="330" w:firstLineChars="15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32.6</w:t>
      </w:r>
      <w:r>
        <w:rPr>
          <w:rFonts w:hint="eastAsia" w:cs="宋体" w:asciiTheme="minorEastAsia" w:hAnsiTheme="minorEastAsia" w:eastAsiaTheme="minorEastAsia"/>
          <w:color w:val="000000" w:themeColor="text1"/>
          <w:sz w:val="22"/>
          <w:szCs w:val="22"/>
          <w14:textFill>
            <w14:solidFill>
              <w14:schemeClr w14:val="tx1"/>
            </w14:solidFill>
          </w14:textFill>
        </w:rPr>
        <w:t>、重新招标</w:t>
      </w:r>
    </w:p>
    <w:p>
      <w:pPr>
        <w:pStyle w:val="144"/>
        <w:adjustRightInd/>
        <w:spacing w:line="360" w:lineRule="auto"/>
        <w:ind w:firstLine="20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有下列情形之一的，招标人将重新招标：</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）投标截止时间止，投标人少于</w:t>
      </w:r>
      <w:r>
        <w:rPr>
          <w:rFonts w:cs="Times New Roman" w:asciiTheme="minorEastAsia" w:hAnsiTheme="minorEastAsia" w:eastAsiaTheme="minorEastAsia"/>
          <w:color w:val="000000" w:themeColor="text1"/>
          <w:sz w:val="22"/>
          <w:szCs w:val="22"/>
          <w14:textFill>
            <w14:solidFill>
              <w14:schemeClr w14:val="tx1"/>
            </w14:solidFill>
          </w14:textFill>
        </w:rPr>
        <w:t xml:space="preserve">3 </w:t>
      </w:r>
      <w:r>
        <w:rPr>
          <w:rFonts w:hint="eastAsia" w:cs="宋体" w:asciiTheme="minorEastAsia" w:hAnsiTheme="minorEastAsia" w:eastAsiaTheme="minorEastAsia"/>
          <w:color w:val="000000" w:themeColor="text1"/>
          <w:sz w:val="22"/>
          <w:szCs w:val="22"/>
          <w14:textFill>
            <w14:solidFill>
              <w14:schemeClr w14:val="tx1"/>
            </w14:solidFill>
          </w14:textFill>
        </w:rPr>
        <w:t>个的；</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）经评标委员会评审后否决所有投标的；</w:t>
      </w:r>
    </w:p>
    <w:p>
      <w:pPr>
        <w:pStyle w:val="26"/>
        <w:tabs>
          <w:tab w:val="left" w:pos="36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）所有中标候选人放弃中标权或被取消中标资格的，招标人应当重新依法组织招标。</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七</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合同的授予</w:t>
      </w:r>
    </w:p>
    <w:p>
      <w:pPr>
        <w:pStyle w:val="26"/>
        <w:spacing w:line="360" w:lineRule="auto"/>
        <w:ind w:firstLine="210" w:firstLineChars="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 xml:space="preserve"> 33</w:t>
      </w:r>
      <w:r>
        <w:rPr>
          <w:rFonts w:hint="eastAsia" w:cs="宋体" w:asciiTheme="minorEastAsia" w:hAnsiTheme="minorEastAsia" w:eastAsiaTheme="minorEastAsia"/>
          <w:b/>
          <w:bCs/>
          <w:color w:val="000000" w:themeColor="text1"/>
          <w:sz w:val="22"/>
          <w:szCs w:val="22"/>
          <w14:textFill>
            <w14:solidFill>
              <w14:schemeClr w14:val="tx1"/>
            </w14:solidFill>
          </w14:textFill>
        </w:rPr>
        <w:t>、合同授予标准</w:t>
      </w:r>
    </w:p>
    <w:p>
      <w:pPr>
        <w:pStyle w:val="26"/>
        <w:spacing w:line="360" w:lineRule="auto"/>
        <w:ind w:firstLine="209" w:firstLineChars="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33</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1招标人和中标人应当自中标通知书发出之日起</w:t>
      </w:r>
      <w:r>
        <w:rPr>
          <w:rFonts w:cs="楷体_GB2312" w:asciiTheme="minorEastAsia" w:hAnsiTheme="minorEastAsia" w:eastAsiaTheme="minorEastAsia"/>
          <w:color w:val="000000" w:themeColor="text1"/>
          <w:sz w:val="22"/>
          <w:szCs w:val="22"/>
          <w14:textFill>
            <w14:solidFill>
              <w14:schemeClr w14:val="tx1"/>
            </w14:solidFill>
          </w14:textFill>
        </w:rPr>
        <w:t xml:space="preserve">30 </w:t>
      </w:r>
      <w:r>
        <w:rPr>
          <w:rFonts w:cs="Times New Roman" w:asciiTheme="minorEastAsia" w:hAnsiTheme="minorEastAsia" w:eastAsiaTheme="minorEastAsia"/>
          <w:color w:val="000000" w:themeColor="text1"/>
          <w:sz w:val="22"/>
          <w:szCs w:val="22"/>
          <w14:textFill>
            <w14:solidFill>
              <w14:schemeClr w14:val="tx1"/>
            </w14:solidFill>
          </w14:textFill>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pPr>
        <w:pStyle w:val="106"/>
        <w:adjustRightInd/>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33.2</w:t>
      </w:r>
      <w:r>
        <w:rPr>
          <w:rFonts w:cs="Times New Roman" w:asciiTheme="minorEastAsia" w:hAnsiTheme="minorEastAsia" w:eastAsiaTheme="minorEastAsia"/>
          <w:color w:val="000000" w:themeColor="text1"/>
          <w:sz w:val="22"/>
          <w:szCs w:val="22"/>
          <w14:textFill>
            <w14:solidFill>
              <w14:schemeClr w14:val="tx1"/>
            </w14:solidFill>
          </w14:textFill>
        </w:rPr>
        <w:t>发出中标通知书后，招标人无正当理由拒签合同的，招标人向中标人退还投标保证金；给中标人造成损失的，还应当赔偿损失。</w:t>
      </w:r>
    </w:p>
    <w:p>
      <w:pPr>
        <w:pStyle w:val="26"/>
        <w:spacing w:line="360" w:lineRule="auto"/>
        <w:ind w:firstLine="318" w:firstLineChars="144"/>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34.</w:t>
      </w:r>
      <w:r>
        <w:rPr>
          <w:rFonts w:hint="eastAsia" w:cs="宋体" w:asciiTheme="minorEastAsia" w:hAnsiTheme="minorEastAsia" w:eastAsiaTheme="minorEastAsia"/>
          <w:b/>
          <w:bCs/>
          <w:color w:val="000000" w:themeColor="text1"/>
          <w:sz w:val="22"/>
          <w:szCs w:val="22"/>
          <w14:textFill>
            <w14:solidFill>
              <w14:schemeClr w14:val="tx1"/>
            </w14:solidFill>
          </w14:textFill>
        </w:rPr>
        <w:t>纪律和监督</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34.1</w:t>
      </w:r>
      <w:r>
        <w:rPr>
          <w:rFonts w:cs="Times New Roman" w:asciiTheme="minorEastAsia" w:hAnsiTheme="minorEastAsia" w:eastAsiaTheme="minorEastAsia"/>
          <w:color w:val="000000" w:themeColor="text1"/>
          <w:sz w:val="22"/>
          <w:szCs w:val="22"/>
          <w14:textFill>
            <w14:solidFill>
              <w14:schemeClr w14:val="tx1"/>
            </w14:solidFill>
          </w14:textFill>
        </w:rPr>
        <w:t>对招标人的纪律要求</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招标人不得泄漏招标投标活动中应当保密的情况和资料，不得与投标人串通损害国家利益、社会公共利益或者他人合法权益。</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34.2 </w:t>
      </w:r>
      <w:r>
        <w:rPr>
          <w:rFonts w:cs="Times New Roman" w:asciiTheme="minorEastAsia" w:hAnsiTheme="minorEastAsia" w:eastAsiaTheme="minorEastAsia"/>
          <w:color w:val="000000" w:themeColor="text1"/>
          <w:sz w:val="22"/>
          <w:szCs w:val="22"/>
          <w14:textFill>
            <w14:solidFill>
              <w14:schemeClr w14:val="tx1"/>
            </w14:solidFill>
          </w14:textFill>
        </w:rPr>
        <w:t>对投标人的纪律要求</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34.3 </w:t>
      </w:r>
      <w:r>
        <w:rPr>
          <w:rFonts w:cs="Times New Roman" w:asciiTheme="minorEastAsia" w:hAnsiTheme="minorEastAsia" w:eastAsiaTheme="minorEastAsia"/>
          <w:color w:val="000000" w:themeColor="text1"/>
          <w:sz w:val="22"/>
          <w:szCs w:val="22"/>
          <w14:textFill>
            <w14:solidFill>
              <w14:schemeClr w14:val="tx1"/>
            </w14:solidFill>
          </w14:textFill>
        </w:rPr>
        <w:t>对评标委员会成员的纪律要求</w:t>
      </w:r>
    </w:p>
    <w:p>
      <w:pPr>
        <w:pStyle w:val="26"/>
        <w:spacing w:line="360" w:lineRule="auto"/>
        <w:ind w:firstLine="420" w:firstLineChars="191"/>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34.4 </w:t>
      </w:r>
      <w:r>
        <w:rPr>
          <w:rFonts w:cs="Times New Roman" w:asciiTheme="minorEastAsia" w:hAnsiTheme="minorEastAsia" w:eastAsiaTheme="minorEastAsia"/>
          <w:color w:val="000000" w:themeColor="text1"/>
          <w:sz w:val="22"/>
          <w:szCs w:val="22"/>
          <w14:textFill>
            <w14:solidFill>
              <w14:schemeClr w14:val="tx1"/>
            </w14:solidFill>
          </w14:textFill>
        </w:rPr>
        <w:t>对与评标活动有关的工作人员的纪律要求</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34.5 </w:t>
      </w:r>
      <w:r>
        <w:rPr>
          <w:rFonts w:cs="Times New Roman" w:asciiTheme="minorEastAsia" w:hAnsiTheme="minorEastAsia" w:eastAsiaTheme="minorEastAsia"/>
          <w:color w:val="000000" w:themeColor="text1"/>
          <w:sz w:val="22"/>
          <w:szCs w:val="22"/>
          <w14:textFill>
            <w14:solidFill>
              <w14:schemeClr w14:val="tx1"/>
            </w14:solidFill>
          </w14:textFill>
        </w:rPr>
        <w:t>投诉</w:t>
      </w:r>
    </w:p>
    <w:p>
      <w:pPr>
        <w:pStyle w:val="26"/>
        <w:spacing w:line="360" w:lineRule="auto"/>
        <w:ind w:firstLine="424" w:firstLineChars="193"/>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pPr>
        <w:pStyle w:val="140"/>
        <w:adjustRightInd/>
        <w:spacing w:line="360" w:lineRule="auto"/>
        <w:ind w:firstLine="440" w:firstLineChars="20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34.6. </w:t>
      </w:r>
      <w:r>
        <w:rPr>
          <w:rFonts w:cs="Times New Roman" w:asciiTheme="minorEastAsia" w:hAnsiTheme="minorEastAsia" w:eastAsiaTheme="minorEastAsia"/>
          <w:color w:val="000000" w:themeColor="text1"/>
          <w:sz w:val="22"/>
          <w:szCs w:val="22"/>
          <w14:textFill>
            <w14:solidFill>
              <w14:schemeClr w14:val="tx1"/>
            </w14:solidFill>
          </w14:textFill>
        </w:rPr>
        <w:t>需要补充的其他内容</w:t>
      </w:r>
    </w:p>
    <w:p>
      <w:pPr>
        <w:pStyle w:val="144"/>
        <w:adjustRightInd/>
        <w:spacing w:line="360" w:lineRule="auto"/>
        <w:ind w:firstLine="20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需要补充的其他内容：见投标人须知前附表。</w:t>
      </w:r>
    </w:p>
    <w:p>
      <w:pPr>
        <w:pStyle w:val="26"/>
        <w:spacing w:line="360" w:lineRule="auto"/>
        <w:ind w:firstLineChars="0"/>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35</w:t>
      </w:r>
      <w:r>
        <w:rPr>
          <w:rFonts w:hint="eastAsia" w:cs="宋体" w:asciiTheme="minorEastAsia" w:hAnsiTheme="minorEastAsia" w:eastAsiaTheme="minorEastAsia"/>
          <w:b/>
          <w:bCs/>
          <w:color w:val="000000" w:themeColor="text1"/>
          <w:sz w:val="22"/>
          <w:szCs w:val="22"/>
          <w14:textFill>
            <w14:solidFill>
              <w14:schemeClr w14:val="tx1"/>
            </w14:solidFill>
          </w14:textFill>
        </w:rPr>
        <w:t>、中标通知书</w:t>
      </w:r>
    </w:p>
    <w:p>
      <w:pPr>
        <w:pStyle w:val="26"/>
        <w:spacing w:line="360" w:lineRule="auto"/>
        <w:ind w:firstLine="110" w:firstLineChars="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   35</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在投标有效期内，招标人将向中标人发出中标通知书；</w:t>
      </w:r>
    </w:p>
    <w:p>
      <w:pPr>
        <w:pStyle w:val="26"/>
        <w:spacing w:line="360" w:lineRule="auto"/>
        <w:ind w:firstLine="318" w:firstLineChars="144"/>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36</w:t>
      </w:r>
      <w:r>
        <w:rPr>
          <w:rFonts w:hint="eastAsia" w:cs="宋体" w:asciiTheme="minorEastAsia" w:hAnsiTheme="minorEastAsia" w:eastAsiaTheme="minorEastAsia"/>
          <w:b/>
          <w:bCs/>
          <w:color w:val="000000" w:themeColor="text1"/>
          <w:sz w:val="22"/>
          <w:szCs w:val="22"/>
          <w14:textFill>
            <w14:solidFill>
              <w14:schemeClr w14:val="tx1"/>
            </w14:solidFill>
          </w14:textFill>
        </w:rPr>
        <w:t>、合同协议书的签订</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招标人与中标人将于中标通知书发出之日起</w:t>
      </w:r>
      <w:r>
        <w:rPr>
          <w:rFonts w:cs="Times New Roman" w:asciiTheme="minorEastAsia" w:hAnsiTheme="minorEastAsia" w:eastAsiaTheme="minorEastAsia"/>
          <w:color w:val="000000" w:themeColor="text1"/>
          <w:sz w:val="22"/>
          <w:szCs w:val="22"/>
          <w14:textFill>
            <w14:solidFill>
              <w14:schemeClr w14:val="tx1"/>
            </w14:solidFill>
          </w14:textFill>
        </w:rPr>
        <w:t>30</w:t>
      </w:r>
      <w:r>
        <w:rPr>
          <w:rFonts w:hint="eastAsia" w:cs="宋体" w:asciiTheme="minorEastAsia" w:hAnsiTheme="minorEastAsia" w:eastAsiaTheme="minorEastAsia"/>
          <w:color w:val="000000" w:themeColor="text1"/>
          <w:sz w:val="22"/>
          <w:szCs w:val="22"/>
          <w14:textFill>
            <w14:solidFill>
              <w14:schemeClr w14:val="tx1"/>
            </w14:solidFill>
          </w14:textFill>
        </w:rPr>
        <w:t>日内，按照招标文件和中标人的投标文件签订建设工程总承包合同；</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联合体投标中标的，联合体各方应当共同与招标人签订合同，联合体牵头人负责联合体内部所有协调和管理工作，并代表联合体各方与业主发生业务往来关系（包括并不限于检验、文件及资金等所有日常业务往来关系）。招标人对联合体各方都有管理权限，由于联合体各方不服从管理的，招标人可以直接采用任何处理方案来推进工作进度，包括经济处罚、确定设备品牌、更换项目人员及采购必须要的设备设施，本条款必须完全响应并作为合同签订时的一部分。</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联合体各方对中标的项目承担连带责任。联合体中任何一方违反合同，招标人都有权要求任何一方承担全部的责任，联合体协议的约定不能免除任何一方其应付的连带责任。</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中标人如不按本投标须知第</w:t>
      </w:r>
      <w:r>
        <w:rPr>
          <w:rFonts w:cs="Times New Roman" w:asciiTheme="minorEastAsia" w:hAnsiTheme="minorEastAsia" w:eastAsiaTheme="minorEastAsia"/>
          <w:color w:val="000000" w:themeColor="text1"/>
          <w:sz w:val="22"/>
          <w:szCs w:val="22"/>
          <w14:textFill>
            <w14:solidFill>
              <w14:schemeClr w14:val="tx1"/>
            </w14:solidFill>
          </w14:textFill>
        </w:rPr>
        <w:t>36.1</w:t>
      </w:r>
      <w:r>
        <w:rPr>
          <w:rFonts w:hint="eastAsia" w:cs="宋体" w:asciiTheme="minorEastAsia" w:hAnsiTheme="minorEastAsia" w:eastAsiaTheme="minorEastAsia"/>
          <w:color w:val="000000" w:themeColor="text1"/>
          <w:sz w:val="22"/>
          <w:szCs w:val="22"/>
          <w14:textFill>
            <w14:solidFill>
              <w14:schemeClr w14:val="tx1"/>
            </w14:solidFill>
          </w14:textFill>
        </w:rPr>
        <w:t>款的规定与招标人签订合同，则招标人将有充分的理由废除授标，并没收其投标保证金或投标保函，给招标人造成的损失超过投标保证金数额的，还应当对超过部分予以赔偿，同时依法承担相应法律责任；</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中标人应当按照合同约定履行义务，不得将中标项目转让</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转包</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给他人。</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36. 4</w:t>
      </w:r>
      <w:r>
        <w:rPr>
          <w:rFonts w:hint="eastAsia" w:cs="宋体" w:asciiTheme="minorEastAsia" w:hAnsiTheme="minorEastAsia" w:eastAsiaTheme="minorEastAsia"/>
          <w:color w:val="000000" w:themeColor="text1"/>
          <w:sz w:val="22"/>
          <w:szCs w:val="22"/>
          <w14:textFill>
            <w14:solidFill>
              <w14:schemeClr w14:val="tx1"/>
            </w14:solidFill>
          </w14:textFill>
        </w:rPr>
        <w:t>依法必须招标的项目，发包单位和承包单位应当依法订立书面建设工程合同。建设工程合同的实质性条款应当与招标文件、中标人的投标文件内容一致。</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37</w:t>
      </w:r>
      <w:r>
        <w:rPr>
          <w:rFonts w:hint="eastAsia" w:cs="宋体" w:asciiTheme="minorEastAsia" w:hAnsiTheme="minorEastAsia" w:eastAsiaTheme="minorEastAsia"/>
          <w:b/>
          <w:bCs/>
          <w:color w:val="000000" w:themeColor="text1"/>
          <w:sz w:val="22"/>
          <w:szCs w:val="22"/>
          <w14:textFill>
            <w14:solidFill>
              <w14:schemeClr w14:val="tx1"/>
            </w14:solidFill>
          </w14:textFill>
        </w:rPr>
        <w:t>、履约担保</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37.1</w:t>
      </w:r>
      <w:r>
        <w:rPr>
          <w:rFonts w:hint="eastAsia" w:cs="宋体" w:asciiTheme="minorEastAsia" w:hAnsiTheme="minorEastAsia" w:eastAsiaTheme="minorEastAsia"/>
          <w:color w:val="000000" w:themeColor="text1"/>
          <w:sz w:val="22"/>
          <w:szCs w:val="22"/>
          <w14:textFill>
            <w14:solidFill>
              <w14:schemeClr w14:val="tx1"/>
            </w14:solidFill>
          </w14:textFill>
        </w:rPr>
        <w:t>在签订合同前，中标人应按投标须知前附表第</w:t>
      </w:r>
      <w:r>
        <w:rPr>
          <w:rFonts w:cs="Times New Roman" w:asciiTheme="minorEastAsia" w:hAnsiTheme="minorEastAsia" w:eastAsiaTheme="minorEastAsia"/>
          <w:color w:val="000000" w:themeColor="text1"/>
          <w:sz w:val="22"/>
          <w:szCs w:val="22"/>
          <w14:textFill>
            <w14:solidFill>
              <w14:schemeClr w14:val="tx1"/>
            </w14:solidFill>
          </w14:textFill>
        </w:rPr>
        <w:t>22</w:t>
      </w:r>
      <w:r>
        <w:rPr>
          <w:rFonts w:hint="eastAsia" w:cs="宋体" w:asciiTheme="minorEastAsia" w:hAnsiTheme="minorEastAsia" w:eastAsiaTheme="minorEastAsia"/>
          <w:color w:val="000000" w:themeColor="text1"/>
          <w:sz w:val="22"/>
          <w:szCs w:val="22"/>
          <w14:textFill>
            <w14:solidFill>
              <w14:schemeClr w14:val="tx1"/>
            </w14:solidFill>
          </w14:textFill>
        </w:rPr>
        <w:t>规定的金额、担保形式和招标文件</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合同条款及格式</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规定的履约担保格式向招标人提交履约担保。联合体中标的，其履约担保由牵头人递交。</w:t>
      </w:r>
    </w:p>
    <w:p>
      <w:pPr>
        <w:pStyle w:val="26"/>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37.2</w:t>
      </w:r>
      <w:r>
        <w:rPr>
          <w:rFonts w:hint="eastAsia" w:cs="宋体" w:asciiTheme="minorEastAsia" w:hAnsiTheme="minorEastAsia" w:eastAsiaTheme="minorEastAsia"/>
          <w:color w:val="000000" w:themeColor="text1"/>
          <w:sz w:val="22"/>
          <w:szCs w:val="22"/>
          <w14:textFill>
            <w14:solidFill>
              <w14:schemeClr w14:val="tx1"/>
            </w14:solidFill>
          </w14:textFill>
        </w:rPr>
        <w:t>中标人不能按投标须知第</w:t>
      </w:r>
      <w:r>
        <w:rPr>
          <w:rFonts w:cs="Times New Roman" w:asciiTheme="minorEastAsia" w:hAnsiTheme="minorEastAsia" w:eastAsiaTheme="minorEastAsia"/>
          <w:color w:val="000000" w:themeColor="text1"/>
          <w:sz w:val="22"/>
          <w:szCs w:val="22"/>
          <w14:textFill>
            <w14:solidFill>
              <w14:schemeClr w14:val="tx1"/>
            </w14:solidFill>
          </w14:textFill>
        </w:rPr>
        <w:t>37.1</w:t>
      </w:r>
      <w:r>
        <w:rPr>
          <w:rFonts w:hint="eastAsia" w:cs="宋体" w:asciiTheme="minorEastAsia" w:hAnsiTheme="minorEastAsia" w:eastAsiaTheme="minorEastAsia"/>
          <w:color w:val="000000" w:themeColor="text1"/>
          <w:sz w:val="22"/>
          <w:szCs w:val="22"/>
          <w14:textFill>
            <w14:solidFill>
              <w14:schemeClr w14:val="tx1"/>
            </w14:solidFill>
          </w14:textFill>
        </w:rPr>
        <w:t>规定的要求，提交履约担保的，视为放弃中标，其投标保证金不予退还，给招标人造成的损失超过投标保证金数额的，中标人还应当对超过部分予以赔偿。</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38</w:t>
      </w:r>
      <w:r>
        <w:rPr>
          <w:rFonts w:hint="eastAsia" w:cs="宋体" w:asciiTheme="minorEastAsia" w:hAnsiTheme="minorEastAsia" w:eastAsiaTheme="minorEastAsia"/>
          <w:b/>
          <w:bCs/>
          <w:color w:val="000000" w:themeColor="text1"/>
          <w:sz w:val="22"/>
          <w:szCs w:val="22"/>
          <w14:textFill>
            <w14:solidFill>
              <w14:schemeClr w14:val="tx1"/>
            </w14:solidFill>
          </w14:textFill>
        </w:rPr>
        <w:t>、本招标文件未尽事宜按现行招标投标的有关法律法规和规定执行。</w:t>
      </w:r>
    </w:p>
    <w:p>
      <w:pPr>
        <w:pStyle w:val="26"/>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八</w:t>
      </w:r>
      <w:r>
        <w:rPr>
          <w:rFonts w:cs="Times New Roman" w:asciiTheme="minorEastAsia" w:hAnsiTheme="minorEastAsia" w:eastAsiaTheme="minorEastAsia"/>
          <w:b/>
          <w:bCs/>
          <w:color w:val="000000" w:themeColor="text1"/>
          <w:sz w:val="22"/>
          <w:szCs w:val="22"/>
          <w14:textFill>
            <w14:solidFill>
              <w14:schemeClr w14:val="tx1"/>
            </w14:solidFill>
          </w14:textFill>
        </w:rPr>
        <w:t>)</w:t>
      </w:r>
      <w:r>
        <w:rPr>
          <w:rFonts w:hint="eastAsia" w:cs="宋体" w:asciiTheme="minorEastAsia" w:hAnsiTheme="minorEastAsia" w:eastAsiaTheme="minorEastAsia"/>
          <w:b/>
          <w:bCs/>
          <w:color w:val="000000" w:themeColor="text1"/>
          <w:sz w:val="22"/>
          <w:szCs w:val="22"/>
          <w14:textFill>
            <w14:solidFill>
              <w14:schemeClr w14:val="tx1"/>
            </w14:solidFill>
          </w14:textFill>
        </w:rPr>
        <w:t>纪律和监督</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39.1</w:t>
      </w:r>
      <w:r>
        <w:rPr>
          <w:rFonts w:hint="eastAsia" w:cs="宋体" w:asciiTheme="minorEastAsia" w:hAnsiTheme="minorEastAsia" w:eastAsiaTheme="minorEastAsia"/>
          <w:b/>
          <w:bCs/>
          <w:color w:val="000000" w:themeColor="text1"/>
          <w:sz w:val="22"/>
          <w:szCs w:val="22"/>
          <w14:textFill>
            <w14:solidFill>
              <w14:schemeClr w14:val="tx1"/>
            </w14:solidFill>
          </w14:textFill>
        </w:rPr>
        <w:t>对招标人的纪律要求</w:t>
      </w:r>
    </w:p>
    <w:p>
      <w:pPr>
        <w:pStyle w:val="26"/>
        <w:spacing w:line="360" w:lineRule="auto"/>
        <w:ind w:firstLine="429" w:firstLineChars="1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招标人不得泄漏招标投标活动中应当保密的情况和资料，不得与投标人串通损害国家利益、社会公共利益或者他人合法权益。</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 xml:space="preserve">39.2 </w:t>
      </w:r>
      <w:r>
        <w:rPr>
          <w:rFonts w:hint="eastAsia" w:cs="宋体" w:asciiTheme="minorEastAsia" w:hAnsiTheme="minorEastAsia" w:eastAsiaTheme="minorEastAsia"/>
          <w:b/>
          <w:bCs/>
          <w:color w:val="000000" w:themeColor="text1"/>
          <w:sz w:val="22"/>
          <w:szCs w:val="22"/>
          <w14:textFill>
            <w14:solidFill>
              <w14:schemeClr w14:val="tx1"/>
            </w14:solidFill>
          </w14:textFill>
        </w:rPr>
        <w:t>对投标人的纪律要求</w:t>
      </w:r>
    </w:p>
    <w:p>
      <w:pPr>
        <w:pStyle w:val="26"/>
        <w:spacing w:line="360" w:lineRule="auto"/>
        <w:ind w:firstLine="429" w:firstLineChars="1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 xml:space="preserve">39.3 </w:t>
      </w:r>
      <w:r>
        <w:rPr>
          <w:rFonts w:hint="eastAsia" w:cs="宋体" w:asciiTheme="minorEastAsia" w:hAnsiTheme="minorEastAsia" w:eastAsiaTheme="minorEastAsia"/>
          <w:b/>
          <w:bCs/>
          <w:color w:val="000000" w:themeColor="text1"/>
          <w:sz w:val="22"/>
          <w:szCs w:val="22"/>
          <w14:textFill>
            <w14:solidFill>
              <w14:schemeClr w14:val="tx1"/>
            </w14:solidFill>
          </w14:textFill>
        </w:rPr>
        <w:t>对评标委员会成员的纪律要求</w:t>
      </w:r>
    </w:p>
    <w:p>
      <w:pPr>
        <w:pStyle w:val="26"/>
        <w:spacing w:line="360" w:lineRule="auto"/>
        <w:ind w:firstLine="429" w:firstLineChars="1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评标办法</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没有规定的评审因素和标准进行评标。</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 xml:space="preserve">39.4 </w:t>
      </w:r>
      <w:r>
        <w:rPr>
          <w:rFonts w:hint="eastAsia" w:cs="宋体" w:asciiTheme="minorEastAsia" w:hAnsiTheme="minorEastAsia" w:eastAsiaTheme="minorEastAsia"/>
          <w:b/>
          <w:bCs/>
          <w:color w:val="000000" w:themeColor="text1"/>
          <w:sz w:val="22"/>
          <w:szCs w:val="22"/>
          <w14:textFill>
            <w14:solidFill>
              <w14:schemeClr w14:val="tx1"/>
            </w14:solidFill>
          </w14:textFill>
        </w:rPr>
        <w:t>对与评标活动有关的工作人员的纪律要求</w:t>
      </w:r>
    </w:p>
    <w:p>
      <w:pPr>
        <w:pStyle w:val="26"/>
        <w:spacing w:line="360" w:lineRule="auto"/>
        <w:ind w:firstLine="429" w:firstLineChars="1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26"/>
        <w:spacing w:line="360" w:lineRule="auto"/>
        <w:ind w:firstLine="431" w:firstLineChars="195"/>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b/>
          <w:bCs/>
          <w:color w:val="000000" w:themeColor="text1"/>
          <w:sz w:val="22"/>
          <w:szCs w:val="22"/>
          <w14:textFill>
            <w14:solidFill>
              <w14:schemeClr w14:val="tx1"/>
            </w14:solidFill>
          </w14:textFill>
        </w:rPr>
        <w:t xml:space="preserve">39.5 </w:t>
      </w:r>
      <w:r>
        <w:rPr>
          <w:rFonts w:hint="eastAsia" w:cs="宋体" w:asciiTheme="minorEastAsia" w:hAnsiTheme="minorEastAsia" w:eastAsiaTheme="minorEastAsia"/>
          <w:b/>
          <w:bCs/>
          <w:color w:val="000000" w:themeColor="text1"/>
          <w:sz w:val="22"/>
          <w:szCs w:val="22"/>
          <w14:textFill>
            <w14:solidFill>
              <w14:schemeClr w14:val="tx1"/>
            </w14:solidFill>
          </w14:textFill>
        </w:rPr>
        <w:t>投诉</w:t>
      </w:r>
    </w:p>
    <w:p>
      <w:pPr>
        <w:pStyle w:val="26"/>
        <w:spacing w:line="360" w:lineRule="auto"/>
        <w:ind w:firstLine="429" w:firstLineChars="195"/>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pPr>
        <w:ind w:firstLine="723"/>
        <w:jc w:val="center"/>
        <w:rPr>
          <w:rFonts w:hAnsi="Cambria" w:cs="Times New Roman"/>
          <w:b/>
          <w:bCs/>
          <w:color w:val="000000" w:themeColor="text1"/>
          <w:sz w:val="36"/>
          <w:szCs w:val="36"/>
          <w14:textFill>
            <w14:solidFill>
              <w14:schemeClr w14:val="tx1"/>
            </w14:solidFill>
          </w14:textFill>
        </w:rPr>
      </w:pPr>
      <w:r>
        <w:rPr>
          <w:rFonts w:hAnsi="Cambria" w:cs="Times New Roman"/>
          <w:b/>
          <w:bCs/>
          <w:color w:val="000000" w:themeColor="text1"/>
          <w:sz w:val="36"/>
          <w:szCs w:val="36"/>
          <w14:textFill>
            <w14:solidFill>
              <w14:schemeClr w14:val="tx1"/>
            </w14:solidFill>
          </w14:textFill>
        </w:rPr>
        <w:br w:type="page"/>
      </w:r>
      <w:r>
        <w:rPr>
          <w:rFonts w:hint="eastAsia" w:ascii="宋体" w:hAnsi="宋体" w:eastAsia="宋体" w:cs="宋体"/>
          <w:b/>
          <w:bCs/>
          <w:color w:val="000000" w:themeColor="text1"/>
          <w:sz w:val="36"/>
          <w:szCs w:val="36"/>
          <w14:textFill>
            <w14:solidFill>
              <w14:schemeClr w14:val="tx1"/>
            </w14:solidFill>
          </w14:textFill>
        </w:rPr>
        <w:t>三、评标办法（综合评估法）</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一、评标依据及原则</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1.1</w:t>
      </w:r>
      <w:r>
        <w:rPr>
          <w:rFonts w:hint="eastAsia" w:cs="宋体" w:asciiTheme="minorEastAsia" w:hAnsiTheme="minorEastAsia" w:eastAsiaTheme="minorEastAsia"/>
          <w:color w:val="000000" w:themeColor="text1"/>
          <w:sz w:val="22"/>
          <w:szCs w:val="22"/>
          <w14:textFill>
            <w14:solidFill>
              <w14:schemeClr w14:val="tx1"/>
            </w14:solidFill>
          </w14:textFill>
        </w:rPr>
        <w:t>、《中华人民共和国招标投标法》；</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1.2</w:t>
      </w:r>
      <w:r>
        <w:rPr>
          <w:rFonts w:hint="eastAsia" w:cs="宋体" w:asciiTheme="minorEastAsia" w:hAnsiTheme="minorEastAsia" w:eastAsiaTheme="minorEastAsia"/>
          <w:color w:val="000000" w:themeColor="text1"/>
          <w:sz w:val="22"/>
          <w:szCs w:val="22"/>
          <w14:textFill>
            <w14:solidFill>
              <w14:schemeClr w14:val="tx1"/>
            </w14:solidFill>
          </w14:textFill>
        </w:rPr>
        <w:t>、《平阳县社会养老福利服务中心项目工程总承包招标文件》；</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1.3</w:t>
      </w:r>
      <w:r>
        <w:rPr>
          <w:rFonts w:hint="eastAsia" w:cs="宋体" w:asciiTheme="minorEastAsia" w:hAnsiTheme="minorEastAsia" w:eastAsiaTheme="minorEastAsia"/>
          <w:color w:val="000000" w:themeColor="text1"/>
          <w:sz w:val="22"/>
          <w:szCs w:val="22"/>
          <w14:textFill>
            <w14:solidFill>
              <w14:schemeClr w14:val="tx1"/>
            </w14:solidFill>
          </w14:textFill>
        </w:rPr>
        <w:t>、其他国家有关招投标法有关规定。</w:t>
      </w:r>
    </w:p>
    <w:p>
      <w:pPr>
        <w:pStyle w:val="106"/>
        <w:adjustRightInd/>
        <w:spacing w:line="360" w:lineRule="auto"/>
        <w:ind w:firstLine="550" w:firstLineChars="2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hint="eastAsia" w:cs="华文宋体" w:asciiTheme="minorEastAsia" w:hAnsiTheme="minorEastAsia" w:eastAsiaTheme="minorEastAsia"/>
          <w:color w:val="000000" w:themeColor="text1"/>
          <w:sz w:val="22"/>
          <w:szCs w:val="22"/>
          <w14:textFill>
            <w14:solidFill>
              <w14:schemeClr w14:val="tx1"/>
            </w14:solidFill>
          </w14:textFill>
        </w:rPr>
        <w:t>初步评审标准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投标文件有下列情形之一的，由评标委员会初审后按否决其投标处理，不进入后续评审。</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）未按招标公告规定网上报名的；</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）投标人未按招标文件的要求提交投标保证金的；</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二、投标文件的资格审查</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评标委员会依照招标文件的规定，对投标人的投标资格进行符合性审查。投标人存在以下情况之一的，资格审查不予通过按无效标处理，不再进行下一步评审：</w:t>
      </w:r>
    </w:p>
    <w:p>
      <w:pPr>
        <w:numPr>
          <w:ilvl w:val="0"/>
          <w:numId w:val="5"/>
        </w:num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投标人不满足招标文件载明的企业资质、项目总负责人及项目施工负责人或项目设计负责人资格，或未提供社保证明；</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（二）被有关行政监管部门通报限制投标且在限制期内的；</w:t>
      </w:r>
    </w:p>
    <w:p>
      <w:pPr>
        <w:spacing w:line="360" w:lineRule="auto"/>
        <w:ind w:firstLine="440"/>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（三）投标文件相应地方加盖单位公章（不得以投标专用章、分公司章等其他形式印章代替）及单位法定代表人或其投标文件签署的授权委托代理人签字或盖章。</w:t>
      </w:r>
      <w:r>
        <w:rPr>
          <w:rFonts w:hint="eastAsia" w:cs="宋体" w:asciiTheme="minorEastAsia" w:hAnsiTheme="minorEastAsia" w:eastAsiaTheme="minorEastAsia"/>
          <w:b/>
          <w:bCs/>
          <w:color w:val="000000" w:themeColor="text1"/>
          <w:sz w:val="22"/>
          <w:szCs w:val="22"/>
          <w14:textFill>
            <w14:solidFill>
              <w14:schemeClr w14:val="tx1"/>
            </w14:solidFill>
          </w14:textFill>
        </w:rPr>
        <w:t>如联合体投标的，除联合体协议书及联合体牵头人委托书应联合体各方均须盖章外，其余投标文件中只需要联合体牵头人签字或盖章即可。</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（四）未实质性响应招标文件要求或违反法律法规规定的；</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（五）不符合资格审查条件的其他情形。</w:t>
      </w:r>
    </w:p>
    <w:p>
      <w:pPr>
        <w:spacing w:line="360" w:lineRule="auto"/>
        <w:ind w:firstLine="440"/>
        <w:contextualSpacing/>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三、评标程序</w:t>
      </w:r>
    </w:p>
    <w:p>
      <w:pPr>
        <w:pStyle w:val="19"/>
        <w:spacing w:line="360" w:lineRule="auto"/>
        <w:ind w:firstLine="220"/>
        <w:rPr>
          <w:color w:val="000000" w:themeColor="text1"/>
          <w:sz w:val="22"/>
          <w:szCs w:val="22"/>
          <w14:textFill>
            <w14:solidFill>
              <w14:schemeClr w14:val="tx1"/>
            </w14:solidFill>
          </w14:textFill>
        </w:rPr>
      </w:pPr>
      <w:r>
        <w:rPr>
          <w:rFonts w:hint="eastAsia" w:hAnsi="Cambria"/>
          <w:color w:val="000000" w:themeColor="text1"/>
          <w:sz w:val="22"/>
          <w:szCs w:val="22"/>
          <w:highlight w:val="yellow"/>
          <w14:textFill>
            <w14:solidFill>
              <w14:schemeClr w14:val="tx1"/>
            </w14:solidFill>
          </w14:textFill>
        </w:rPr>
        <w:t>由评标委员会先对资格审查文件进行评审</w:t>
      </w:r>
      <w:r>
        <w:rPr>
          <w:rFonts w:hint="eastAsia" w:hAnsi="Cambria"/>
          <w:b/>
          <w:bCs/>
          <w:color w:val="000000" w:themeColor="text1"/>
          <w:sz w:val="22"/>
          <w:szCs w:val="22"/>
          <w:highlight w:val="yellow"/>
          <w14:textFill>
            <w14:solidFill>
              <w14:schemeClr w14:val="tx1"/>
            </w14:solidFill>
          </w14:textFill>
        </w:rPr>
        <w:t>（资格审查评审不通过的投标文件由评委作否决投标处理且不再进入下阶段资信标和技术标评分以及商务评审）</w:t>
      </w:r>
      <w:r>
        <w:rPr>
          <w:rFonts w:hint="eastAsia" w:hAnsi="Cambria"/>
          <w:color w:val="000000" w:themeColor="text1"/>
          <w:sz w:val="22"/>
          <w:szCs w:val="22"/>
          <w:highlight w:val="yellow"/>
          <w14:textFill>
            <w14:solidFill>
              <w14:schemeClr w14:val="tx1"/>
            </w14:solidFill>
          </w14:textFill>
        </w:rPr>
        <w:t>，然后就资信标评分内容进行评审，再对技术标进行评分，最后取资信标和技术标得分累加前七名（如有效投标人家数少于7名或等于7名的，则全部进入下一阶段的评审；如有效投标人家数少于3名的，则应重新招标。如出现投标人得分并列第7名，则由得分相同投标人进行抽签决定优先名次）的投标人进入商务标的开标与评审，没有进入上述规定前7名的投标人将不再开启商务报价文件且退还投标人；最后向招标人提交评标报告。</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四、评审方法、标准</w:t>
      </w:r>
    </w:p>
    <w:p>
      <w:pPr>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本次评标采用综合评估法。</w:t>
      </w:r>
    </w:p>
    <w:p>
      <w:pPr>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评标内容及分值：满分</w:t>
      </w:r>
      <w:r>
        <w:rPr>
          <w:rFonts w:cs="Times New Roman" w:asciiTheme="minorEastAsia" w:hAnsiTheme="minorEastAsia" w:eastAsiaTheme="minorEastAsia"/>
          <w:b/>
          <w:bCs/>
          <w:color w:val="000000" w:themeColor="text1"/>
          <w:sz w:val="22"/>
          <w:szCs w:val="22"/>
          <w14:textFill>
            <w14:solidFill>
              <w14:schemeClr w14:val="tx1"/>
            </w14:solidFill>
          </w14:textFill>
        </w:rPr>
        <w:t>100</w:t>
      </w:r>
      <w:r>
        <w:rPr>
          <w:rFonts w:hint="eastAsia" w:cs="宋体" w:asciiTheme="minorEastAsia" w:hAnsiTheme="minorEastAsia" w:eastAsiaTheme="minorEastAsia"/>
          <w:b/>
          <w:bCs/>
          <w:color w:val="000000" w:themeColor="text1"/>
          <w:sz w:val="22"/>
          <w:szCs w:val="22"/>
          <w14:textFill>
            <w14:solidFill>
              <w14:schemeClr w14:val="tx1"/>
            </w14:solidFill>
          </w14:textFill>
        </w:rPr>
        <w:t>分，其中，商务分</w:t>
      </w:r>
      <w:r>
        <w:rPr>
          <w:rFonts w:cs="Times New Roman" w:asciiTheme="minorEastAsia" w:hAnsiTheme="minorEastAsia" w:eastAsiaTheme="minorEastAsia"/>
          <w:b/>
          <w:bCs/>
          <w:color w:val="000000" w:themeColor="text1"/>
          <w:sz w:val="22"/>
          <w:szCs w:val="22"/>
          <w:u w:val="single"/>
          <w14:textFill>
            <w14:solidFill>
              <w14:schemeClr w14:val="tx1"/>
            </w14:solidFill>
          </w14:textFill>
        </w:rPr>
        <w:t>40</w:t>
      </w:r>
      <w:r>
        <w:rPr>
          <w:rFonts w:hint="eastAsia" w:cs="宋体" w:asciiTheme="minorEastAsia" w:hAnsiTheme="minorEastAsia" w:eastAsiaTheme="minorEastAsia"/>
          <w:b/>
          <w:bCs/>
          <w:color w:val="000000" w:themeColor="text1"/>
          <w:sz w:val="22"/>
          <w:szCs w:val="22"/>
          <w14:textFill>
            <w14:solidFill>
              <w14:schemeClr w14:val="tx1"/>
            </w14:solidFill>
          </w14:textFill>
        </w:rPr>
        <w:t>分、技术分</w:t>
      </w:r>
      <w:r>
        <w:rPr>
          <w:rFonts w:cs="Times New Roman" w:asciiTheme="minorEastAsia" w:hAnsiTheme="minorEastAsia" w:eastAsiaTheme="minorEastAsia"/>
          <w:b/>
          <w:bCs/>
          <w:color w:val="000000" w:themeColor="text1"/>
          <w:sz w:val="22"/>
          <w:szCs w:val="22"/>
          <w:u w:val="single"/>
          <w14:textFill>
            <w14:solidFill>
              <w14:schemeClr w14:val="tx1"/>
            </w14:solidFill>
          </w14:textFill>
        </w:rPr>
        <w:t>55</w:t>
      </w:r>
      <w:r>
        <w:rPr>
          <w:rFonts w:hint="eastAsia" w:cs="宋体" w:asciiTheme="minorEastAsia" w:hAnsiTheme="minorEastAsia" w:eastAsiaTheme="minorEastAsia"/>
          <w:b/>
          <w:bCs/>
          <w:color w:val="000000" w:themeColor="text1"/>
          <w:sz w:val="22"/>
          <w:szCs w:val="22"/>
          <w14:textFill>
            <w14:solidFill>
              <w14:schemeClr w14:val="tx1"/>
            </w14:solidFill>
          </w14:textFill>
        </w:rPr>
        <w:t>分、资信分</w:t>
      </w:r>
      <w:r>
        <w:rPr>
          <w:rFonts w:cs="Times New Roman" w:asciiTheme="minorEastAsia" w:hAnsiTheme="minorEastAsia" w:eastAsiaTheme="minorEastAsia"/>
          <w:b/>
          <w:bCs/>
          <w:color w:val="000000" w:themeColor="text1"/>
          <w:sz w:val="22"/>
          <w:szCs w:val="22"/>
          <w:u w:val="single"/>
          <w14:textFill>
            <w14:solidFill>
              <w14:schemeClr w14:val="tx1"/>
            </w14:solidFill>
          </w14:textFill>
        </w:rPr>
        <w:t>5</w:t>
      </w:r>
      <w:r>
        <w:rPr>
          <w:rFonts w:hint="eastAsia" w:cs="宋体" w:asciiTheme="minorEastAsia" w:hAnsiTheme="minorEastAsia" w:eastAsiaTheme="minorEastAsia"/>
          <w:b/>
          <w:bCs/>
          <w:color w:val="000000" w:themeColor="text1"/>
          <w:sz w:val="22"/>
          <w:szCs w:val="22"/>
          <w14:textFill>
            <w14:solidFill>
              <w14:schemeClr w14:val="tx1"/>
            </w14:solidFill>
          </w14:textFill>
        </w:rPr>
        <w:t>分。</w:t>
      </w:r>
    </w:p>
    <w:p>
      <w:pPr>
        <w:tabs>
          <w:tab w:val="left" w:pos="567"/>
        </w:tabs>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（二）评标细则：见附件</w:t>
      </w:r>
    </w:p>
    <w:p>
      <w:pPr>
        <w:tabs>
          <w:tab w:val="left" w:pos="426"/>
        </w:tabs>
        <w:spacing w:line="360" w:lineRule="auto"/>
        <w:ind w:firstLine="442"/>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（三）中标单位确定</w:t>
      </w:r>
    </w:p>
    <w:p>
      <w:pPr>
        <w:spacing w:line="360" w:lineRule="auto"/>
        <w:ind w:firstLine="440"/>
        <w:contextualSpacing/>
        <w:rPr>
          <w:rFonts w:cs="宋体" w:asciiTheme="minorEastAsia" w:hAnsiTheme="minorEastAsia" w:eastAsiaTheme="minorEastAsia"/>
          <w:color w:val="000000" w:themeColor="text1"/>
          <w:sz w:val="22"/>
          <w:szCs w:val="22"/>
          <w14:textFill>
            <w14:solidFill>
              <w14:schemeClr w14:val="tx1"/>
            </w14:solidFill>
          </w14:textFill>
        </w:rPr>
        <w:sectPr>
          <w:pgSz w:w="11906" w:h="16838"/>
          <w:pgMar w:top="1440" w:right="1800" w:bottom="1440" w:left="1417" w:header="851" w:footer="992" w:gutter="0"/>
          <w:cols w:space="0" w:num="1"/>
          <w:docGrid w:type="lines" w:linePitch="312" w:charSpace="0"/>
        </w:sectPr>
      </w:pPr>
      <w:r>
        <w:rPr>
          <w:rFonts w:hint="eastAsia" w:cs="宋体" w:asciiTheme="minorEastAsia" w:hAnsiTheme="minorEastAsia" w:eastAsiaTheme="minorEastAsia"/>
          <w:color w:val="000000" w:themeColor="text1"/>
          <w:sz w:val="22"/>
          <w:szCs w:val="22"/>
          <w14:textFill>
            <w14:solidFill>
              <w14:schemeClr w14:val="tx1"/>
            </w14:solidFill>
          </w14:textFill>
        </w:rPr>
        <w:t>评标委员会按照招标文件规定的评审因素和标准对投标人的投标文件进行评审，最终按综合得分（综合得分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资信得分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技术得分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商务得分）从高到低进行排名，取排名第一的为中标候选人（综合得分相同时以技术标得分高者优先；技术标得分也相同时，以商务报价低者优先；商务报价相同时，以则抽签决定名次）</w:t>
      </w:r>
    </w:p>
    <w:p>
      <w:pPr>
        <w:spacing w:line="360" w:lineRule="auto"/>
        <w:ind w:firstLine="198" w:firstLineChars="66"/>
        <w:rPr>
          <w:b/>
          <w:bCs/>
          <w:color w:val="000000" w:themeColor="text1"/>
          <w:sz w:val="30"/>
          <w:szCs w:val="30"/>
          <w14:textFill>
            <w14:solidFill>
              <w14:schemeClr w14:val="tx1"/>
            </w14:solidFill>
          </w14:textFill>
        </w:rPr>
      </w:pPr>
      <w:r>
        <w:rPr>
          <w:rFonts w:cs="Times New Roman"/>
          <w:b/>
          <w:bCs/>
          <w:color w:val="000000" w:themeColor="text1"/>
          <w:sz w:val="30"/>
          <w:szCs w:val="30"/>
          <w14:textFill>
            <w14:solidFill>
              <w14:schemeClr w14:val="tx1"/>
            </w14:solidFill>
          </w14:textFill>
        </w:rPr>
        <w:t>附件：</w:t>
      </w:r>
    </w:p>
    <w:p>
      <w:pPr>
        <w:spacing w:line="360" w:lineRule="auto"/>
        <w:ind w:right="512" w:rightChars="183" w:firstLine="420"/>
        <w:outlineLvl w:val="0"/>
        <w:rPr>
          <w:rFonts w:hAnsi="Cambria"/>
          <w:b/>
          <w:color w:val="000000" w:themeColor="text1"/>
          <w:sz w:val="21"/>
          <w:szCs w:val="21"/>
          <w14:textFill>
            <w14:solidFill>
              <w14:schemeClr w14:val="tx1"/>
            </w14:solidFill>
          </w14:textFill>
        </w:rPr>
      </w:pPr>
      <w:r>
        <w:rPr>
          <w:rFonts w:hint="eastAsia" w:hAnsi="Cambria"/>
          <w:color w:val="000000" w:themeColor="text1"/>
          <w:sz w:val="21"/>
          <w:szCs w:val="21"/>
          <w14:textFill>
            <w14:solidFill>
              <w14:schemeClr w14:val="tx1"/>
            </w14:solidFill>
          </w14:textFill>
        </w:rPr>
        <w:t>一、</w:t>
      </w:r>
      <w:r>
        <w:rPr>
          <w:rFonts w:hint="eastAsia" w:hAnsi="Cambria"/>
          <w:b/>
          <w:color w:val="000000" w:themeColor="text1"/>
          <w:sz w:val="21"/>
          <w:szCs w:val="21"/>
          <w14:textFill>
            <w14:solidFill>
              <w14:schemeClr w14:val="tx1"/>
            </w14:solidFill>
          </w14:textFill>
        </w:rPr>
        <w:t>资信分（</w:t>
      </w:r>
      <w:r>
        <w:rPr>
          <w:rFonts w:hAnsi="Cambria" w:eastAsia="宋体"/>
          <w:b/>
          <w:color w:val="000000" w:themeColor="text1"/>
          <w:sz w:val="21"/>
          <w:szCs w:val="21"/>
          <w14:textFill>
            <w14:solidFill>
              <w14:schemeClr w14:val="tx1"/>
            </w14:solidFill>
          </w14:textFill>
        </w:rPr>
        <w:t>5</w:t>
      </w:r>
      <w:r>
        <w:rPr>
          <w:rFonts w:hint="eastAsia" w:hAnsi="Cambria"/>
          <w:b/>
          <w:color w:val="000000" w:themeColor="text1"/>
          <w:sz w:val="21"/>
          <w:szCs w:val="21"/>
          <w14:textFill>
            <w14:solidFill>
              <w14:schemeClr w14:val="tx1"/>
            </w14:solidFill>
          </w14:textFill>
        </w:rPr>
        <w:t>分）</w:t>
      </w:r>
    </w:p>
    <w:p>
      <w:pPr>
        <w:spacing w:line="360" w:lineRule="auto"/>
        <w:ind w:right="512" w:rightChars="183" w:firstLine="422"/>
        <w:outlineLvl w:val="0"/>
        <w:rPr>
          <w:rFonts w:hAnsi="Cambria"/>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评标委员会对照综合评分细则和投标文件充分讨论后，按照少数服从多数的原则，集体对资信标进行统一评分。</w:t>
      </w:r>
      <w:r>
        <w:rPr>
          <w:rFonts w:hint="eastAsia" w:ascii="宋体" w:hAnsi="宋体" w:eastAsia="宋体" w:cs="宋体"/>
          <w:b/>
          <w:color w:val="000000" w:themeColor="text1"/>
          <w:sz w:val="21"/>
          <w:szCs w:val="21"/>
          <w:highlight w:val="yellow"/>
          <w14:textFill>
            <w14:solidFill>
              <w14:schemeClr w14:val="tx1"/>
            </w14:solidFill>
          </w14:textFill>
        </w:rPr>
        <w:t>（如资格审查不通过，则</w:t>
      </w:r>
      <w:r>
        <w:rPr>
          <w:rFonts w:hint="eastAsia" w:hAnsi="Cambria" w:eastAsia="宋体"/>
          <w:b/>
          <w:color w:val="000000" w:themeColor="text1"/>
          <w:sz w:val="21"/>
          <w:szCs w:val="21"/>
          <w:highlight w:val="yellow"/>
          <w14:textFill>
            <w14:solidFill>
              <w14:schemeClr w14:val="tx1"/>
            </w14:solidFill>
          </w14:textFill>
        </w:rPr>
        <w:t>不再</w:t>
      </w:r>
      <w:r>
        <w:rPr>
          <w:rFonts w:hint="eastAsia" w:ascii="宋体" w:hAnsi="宋体" w:eastAsia="宋体" w:cs="宋体"/>
          <w:b/>
          <w:color w:val="000000" w:themeColor="text1"/>
          <w:sz w:val="21"/>
          <w:szCs w:val="21"/>
          <w:highlight w:val="yellow"/>
          <w14:textFill>
            <w14:solidFill>
              <w14:schemeClr w14:val="tx1"/>
            </w14:solidFill>
          </w14:textFill>
        </w:rPr>
        <w:t>进入本阶段及下阶段技术标、商务标等评审）</w:t>
      </w:r>
    </w:p>
    <w:tbl>
      <w:tblPr>
        <w:tblStyle w:val="45"/>
        <w:tblW w:w="8954" w:type="dxa"/>
        <w:tblInd w:w="113" w:type="dxa"/>
        <w:tblLayout w:type="fixed"/>
        <w:tblCellMar>
          <w:top w:w="0" w:type="dxa"/>
          <w:left w:w="108" w:type="dxa"/>
          <w:bottom w:w="0" w:type="dxa"/>
          <w:right w:w="108" w:type="dxa"/>
        </w:tblCellMar>
      </w:tblPr>
      <w:tblGrid>
        <w:gridCol w:w="591"/>
        <w:gridCol w:w="1701"/>
        <w:gridCol w:w="5658"/>
        <w:gridCol w:w="1004"/>
      </w:tblGrid>
      <w:tr>
        <w:tblPrEx>
          <w:tblCellMar>
            <w:top w:w="0" w:type="dxa"/>
            <w:left w:w="108" w:type="dxa"/>
            <w:bottom w:w="0" w:type="dxa"/>
            <w:right w:w="108" w:type="dxa"/>
          </w:tblCellMar>
        </w:tblPrEx>
        <w:trPr>
          <w:trHeight w:val="674" w:hRule="atLeast"/>
        </w:trPr>
        <w:tc>
          <w:tcPr>
            <w:tcW w:w="591" w:type="dxa"/>
            <w:tcBorders>
              <w:top w:val="single" w:color="000000" w:sz="4" w:space="0"/>
              <w:left w:val="single" w:color="000000" w:sz="4" w:space="0"/>
              <w:bottom w:val="single" w:color="auto"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序号</w:t>
            </w:r>
          </w:p>
        </w:tc>
        <w:tc>
          <w:tcPr>
            <w:tcW w:w="1701" w:type="dxa"/>
            <w:tcBorders>
              <w:top w:val="single" w:color="000000" w:sz="4" w:space="0"/>
              <w:left w:val="nil"/>
              <w:bottom w:val="single" w:color="auto"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评分内容</w:t>
            </w:r>
          </w:p>
        </w:tc>
        <w:tc>
          <w:tcPr>
            <w:tcW w:w="5658" w:type="dxa"/>
            <w:tcBorders>
              <w:top w:val="single" w:color="000000" w:sz="4" w:space="0"/>
              <w:left w:val="nil"/>
              <w:bottom w:val="single" w:color="auto" w:sz="4" w:space="0"/>
              <w:right w:val="single" w:color="000000" w:sz="4" w:space="0"/>
            </w:tcBorders>
            <w:vAlign w:val="center"/>
          </w:tcPr>
          <w:p>
            <w:pPr>
              <w:autoSpaceDE w:val="0"/>
              <w:autoSpaceDN w:val="0"/>
              <w:adjustRightInd w:val="0"/>
              <w:spacing w:line="360" w:lineRule="auto"/>
              <w:ind w:firstLine="420"/>
              <w:jc w:val="left"/>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评分标准</w:t>
            </w:r>
          </w:p>
        </w:tc>
        <w:tc>
          <w:tcPr>
            <w:tcW w:w="100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分值</w:t>
            </w:r>
          </w:p>
        </w:tc>
      </w:tr>
      <w:tr>
        <w:tblPrEx>
          <w:tblCellMar>
            <w:top w:w="0" w:type="dxa"/>
            <w:left w:w="108" w:type="dxa"/>
            <w:bottom w:w="0" w:type="dxa"/>
            <w:right w:w="108" w:type="dxa"/>
          </w:tblCellMar>
        </w:tblPrEx>
        <w:trPr>
          <w:trHeight w:val="674" w:hRule="atLeast"/>
        </w:trPr>
        <w:tc>
          <w:tcPr>
            <w:tcW w:w="59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firstLine="210" w:firstLineChars="100"/>
              <w:rPr>
                <w:rFonts w:hAnsi="Cambria"/>
                <w:color w:val="000000" w:themeColor="text1"/>
                <w:kern w:val="0"/>
                <w:sz w:val="21"/>
                <w:szCs w:val="21"/>
                <w14:textFill>
                  <w14:solidFill>
                    <w14:schemeClr w14:val="tx1"/>
                  </w14:solidFill>
                </w14:textFill>
              </w:rPr>
            </w:pPr>
            <w:r>
              <w:rPr>
                <w:rFonts w:hAnsi="Cambria"/>
                <w:color w:val="000000" w:themeColor="text1"/>
                <w:kern w:val="0"/>
                <w:sz w:val="21"/>
                <w:szCs w:val="21"/>
                <w14:textFill>
                  <w14:solidFill>
                    <w14:schemeClr w14:val="tx1"/>
                  </w14:solidFill>
                </w14:textFill>
              </w:rPr>
              <w:t>1</w:t>
            </w:r>
          </w:p>
        </w:tc>
        <w:tc>
          <w:tcPr>
            <w:tcW w:w="1701" w:type="dxa"/>
            <w:tcBorders>
              <w:top w:val="single" w:color="000000" w:sz="4" w:space="0"/>
              <w:left w:val="nil"/>
              <w:bottom w:val="single" w:color="000000" w:sz="4" w:space="0"/>
              <w:right w:val="single" w:color="000000" w:sz="4" w:space="0"/>
            </w:tcBorders>
            <w:vAlign w:val="center"/>
          </w:tcPr>
          <w:p>
            <w:pPr>
              <w:snapToGrid w:val="0"/>
              <w:ind w:firstLine="0" w:firstLineChars="0"/>
              <w:jc w:val="center"/>
              <w:rPr>
                <w:rFonts w:hAnsi="Cambria" w:eastAsiaTheme="minorEastAsia"/>
                <w:color w:val="000000" w:themeColor="text1"/>
                <w:sz w:val="21"/>
                <w:szCs w:val="21"/>
                <w14:textFill>
                  <w14:solidFill>
                    <w14:schemeClr w14:val="tx1"/>
                  </w14:solidFill>
                </w14:textFill>
              </w:rPr>
            </w:pPr>
            <w:r>
              <w:rPr>
                <w:rFonts w:hint="eastAsia" w:hAnsi="Cambria"/>
                <w:color w:val="000000" w:themeColor="text1"/>
                <w:sz w:val="21"/>
                <w:szCs w:val="21"/>
                <w14:textFill>
                  <w14:solidFill>
                    <w14:schemeClr w14:val="tx1"/>
                  </w14:solidFill>
                </w14:textFill>
              </w:rPr>
              <w:t>投标人获奖情况</w:t>
            </w:r>
          </w:p>
        </w:tc>
        <w:tc>
          <w:tcPr>
            <w:tcW w:w="5658" w:type="dxa"/>
            <w:tcBorders>
              <w:top w:val="single" w:color="000000" w:sz="4" w:space="0"/>
              <w:left w:val="nil"/>
              <w:bottom w:val="single" w:color="000000" w:sz="4" w:space="0"/>
              <w:right w:val="single" w:color="000000" w:sz="4" w:space="0"/>
            </w:tcBorders>
            <w:vAlign w:val="center"/>
          </w:tcPr>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2015年1月1日起至今，投标人（如为联合体，则为牵头人）承担过的公共建筑工程项目获得过省级及以上创杯奖或省级及以上勘察设计行业组织颁发的优秀勘察设计奖等荣誉称号的，每个得1分，本项最高得1分。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注：需提供相关官方网站带文件号的获奖公示页面及附件打印件，或提供获奖证书或提供获奖文件，原件备查，</w:t>
            </w:r>
            <w:r>
              <w:rPr>
                <w:rFonts w:hint="eastAsia" w:hAnsi="Cambria" w:eastAsia="宋体" w:cs="Times New Roman"/>
                <w:color w:val="000000" w:themeColor="text1"/>
                <w:sz w:val="21"/>
                <w:szCs w:val="21"/>
                <w14:textFill>
                  <w14:solidFill>
                    <w14:schemeClr w14:val="tx1"/>
                  </w14:solidFill>
                </w14:textFill>
              </w:rPr>
              <w:t>时间以上述文件颁发时间为准，否则不予以计分。</w:t>
            </w:r>
          </w:p>
        </w:tc>
        <w:tc>
          <w:tcPr>
            <w:tcW w:w="100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0-1分</w:t>
            </w:r>
          </w:p>
        </w:tc>
      </w:tr>
      <w:tr>
        <w:tblPrEx>
          <w:tblCellMar>
            <w:top w:w="0" w:type="dxa"/>
            <w:left w:w="108" w:type="dxa"/>
            <w:bottom w:w="0" w:type="dxa"/>
            <w:right w:w="108" w:type="dxa"/>
          </w:tblCellMar>
        </w:tblPrEx>
        <w:trPr>
          <w:trHeight w:val="674" w:hRule="atLeast"/>
        </w:trPr>
        <w:tc>
          <w:tcPr>
            <w:tcW w:w="59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firstLine="210" w:firstLineChars="100"/>
              <w:rPr>
                <w:rFonts w:hAnsi="Cambria" w:eastAsiaTheme="minorEastAsia"/>
                <w:color w:val="000000" w:themeColor="text1"/>
                <w:kern w:val="0"/>
                <w:sz w:val="21"/>
                <w:szCs w:val="21"/>
                <w14:textFill>
                  <w14:solidFill>
                    <w14:schemeClr w14:val="tx1"/>
                  </w14:solidFill>
                </w14:textFill>
              </w:rPr>
            </w:pPr>
            <w:r>
              <w:rPr>
                <w:rFonts w:hAnsi="Cambria" w:eastAsiaTheme="minorEastAsia"/>
                <w:color w:val="000000" w:themeColor="text1"/>
                <w:kern w:val="0"/>
                <w:sz w:val="21"/>
                <w:szCs w:val="21"/>
                <w14:textFill>
                  <w14:solidFill>
                    <w14:schemeClr w14:val="tx1"/>
                  </w14:solidFill>
                </w14:textFill>
              </w:rPr>
              <w:t>2</w:t>
            </w:r>
          </w:p>
        </w:tc>
        <w:tc>
          <w:tcPr>
            <w:tcW w:w="1701" w:type="dxa"/>
            <w:tcBorders>
              <w:top w:val="single" w:color="000000" w:sz="4" w:space="0"/>
              <w:left w:val="nil"/>
              <w:bottom w:val="single" w:color="000000" w:sz="4" w:space="0"/>
              <w:right w:val="single" w:color="000000" w:sz="4" w:space="0"/>
            </w:tcBorders>
            <w:vAlign w:val="center"/>
          </w:tcPr>
          <w:p>
            <w:pPr>
              <w:snapToGrid w:val="0"/>
              <w:ind w:firstLine="0" w:firstLineChars="0"/>
              <w:jc w:val="center"/>
              <w:rPr>
                <w:rFonts w:hAnsi="Cambria" w:eastAsiaTheme="minorEastAsia"/>
                <w:color w:val="000000" w:themeColor="text1"/>
                <w:sz w:val="21"/>
                <w:szCs w:val="21"/>
                <w14:textFill>
                  <w14:solidFill>
                    <w14:schemeClr w14:val="tx1"/>
                  </w14:solidFill>
                </w14:textFill>
              </w:rPr>
            </w:pPr>
            <w:r>
              <w:rPr>
                <w:rFonts w:hint="eastAsia" w:hAnsi="Cambria"/>
                <w:color w:val="000000" w:themeColor="text1"/>
                <w:sz w:val="21"/>
                <w:szCs w:val="21"/>
                <w14:textFill>
                  <w14:solidFill>
                    <w14:schemeClr w14:val="tx1"/>
                  </w14:solidFill>
                </w14:textFill>
              </w:rPr>
              <w:t>投标人</w:t>
            </w:r>
            <w:r>
              <w:rPr>
                <w:rFonts w:hint="eastAsia" w:ascii="宋体" w:hAnsi="宋体" w:eastAsia="宋体" w:cs="宋体"/>
                <w:color w:val="000000" w:themeColor="text1"/>
                <w:sz w:val="21"/>
                <w:szCs w:val="21"/>
                <w14:textFill>
                  <w14:solidFill>
                    <w14:schemeClr w14:val="tx1"/>
                  </w14:solidFill>
                </w14:textFill>
              </w:rPr>
              <w:t>业绩</w:t>
            </w:r>
            <w:r>
              <w:rPr>
                <w:rFonts w:hint="eastAsia" w:hAnsi="Cambria"/>
                <w:color w:val="000000" w:themeColor="text1"/>
                <w:sz w:val="21"/>
                <w:szCs w:val="21"/>
                <w14:textFill>
                  <w14:solidFill>
                    <w14:schemeClr w14:val="tx1"/>
                  </w14:solidFill>
                </w14:textFill>
              </w:rPr>
              <w:t>情况</w:t>
            </w:r>
          </w:p>
        </w:tc>
        <w:tc>
          <w:tcPr>
            <w:tcW w:w="5658" w:type="dxa"/>
            <w:tcBorders>
              <w:top w:val="single" w:color="000000" w:sz="4" w:space="0"/>
              <w:left w:val="nil"/>
              <w:bottom w:val="single" w:color="000000" w:sz="4" w:space="0"/>
              <w:right w:val="single" w:color="000000" w:sz="4" w:space="0"/>
            </w:tcBorders>
            <w:vAlign w:val="center"/>
          </w:tcPr>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投标人（如为联合体，须为牵头人）2015年1月1日起至今已承接过单项合同总建筑面积在9500</w:t>
            </w:r>
            <w:r>
              <w:rPr>
                <w:rFonts w:hint="eastAsia" w:hAnsi="Cambria" w:eastAsia="宋体" w:cs="Times New Roman"/>
                <w:color w:val="000000" w:themeColor="text1"/>
                <w:sz w:val="21"/>
                <w:szCs w:val="21"/>
                <w14:textFill>
                  <w14:solidFill>
                    <w14:schemeClr w14:val="tx1"/>
                  </w14:solidFill>
                </w14:textFill>
              </w:rPr>
              <w:t>平方米及以上的公共建筑类（不含住宅、工业厂房）项目业绩且其实施模式为工程总承包或设计采购施工总承包或EPC总承包（判断标准为承包范围应</w:t>
            </w:r>
            <w:r>
              <w:rPr>
                <w:rFonts w:hint="eastAsia" w:hAnsi="Cambria" w:eastAsia="宋体" w:cs="Times New Roman"/>
                <w:color w:val="000000" w:themeColor="text1"/>
                <w:sz w:val="21"/>
                <w:szCs w:val="21"/>
                <w14:textFill>
                  <w14:solidFill>
                    <w14:schemeClr w14:val="tx1"/>
                  </w14:solidFill>
                </w14:textFill>
              </w:rPr>
              <w:t>至少包含工程的设计与施工）</w:t>
            </w:r>
            <w:r>
              <w:rPr>
                <w:rFonts w:hint="eastAsia" w:hAnsi="Cambria" w:eastAsia="宋体" w:cs="Times New Roman"/>
                <w:color w:val="000000" w:themeColor="text1"/>
                <w:sz w:val="21"/>
                <w:szCs w:val="21"/>
                <w14:textFill>
                  <w14:solidFill>
                    <w14:schemeClr w14:val="tx1"/>
                  </w14:solidFill>
                </w14:textFill>
              </w:rPr>
              <w:t>（以合同签订时间为准）的得1分，本项最高得1分。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注：需同时提供中标通知书或合同协议书。原件备查，否则不予以计分。</w:t>
            </w:r>
          </w:p>
        </w:tc>
        <w:tc>
          <w:tcPr>
            <w:tcW w:w="100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0-1分</w:t>
            </w:r>
          </w:p>
        </w:tc>
      </w:tr>
      <w:tr>
        <w:tblPrEx>
          <w:tblCellMar>
            <w:top w:w="0" w:type="dxa"/>
            <w:left w:w="108" w:type="dxa"/>
            <w:bottom w:w="0" w:type="dxa"/>
            <w:right w:w="108" w:type="dxa"/>
          </w:tblCellMar>
        </w:tblPrEx>
        <w:trPr>
          <w:trHeight w:val="674" w:hRule="atLeast"/>
        </w:trPr>
        <w:tc>
          <w:tcPr>
            <w:tcW w:w="591" w:type="dxa"/>
            <w:vMerge w:val="restart"/>
            <w:tcBorders>
              <w:top w:val="single" w:color="000000" w:sz="4" w:space="0"/>
              <w:left w:val="single" w:color="000000" w:sz="4" w:space="0"/>
              <w:right w:val="single" w:color="000000" w:sz="4" w:space="0"/>
            </w:tcBorders>
            <w:vAlign w:val="center"/>
          </w:tcPr>
          <w:p>
            <w:pPr>
              <w:autoSpaceDE w:val="0"/>
              <w:autoSpaceDN w:val="0"/>
              <w:adjustRightInd w:val="0"/>
              <w:spacing w:line="360" w:lineRule="auto"/>
              <w:ind w:firstLine="210" w:firstLineChars="100"/>
              <w:rPr>
                <w:rFonts w:hAnsi="Cambria" w:eastAsiaTheme="minorEastAsia"/>
                <w:color w:val="000000" w:themeColor="text1"/>
                <w:kern w:val="0"/>
                <w:sz w:val="21"/>
                <w:szCs w:val="21"/>
                <w14:textFill>
                  <w14:solidFill>
                    <w14:schemeClr w14:val="tx1"/>
                  </w14:solidFill>
                </w14:textFill>
              </w:rPr>
            </w:pPr>
            <w:r>
              <w:rPr>
                <w:rFonts w:hint="eastAsia" w:hAnsi="Cambria" w:eastAsiaTheme="minorEastAsia"/>
                <w:color w:val="000000" w:themeColor="text1"/>
                <w:kern w:val="0"/>
                <w:sz w:val="21"/>
                <w:szCs w:val="21"/>
                <w14:textFill>
                  <w14:solidFill>
                    <w14:schemeClr w14:val="tx1"/>
                  </w14:solidFill>
                </w14:textFill>
              </w:rPr>
              <w:t>3</w:t>
            </w:r>
          </w:p>
        </w:tc>
        <w:tc>
          <w:tcPr>
            <w:tcW w:w="1701" w:type="dxa"/>
            <w:vMerge w:val="restart"/>
            <w:tcBorders>
              <w:top w:val="single" w:color="000000" w:sz="4" w:space="0"/>
              <w:left w:val="nil"/>
              <w:right w:val="single" w:color="000000" w:sz="4" w:space="0"/>
            </w:tcBorders>
            <w:vAlign w:val="center"/>
          </w:tcPr>
          <w:p>
            <w:pPr>
              <w:snapToGrid w:val="0"/>
              <w:ind w:firstLine="0" w:firstLineChars="0"/>
              <w:rPr>
                <w:rFonts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拟派本项目管理团队人员情况</w:t>
            </w:r>
          </w:p>
        </w:tc>
        <w:tc>
          <w:tcPr>
            <w:tcW w:w="5658" w:type="dxa"/>
            <w:tcBorders>
              <w:top w:val="single" w:color="000000" w:sz="4" w:space="0"/>
              <w:left w:val="nil"/>
              <w:bottom w:val="single" w:color="000000" w:sz="4" w:space="0"/>
              <w:right w:val="single" w:color="000000" w:sz="4" w:space="0"/>
            </w:tcBorders>
            <w:vAlign w:val="center"/>
          </w:tcPr>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拟派本项目管理团队人员中具有一级注册建筑师的每个得0.5分，最多得1分。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提供执业资格证书和在投标人缴纳社保的证明材料。</w:t>
            </w:r>
          </w:p>
        </w:tc>
        <w:tc>
          <w:tcPr>
            <w:tcW w:w="100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0-1分</w:t>
            </w:r>
          </w:p>
        </w:tc>
      </w:tr>
      <w:tr>
        <w:tblPrEx>
          <w:tblCellMar>
            <w:top w:w="0" w:type="dxa"/>
            <w:left w:w="108" w:type="dxa"/>
            <w:bottom w:w="0" w:type="dxa"/>
            <w:right w:w="108" w:type="dxa"/>
          </w:tblCellMar>
        </w:tblPrEx>
        <w:trPr>
          <w:trHeight w:val="674" w:hRule="atLeast"/>
        </w:trPr>
        <w:tc>
          <w:tcPr>
            <w:tcW w:w="591" w:type="dxa"/>
            <w:vMerge w:val="continue"/>
            <w:tcBorders>
              <w:left w:val="single" w:color="000000" w:sz="4" w:space="0"/>
              <w:bottom w:val="single" w:color="auto" w:sz="4" w:space="0"/>
              <w:right w:val="single" w:color="000000" w:sz="4" w:space="0"/>
            </w:tcBorders>
            <w:vAlign w:val="center"/>
          </w:tcPr>
          <w:p>
            <w:pPr>
              <w:autoSpaceDE w:val="0"/>
              <w:autoSpaceDN w:val="0"/>
              <w:adjustRightInd w:val="0"/>
              <w:spacing w:line="360" w:lineRule="auto"/>
              <w:ind w:firstLine="210" w:firstLineChars="100"/>
              <w:rPr>
                <w:rFonts w:hAnsi="Cambria" w:eastAsiaTheme="minorEastAsia"/>
                <w:color w:val="000000" w:themeColor="text1"/>
                <w:kern w:val="0"/>
                <w:sz w:val="21"/>
                <w:szCs w:val="21"/>
                <w14:textFill>
                  <w14:solidFill>
                    <w14:schemeClr w14:val="tx1"/>
                  </w14:solidFill>
                </w14:textFill>
              </w:rPr>
            </w:pPr>
          </w:p>
        </w:tc>
        <w:tc>
          <w:tcPr>
            <w:tcW w:w="1701" w:type="dxa"/>
            <w:vMerge w:val="continue"/>
            <w:tcBorders>
              <w:left w:val="nil"/>
              <w:bottom w:val="single" w:color="auto" w:sz="4" w:space="0"/>
              <w:right w:val="single" w:color="000000" w:sz="4" w:space="0"/>
            </w:tcBorders>
            <w:vAlign w:val="center"/>
          </w:tcPr>
          <w:p>
            <w:pPr>
              <w:snapToGrid w:val="0"/>
              <w:ind w:firstLine="0" w:firstLineChars="0"/>
              <w:rPr>
                <w:rFonts w:hAnsi="Cambria" w:eastAsia="宋体" w:cs="Times New Roman"/>
                <w:color w:val="000000" w:themeColor="text1"/>
                <w:sz w:val="21"/>
                <w:szCs w:val="21"/>
                <w14:textFill>
                  <w14:solidFill>
                    <w14:schemeClr w14:val="tx1"/>
                  </w14:solidFill>
                </w14:textFill>
              </w:rPr>
            </w:pPr>
          </w:p>
        </w:tc>
        <w:tc>
          <w:tcPr>
            <w:tcW w:w="5658" w:type="dxa"/>
            <w:tcBorders>
              <w:top w:val="single" w:color="000000" w:sz="4" w:space="0"/>
              <w:left w:val="nil"/>
              <w:bottom w:val="single" w:color="auto" w:sz="4" w:space="0"/>
              <w:right w:val="single" w:color="000000" w:sz="4" w:space="0"/>
            </w:tcBorders>
            <w:vAlign w:val="center"/>
          </w:tcPr>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拟派本项目管理团队人员中另按以下配备相应赋分：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具备园林类高级技术职称的得0.5分；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具备注册电气工程师的得0.5分；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具备注册公用设备工程师（给排水）的得0.5分；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具备注册公用设备工程师（暖通工程）的得0.5分；</w:t>
            </w:r>
          </w:p>
          <w:p>
            <w:pPr>
              <w:snapToGrid w:val="0"/>
              <w:ind w:firstLine="0" w:firstLineChars="0"/>
              <w:rPr>
                <w:rFonts w:hint="eastAsia" w:hAnsi="Cambria" w:eastAsia="宋体" w:cs="Times New Roman"/>
                <w:color w:val="000000" w:themeColor="text1"/>
                <w:sz w:val="21"/>
                <w:szCs w:val="21"/>
                <w14:textFill>
                  <w14:solidFill>
                    <w14:schemeClr w14:val="tx1"/>
                  </w14:solidFill>
                </w14:textFill>
              </w:rPr>
            </w:pPr>
            <w:r>
              <w:rPr>
                <w:rFonts w:hint="eastAsia" w:hAnsi="Cambria" w:eastAsia="宋体" w:cs="Times New Roman"/>
                <w:color w:val="000000" w:themeColor="text1"/>
                <w:sz w:val="21"/>
                <w:szCs w:val="21"/>
                <w14:textFill>
                  <w14:solidFill>
                    <w14:schemeClr w14:val="tx1"/>
                  </w14:solidFill>
                </w14:textFill>
              </w:rPr>
              <w:t>本小项最多得2分。提供技术职称证书或执业资格证书等证明材料和在投标人缴纳社保的证明材料。</w:t>
            </w:r>
          </w:p>
        </w:tc>
        <w:tc>
          <w:tcPr>
            <w:tcW w:w="1004" w:type="dxa"/>
            <w:tcBorders>
              <w:top w:val="single" w:color="000000" w:sz="4" w:space="0"/>
              <w:left w:val="nil"/>
              <w:bottom w:val="single" w:color="000000" w:sz="4" w:space="0"/>
              <w:right w:val="single" w:color="000000" w:sz="4" w:space="0"/>
            </w:tcBorders>
            <w:vAlign w:val="center"/>
          </w:tcPr>
          <w:p>
            <w:pPr>
              <w:autoSpaceDE w:val="0"/>
              <w:autoSpaceDN w:val="0"/>
              <w:adjustRightInd w:val="0"/>
              <w:spacing w:line="360" w:lineRule="auto"/>
              <w:ind w:firstLine="0" w:firstLineChars="0"/>
              <w:rPr>
                <w:rFonts w:hAnsi="Cambria"/>
                <w:color w:val="000000" w:themeColor="text1"/>
                <w:kern w:val="0"/>
                <w:sz w:val="21"/>
                <w:szCs w:val="21"/>
                <w14:textFill>
                  <w14:solidFill>
                    <w14:schemeClr w14:val="tx1"/>
                  </w14:solidFill>
                </w14:textFill>
              </w:rPr>
            </w:pPr>
            <w:r>
              <w:rPr>
                <w:rFonts w:hint="eastAsia" w:hAnsi="Cambria"/>
                <w:color w:val="000000" w:themeColor="text1"/>
                <w:kern w:val="0"/>
                <w:sz w:val="21"/>
                <w:szCs w:val="21"/>
                <w14:textFill>
                  <w14:solidFill>
                    <w14:schemeClr w14:val="tx1"/>
                  </w14:solidFill>
                </w14:textFill>
              </w:rPr>
              <w:t>0-</w:t>
            </w:r>
            <w:r>
              <w:rPr>
                <w:rFonts w:hAnsi="Cambria"/>
                <w:color w:val="000000" w:themeColor="text1"/>
                <w:kern w:val="0"/>
                <w:sz w:val="21"/>
                <w:szCs w:val="21"/>
                <w14:textFill>
                  <w14:solidFill>
                    <w14:schemeClr w14:val="tx1"/>
                  </w14:solidFill>
                </w14:textFill>
              </w:rPr>
              <w:t>2</w:t>
            </w:r>
            <w:r>
              <w:rPr>
                <w:rFonts w:hint="eastAsia" w:hAnsi="Cambria"/>
                <w:color w:val="000000" w:themeColor="text1"/>
                <w:kern w:val="0"/>
                <w:sz w:val="21"/>
                <w:szCs w:val="21"/>
                <w14:textFill>
                  <w14:solidFill>
                    <w14:schemeClr w14:val="tx1"/>
                  </w14:solidFill>
                </w14:textFill>
              </w:rPr>
              <w:t>分</w:t>
            </w:r>
          </w:p>
        </w:tc>
      </w:tr>
    </w:tbl>
    <w:p>
      <w:pPr>
        <w:spacing w:line="360" w:lineRule="auto"/>
        <w:ind w:left="0" w:leftChars="0" w:right="512" w:rightChars="183" w:firstLine="0" w:firstLineChars="0"/>
        <w:outlineLvl w:val="0"/>
        <w:rPr>
          <w:rFonts w:hint="eastAsia" w:ascii="宋体" w:hAnsi="宋体" w:eastAsia="宋体" w:cs="宋体"/>
          <w:b/>
          <w:bCs/>
          <w:color w:val="000000" w:themeColor="text1"/>
          <w:sz w:val="21"/>
          <w:szCs w:val="21"/>
          <w14:textFill>
            <w14:solidFill>
              <w14:schemeClr w14:val="tx1"/>
            </w14:solidFill>
          </w14:textFill>
        </w:rPr>
      </w:pPr>
    </w:p>
    <w:p>
      <w:pPr>
        <w:spacing w:line="360" w:lineRule="auto"/>
        <w:ind w:right="512" w:rightChars="183" w:firstLine="422"/>
        <w:outlineLvl w:val="0"/>
        <w:rPr>
          <w:rFonts w:hAnsi="Cambria" w:cs="Times New Roman"/>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二、技术分（</w:t>
      </w:r>
      <w:r>
        <w:rPr>
          <w:rFonts w:hAnsi="Cambria" w:cs="Times New Roman"/>
          <w:b/>
          <w:bCs/>
          <w:color w:val="000000" w:themeColor="text1"/>
          <w:sz w:val="21"/>
          <w:szCs w:val="21"/>
          <w14:textFill>
            <w14:solidFill>
              <w14:schemeClr w14:val="tx1"/>
            </w14:solidFill>
          </w14:textFill>
        </w:rPr>
        <w:t>5</w:t>
      </w:r>
      <w:r>
        <w:rPr>
          <w:rFonts w:hAnsi="Cambria" w:eastAsia="宋体" w:cs="Times New Roman"/>
          <w:b/>
          <w:bCs/>
          <w:color w:val="000000" w:themeColor="text1"/>
          <w:sz w:val="21"/>
          <w:szCs w:val="21"/>
          <w14:textFill>
            <w14:solidFill>
              <w14:schemeClr w14:val="tx1"/>
            </w14:solidFill>
          </w14:textFill>
        </w:rPr>
        <w:t>5</w:t>
      </w:r>
      <w:r>
        <w:rPr>
          <w:rFonts w:hint="eastAsia" w:ascii="宋体" w:hAnsi="宋体" w:eastAsia="宋体" w:cs="宋体"/>
          <w:b/>
          <w:bCs/>
          <w:color w:val="000000" w:themeColor="text1"/>
          <w:sz w:val="21"/>
          <w:szCs w:val="21"/>
          <w14:textFill>
            <w14:solidFill>
              <w14:schemeClr w14:val="tx1"/>
            </w14:solidFill>
          </w14:textFill>
        </w:rPr>
        <w:t>分）</w:t>
      </w:r>
    </w:p>
    <w:p>
      <w:pPr>
        <w:spacing w:line="360" w:lineRule="auto"/>
        <w:ind w:right="-14" w:rightChars="-5" w:firstLine="422"/>
        <w:rPr>
          <w:rFonts w:hAnsi="Cambria"/>
          <w:b/>
          <w:color w:val="000000" w:themeColor="text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评标委员会对通过资格审查及资信标的投标人进行技术标评审。</w:t>
      </w:r>
      <w:r>
        <w:rPr>
          <w:rFonts w:hAnsi="Cambria"/>
          <w:b/>
          <w:color w:val="000000" w:themeColor="text1"/>
          <w:sz w:val="21"/>
          <w:szCs w:val="21"/>
          <w14:textFill>
            <w14:solidFill>
              <w14:schemeClr w14:val="tx1"/>
            </w14:solidFill>
          </w14:textFill>
        </w:rPr>
        <w:t xml:space="preserve"> </w:t>
      </w:r>
      <w:r>
        <w:rPr>
          <w:rFonts w:hint="eastAsia" w:ascii="宋体" w:hAnsi="宋体" w:eastAsia="宋体" w:cs="宋体"/>
          <w:b/>
          <w:color w:val="000000" w:themeColor="text1"/>
          <w:sz w:val="21"/>
          <w:szCs w:val="21"/>
          <w14:textFill>
            <w14:solidFill>
              <w14:schemeClr w14:val="tx1"/>
            </w14:solidFill>
          </w14:textFill>
        </w:rPr>
        <w:t>技术标根据技术标评分细则分档评分。评标委员会成员对投标人的各项评分内容进行打分。若有效投标人家数</w:t>
      </w:r>
      <w:r>
        <w:rPr>
          <w:rFonts w:hAnsi="Cambria"/>
          <w:b/>
          <w:color w:val="000000" w:themeColor="text1"/>
          <w:sz w:val="21"/>
          <w:szCs w:val="21"/>
          <w14:textFill>
            <w14:solidFill>
              <w14:schemeClr w14:val="tx1"/>
            </w14:solidFill>
          </w14:textFill>
        </w:rPr>
        <w:t>≥5</w:t>
      </w:r>
      <w:r>
        <w:rPr>
          <w:rFonts w:hint="eastAsia" w:ascii="宋体" w:hAnsi="宋体" w:eastAsia="宋体" w:cs="宋体"/>
          <w:b/>
          <w:color w:val="000000" w:themeColor="text1"/>
          <w:sz w:val="21"/>
          <w:szCs w:val="21"/>
          <w14:textFill>
            <w14:solidFill>
              <w14:schemeClr w14:val="tx1"/>
            </w14:solidFill>
          </w14:textFill>
        </w:rPr>
        <w:t>家，则所有评标委员会成员的评分中去掉一个最高分和一个最低分之后的算术平均值为各投标人最后技术标得分；若有效投标人家数＜</w:t>
      </w:r>
      <w:r>
        <w:rPr>
          <w:rFonts w:hAnsi="Cambria"/>
          <w:b/>
          <w:color w:val="000000" w:themeColor="text1"/>
          <w:sz w:val="21"/>
          <w:szCs w:val="21"/>
          <w14:textFill>
            <w14:solidFill>
              <w14:schemeClr w14:val="tx1"/>
            </w14:solidFill>
          </w14:textFill>
        </w:rPr>
        <w:t>5</w:t>
      </w:r>
      <w:r>
        <w:rPr>
          <w:rFonts w:hint="eastAsia" w:ascii="宋体" w:hAnsi="宋体" w:eastAsia="宋体" w:cs="宋体"/>
          <w:b/>
          <w:color w:val="000000" w:themeColor="text1"/>
          <w:sz w:val="21"/>
          <w:szCs w:val="21"/>
          <w14:textFill>
            <w14:solidFill>
              <w14:schemeClr w14:val="tx1"/>
            </w14:solidFill>
          </w14:textFill>
        </w:rPr>
        <w:t>家，则所有评标委员会成员合计得分的算术平均值为各投标人最后技术标得分，结果保留二位小数（第三位四舍五入）。如发现某张评分票的一单项评分超过评分细则规定的分值范围，则该张评分票无效。</w:t>
      </w:r>
    </w:p>
    <w:tbl>
      <w:tblPr>
        <w:tblStyle w:val="45"/>
        <w:tblW w:w="96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81"/>
        <w:gridCol w:w="681"/>
        <w:gridCol w:w="5716"/>
        <w:gridCol w:w="745"/>
        <w:gridCol w:w="1002"/>
        <w:gridCol w:w="86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10" w:hRule="exact"/>
          <w:jc w:val="center"/>
        </w:trPr>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序号</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评分内容</w:t>
            </w:r>
          </w:p>
        </w:tc>
        <w:tc>
          <w:tcPr>
            <w:tcW w:w="745" w:type="dxa"/>
            <w:vAlign w:val="center"/>
          </w:tcPr>
          <w:p>
            <w:pPr>
              <w:pStyle w:val="26"/>
              <w:spacing w:line="360" w:lineRule="exact"/>
              <w:ind w:firstLine="0" w:firstLineChars="0"/>
              <w:contextualSpacing/>
              <w:rPr>
                <w:rFonts w:cs="Times New Roman"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一类</w:t>
            </w:r>
          </w:p>
        </w:tc>
        <w:tc>
          <w:tcPr>
            <w:tcW w:w="1002" w:type="dxa"/>
            <w:vAlign w:val="center"/>
          </w:tcPr>
          <w:p>
            <w:pPr>
              <w:pStyle w:val="26"/>
              <w:spacing w:line="360" w:lineRule="exact"/>
              <w:ind w:firstLine="0" w:firstLineChars="0"/>
              <w:contextualSpacing/>
              <w:rPr>
                <w:rFonts w:cs="Times New Roman"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二类</w:t>
            </w:r>
          </w:p>
        </w:tc>
        <w:tc>
          <w:tcPr>
            <w:tcW w:w="862" w:type="dxa"/>
            <w:vAlign w:val="center"/>
          </w:tcPr>
          <w:p>
            <w:pPr>
              <w:pStyle w:val="26"/>
              <w:spacing w:line="360" w:lineRule="exact"/>
              <w:ind w:firstLine="0" w:firstLineChars="0"/>
              <w:contextualSpacing/>
              <w:rPr>
                <w:rFonts w:cs="Times New Roman" w:asciiTheme="minorEastAsia" w:hAnsiTheme="minorEastAsia" w:eastAsiaTheme="minorEastAsia"/>
                <w:color w:val="000000" w:themeColor="text1"/>
                <w:kern w:val="2"/>
                <w:sz w:val="21"/>
                <w:szCs w:val="21"/>
                <w14:textFill>
                  <w14:solidFill>
                    <w14:schemeClr w14:val="tx1"/>
                  </w14:solidFill>
                </w14:textFill>
              </w:rPr>
            </w:pPr>
            <w:r>
              <w:rPr>
                <w:rFonts w:hint="eastAsia" w:cs="宋体" w:asciiTheme="minorEastAsia" w:hAnsiTheme="minorEastAsia" w:eastAsiaTheme="minorEastAsia"/>
                <w:color w:val="000000" w:themeColor="text1"/>
                <w:kern w:val="2"/>
                <w:sz w:val="21"/>
                <w:szCs w:val="21"/>
                <w14:textFill>
                  <w14:solidFill>
                    <w14:schemeClr w14:val="tx1"/>
                  </w14:solidFill>
                </w14:textFill>
              </w:rPr>
              <w:t>三类</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40" w:hRule="atLeast"/>
          <w:jc w:val="center"/>
        </w:trPr>
        <w:tc>
          <w:tcPr>
            <w:tcW w:w="681" w:type="dxa"/>
            <w:vMerge w:val="restart"/>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图纸设计方</w:t>
            </w:r>
            <w:bookmarkStart w:id="4" w:name="OLE_LINK7"/>
            <w:r>
              <w:rPr>
                <w:rFonts w:hint="eastAsia" w:cs="宋体" w:asciiTheme="minorEastAsia" w:hAnsiTheme="minorEastAsia" w:eastAsiaTheme="minorEastAsia"/>
                <w:color w:val="000000" w:themeColor="text1"/>
                <w:sz w:val="21"/>
                <w:szCs w:val="21"/>
                <w14:textFill>
                  <w14:solidFill>
                    <w14:schemeClr w14:val="tx1"/>
                  </w14:solidFill>
                </w14:textFill>
              </w:rPr>
              <w:t>案</w:t>
            </w:r>
          </w:p>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40</w:t>
            </w:r>
            <w:r>
              <w:rPr>
                <w:rFonts w:hint="eastAsia" w:cs="宋体" w:asciiTheme="minorEastAsia" w:hAnsiTheme="minorEastAsia" w:eastAsiaTheme="minorEastAsia"/>
                <w:color w:val="000000" w:themeColor="text1"/>
                <w:sz w:val="21"/>
                <w:szCs w:val="21"/>
                <w14:textFill>
                  <w14:solidFill>
                    <w14:schemeClr w14:val="tx1"/>
                  </w14:solidFill>
                </w14:textFill>
              </w:rPr>
              <w:t>分</w:t>
            </w:r>
            <w:bookmarkEnd w:id="4"/>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l</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1、土建设计主要要求：设计依据及要求、建筑平面及剖面设计（含效果图）、交通组织设计、无障碍设计及所有建筑相关施工设计图纸等；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r>
              <w:rPr>
                <w:rFonts w:hint="eastAsia" w:cs="Times New Roman" w:asciiTheme="minorEastAsia" w:hAnsiTheme="minorEastAsia" w:eastAsiaTheme="minorEastAsia"/>
                <w:color w:val="000000" w:themeColor="text1"/>
                <w:sz w:val="21"/>
                <w:szCs w:val="21"/>
                <w14:textFill>
                  <w14:solidFill>
                    <w14:schemeClr w14:val="tx1"/>
                  </w14:solidFill>
                </w14:textFill>
              </w:rPr>
              <w:t>7</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98" w:hRule="atLeas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2、结构设计主要要求：设计依据及要求、结构选型、主要建筑材料材质及强度等级和所有结构相关施工设计图纸等；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r>
              <w:rPr>
                <w:rFonts w:hint="eastAsia" w:cs="Times New Roman" w:asciiTheme="minorEastAsia" w:hAnsiTheme="minorEastAsia" w:eastAsiaTheme="minorEastAsia"/>
                <w:color w:val="000000" w:themeColor="text1"/>
                <w:sz w:val="21"/>
                <w:szCs w:val="21"/>
                <w14:textFill>
                  <w14:solidFill>
                    <w14:schemeClr w14:val="tx1"/>
                  </w14:solidFill>
                </w14:textFill>
              </w:rPr>
              <w:t>7</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86"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3</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3、安装工程设计主要要求：给排水及消防</w:t>
            </w:r>
            <w:r>
              <w:rPr>
                <w:rFonts w:cs="Times New Roman" w:asciiTheme="minorEastAsia" w:hAnsiTheme="minorEastAsia" w:eastAsiaTheme="minorEastAsia"/>
                <w:color w:val="000000" w:themeColor="text1"/>
                <w:sz w:val="21"/>
                <w:szCs w:val="21"/>
                <w14:textFill>
                  <w14:solidFill>
                    <w14:schemeClr w14:val="tx1"/>
                  </w14:solidFill>
                </w14:textFill>
              </w:rPr>
              <w:t>（包括抗震支架、热水系统）</w:t>
            </w:r>
            <w:r>
              <w:rPr>
                <w:rFonts w:hint="eastAsia" w:cs="Times New Roman" w:asciiTheme="minorEastAsia" w:hAnsiTheme="minorEastAsia" w:eastAsiaTheme="minorEastAsia"/>
                <w:color w:val="000000" w:themeColor="text1"/>
                <w:sz w:val="21"/>
                <w:szCs w:val="21"/>
                <w14:textFill>
                  <w14:solidFill>
                    <w14:schemeClr w14:val="tx1"/>
                  </w14:solidFill>
                </w14:textFill>
              </w:rPr>
              <w:t>、照明、强电、通风、智能化系统工程和所有安装工程相关施工设计图纸等；</w:t>
            </w:r>
          </w:p>
        </w:tc>
        <w:tc>
          <w:tcPr>
            <w:tcW w:w="745" w:type="dxa"/>
            <w:tcBorders>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r>
              <w:rPr>
                <w:rFonts w:hint="eastAsia" w:cs="Times New Roman" w:asciiTheme="minorEastAsia" w:hAnsiTheme="minorEastAsia" w:eastAsiaTheme="minorEastAsia"/>
                <w:color w:val="000000" w:themeColor="text1"/>
                <w:sz w:val="21"/>
                <w:szCs w:val="21"/>
                <w14:textFill>
                  <w14:solidFill>
                    <w14:schemeClr w14:val="tx1"/>
                  </w14:solidFill>
                </w14:textFill>
              </w:rPr>
              <w:t>7</w:t>
            </w:r>
          </w:p>
        </w:tc>
        <w:tc>
          <w:tcPr>
            <w:tcW w:w="1002" w:type="dxa"/>
            <w:tcBorders>
              <w:left w:val="single" w:color="auto" w:sz="4" w:space="0"/>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tcBorders>
              <w:lef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228"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4、室外工程设计主要要求：道路及广场、绿化景观、场地平整、围墙工程和所有室外工程相关施工设计图纸等；</w:t>
            </w:r>
          </w:p>
        </w:tc>
        <w:tc>
          <w:tcPr>
            <w:tcW w:w="745" w:type="dxa"/>
            <w:tcBorders>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r>
              <w:rPr>
                <w:rFonts w:hint="eastAsia" w:cs="Times New Roman" w:asciiTheme="minorEastAsia" w:hAnsiTheme="minorEastAsia" w:eastAsiaTheme="minorEastAsia"/>
                <w:color w:val="000000" w:themeColor="text1"/>
                <w:sz w:val="21"/>
                <w:szCs w:val="21"/>
                <w14:textFill>
                  <w14:solidFill>
                    <w14:schemeClr w14:val="tx1"/>
                  </w14:solidFill>
                </w14:textFill>
              </w:rPr>
              <w:t>7</w:t>
            </w:r>
          </w:p>
        </w:tc>
        <w:tc>
          <w:tcPr>
            <w:tcW w:w="1002" w:type="dxa"/>
            <w:tcBorders>
              <w:left w:val="single" w:color="auto" w:sz="4" w:space="0"/>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tcBorders>
              <w:lef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12"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5</w:t>
            </w:r>
          </w:p>
        </w:tc>
        <w:tc>
          <w:tcPr>
            <w:tcW w:w="5716" w:type="dxa"/>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5、二次装修工程设计主要要求：室内二次装修工程相关施工设计图纸等；</w:t>
            </w:r>
          </w:p>
        </w:tc>
        <w:tc>
          <w:tcPr>
            <w:tcW w:w="745" w:type="dxa"/>
            <w:tcBorders>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4-6</w:t>
            </w:r>
          </w:p>
        </w:tc>
        <w:tc>
          <w:tcPr>
            <w:tcW w:w="1002" w:type="dxa"/>
            <w:tcBorders>
              <w:left w:val="single" w:color="auto" w:sz="4" w:space="0"/>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tcBorders>
              <w:lef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30"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6</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6、</w:t>
            </w:r>
            <w:r>
              <w:rPr>
                <w:rFonts w:cs="Times New Roman" w:asciiTheme="minorEastAsia" w:hAnsiTheme="minorEastAsia" w:eastAsiaTheme="minorEastAsia"/>
                <w:color w:val="000000" w:themeColor="text1"/>
                <w:sz w:val="21"/>
                <w:szCs w:val="21"/>
                <w14:textFill>
                  <w14:solidFill>
                    <w14:schemeClr w14:val="tx1"/>
                  </w14:solidFill>
                </w14:textFill>
              </w:rPr>
              <w:t>其他本次招标范围内的专项设计和所有相关初步设计图纸等</w:t>
            </w:r>
            <w:r>
              <w:rPr>
                <w:rFonts w:hint="eastAsia" w:cs="Times New Roman" w:asciiTheme="minorEastAsia" w:hAnsiTheme="minorEastAsia" w:eastAsiaTheme="minorEastAsia"/>
                <w:color w:val="000000" w:themeColor="text1"/>
                <w:sz w:val="21"/>
                <w:szCs w:val="21"/>
                <w14:textFill>
                  <w14:solidFill>
                    <w14:schemeClr w14:val="tx1"/>
                  </w14:solidFill>
                </w14:textFill>
              </w:rPr>
              <w:t>。</w:t>
            </w:r>
          </w:p>
        </w:tc>
        <w:tc>
          <w:tcPr>
            <w:tcW w:w="745" w:type="dxa"/>
            <w:tcBorders>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4-6</w:t>
            </w:r>
          </w:p>
        </w:tc>
        <w:tc>
          <w:tcPr>
            <w:tcW w:w="1002" w:type="dxa"/>
            <w:tcBorders>
              <w:left w:val="single" w:color="auto" w:sz="4" w:space="0"/>
              <w:righ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2-4</w:t>
            </w:r>
          </w:p>
        </w:tc>
        <w:tc>
          <w:tcPr>
            <w:tcW w:w="862" w:type="dxa"/>
            <w:tcBorders>
              <w:left w:val="single" w:color="auto" w:sz="4" w:space="0"/>
            </w:tcBorders>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39" w:hRule="exact"/>
          <w:jc w:val="center"/>
        </w:trPr>
        <w:tc>
          <w:tcPr>
            <w:tcW w:w="681" w:type="dxa"/>
            <w:vMerge w:val="restart"/>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总承包管理方案8</w:t>
            </w:r>
            <w:r>
              <w:rPr>
                <w:rFonts w:hint="eastAsia" w:cs="宋体" w:asciiTheme="minorEastAsia" w:hAnsiTheme="minorEastAsia" w:eastAsiaTheme="minorEastAsia"/>
                <w:color w:val="000000" w:themeColor="text1"/>
                <w:sz w:val="21"/>
                <w:szCs w:val="21"/>
                <w14:textFill>
                  <w14:solidFill>
                    <w14:schemeClr w14:val="tx1"/>
                  </w14:solidFill>
                </w14:textFill>
              </w:rPr>
              <w:t>分</w:t>
            </w: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EPC总体项目管理方案：项目管理大纲、项目进度管理、项目质量管理与控制、项目HSE管理与控制、项目投资管理与控制、项目信息文档管理与控制等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24"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设计管理：设计的总体安排与资源配置、设计的进度计划控制、设计文件的审查主要内容和程序、设计文件的质量控制等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97"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3</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物资采购管理：EPC 物资采购工作的总体安排与资源配置、物资采购进度计划控制措施、物资采购招标、谈判管理、物资采购过程的质量监督与控制等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6"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4</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Times New Roman" w:asciiTheme="minorEastAsia" w:hAnsiTheme="minorEastAsia" w:eastAsiaTheme="minorEastAsia"/>
                <w:color w:val="000000" w:themeColor="text1"/>
                <w:sz w:val="21"/>
                <w:szCs w:val="21"/>
                <w14:textFill>
                  <w14:solidFill>
                    <w14:schemeClr w14:val="tx1"/>
                  </w14:solidFill>
                </w14:textFill>
              </w:rPr>
              <w:t>工程施工管理：工程施工进度控制和管理、工程施工质量的监督与控制、工程施工HSE监督与控制、关键技术方案等</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6" w:hRule="exact"/>
          <w:jc w:val="center"/>
        </w:trPr>
        <w:tc>
          <w:tcPr>
            <w:tcW w:w="681" w:type="dxa"/>
            <w:vMerge w:val="restart"/>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施工及现场管理实施方案</w:t>
            </w:r>
          </w:p>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7</w:t>
            </w:r>
            <w:r>
              <w:rPr>
                <w:rFonts w:hint="eastAsia" w:cs="宋体" w:asciiTheme="minorEastAsia" w:hAnsiTheme="minorEastAsia" w:eastAsiaTheme="minorEastAsia"/>
                <w:color w:val="000000" w:themeColor="text1"/>
                <w:sz w:val="21"/>
                <w:szCs w:val="21"/>
                <w14:textFill>
                  <w14:solidFill>
                    <w14:schemeClr w14:val="tx1"/>
                  </w14:solidFill>
                </w14:textFill>
              </w:rPr>
              <w:t>分</w:t>
            </w: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施工场地布置（施工现场平面布置和临时设施、临时道路布置）</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6"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安全文明施工及环境保护措施</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1.2-2</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0.5-1.1</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76" w:hRule="exact"/>
          <w:jc w:val="center"/>
        </w:trPr>
        <w:tc>
          <w:tcPr>
            <w:tcW w:w="681" w:type="dxa"/>
            <w:vMerge w:val="continue"/>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p>
        </w:tc>
        <w:tc>
          <w:tcPr>
            <w:tcW w:w="681" w:type="dxa"/>
            <w:vAlign w:val="center"/>
          </w:tcPr>
          <w:p>
            <w:pPr>
              <w:spacing w:line="360" w:lineRule="exact"/>
              <w:ind w:firstLine="0" w:firstLineChars="0"/>
              <w:contextualSpacing/>
              <w:jc w:val="center"/>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3</w:t>
            </w:r>
          </w:p>
        </w:tc>
        <w:tc>
          <w:tcPr>
            <w:tcW w:w="5716"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重点难点和解决方案（根据关键施工技术、工艺及工程项目实施的重点、难点和解决方案）</w:t>
            </w:r>
          </w:p>
        </w:tc>
        <w:tc>
          <w:tcPr>
            <w:tcW w:w="745"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2.0-3</w:t>
            </w:r>
          </w:p>
        </w:tc>
        <w:tc>
          <w:tcPr>
            <w:tcW w:w="100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1.0-2.0</w:t>
            </w:r>
          </w:p>
        </w:tc>
        <w:tc>
          <w:tcPr>
            <w:tcW w:w="862"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0-1.0</w:t>
            </w:r>
          </w:p>
        </w:tc>
      </w:tr>
    </w:tbl>
    <w:p>
      <w:pPr>
        <w:spacing w:line="360" w:lineRule="auto"/>
        <w:ind w:right="-14" w:rightChars="-5"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注：技术标中不得存在以下情况之一的，否则否决其投标：</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①</w:t>
      </w:r>
      <w:r>
        <w:rPr>
          <w:rFonts w:hint="eastAsia" w:cs="宋体" w:asciiTheme="minorEastAsia" w:hAnsiTheme="minorEastAsia" w:eastAsiaTheme="minorEastAsia"/>
          <w:color w:val="000000" w:themeColor="text1"/>
          <w:sz w:val="22"/>
          <w:szCs w:val="22"/>
          <w14:textFill>
            <w14:solidFill>
              <w14:schemeClr w14:val="tx1"/>
            </w14:solidFill>
          </w14:textFill>
        </w:rPr>
        <w:t>设计指标不符合规划或招标文件发包人要求；</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②</w:t>
      </w:r>
      <w:r>
        <w:rPr>
          <w:rFonts w:hint="eastAsia" w:cs="宋体" w:asciiTheme="minorEastAsia" w:hAnsiTheme="minorEastAsia" w:eastAsiaTheme="minorEastAsia"/>
          <w:color w:val="000000" w:themeColor="text1"/>
          <w:sz w:val="22"/>
          <w:szCs w:val="22"/>
          <w14:textFill>
            <w14:solidFill>
              <w14:schemeClr w14:val="tx1"/>
            </w14:solidFill>
          </w14:textFill>
        </w:rPr>
        <w:t>采用的设计标准或主要技术指标达不到国家强制性标准或招标文件要求的。</w:t>
      </w:r>
    </w:p>
    <w:p>
      <w:pPr>
        <w:spacing w:line="360" w:lineRule="auto"/>
        <w:ind w:firstLine="0" w:firstLineChars="0"/>
        <w:outlineLvl w:val="0"/>
        <w:rPr>
          <w:rFonts w:cs="宋体" w:asciiTheme="minorEastAsia" w:hAnsiTheme="minorEastAsia" w:eastAsiaTheme="minorEastAsia"/>
          <w:b/>
          <w:bCs/>
          <w:color w:val="000000" w:themeColor="text1"/>
          <w:sz w:val="21"/>
          <w:szCs w:val="21"/>
          <w14:textFill>
            <w14:solidFill>
              <w14:schemeClr w14:val="tx1"/>
            </w14:solidFill>
          </w14:textFill>
        </w:rPr>
      </w:pPr>
      <w:r>
        <w:rPr>
          <w:rFonts w:hint="eastAsia" w:cs="宋体" w:asciiTheme="minorEastAsia" w:hAnsiTheme="minorEastAsia" w:eastAsiaTheme="minorEastAsia"/>
          <w:b/>
          <w:bCs/>
          <w:color w:val="000000" w:themeColor="text1"/>
          <w:sz w:val="21"/>
          <w:szCs w:val="21"/>
          <w14:textFill>
            <w14:solidFill>
              <w14:schemeClr w14:val="tx1"/>
            </w14:solidFill>
          </w14:textFill>
        </w:rPr>
        <w:t>三、商务分（</w:t>
      </w:r>
      <w:r>
        <w:rPr>
          <w:rFonts w:cs="Times New Roman" w:asciiTheme="minorEastAsia" w:hAnsiTheme="minorEastAsia" w:eastAsiaTheme="minorEastAsia"/>
          <w:b/>
          <w:bCs/>
          <w:color w:val="000000" w:themeColor="text1"/>
          <w:sz w:val="21"/>
          <w:szCs w:val="21"/>
          <w14:textFill>
            <w14:solidFill>
              <w14:schemeClr w14:val="tx1"/>
            </w14:solidFill>
          </w14:textFill>
        </w:rPr>
        <w:t>40</w:t>
      </w:r>
      <w:r>
        <w:rPr>
          <w:rFonts w:hint="eastAsia" w:cs="宋体" w:asciiTheme="minorEastAsia" w:hAnsiTheme="minorEastAsia" w:eastAsiaTheme="minorEastAsia"/>
          <w:b/>
          <w:bCs/>
          <w:color w:val="000000" w:themeColor="text1"/>
          <w:sz w:val="21"/>
          <w:szCs w:val="21"/>
          <w14:textFill>
            <w14:solidFill>
              <w14:schemeClr w14:val="tx1"/>
            </w14:solidFill>
          </w14:textFill>
        </w:rPr>
        <w:t>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开标后，商务标投标文件审查中不得出现以下情况之一的，否则否决其投标：</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①</w:t>
      </w:r>
      <w:r>
        <w:rPr>
          <w:rFonts w:hint="eastAsia" w:cs="宋体" w:asciiTheme="minorEastAsia" w:hAnsiTheme="minorEastAsia" w:eastAsiaTheme="minorEastAsia"/>
          <w:color w:val="000000" w:themeColor="text1"/>
          <w:sz w:val="22"/>
          <w:szCs w:val="22"/>
          <w14:textFill>
            <w14:solidFill>
              <w14:schemeClr w14:val="tx1"/>
            </w14:solidFill>
          </w14:textFill>
        </w:rPr>
        <w:t>投标文件的投标报价或其它关键内容字迹模糊或无法辨认的，或投标报价大写书写不规范的；</w:t>
      </w:r>
    </w:p>
    <w:p>
      <w:pPr>
        <w:spacing w:line="360" w:lineRule="auto"/>
        <w:ind w:firstLine="440"/>
        <w:contextualSpacing/>
        <w:rPr>
          <w:rFonts w:cs="Times New Roman" w:asciiTheme="minorEastAsia" w:hAnsiTheme="minorEastAsia" w:eastAsiaTheme="minorEastAsia"/>
          <w:b/>
          <w:bCs/>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②</w:t>
      </w:r>
      <w:r>
        <w:rPr>
          <w:rFonts w:hint="eastAsia" w:cs="宋体" w:asciiTheme="minorEastAsia" w:hAnsiTheme="minorEastAsia" w:eastAsiaTheme="minorEastAsia"/>
          <w:color w:val="000000" w:themeColor="text1"/>
          <w:sz w:val="22"/>
          <w:szCs w:val="22"/>
          <w14:textFill>
            <w14:solidFill>
              <w14:schemeClr w14:val="tx1"/>
            </w14:solidFill>
          </w14:textFill>
        </w:rPr>
        <w:t>投标人在投标文件中对同一标段有两个或多个报价，且未书面声明以哪个为最终报价的。</w:t>
      </w:r>
    </w:p>
    <w:p>
      <w:pPr>
        <w:spacing w:line="360" w:lineRule="auto"/>
        <w:ind w:firstLine="440"/>
        <w:contextualSpacing/>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③投标报价高于投标最高限价的；</w:t>
      </w:r>
    </w:p>
    <w:p>
      <w:pPr>
        <w:pStyle w:val="19"/>
        <w:ind w:firstLine="21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④</w:t>
      </w:r>
      <w:r>
        <w:rPr>
          <w:rFonts w:hint="eastAsia" w:cs="宋体" w:asciiTheme="minorEastAsia" w:hAnsiTheme="minorEastAsia" w:eastAsiaTheme="minorEastAsia"/>
          <w:color w:val="000000" w:themeColor="text1"/>
          <w:sz w:val="22"/>
          <w:szCs w:val="22"/>
          <w14:textFill>
            <w14:solidFill>
              <w14:schemeClr w14:val="tx1"/>
            </w14:solidFill>
          </w14:textFill>
        </w:rPr>
        <w:t>超过本工程的招标工期的。</w:t>
      </w:r>
    </w:p>
    <w:tbl>
      <w:tblPr>
        <w:tblStyle w:val="45"/>
        <w:tblW w:w="9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673"/>
        <w:gridCol w:w="5963"/>
        <w:gridCol w:w="1575"/>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540" w:type="dxa"/>
            <w:vAlign w:val="center"/>
          </w:tcPr>
          <w:p>
            <w:pPr>
              <w:autoSpaceDE w:val="0"/>
              <w:autoSpaceDN w:val="0"/>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序</w:t>
            </w:r>
          </w:p>
          <w:p>
            <w:pPr>
              <w:autoSpaceDE w:val="0"/>
              <w:autoSpaceDN w:val="0"/>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号</w:t>
            </w:r>
          </w:p>
        </w:tc>
        <w:tc>
          <w:tcPr>
            <w:tcW w:w="673" w:type="dxa"/>
            <w:vAlign w:val="center"/>
          </w:tcPr>
          <w:p>
            <w:pPr>
              <w:autoSpaceDE w:val="0"/>
              <w:autoSpaceDN w:val="0"/>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报价类别</w:t>
            </w:r>
          </w:p>
        </w:tc>
        <w:tc>
          <w:tcPr>
            <w:tcW w:w="5963" w:type="dxa"/>
            <w:vAlign w:val="center"/>
          </w:tcPr>
          <w:p>
            <w:pPr>
              <w:autoSpaceDE w:val="0"/>
              <w:autoSpaceDN w:val="0"/>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投标报价要求</w:t>
            </w:r>
          </w:p>
        </w:tc>
        <w:tc>
          <w:tcPr>
            <w:tcW w:w="1575" w:type="dxa"/>
            <w:vAlign w:val="center"/>
          </w:tcPr>
          <w:p>
            <w:pPr>
              <w:widowControl/>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投标报价的偏差率计算公式</w:t>
            </w:r>
          </w:p>
        </w:tc>
        <w:tc>
          <w:tcPr>
            <w:tcW w:w="880" w:type="dxa"/>
            <w:vAlign w:val="center"/>
          </w:tcPr>
          <w:p>
            <w:pPr>
              <w:widowControl/>
              <w:spacing w:line="360" w:lineRule="exact"/>
              <w:ind w:firstLine="0" w:firstLineChars="0"/>
              <w:contextualSpacing/>
              <w:jc w:val="center"/>
              <w:rPr>
                <w:rFonts w:cs="宋体"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评分</w:t>
            </w:r>
          </w:p>
          <w:p>
            <w:pPr>
              <w:widowControl/>
              <w:spacing w:line="360" w:lineRule="exact"/>
              <w:ind w:firstLine="0" w:firstLineChars="0"/>
              <w:contextualSpacing/>
              <w:jc w:val="center"/>
              <w:rPr>
                <w:rFonts w:cs="Times New Roman" w:asciiTheme="minorEastAsia" w:hAnsiTheme="minorEastAsia" w:eastAsiaTheme="minorEastAsia"/>
                <w:color w:val="000000" w:themeColor="text1"/>
                <w:kern w:val="0"/>
                <w:sz w:val="21"/>
                <w:szCs w:val="21"/>
                <w14:textFill>
                  <w14:solidFill>
                    <w14:schemeClr w14:val="tx1"/>
                  </w14:solidFill>
                </w14:textFill>
              </w:rPr>
            </w:pPr>
            <w:r>
              <w:rPr>
                <w:rFonts w:hint="eastAsia" w:cs="宋体" w:asciiTheme="minorEastAsia" w:hAnsiTheme="minorEastAsia" w:eastAsiaTheme="minorEastAsia"/>
                <w:color w:val="000000" w:themeColor="text1"/>
                <w:kern w:val="0"/>
                <w:sz w:val="21"/>
                <w:szCs w:val="21"/>
                <w14:textFill>
                  <w14:solidFill>
                    <w14:schemeClr w14:val="tx1"/>
                  </w14:solidFill>
                </w14:textFill>
              </w:rPr>
              <w:t>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540" w:type="dxa"/>
            <w:vAlign w:val="center"/>
          </w:tcPr>
          <w:p>
            <w:pPr>
              <w:spacing w:line="360" w:lineRule="exact"/>
              <w:ind w:firstLine="0" w:firstLineChars="0"/>
              <w:contextualSpacing/>
              <w:rPr>
                <w:rFonts w:asciiTheme="minorEastAsia" w:hAnsiTheme="minorEastAsia" w:eastAsiaTheme="minorEastAsia"/>
                <w:color w:val="000000" w:themeColor="text1"/>
                <w:sz w:val="21"/>
                <w:szCs w:val="21"/>
                <w14:textFill>
                  <w14:solidFill>
                    <w14:schemeClr w14:val="tx1"/>
                  </w14:solidFill>
                </w14:textFill>
              </w:rPr>
            </w:pPr>
            <w:r>
              <w:rPr>
                <w:rFonts w:asciiTheme="minorEastAsia" w:hAnsiTheme="minorEastAsia" w:eastAsiaTheme="minorEastAsia"/>
                <w:color w:val="000000" w:themeColor="text1"/>
                <w:sz w:val="21"/>
                <w:szCs w:val="21"/>
                <w14:textFill>
                  <w14:solidFill>
                    <w14:schemeClr w14:val="tx1"/>
                  </w14:solidFill>
                </w14:textFill>
              </w:rPr>
              <w:t>1</w:t>
            </w:r>
          </w:p>
        </w:tc>
        <w:tc>
          <w:tcPr>
            <w:tcW w:w="673" w:type="dxa"/>
            <w:vAlign w:val="center"/>
          </w:tcPr>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投标总价</w:t>
            </w:r>
          </w:p>
        </w:tc>
        <w:tc>
          <w:tcPr>
            <w:tcW w:w="5963" w:type="dxa"/>
            <w:vAlign w:val="center"/>
          </w:tcPr>
          <w:p>
            <w:pPr>
              <w:ind w:firstLine="0" w:firstLineChars="0"/>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hAnsi="Cambria"/>
                <w:color w:val="000000" w:themeColor="text1"/>
                <w:sz w:val="21"/>
                <w:szCs w:val="21"/>
                <w:highlight w:val="yellow"/>
                <w14:textFill>
                  <w14:solidFill>
                    <w14:schemeClr w14:val="tx1"/>
                  </w14:solidFill>
                </w14:textFill>
              </w:rPr>
              <w:t>取各有效标</w:t>
            </w:r>
            <w:r>
              <w:rPr>
                <w:rFonts w:hint="eastAsia" w:ascii="宋体" w:hAnsi="宋体" w:eastAsia="宋体" w:cs="宋体"/>
                <w:color w:val="000000" w:themeColor="text1"/>
                <w:sz w:val="21"/>
                <w:szCs w:val="21"/>
                <w:highlight w:val="yellow"/>
                <w14:textFill>
                  <w14:solidFill>
                    <w14:schemeClr w14:val="tx1"/>
                  </w14:solidFill>
                </w14:textFill>
              </w:rPr>
              <w:t>【即为资信标和技术标得分累计前七名（如有效投标人家数少于7名或等于7名的，则全部进入商务评审）。】</w:t>
            </w:r>
            <w:r>
              <w:rPr>
                <w:rFonts w:hint="eastAsia" w:hAnsi="Cambria"/>
                <w:color w:val="000000" w:themeColor="text1"/>
                <w:sz w:val="21"/>
                <w:szCs w:val="21"/>
                <w:highlight w:val="yellow"/>
                <w14:textFill>
                  <w14:solidFill>
                    <w14:schemeClr w14:val="tx1"/>
                  </w14:solidFill>
                </w14:textFill>
              </w:rPr>
              <w:t>的</w:t>
            </w:r>
            <w:r>
              <w:rPr>
                <w:rFonts w:hAnsi="Cambria"/>
                <w:color w:val="000000" w:themeColor="text1"/>
                <w:sz w:val="21"/>
                <w:szCs w:val="21"/>
                <w:highlight w:val="yellow"/>
                <w14:textFill>
                  <w14:solidFill>
                    <w14:schemeClr w14:val="tx1"/>
                  </w14:solidFill>
                </w14:textFill>
              </w:rPr>
              <w:t>投标人</w:t>
            </w:r>
            <w:r>
              <w:rPr>
                <w:rFonts w:hint="eastAsia" w:hAnsi="Cambria"/>
                <w:color w:val="000000" w:themeColor="text1"/>
                <w:sz w:val="21"/>
                <w:szCs w:val="21"/>
                <w:highlight w:val="yellow"/>
                <w14:textFill>
                  <w14:solidFill>
                    <w14:schemeClr w14:val="tx1"/>
                  </w14:solidFill>
                </w14:textFill>
              </w:rPr>
              <w:t>投标报价的算术平均值</w:t>
            </w:r>
            <w:r>
              <w:rPr>
                <w:rFonts w:cs="Times New Roman" w:asciiTheme="minorEastAsia" w:hAnsiTheme="minorEastAsia" w:eastAsiaTheme="minorEastAsia"/>
                <w:color w:val="000000" w:themeColor="text1"/>
                <w:sz w:val="21"/>
                <w:szCs w:val="21"/>
                <w14:textFill>
                  <w14:solidFill>
                    <w14:schemeClr w14:val="tx1"/>
                  </w14:solidFill>
                </w14:textFill>
              </w:rPr>
              <w:t>×</w:t>
            </w:r>
            <w:r>
              <w:rPr>
                <w:rFonts w:hint="eastAsia" w:cs="Times New Roman" w:asciiTheme="minorEastAsia" w:hAnsiTheme="minorEastAsia" w:eastAsiaTheme="minorEastAsia"/>
                <w:color w:val="000000" w:themeColor="text1"/>
                <w:sz w:val="21"/>
                <w:szCs w:val="21"/>
                <w14:textFill>
                  <w14:solidFill>
                    <w14:schemeClr w14:val="tx1"/>
                  </w14:solidFill>
                </w14:textFill>
              </w:rPr>
              <w:t>（1</w:t>
            </w:r>
            <w:r>
              <w:rPr>
                <w:rFonts w:cs="Times New Roman" w:asciiTheme="minorEastAsia" w:hAnsiTheme="minorEastAsia" w:eastAsiaTheme="minorEastAsia"/>
                <w:color w:val="000000" w:themeColor="text1"/>
                <w:sz w:val="21"/>
                <w:szCs w:val="21"/>
                <w14:textFill>
                  <w14:solidFill>
                    <w14:schemeClr w14:val="tx1"/>
                  </w14:solidFill>
                </w14:textFill>
              </w:rPr>
              <w:t>-K%</w:t>
            </w:r>
            <w:r>
              <w:rPr>
                <w:rFonts w:hint="eastAsia" w:cs="Times New Roman" w:asciiTheme="minorEastAsia" w:hAnsiTheme="minorEastAsia" w:eastAsiaTheme="minorEastAsia"/>
                <w:color w:val="000000" w:themeColor="text1"/>
                <w:sz w:val="21"/>
                <w:szCs w:val="21"/>
                <w14:textFill>
                  <w14:solidFill>
                    <w14:schemeClr w14:val="tx1"/>
                  </w14:solidFill>
                </w14:textFill>
              </w:rPr>
              <w:t>）（K为在开标现场从0、0</w:t>
            </w:r>
            <w:r>
              <w:rPr>
                <w:rFonts w:cs="Times New Roman" w:asciiTheme="minorEastAsia" w:hAnsiTheme="minorEastAsia" w:eastAsiaTheme="minorEastAsia"/>
                <w:color w:val="000000" w:themeColor="text1"/>
                <w:sz w:val="21"/>
                <w:szCs w:val="21"/>
                <w14:textFill>
                  <w14:solidFill>
                    <w14:schemeClr w14:val="tx1"/>
                  </w14:solidFill>
                </w14:textFill>
              </w:rPr>
              <w:t>.5</w:t>
            </w:r>
            <w:r>
              <w:rPr>
                <w:rFonts w:hint="eastAsia" w:cs="Times New Roman" w:asciiTheme="minorEastAsia" w:hAnsiTheme="minorEastAsia" w:eastAsiaTheme="minorEastAsia"/>
                <w:color w:val="000000" w:themeColor="text1"/>
                <w:sz w:val="21"/>
                <w:szCs w:val="21"/>
                <w14:textFill>
                  <w14:solidFill>
                    <w14:schemeClr w14:val="tx1"/>
                  </w14:solidFill>
                </w14:textFill>
              </w:rPr>
              <w:t>、1、1</w:t>
            </w:r>
            <w:r>
              <w:rPr>
                <w:rFonts w:cs="Times New Roman" w:asciiTheme="minorEastAsia" w:hAnsiTheme="minorEastAsia" w:eastAsiaTheme="minorEastAsia"/>
                <w:color w:val="000000" w:themeColor="text1"/>
                <w:sz w:val="21"/>
                <w:szCs w:val="21"/>
                <w14:textFill>
                  <w14:solidFill>
                    <w14:schemeClr w14:val="tx1"/>
                  </w14:solidFill>
                </w14:textFill>
              </w:rPr>
              <w:t>.5</w:t>
            </w:r>
            <w:r>
              <w:rPr>
                <w:rFonts w:hint="eastAsia" w:cs="Times New Roman" w:asciiTheme="minorEastAsia" w:hAnsiTheme="minorEastAsia" w:eastAsiaTheme="minorEastAsia"/>
                <w:color w:val="000000" w:themeColor="text1"/>
                <w:sz w:val="21"/>
                <w:szCs w:val="21"/>
                <w14:textFill>
                  <w14:solidFill>
                    <w14:schemeClr w14:val="tx1"/>
                  </w14:solidFill>
                </w14:textFill>
              </w:rPr>
              <w:t>、2等五个数字中随机抽取的一个值）</w:t>
            </w:r>
            <w:r>
              <w:rPr>
                <w:rFonts w:hint="eastAsia" w:hAnsi="Cambria"/>
                <w:color w:val="000000" w:themeColor="text1"/>
                <w:sz w:val="21"/>
                <w:szCs w:val="21"/>
                <w:highlight w:val="yellow"/>
                <w14:textFill>
                  <w14:solidFill>
                    <w14:schemeClr w14:val="tx1"/>
                  </w14:solidFill>
                </w14:textFill>
              </w:rPr>
              <w:t>作为评标基准价</w:t>
            </w:r>
            <w:r>
              <w:rPr>
                <w:rFonts w:hint="eastAsia" w:cs="宋体" w:asciiTheme="minorEastAsia" w:hAnsiTheme="minorEastAsia" w:eastAsiaTheme="minorEastAsia"/>
                <w:color w:val="000000" w:themeColor="text1"/>
                <w:sz w:val="21"/>
                <w:szCs w:val="21"/>
                <w:highlight w:val="yellow"/>
                <w14:textFill>
                  <w14:solidFill>
                    <w14:schemeClr w14:val="tx1"/>
                  </w14:solidFill>
                </w14:textFill>
              </w:rPr>
              <w:t>。</w:t>
            </w:r>
          </w:p>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投标人的投标报价得分按照下列公式计算：</w:t>
            </w:r>
            <w:r>
              <w:rPr>
                <w:rFonts w:cs="Times New Roman" w:asciiTheme="minorEastAsia" w:hAnsiTheme="minorEastAsia" w:eastAsiaTheme="minorEastAsia"/>
                <w:color w:val="000000" w:themeColor="text1"/>
                <w:sz w:val="21"/>
                <w:szCs w:val="21"/>
                <w14:textFill>
                  <w14:solidFill>
                    <w14:schemeClr w14:val="tx1"/>
                  </w14:solidFill>
                </w14:textFill>
              </w:rPr>
              <w:t xml:space="preserve"> </w:t>
            </w:r>
          </w:p>
          <w:p>
            <w:pPr>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a</w:t>
            </w:r>
            <w:r>
              <w:rPr>
                <w:rFonts w:hint="eastAsia" w:cs="宋体" w:asciiTheme="minorEastAsia" w:hAnsiTheme="minorEastAsia" w:eastAsiaTheme="minorEastAsia"/>
                <w:color w:val="000000" w:themeColor="text1"/>
                <w:sz w:val="21"/>
                <w:szCs w:val="21"/>
                <w14:textFill>
                  <w14:solidFill>
                    <w14:schemeClr w14:val="tx1"/>
                  </w14:solidFill>
                </w14:textFill>
              </w:rPr>
              <w:t>．投标报价等于评标基准价时，得满分</w:t>
            </w:r>
            <w:r>
              <w:rPr>
                <w:rFonts w:cs="Times New Roman" w:asciiTheme="minorEastAsia" w:hAnsiTheme="minorEastAsia" w:eastAsiaTheme="minorEastAsia"/>
                <w:color w:val="000000" w:themeColor="text1"/>
                <w:sz w:val="21"/>
                <w:szCs w:val="21"/>
                <w14:textFill>
                  <w14:solidFill>
                    <w14:schemeClr w14:val="tx1"/>
                  </w14:solidFill>
                </w14:textFill>
              </w:rPr>
              <w:t>40</w:t>
            </w:r>
            <w:r>
              <w:rPr>
                <w:rFonts w:hint="eastAsia" w:cs="宋体" w:asciiTheme="minorEastAsia" w:hAnsiTheme="minorEastAsia" w:eastAsiaTheme="minorEastAsia"/>
                <w:color w:val="000000" w:themeColor="text1"/>
                <w:sz w:val="21"/>
                <w:szCs w:val="21"/>
                <w14:textFill>
                  <w14:solidFill>
                    <w14:schemeClr w14:val="tx1"/>
                  </w14:solidFill>
                </w14:textFill>
              </w:rPr>
              <w:t>分；</w:t>
            </w:r>
          </w:p>
          <w:p>
            <w:pPr>
              <w:spacing w:line="360" w:lineRule="exact"/>
              <w:ind w:firstLine="0" w:firstLineChars="0"/>
              <w:contextualSpacing/>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b．投标报价每高于评标基准价1个百分点扣1.0分；每低于评标基准价1个百分点，扣0.5分；不足1个百分点按直线插入法，上述</w:t>
            </w:r>
            <w:r>
              <w:rPr>
                <w:rFonts w:cs="宋体" w:asciiTheme="minorEastAsia" w:hAnsiTheme="minorEastAsia" w:eastAsiaTheme="minorEastAsia"/>
                <w:color w:val="000000" w:themeColor="text1"/>
                <w:sz w:val="21"/>
                <w:szCs w:val="21"/>
                <w14:textFill>
                  <w14:solidFill>
                    <w14:schemeClr w14:val="tx1"/>
                  </w14:solidFill>
                </w14:textFill>
              </w:rPr>
              <w:t>40</w:t>
            </w:r>
            <w:r>
              <w:rPr>
                <w:rFonts w:hint="eastAsia" w:cs="宋体" w:asciiTheme="minorEastAsia" w:hAnsiTheme="minorEastAsia" w:eastAsiaTheme="minorEastAsia"/>
                <w:color w:val="000000" w:themeColor="text1"/>
                <w:sz w:val="21"/>
                <w:szCs w:val="21"/>
                <w14:textFill>
                  <w14:solidFill>
                    <w14:schemeClr w14:val="tx1"/>
                  </w14:solidFill>
                </w14:textFill>
              </w:rPr>
              <w:t>分扣完为止。</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说明：评标基准价由评标委员会依据上述方法计算，除计算差错外，确认后的评标基准价在本次招标期间保持不变。评标基准价保留至元。计算差错仅限于以下两种情况：（1）纯算术性四则运算差错；（2）未按约定的计算方法，多计或者少计投标人报价的。由于评标差错，导致否决投标错误，重新评标纠正等其他情况，不属于计算差错。</w:t>
            </w:r>
          </w:p>
        </w:tc>
        <w:tc>
          <w:tcPr>
            <w:tcW w:w="1575" w:type="dxa"/>
            <w:vAlign w:val="center"/>
          </w:tcPr>
          <w:p>
            <w:pPr>
              <w:widowControl/>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cs="Times New Roman" w:asciiTheme="minorEastAsia" w:hAnsiTheme="minorEastAsia" w:eastAsiaTheme="minorEastAsia"/>
                <w:color w:val="000000" w:themeColor="text1"/>
                <w:sz w:val="21"/>
                <w:szCs w:val="21"/>
                <w14:textFill>
                  <w14:solidFill>
                    <w14:schemeClr w14:val="tx1"/>
                  </w14:solidFill>
                </w14:textFill>
              </w:rPr>
              <w:t>偏差率</w:t>
            </w:r>
            <w:r>
              <w:rPr>
                <w:rFonts w:asciiTheme="minorEastAsia" w:hAnsiTheme="minorEastAsia" w:eastAsiaTheme="minorEastAsia"/>
                <w:color w:val="000000" w:themeColor="text1"/>
                <w:sz w:val="21"/>
                <w:szCs w:val="21"/>
                <w14:textFill>
                  <w14:solidFill>
                    <w14:schemeClr w14:val="tx1"/>
                  </w14:solidFill>
                </w14:textFill>
              </w:rPr>
              <w:t>=</w:t>
            </w:r>
            <w:r>
              <w:rPr>
                <w:rFonts w:hint="eastAsia" w:cs="Times New Roman" w:asciiTheme="minorEastAsia" w:hAnsiTheme="minorEastAsia" w:eastAsiaTheme="minorEastAsia"/>
                <w:color w:val="000000" w:themeColor="text1"/>
                <w:sz w:val="21"/>
                <w:szCs w:val="21"/>
                <w14:textFill>
                  <w14:solidFill>
                    <w14:schemeClr w14:val="tx1"/>
                  </w14:solidFill>
                </w14:textFill>
              </w:rPr>
              <w:t>（</w:t>
            </w:r>
            <w:r>
              <w:rPr>
                <w:rFonts w:cs="Times New Roman" w:asciiTheme="minorEastAsia" w:hAnsiTheme="minorEastAsia" w:eastAsiaTheme="minorEastAsia"/>
                <w:color w:val="000000" w:themeColor="text1"/>
                <w:sz w:val="21"/>
                <w:szCs w:val="21"/>
                <w14:textFill>
                  <w14:solidFill>
                    <w14:schemeClr w14:val="tx1"/>
                  </w14:solidFill>
                </w14:textFill>
              </w:rPr>
              <w:t>投标报价</w:t>
            </w:r>
            <w:r>
              <w:rPr>
                <w:rFonts w:asciiTheme="minorEastAsia" w:hAnsiTheme="minorEastAsia" w:eastAsiaTheme="minorEastAsia"/>
                <w:color w:val="000000" w:themeColor="text1"/>
                <w:sz w:val="21"/>
                <w:szCs w:val="21"/>
                <w14:textFill>
                  <w14:solidFill>
                    <w14:schemeClr w14:val="tx1"/>
                  </w14:solidFill>
                </w14:textFill>
              </w:rPr>
              <w:t>-</w:t>
            </w:r>
            <w:r>
              <w:rPr>
                <w:rFonts w:cs="Times New Roman" w:asciiTheme="minorEastAsia" w:hAnsiTheme="minorEastAsia" w:eastAsiaTheme="minorEastAsia"/>
                <w:color w:val="000000" w:themeColor="text1"/>
                <w:sz w:val="21"/>
                <w:szCs w:val="21"/>
                <w14:textFill>
                  <w14:solidFill>
                    <w14:schemeClr w14:val="tx1"/>
                  </w14:solidFill>
                </w14:textFill>
              </w:rPr>
              <w:t>评标基准价</w:t>
            </w:r>
            <w:r>
              <w:rPr>
                <w:rFonts w:hint="eastAsia" w:cs="Times New Roman" w:asciiTheme="minorEastAsia" w:hAnsiTheme="minorEastAsia" w:eastAsiaTheme="minorEastAsia"/>
                <w:color w:val="000000" w:themeColor="text1"/>
                <w:sz w:val="21"/>
                <w:szCs w:val="21"/>
                <w14:textFill>
                  <w14:solidFill>
                    <w14:schemeClr w14:val="tx1"/>
                  </w14:solidFill>
                </w14:textFill>
              </w:rPr>
              <w:t>）</w:t>
            </w:r>
            <w:r>
              <w:rPr>
                <w:rFonts w:asciiTheme="minorEastAsia" w:hAnsiTheme="minorEastAsia" w:eastAsiaTheme="minorEastAsia"/>
                <w:color w:val="000000" w:themeColor="text1"/>
                <w:sz w:val="21"/>
                <w:szCs w:val="21"/>
                <w14:textFill>
                  <w14:solidFill>
                    <w14:schemeClr w14:val="tx1"/>
                  </w14:solidFill>
                </w14:textFill>
              </w:rPr>
              <w:t>/</w:t>
            </w:r>
            <w:r>
              <w:rPr>
                <w:rFonts w:cs="Times New Roman" w:asciiTheme="minorEastAsia" w:hAnsiTheme="minorEastAsia" w:eastAsiaTheme="minorEastAsia"/>
                <w:color w:val="000000" w:themeColor="text1"/>
                <w:sz w:val="21"/>
                <w:szCs w:val="21"/>
                <w14:textFill>
                  <w14:solidFill>
                    <w14:schemeClr w14:val="tx1"/>
                  </w14:solidFill>
                </w14:textFill>
              </w:rPr>
              <w:t>评标基准价</w:t>
            </w:r>
            <w:r>
              <w:rPr>
                <w:rFonts w:hint="eastAsia" w:cs="Times New Roman" w:asciiTheme="minorEastAsia" w:hAnsiTheme="minorEastAsia" w:eastAsiaTheme="minorEastAsia"/>
                <w:color w:val="000000" w:themeColor="text1"/>
                <w:sz w:val="21"/>
                <w:szCs w:val="21"/>
                <w14:textFill>
                  <w14:solidFill>
                    <w14:schemeClr w14:val="tx1"/>
                  </w14:solidFill>
                </w14:textFill>
              </w:rPr>
              <w:t>*</w:t>
            </w:r>
            <w:r>
              <w:rPr>
                <w:rFonts w:asciiTheme="minorEastAsia" w:hAnsiTheme="minorEastAsia" w:eastAsiaTheme="minorEastAsia"/>
                <w:color w:val="000000" w:themeColor="text1"/>
                <w:sz w:val="21"/>
                <w:szCs w:val="21"/>
                <w14:textFill>
                  <w14:solidFill>
                    <w14:schemeClr w14:val="tx1"/>
                  </w14:solidFill>
                </w14:textFill>
              </w:rPr>
              <w:t>100</w:t>
            </w:r>
            <w:r>
              <w:rPr>
                <w:rFonts w:cs="Times New Roman" w:asciiTheme="minorEastAsia" w:hAnsiTheme="minorEastAsia" w:eastAsiaTheme="minorEastAsia"/>
                <w:color w:val="000000" w:themeColor="text1"/>
                <w:sz w:val="21"/>
                <w:szCs w:val="21"/>
                <w14:textFill>
                  <w14:solidFill>
                    <w14:schemeClr w14:val="tx1"/>
                  </w14:solidFill>
                </w14:textFill>
              </w:rPr>
              <w:t>％</w:t>
            </w:r>
          </w:p>
        </w:tc>
        <w:tc>
          <w:tcPr>
            <w:tcW w:w="880" w:type="dxa"/>
            <w:vAlign w:val="center"/>
          </w:tcPr>
          <w:p>
            <w:pPr>
              <w:widowControl/>
              <w:spacing w:line="360" w:lineRule="exact"/>
              <w:ind w:firstLine="0" w:firstLineChars="0"/>
              <w:contextualSpacing/>
              <w:rPr>
                <w:rFonts w:cs="Times New Roman" w:asciiTheme="minorEastAsia" w:hAnsiTheme="minorEastAsia" w:eastAsiaTheme="minorEastAsia"/>
                <w:color w:val="000000" w:themeColor="text1"/>
                <w:sz w:val="21"/>
                <w:szCs w:val="21"/>
                <w14:textFill>
                  <w14:solidFill>
                    <w14:schemeClr w14:val="tx1"/>
                  </w14:solidFill>
                </w14:textFill>
              </w:rPr>
            </w:pPr>
            <w:r>
              <w:rPr>
                <w:rFonts w:asciiTheme="minorEastAsia" w:hAnsiTheme="minorEastAsia" w:eastAsiaTheme="minorEastAsia"/>
                <w:color w:val="000000" w:themeColor="text1"/>
                <w:sz w:val="21"/>
                <w:szCs w:val="21"/>
                <w14:textFill>
                  <w14:solidFill>
                    <w14:schemeClr w14:val="tx1"/>
                  </w14:solidFill>
                </w14:textFill>
              </w:rPr>
              <w:t>0-40</w:t>
            </w:r>
            <w:r>
              <w:rPr>
                <w:rFonts w:cs="Times New Roman" w:asciiTheme="minorEastAsia" w:hAnsiTheme="minorEastAsia" w:eastAsiaTheme="minorEastAsia"/>
                <w:color w:val="000000" w:themeColor="text1"/>
                <w:sz w:val="21"/>
                <w:szCs w:val="21"/>
                <w14:textFill>
                  <w14:solidFill>
                    <w14:schemeClr w14:val="tx1"/>
                  </w14:solidFill>
                </w14:textFill>
              </w:rPr>
              <w:t>分</w:t>
            </w:r>
          </w:p>
        </w:tc>
      </w:tr>
    </w:tbl>
    <w:p>
      <w:pPr>
        <w:spacing w:line="360" w:lineRule="auto"/>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3.1</w:t>
      </w:r>
      <w:r>
        <w:rPr>
          <w:rFonts w:hint="eastAsia" w:cs="宋体" w:asciiTheme="minorEastAsia" w:hAnsiTheme="minorEastAsia" w:eastAsiaTheme="minorEastAsia"/>
          <w:color w:val="000000" w:themeColor="text1"/>
          <w:sz w:val="22"/>
          <w:szCs w:val="22"/>
          <w14:textFill>
            <w14:solidFill>
              <w14:schemeClr w14:val="tx1"/>
            </w14:solidFill>
          </w14:textFill>
        </w:rPr>
        <w:t>串标认定</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根据《中华人民共和国招标投标法》、《中华人民共和国招标投标实施条例》文件精神，工程招标投标活动中有下列情形之一的，认定为串通投标行为：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a. </w:t>
      </w:r>
      <w:r>
        <w:rPr>
          <w:rFonts w:hint="eastAsia" w:cs="宋体" w:asciiTheme="minorEastAsia" w:hAnsiTheme="minorEastAsia" w:eastAsiaTheme="minorEastAsia"/>
          <w:color w:val="000000" w:themeColor="text1"/>
          <w:sz w:val="22"/>
          <w:szCs w:val="22"/>
          <w14:textFill>
            <w14:solidFill>
              <w14:schemeClr w14:val="tx1"/>
            </w14:solidFill>
          </w14:textFill>
        </w:rPr>
        <w:t>投标人之间协商投标报价等投标文件的实质性内容；</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b</w:t>
      </w:r>
      <w:r>
        <w:rPr>
          <w:rFonts w:hint="eastAsia" w:cs="宋体" w:asciiTheme="minorEastAsia" w:hAnsiTheme="minorEastAsia" w:eastAsiaTheme="minorEastAsia"/>
          <w:color w:val="000000" w:themeColor="text1"/>
          <w:sz w:val="22"/>
          <w:szCs w:val="22"/>
          <w14:textFill>
            <w14:solidFill>
              <w14:schemeClr w14:val="tx1"/>
            </w14:solidFill>
          </w14:textFill>
        </w:rPr>
        <w:t>．投标人之间约定中标人；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c</w:t>
      </w:r>
      <w:r>
        <w:rPr>
          <w:rFonts w:hint="eastAsia" w:cs="宋体" w:asciiTheme="minorEastAsia" w:hAnsiTheme="minorEastAsia" w:eastAsiaTheme="minorEastAsia"/>
          <w:color w:val="000000" w:themeColor="text1"/>
          <w:sz w:val="22"/>
          <w:szCs w:val="22"/>
          <w14:textFill>
            <w14:solidFill>
              <w14:schemeClr w14:val="tx1"/>
            </w14:solidFill>
          </w14:textFill>
        </w:rPr>
        <w:t>．投标人之间约定部分投标人放弃投标或者中标；</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d</w:t>
      </w:r>
      <w:r>
        <w:rPr>
          <w:rFonts w:hint="eastAsia" w:cs="宋体" w:asciiTheme="minorEastAsia" w:hAnsiTheme="minorEastAsia" w:eastAsiaTheme="minorEastAsia"/>
          <w:color w:val="000000" w:themeColor="text1"/>
          <w:sz w:val="22"/>
          <w:szCs w:val="22"/>
          <w14:textFill>
            <w14:solidFill>
              <w14:schemeClr w14:val="tx1"/>
            </w14:solidFill>
          </w14:textFill>
        </w:rPr>
        <w:t>．属于同一集团、协会、商会等组织成员的投标人按照该组织要求协同投标；</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e</w:t>
      </w:r>
      <w:r>
        <w:rPr>
          <w:rFonts w:hint="eastAsia" w:cs="宋体" w:asciiTheme="minorEastAsia" w:hAnsiTheme="minorEastAsia" w:eastAsiaTheme="minorEastAsia"/>
          <w:color w:val="000000" w:themeColor="text1"/>
          <w:sz w:val="22"/>
          <w:szCs w:val="22"/>
          <w14:textFill>
            <w14:solidFill>
              <w14:schemeClr w14:val="tx1"/>
            </w14:solidFill>
          </w14:textFill>
        </w:rPr>
        <w:t>．投标人之间为谋取中标或者排斥特定投标人而采取的其他联合行动；</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f</w:t>
      </w:r>
      <w:r>
        <w:rPr>
          <w:rFonts w:hint="eastAsia" w:cs="宋体" w:asciiTheme="minorEastAsia" w:hAnsiTheme="minorEastAsia" w:eastAsiaTheme="minorEastAsia"/>
          <w:color w:val="000000" w:themeColor="text1"/>
          <w:sz w:val="22"/>
          <w:szCs w:val="22"/>
          <w14:textFill>
            <w14:solidFill>
              <w14:schemeClr w14:val="tx1"/>
            </w14:solidFill>
          </w14:textFill>
        </w:rPr>
        <w:t>．不同投标人的投标文件由同一单位或者个人编制；</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g</w:t>
      </w:r>
      <w:r>
        <w:rPr>
          <w:rFonts w:hint="eastAsia" w:cs="宋体" w:asciiTheme="minorEastAsia" w:hAnsiTheme="minorEastAsia" w:eastAsiaTheme="minorEastAsia"/>
          <w:color w:val="000000" w:themeColor="text1"/>
          <w:sz w:val="22"/>
          <w:szCs w:val="22"/>
          <w14:textFill>
            <w14:solidFill>
              <w14:schemeClr w14:val="tx1"/>
            </w14:solidFill>
          </w14:textFill>
        </w:rPr>
        <w:t>．不同投标人委托同一单位或者个人办理投标事宜；</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h</w:t>
      </w:r>
      <w:r>
        <w:rPr>
          <w:rFonts w:hint="eastAsia" w:cs="宋体" w:asciiTheme="minorEastAsia" w:hAnsiTheme="minorEastAsia" w:eastAsiaTheme="minorEastAsia"/>
          <w:color w:val="000000" w:themeColor="text1"/>
          <w:sz w:val="22"/>
          <w:szCs w:val="22"/>
          <w14:textFill>
            <w14:solidFill>
              <w14:schemeClr w14:val="tx1"/>
            </w14:solidFill>
          </w14:textFill>
        </w:rPr>
        <w:t>．不同投标人的投标文件载明的项目管理成员为同一人；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i</w:t>
      </w:r>
      <w:r>
        <w:rPr>
          <w:rFonts w:hint="eastAsia" w:cs="宋体" w:asciiTheme="minorEastAsia" w:hAnsiTheme="minorEastAsia" w:eastAsiaTheme="minorEastAsia"/>
          <w:color w:val="000000" w:themeColor="text1"/>
          <w:sz w:val="22"/>
          <w:szCs w:val="22"/>
          <w14:textFill>
            <w14:solidFill>
              <w14:schemeClr w14:val="tx1"/>
            </w14:solidFill>
          </w14:textFill>
        </w:rPr>
        <w:t>．不同投标人的投标文件异常一致或者投标报价呈规律性差异；</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j</w:t>
      </w:r>
      <w:r>
        <w:rPr>
          <w:rFonts w:hint="eastAsia" w:cs="宋体" w:asciiTheme="minorEastAsia" w:hAnsiTheme="minorEastAsia" w:eastAsiaTheme="minorEastAsia"/>
          <w:color w:val="000000" w:themeColor="text1"/>
          <w:sz w:val="22"/>
          <w:szCs w:val="22"/>
          <w14:textFill>
            <w14:solidFill>
              <w14:schemeClr w14:val="tx1"/>
            </w14:solidFill>
          </w14:textFill>
        </w:rPr>
        <w:t>．不同投标人的投标文件相互混装；</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k</w:t>
      </w:r>
      <w:r>
        <w:rPr>
          <w:rFonts w:hint="eastAsia" w:cs="宋体" w:asciiTheme="minorEastAsia" w:hAnsiTheme="minorEastAsia" w:eastAsiaTheme="minorEastAsia"/>
          <w:color w:val="000000" w:themeColor="text1"/>
          <w:sz w:val="22"/>
          <w:szCs w:val="22"/>
          <w14:textFill>
            <w14:solidFill>
              <w14:schemeClr w14:val="tx1"/>
            </w14:solidFill>
          </w14:textFill>
        </w:rPr>
        <w:t>．不同投标人的投标保证金从同一单位或者个人的账户转出；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l</w:t>
      </w:r>
      <w:r>
        <w:rPr>
          <w:rFonts w:hint="eastAsia" w:cs="宋体" w:asciiTheme="minorEastAsia" w:hAnsiTheme="minorEastAsia" w:eastAsiaTheme="minorEastAsia"/>
          <w:color w:val="000000" w:themeColor="text1"/>
          <w:sz w:val="22"/>
          <w:szCs w:val="22"/>
          <w14:textFill>
            <w14:solidFill>
              <w14:schemeClr w14:val="tx1"/>
            </w14:solidFill>
          </w14:textFill>
        </w:rPr>
        <w:t>．招标人在开标前开启投标文件并将有关信息泄露给其他投标人；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m. </w:t>
      </w:r>
      <w:r>
        <w:rPr>
          <w:rFonts w:hint="eastAsia" w:cs="宋体" w:asciiTheme="minorEastAsia" w:hAnsiTheme="minorEastAsia" w:eastAsiaTheme="minorEastAsia"/>
          <w:color w:val="000000" w:themeColor="text1"/>
          <w:sz w:val="22"/>
          <w:szCs w:val="22"/>
          <w14:textFill>
            <w14:solidFill>
              <w14:schemeClr w14:val="tx1"/>
            </w14:solidFill>
          </w14:textFill>
        </w:rPr>
        <w:t>招标人直接或者间接向投标人泄露标底、评标委员会成员等信息；</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n. </w:t>
      </w:r>
      <w:r>
        <w:rPr>
          <w:rFonts w:hint="eastAsia" w:cs="宋体" w:asciiTheme="minorEastAsia" w:hAnsiTheme="minorEastAsia" w:eastAsiaTheme="minorEastAsia"/>
          <w:color w:val="000000" w:themeColor="text1"/>
          <w:sz w:val="22"/>
          <w:szCs w:val="22"/>
          <w14:textFill>
            <w14:solidFill>
              <w14:schemeClr w14:val="tx1"/>
            </w14:solidFill>
          </w14:textFill>
        </w:rPr>
        <w:t>招标人明示或者暗示投标人压低或者抬高投标报价；</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o. </w:t>
      </w:r>
      <w:r>
        <w:rPr>
          <w:rFonts w:hint="eastAsia" w:cs="宋体" w:asciiTheme="minorEastAsia" w:hAnsiTheme="minorEastAsia" w:eastAsiaTheme="minorEastAsia"/>
          <w:color w:val="000000" w:themeColor="text1"/>
          <w:sz w:val="22"/>
          <w:szCs w:val="22"/>
          <w14:textFill>
            <w14:solidFill>
              <w14:schemeClr w14:val="tx1"/>
            </w14:solidFill>
          </w14:textFill>
        </w:rPr>
        <w:t>招标人授意投标人撤换、修改投标文件；</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p. </w:t>
      </w:r>
      <w:r>
        <w:rPr>
          <w:rFonts w:hint="eastAsia" w:cs="宋体" w:asciiTheme="minorEastAsia" w:hAnsiTheme="minorEastAsia" w:eastAsiaTheme="minorEastAsia"/>
          <w:color w:val="000000" w:themeColor="text1"/>
          <w:sz w:val="22"/>
          <w:szCs w:val="22"/>
          <w14:textFill>
            <w14:solidFill>
              <w14:schemeClr w14:val="tx1"/>
            </w14:solidFill>
          </w14:textFill>
        </w:rPr>
        <w:t>招标人明示或者暗示投标人为特定投标人中标提供方便；</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q. </w:t>
      </w:r>
      <w:r>
        <w:rPr>
          <w:rFonts w:hint="eastAsia" w:cs="宋体" w:asciiTheme="minorEastAsia" w:hAnsiTheme="minorEastAsia" w:eastAsiaTheme="minorEastAsia"/>
          <w:color w:val="000000" w:themeColor="text1"/>
          <w:sz w:val="22"/>
          <w:szCs w:val="22"/>
          <w14:textFill>
            <w14:solidFill>
              <w14:schemeClr w14:val="tx1"/>
            </w14:solidFill>
          </w14:textFill>
        </w:rPr>
        <w:t>招标人与投标人为谋求特定投标人中标而采取的其他串通行为。</w:t>
      </w:r>
    </w:p>
    <w:p>
      <w:pPr>
        <w:pStyle w:val="140"/>
        <w:adjustRightInd/>
        <w:spacing w:line="360" w:lineRule="auto"/>
        <w:ind w:firstLine="550" w:firstLineChars="25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3.2 </w:t>
      </w:r>
      <w:r>
        <w:rPr>
          <w:rFonts w:hint="eastAsia" w:cs="宋体" w:asciiTheme="minorEastAsia" w:hAnsiTheme="minorEastAsia" w:eastAsiaTheme="minorEastAsia"/>
          <w:color w:val="000000" w:themeColor="text1"/>
          <w:sz w:val="22"/>
          <w:szCs w:val="22"/>
          <w14:textFill>
            <w14:solidFill>
              <w14:schemeClr w14:val="tx1"/>
            </w14:solidFill>
          </w14:textFill>
        </w:rPr>
        <w:t>评标结果</w:t>
      </w:r>
    </w:p>
    <w:p>
      <w:pPr>
        <w:pStyle w:val="18"/>
        <w:tabs>
          <w:tab w:val="left" w:pos="9360"/>
        </w:tabs>
        <w:spacing w:line="360" w:lineRule="auto"/>
        <w:ind w:firstLine="550" w:firstLineChars="250"/>
        <w:contextualSpacing/>
        <w:jc w:val="both"/>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3.2.1</w:t>
      </w:r>
      <w:r>
        <w:rPr>
          <w:rFonts w:hint="eastAsia" w:cs="宋体" w:asciiTheme="minorEastAsia" w:hAnsiTheme="minorEastAsia" w:eastAsiaTheme="minorEastAsia"/>
          <w:color w:val="000000" w:themeColor="text1"/>
          <w:sz w:val="22"/>
          <w:szCs w:val="22"/>
          <w14:textFill>
            <w14:solidFill>
              <w14:schemeClr w14:val="tx1"/>
            </w14:solidFill>
          </w14:textFill>
        </w:rPr>
        <w:t>评标委员会对通过初步评审、投标人资格审查等且综合得分最高的推荐为第一中标候选人。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评标委员会按照招标文件规定的评审因素和标准对投标人的投标文件进行评审，最终按综合得分（综合得分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资信得分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技术得分</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商务得分）从高到低进行排名，取排名第一的为中标候选人（综合得分相同时以技术标得分高者优先；技术标得分也相同时，以商务报价低者优先；商务报价相同时，以则抽签决定名次）。</w:t>
      </w:r>
    </w:p>
    <w:p>
      <w:pPr>
        <w:pStyle w:val="157"/>
        <w:adjustRightInd/>
        <w:spacing w:line="360" w:lineRule="auto"/>
        <w:ind w:firstLine="440" w:firstLineChars="200"/>
        <w:contextualSpacing/>
        <w:jc w:val="both"/>
        <w:rPr>
          <w:rFonts w:cs="宋体" w:asciiTheme="minorEastAsia" w:hAnsiTheme="minorEastAsia" w:eastAsiaTheme="minorEastAsia"/>
          <w:color w:val="000000" w:themeColor="text1"/>
          <w:sz w:val="22"/>
          <w:szCs w:val="22"/>
          <w14:textFill>
            <w14:solidFill>
              <w14:schemeClr w14:val="tx1"/>
            </w14:solidFill>
          </w14:textFill>
        </w:rPr>
        <w:sectPr>
          <w:pgSz w:w="11906" w:h="16838"/>
          <w:pgMar w:top="1440" w:right="1800" w:bottom="1440" w:left="1417" w:header="851" w:footer="992" w:gutter="0"/>
          <w:cols w:space="0" w:num="1"/>
          <w:docGrid w:type="lines" w:linePitch="312" w:charSpace="0"/>
        </w:sectPr>
      </w:pPr>
      <w:r>
        <w:rPr>
          <w:rFonts w:cs="Times New Roman" w:asciiTheme="minorEastAsia" w:hAnsiTheme="minorEastAsia" w:eastAsiaTheme="minorEastAsia"/>
          <w:color w:val="000000" w:themeColor="text1"/>
          <w:sz w:val="22"/>
          <w:szCs w:val="22"/>
          <w14:textFill>
            <w14:solidFill>
              <w14:schemeClr w14:val="tx1"/>
            </w14:solidFill>
          </w14:textFill>
        </w:rPr>
        <w:t xml:space="preserve">3.2.2 </w:t>
      </w:r>
      <w:r>
        <w:rPr>
          <w:rFonts w:hint="eastAsia" w:cs="宋体" w:asciiTheme="minorEastAsia" w:hAnsiTheme="minorEastAsia" w:eastAsiaTheme="minorEastAsia"/>
          <w:color w:val="000000" w:themeColor="text1"/>
          <w:sz w:val="22"/>
          <w:szCs w:val="22"/>
          <w14:textFill>
            <w14:solidFill>
              <w14:schemeClr w14:val="tx1"/>
            </w14:solidFill>
          </w14:textFill>
        </w:rPr>
        <w:t>评标委员会完成评标后，应当向招标人提交书面评标报告。</w:t>
      </w:r>
    </w:p>
    <w:bookmarkEnd w:id="0"/>
    <w:p>
      <w:pPr>
        <w:pStyle w:val="26"/>
        <w:spacing w:line="420" w:lineRule="exact"/>
        <w:ind w:firstLine="723"/>
        <w:jc w:val="center"/>
        <w:outlineLvl w:val="0"/>
        <w:rPr>
          <w:rFonts w:cs="Times New Roman"/>
          <w:b/>
          <w:bCs/>
          <w:color w:val="000000" w:themeColor="text1"/>
          <w:sz w:val="36"/>
          <w:szCs w:val="36"/>
          <w14:textFill>
            <w14:solidFill>
              <w14:schemeClr w14:val="tx1"/>
            </w14:solidFill>
          </w14:textFill>
        </w:rPr>
      </w:pPr>
      <w:r>
        <w:rPr>
          <w:rFonts w:cs="Times New Roman"/>
          <w:b/>
          <w:bCs/>
          <w:color w:val="000000" w:themeColor="text1"/>
          <w:sz w:val="36"/>
          <w:szCs w:val="36"/>
          <w14:textFill>
            <w14:solidFill>
              <w14:schemeClr w14:val="tx1"/>
            </w14:solidFill>
          </w14:textFill>
        </w:rPr>
        <w:t>四、设计、采购、施工总承包合同条款</w:t>
      </w:r>
    </w:p>
    <w:p>
      <w:pPr>
        <w:pStyle w:val="4"/>
        <w:ind w:firstLine="723"/>
        <w:jc w:val="center"/>
        <w:rPr>
          <w:rFonts w:ascii="Cambria" w:hAnsi="font-weight : 400" w:eastAsia="Times New Roman" w:cs="Times New Roman"/>
          <w:color w:val="000000" w:themeColor="text1"/>
          <w:sz w:val="36"/>
          <w:szCs w:val="36"/>
          <w14:textFill>
            <w14:solidFill>
              <w14:schemeClr w14:val="tx1"/>
            </w14:solidFill>
          </w14:textFill>
        </w:rPr>
      </w:pPr>
      <w:bookmarkStart w:id="5" w:name="_Toc519674380"/>
      <w:r>
        <w:rPr>
          <w:rFonts w:ascii="Cambria" w:hAnsi="font-weight : 400" w:eastAsia="Times New Roman" w:cs="Times New Roman"/>
          <w:color w:val="000000" w:themeColor="text1"/>
          <w:sz w:val="36"/>
          <w:szCs w:val="36"/>
          <w14:textFill>
            <w14:solidFill>
              <w14:schemeClr w14:val="tx1"/>
            </w14:solidFill>
          </w14:textFill>
        </w:rPr>
        <w:t>第一部分</w:t>
      </w:r>
      <w:r>
        <w:rPr>
          <w:rFonts w:ascii="Cambria" w:hAnsi="font-weight : 400" w:eastAsia="Times New Roman" w:cs="Cambria"/>
          <w:color w:val="000000" w:themeColor="text1"/>
          <w:sz w:val="36"/>
          <w:szCs w:val="36"/>
          <w14:textFill>
            <w14:solidFill>
              <w14:schemeClr w14:val="tx1"/>
            </w14:solidFill>
          </w14:textFill>
        </w:rPr>
        <w:t xml:space="preserve"> </w:t>
      </w:r>
      <w:r>
        <w:rPr>
          <w:rFonts w:ascii="Cambria" w:hAnsi="font-weight : 400" w:eastAsia="Times New Roman" w:cs="Times New Roman"/>
          <w:color w:val="000000" w:themeColor="text1"/>
          <w:sz w:val="36"/>
          <w:szCs w:val="36"/>
          <w14:textFill>
            <w14:solidFill>
              <w14:schemeClr w14:val="tx1"/>
            </w14:solidFill>
          </w14:textFill>
        </w:rPr>
        <w:t>通用合同条款</w:t>
      </w:r>
      <w:bookmarkEnd w:id="5"/>
    </w:p>
    <w:p>
      <w:pPr>
        <w:spacing w:line="360" w:lineRule="auto"/>
        <w:ind w:firstLine="402"/>
        <w:rPr>
          <w:rFonts w:ascii="宋体" w:hAnsi="宋体" w:eastAsia="宋体" w:cs="宋体"/>
          <w:b/>
          <w:bCs/>
          <w:color w:val="000000" w:themeColor="text1"/>
          <w:sz w:val="20"/>
          <w:szCs w:val="20"/>
          <w14:textFill>
            <w14:solidFill>
              <w14:schemeClr w14:val="tx1"/>
            </w14:solidFill>
          </w14:textFill>
        </w:rPr>
      </w:pPr>
      <w:bookmarkStart w:id="6" w:name="_Toc472"/>
      <w:r>
        <w:rPr>
          <w:rFonts w:hint="eastAsia" w:ascii="宋体" w:hAnsi="宋体" w:eastAsia="宋体" w:cs="宋体"/>
          <w:b/>
          <w:bCs/>
          <w:color w:val="000000" w:themeColor="text1"/>
          <w:sz w:val="20"/>
          <w:szCs w:val="20"/>
          <w14:textFill>
            <w14:solidFill>
              <w14:schemeClr w14:val="tx1"/>
            </w14:solidFill>
          </w14:textFill>
        </w:rPr>
        <w:t>本合同采用《关于印发简明标准施工招标文件和标准设计施工总承包招标文件的通知》（发改法规〔</w:t>
      </w:r>
      <w:r>
        <w:rPr>
          <w:rFonts w:hAnsi="Cambria"/>
          <w:b/>
          <w:bCs/>
          <w:color w:val="000000" w:themeColor="text1"/>
          <w:sz w:val="20"/>
          <w:szCs w:val="20"/>
          <w14:textFill>
            <w14:solidFill>
              <w14:schemeClr w14:val="tx1"/>
            </w14:solidFill>
          </w14:textFill>
        </w:rPr>
        <w:t>2011</w:t>
      </w:r>
      <w:r>
        <w:rPr>
          <w:rFonts w:hint="eastAsia" w:ascii="宋体" w:hAnsi="宋体" w:eastAsia="宋体" w:cs="宋体"/>
          <w:b/>
          <w:bCs/>
          <w:color w:val="000000" w:themeColor="text1"/>
          <w:sz w:val="20"/>
          <w:szCs w:val="20"/>
          <w14:textFill>
            <w14:solidFill>
              <w14:schemeClr w14:val="tx1"/>
            </w14:solidFill>
          </w14:textFill>
        </w:rPr>
        <w:t>〕</w:t>
      </w:r>
      <w:r>
        <w:rPr>
          <w:rFonts w:hAnsi="Cambria"/>
          <w:b/>
          <w:bCs/>
          <w:color w:val="000000" w:themeColor="text1"/>
          <w:sz w:val="20"/>
          <w:szCs w:val="20"/>
          <w14:textFill>
            <w14:solidFill>
              <w14:schemeClr w14:val="tx1"/>
            </w14:solidFill>
          </w14:textFill>
        </w:rPr>
        <w:t xml:space="preserve">3018 </w:t>
      </w:r>
      <w:r>
        <w:rPr>
          <w:rFonts w:hint="eastAsia" w:ascii="宋体" w:hAnsi="宋体" w:eastAsia="宋体" w:cs="宋体"/>
          <w:b/>
          <w:bCs/>
          <w:color w:val="000000" w:themeColor="text1"/>
          <w:sz w:val="20"/>
          <w:szCs w:val="20"/>
          <w14:textFill>
            <w14:solidFill>
              <w14:schemeClr w14:val="tx1"/>
            </w14:solidFill>
          </w14:textFill>
        </w:rPr>
        <w:t>号文）附件二《中华人民共和国标准设计施工总承包招标文件》（</w:t>
      </w:r>
      <w:r>
        <w:rPr>
          <w:rFonts w:hAnsi="Cambria" w:cs="Times New Roman"/>
          <w:b/>
          <w:bCs/>
          <w:color w:val="000000" w:themeColor="text1"/>
          <w:sz w:val="20"/>
          <w:szCs w:val="20"/>
          <w14:textFill>
            <w14:solidFill>
              <w14:schemeClr w14:val="tx1"/>
            </w14:solidFill>
          </w14:textFill>
        </w:rPr>
        <w:t>2012</w:t>
      </w:r>
      <w:r>
        <w:rPr>
          <w:rFonts w:hint="eastAsia" w:ascii="宋体" w:hAnsi="宋体" w:eastAsia="宋体" w:cs="宋体"/>
          <w:b/>
          <w:bCs/>
          <w:color w:val="000000" w:themeColor="text1"/>
          <w:sz w:val="20"/>
          <w:szCs w:val="20"/>
          <w14:textFill>
            <w14:solidFill>
              <w14:schemeClr w14:val="tx1"/>
            </w14:solidFill>
          </w14:textFill>
        </w:rPr>
        <w:t>年版）第四章合同条款及格式。</w:t>
      </w:r>
      <w:bookmarkEnd w:id="6"/>
      <w:bookmarkStart w:id="7" w:name="_Toc247514197"/>
      <w:bookmarkStart w:id="8" w:name="_Toc247527798"/>
      <w:bookmarkStart w:id="9" w:name="_Toc184635122"/>
      <w:bookmarkStart w:id="10" w:name="_Toc519674381"/>
    </w:p>
    <w:p>
      <w:pPr>
        <w:pStyle w:val="4"/>
        <w:ind w:firstLine="723"/>
        <w:jc w:val="center"/>
        <w:rPr>
          <w:rFonts w:ascii="Cambria" w:hAnsi="font-weight : 400" w:eastAsia="Times New Roman" w:cs="Times New Roman"/>
          <w:color w:val="000000" w:themeColor="text1"/>
          <w:sz w:val="36"/>
          <w:szCs w:val="36"/>
          <w14:textFill>
            <w14:solidFill>
              <w14:schemeClr w14:val="tx1"/>
            </w14:solidFill>
          </w14:textFill>
        </w:rPr>
      </w:pPr>
      <w:r>
        <w:rPr>
          <w:rFonts w:hint="eastAsia" w:ascii="Cambria" w:hAnsi="font-weight : 400" w:eastAsia="Times New Roman" w:cs="Times New Roman"/>
          <w:color w:val="000000" w:themeColor="text1"/>
          <w:sz w:val="36"/>
          <w:szCs w:val="36"/>
          <w14:textFill>
            <w14:solidFill>
              <w14:schemeClr w14:val="tx1"/>
            </w14:solidFill>
          </w14:textFill>
        </w:rPr>
        <w:t>第二部分</w:t>
      </w:r>
      <w:r>
        <w:rPr>
          <w:rFonts w:ascii="Cambria" w:hAnsi="font-weight : 400" w:eastAsia="Times New Roman" w:cs="Times New Roman"/>
          <w:color w:val="000000" w:themeColor="text1"/>
          <w:sz w:val="36"/>
          <w:szCs w:val="36"/>
          <w14:textFill>
            <w14:solidFill>
              <w14:schemeClr w14:val="tx1"/>
            </w14:solidFill>
          </w14:textFill>
        </w:rPr>
        <w:t xml:space="preserve"> </w:t>
      </w:r>
      <w:r>
        <w:rPr>
          <w:rFonts w:hint="eastAsia" w:ascii="Cambria" w:hAnsi="font-weight : 400" w:eastAsia="Times New Roman" w:cs="Times New Roman"/>
          <w:color w:val="000000" w:themeColor="text1"/>
          <w:sz w:val="36"/>
          <w:szCs w:val="36"/>
          <w14:textFill>
            <w14:solidFill>
              <w14:schemeClr w14:val="tx1"/>
            </w14:solidFill>
          </w14:textFill>
        </w:rPr>
        <w:t>专用合同条款</w:t>
      </w:r>
      <w:bookmarkEnd w:id="7"/>
      <w:bookmarkEnd w:id="8"/>
      <w:bookmarkEnd w:id="9"/>
      <w:bookmarkEnd w:id="10"/>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1" w:name="_Toc25507500"/>
      <w:bookmarkStart w:id="12" w:name="_Toc184635123"/>
      <w:bookmarkStart w:id="13" w:name="_Toc247527799"/>
      <w:bookmarkStart w:id="14" w:name="_Toc247514198"/>
      <w:bookmarkStart w:id="15" w:name="_Toc519674471"/>
      <w:r>
        <w:rPr>
          <w:rFonts w:hint="eastAsia" w:ascii="宋体" w:hAnsi="宋体" w:eastAsia="宋体"/>
          <w:color w:val="000000" w:themeColor="text1"/>
          <w:sz w:val="22"/>
          <w:szCs w:val="22"/>
          <w14:textFill>
            <w14:solidFill>
              <w14:schemeClr w14:val="tx1"/>
            </w14:solidFill>
          </w14:textFill>
        </w:rPr>
        <w:t>1. 一般约定</w:t>
      </w:r>
      <w:bookmarkEnd w:id="11"/>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6" w:name="_Toc25507501"/>
      <w:r>
        <w:rPr>
          <w:rFonts w:hint="eastAsia" w:ascii="宋体" w:hAnsi="宋体" w:eastAsia="宋体"/>
          <w:color w:val="000000" w:themeColor="text1"/>
          <w:sz w:val="22"/>
          <w:szCs w:val="22"/>
          <w14:textFill>
            <w14:solidFill>
              <w14:schemeClr w14:val="tx1"/>
            </w14:solidFill>
          </w14:textFill>
        </w:rPr>
        <w:t>1.1 词语定义</w:t>
      </w:r>
      <w:bookmarkEnd w:id="16"/>
    </w:p>
    <w:p>
      <w:pPr>
        <w:ind w:firstLine="431" w:firstLineChars="196"/>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 合同当事人和人员</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1.1.2.1 合同当事人</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1.1.2.2 发包人：</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发包人代表姓名：</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发包人对发包人代表的授权范围如下：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1.1.2.4 承包人项目总负责人</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姓名：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1.1.2.5 设计负责人</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姓名：</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i/>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执业资格证书号：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550" w:firstLineChars="25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550" w:firstLineChars="25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550" w:firstLineChars="25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550" w:firstLineChars="25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550" w:firstLineChars="25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1.1.2.6 施工负责人</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姓名：</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执业资格证书号：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1.1.2.7 采购负责人</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姓名：</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1.1.2.8 分包人：</w:t>
      </w:r>
      <w:r>
        <w:rPr>
          <w:rFonts w:hint="eastAsia" w:ascii="宋体" w:hAnsi="宋体" w:eastAsia="宋体"/>
          <w:color w:val="000000" w:themeColor="text1"/>
          <w:sz w:val="22"/>
          <w:szCs w:val="22"/>
          <w:u w:val="single"/>
          <w14:textFill>
            <w14:solidFill>
              <w14:schemeClr w14:val="tx1"/>
            </w14:solidFill>
          </w14:textFill>
        </w:rPr>
        <w:t xml:space="preserve">                                        </w:t>
      </w:r>
    </w:p>
    <w:p>
      <w:pPr>
        <w:snapToGrid w:val="0"/>
        <w:spacing w:line="320" w:lineRule="exact"/>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1.1.2.9 监理人：</w:t>
      </w:r>
      <w:r>
        <w:rPr>
          <w:rFonts w:hint="eastAsia" w:ascii="宋体" w:hAnsi="宋体" w:eastAsia="宋体"/>
          <w:color w:val="000000" w:themeColor="text1"/>
          <w:sz w:val="22"/>
          <w:szCs w:val="22"/>
          <w:u w:val="single"/>
          <w14:textFill>
            <w14:solidFill>
              <w14:schemeClr w14:val="tx1"/>
            </w14:solidFill>
          </w14:textFill>
        </w:rPr>
        <w:t>是指在专用合同条款中指明的，受发包人委托按照法律规定进行工程监督管理的法人或其他组织。</w:t>
      </w:r>
    </w:p>
    <w:p>
      <w:pPr>
        <w:ind w:firstLine="660" w:firstLineChars="30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1.1.2.10总监理工程师</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姓名：</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执业资格证书号：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身份证号：</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职务：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联系电话：</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电子信箱：</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 xml:space="preserve"> ；</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通信地址：</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31" w:firstLineChars="196"/>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1.1.3 工程和设备</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1.1.3.10 永久占地：</w:t>
      </w:r>
      <w:r>
        <w:rPr>
          <w:rFonts w:hint="eastAsia" w:ascii="宋体" w:hAnsi="宋体" w:eastAsia="宋体"/>
          <w:color w:val="000000" w:themeColor="text1"/>
          <w:sz w:val="22"/>
          <w:szCs w:val="22"/>
          <w:u w:val="single"/>
          <w14:textFill>
            <w14:solidFill>
              <w14:schemeClr w14:val="tx1"/>
            </w14:solidFill>
          </w14:textFill>
        </w:rPr>
        <w:t>以发包人提供的图纸内的范围为准。</w:t>
      </w:r>
    </w:p>
    <w:p>
      <w:pPr>
        <w:ind w:firstLine="660" w:firstLineChars="30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1.1.3.11 临时占地：</w:t>
      </w:r>
      <w:r>
        <w:rPr>
          <w:rFonts w:hint="eastAsia" w:ascii="宋体" w:hAnsi="宋体" w:eastAsia="宋体"/>
          <w:color w:val="000000" w:themeColor="text1"/>
          <w:sz w:val="22"/>
          <w:szCs w:val="22"/>
          <w:u w:val="single"/>
          <w14:textFill>
            <w14:solidFill>
              <w14:schemeClr w14:val="tx1"/>
            </w14:solidFill>
          </w14:textFill>
        </w:rPr>
        <w:t>双方在合同履行过程中确定。</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7" w:name="_Toc25507502"/>
      <w:r>
        <w:rPr>
          <w:rFonts w:hint="eastAsia" w:ascii="宋体" w:hAnsi="宋体" w:eastAsia="宋体"/>
          <w:color w:val="000000" w:themeColor="text1"/>
          <w:sz w:val="22"/>
          <w:szCs w:val="22"/>
          <w14:textFill>
            <w14:solidFill>
              <w14:schemeClr w14:val="tx1"/>
            </w14:solidFill>
          </w14:textFill>
        </w:rPr>
        <w:t>1.4 合同文件的优先顺序</w:t>
      </w:r>
      <w:bookmarkEnd w:id="17"/>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     合同文件组成及优先顺序为：</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（1）合同协议书；</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（2）中标通知书；</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（3）投标函及投标函附录；</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（4）专用合同条款；</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（5）通用合同条款；</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（6）发包人要求；</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（7）承包人建议书；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（8）价格清单；</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（9）其他合同文件。   </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8" w:name="_Toc25507503"/>
      <w:r>
        <w:rPr>
          <w:rFonts w:hint="eastAsia" w:ascii="宋体" w:hAnsi="宋体" w:eastAsia="宋体"/>
          <w:color w:val="000000" w:themeColor="text1"/>
          <w:sz w:val="22"/>
          <w:szCs w:val="22"/>
          <w14:textFill>
            <w14:solidFill>
              <w14:schemeClr w14:val="tx1"/>
            </w14:solidFill>
          </w14:textFill>
        </w:rPr>
        <w:t>1.6文件的提供和照管</w:t>
      </w:r>
      <w:bookmarkEnd w:id="18"/>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    1.6.1 承包人文件的提供的期限、数量和形式</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承包人应按发包人所要求的内容和份数编制提交相关项目进度报告、报表、方案，应包括但不限于：</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1.6.1.1各类进度计划文件：包括设计及前期工作进度计划、采购进度计划、分包计划、施工进度计划（含再分包及分包施工内容），并配进度进化网络图表及相关详细说明；项目资金使用计划以及赶工措施等。</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1.6.1.2设计文件：扩初设计文本（如有），施工图设计文本（含各专业图纸）等，以上文本均为正式的经批复或经审查的文本。</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1.6.1.3各类采购文件：包括需要工程总承包单位组织实施的采购招标方案及招标文件（如有）等。</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1.6.1.4各类施工文件：包括总体施工组织设计和主要分部分项工程的施工组织设计，主要生产工艺技术（含专利技术、专有技术、工艺包）以及施工组织要点。</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1.6.1.5各类质量文件：包括中间验收、隐蔽验收、竣工验收的所有资料、主要材料的检验试验报告、质量生产合格证及相关的质量认证；重要设备的生产合格证、使用操作手册及操作人员的培训方案等；</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1.6.1.6各类安全文件：包括对环境和公共关系有危害的任何事件和活动的详细情况及措施；</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1.6.1.7工程总承包管理方案：包括管理人员，岗位责任，管理制度，实施细则，协调措施等。</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1.6.1.8其他招标人所需要的文件。</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1.6.1.9主要相关报表及文件，所需要的份数</w:t>
      </w:r>
    </w:p>
    <w:tbl>
      <w:tblPr>
        <w:tblStyle w:val="45"/>
        <w:tblW w:w="876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9"/>
        <w:gridCol w:w="6836"/>
        <w:gridCol w:w="12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5" w:hRule="atLeast"/>
          <w:tblHeader/>
          <w:jc w:val="center"/>
        </w:trPr>
        <w:tc>
          <w:tcPr>
            <w:tcW w:w="709" w:type="dxa"/>
            <w:vAlign w:val="center"/>
          </w:tcPr>
          <w:p>
            <w:pPr>
              <w:spacing w:line="240" w:lineRule="atLeas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序号</w:t>
            </w:r>
          </w:p>
        </w:tc>
        <w:tc>
          <w:tcPr>
            <w:tcW w:w="6836" w:type="dxa"/>
            <w:vAlign w:val="center"/>
          </w:tcPr>
          <w:p>
            <w:pPr>
              <w:spacing w:line="240" w:lineRule="atLeas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报表及文件名称</w:t>
            </w:r>
          </w:p>
        </w:tc>
        <w:tc>
          <w:tcPr>
            <w:tcW w:w="1221" w:type="dxa"/>
            <w:vAlign w:val="center"/>
          </w:tcPr>
          <w:p>
            <w:pPr>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份数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一</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各类进度计划</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项目建设总体进度计划图表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设计及前期工作进度计划图表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采购进度计划图表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施工进度计划图表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分包进场及施工计划图表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重要材料、设备使用计划表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7</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施工人力资源计划一览表（总体、年度、季度、月度）</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8</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主要施工机具资源计划</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9</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项目建设资金使用计划表（年度、季度、月度）</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每月提交月工程的进度报表</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每月提交工程进度款支付申请</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二</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各类设计文件</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扩初设计文本送审稿（满足审批需要）及审批后合格文本（如有，10份）</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施工图设计文本送审稿（满足审查需要）及审批后合格文本（15份）</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所有设计电子版本</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整个施工期间的设计服务方案</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三</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各类采购文件</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四</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各类施工文件</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总体施工组织设计</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主要分部分项工程的施工组织设计</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主要生产工艺技术</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工程物资保管、维护、保养方案</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临时占地资料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施工组织要点</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五</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各类质量文件</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中间验收相关资料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隐蔽验收相关资料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竣工验收相关资料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竣工试验方案</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重要材料的相关资料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重要设备的相关资料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六</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各类安全文件</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职业健康、安全、环境保护管理实施计划</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现场安全管理措施</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七</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总承包管理方案</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709" w:type="dxa"/>
            <w:vAlign w:val="center"/>
          </w:tcPr>
          <w:p>
            <w:pPr>
              <w:spacing w:line="240" w:lineRule="exact"/>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八</w:t>
            </w:r>
          </w:p>
        </w:tc>
        <w:tc>
          <w:tcPr>
            <w:tcW w:w="6836" w:type="dxa"/>
            <w:vAlign w:val="center"/>
          </w:tcPr>
          <w:p>
            <w:pPr>
              <w:snapToGrid w:val="0"/>
              <w:spacing w:line="24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其他招标人及发包人要求需要的资料</w:t>
            </w:r>
          </w:p>
        </w:tc>
        <w:tc>
          <w:tcPr>
            <w:tcW w:w="1221" w:type="dxa"/>
          </w:tcPr>
          <w:p>
            <w:pPr>
              <w:snapToGrid w:val="0"/>
              <w:ind w:firstLine="440"/>
              <w:jc w:val="center"/>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w:t>
            </w:r>
          </w:p>
        </w:tc>
      </w:tr>
    </w:tbl>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备注：施工进度计划要求按经审查合格的施工图编制，详细到具体工序节点和时间，人员、设备投入数，验收流程及资料报送节点等。</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1.6.1.9相关说明</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1.6.1.9.1项目相关进度计划包括关键路径及关键路径变化,承包人编制的项目进度计划，其中施工期限须符合合同协议书的约定，经发包人批准后实施。发包人的批准并不能解除承包人的合同责任。承包人原因使工程实际进度明显落后于项目进度计划时，承包人有义务、发包人也有权利要求承包人自费采取措施，赶上项目进度计划。</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1.6.1.9.2承包人提交的施工进度计划形式应包括关键线路网络计划图和横道进度计划图，要求能明示其施工前期的准备、施工阶段和施工顺序，以及每一进度阶段的预计时间，进度计划中还应预留冬季、雨季停工时间。还应显示出承包人及其分包人及交叉施工部分的每一工序的顺序及工期，特别是以下的数据：</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(1)各工种在工程各部位施工的进度要求说明；</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(2)重要的现场外工作，例如由承包人或分包人进行的有关构件预制件（如有）生产，连同预计各工作所需的时间；</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(3)自行分包招标及进场时间，材料设备采购及到货时间；</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(4)为保证施工进度计划正常运作，承包人认为需要由其他人提供的数据、批准、供应或材料设备，需要此等数据、资料或工作配合的细部工作均须明确标明；</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(5)承包人负责专业工程深化设计，应为发包人、监理工程师及/或政府有关部门审批预留合理的时间，并为再次提交及随后发包人、监理工程师及/或政府有关部门的</w:t>
      </w:r>
      <w:r>
        <w:rPr>
          <w:rFonts w:hint="eastAsia" w:ascii="宋体" w:hAnsi="宋体" w:eastAsia="宋体"/>
          <w:bCs/>
          <w:color w:val="000000" w:themeColor="text1"/>
          <w:sz w:val="22"/>
          <w:szCs w:val="22"/>
          <w:u w:val="single"/>
          <w14:textFill>
            <w14:solidFill>
              <w14:schemeClr w14:val="tx1"/>
            </w14:solidFill>
          </w14:textFill>
        </w:rPr>
        <w:t>审批所需的时间预留弹性时间</w:t>
      </w:r>
      <w:r>
        <w:rPr>
          <w:rFonts w:hint="eastAsia" w:ascii="宋体" w:hAnsi="宋体" w:eastAsia="宋体"/>
          <w:bCs/>
          <w:color w:val="000000" w:themeColor="text1"/>
          <w:sz w:val="22"/>
          <w:szCs w:val="22"/>
          <w14:textFill>
            <w14:solidFill>
              <w14:schemeClr w14:val="tx1"/>
            </w14:solidFill>
          </w14:textFill>
        </w:rPr>
        <w:t xml:space="preserve">； </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(6)临时工程及设施拆卸方法及次序。</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(7)施工期间承包人应按发包人要求编制工程进度表，包括督促和汇总各分包人提交的进度表。进度表应包括本月完成情况及下月计划，具体内容如下：</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1)采用关键线路网络图或工程进度横道图形式，进度报表应能清楚显示整体工程及各分部分项工程的形象进度；并说明工程进度情况，提前或拖后，若存在进度拖后，承包人应同时提供相应的赶工补救措施；</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2)现场各工种人员（包括施工管理人员及作业人员）配置及变动情况；</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3)现场材料设备进场情况及计划进场情况；</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4)现场施工机械设备配备及变动情况；</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5)现场进度照片，并需附有概括工程进度的说明（包括分包工程）。</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(8)承包人应及时向发包人和监理工程师报告已经出现的或可能出现的施工或材料供应延误。</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1.6.1.9.3总体施工方案是承包人向发包人代表和监理工程师提交、适合于整个工程的施工组织设计和主要工序的施工方案，以供发包人和监理工程师批准。该施工方案须包括（但不限于）下列各项：</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(1)现有已完工程需要拆除的方案；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(2)临时工程、脚手架及其后的拆卸方案；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(3)临时通道及工作空间的要求，场地布置图；</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(4)各部分永久工程的施工方案以及需要其他专业（比如智能化）配合施工的方案；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(5)施工现场内所采用的垂直及水平运输设备；</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(6)施工机械用表，显示各机械的操作位置、型号、功率及施工高峰期使用数量；</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(7)冬、雨季施工方案；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(8)恶劣天气等各种不利条件因素下的应对措施和方案；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 xml:space="preserve">(9)建议采用的专利设计及其施工方案（如有）的说明书或目录册； </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(10)施工质量保证方案及工地保安方案。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施工过程中，发包人和监理工程师有权要求承包人随时提交发包人或监理工程师认为必要的关于施工组织设计和施工方案的任何说明或文件，对此类指示，承包人应遵照执行。</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1.6.1.9.4承包人未按本合同第1.6.1.1-1.6.1.4条的约定提交相关报表、方案、报告等的，发包人可限期要求承包人整改，承包人限期不整改的，承包人应按人民币1万元/次向发包人支付违约金，发包人有权在进度款或结算款中直接扣除。</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16.1.9.5监理人和发包人对承包人文件的审查并不减轻或免除承包人根据合同约定应当承担的责任。</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1.6.2 发包人提供的文件期限、数量和形式</w:t>
      </w:r>
      <w:bookmarkStart w:id="19" w:name="_Ref4415170"/>
      <w:bookmarkStart w:id="20" w:name="_Toc20171729"/>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bCs/>
          <w:color w:val="000000" w:themeColor="text1"/>
          <w:sz w:val="22"/>
          <w:szCs w:val="22"/>
          <w:u w:val="single"/>
          <w14:textFill>
            <w14:solidFill>
              <w14:schemeClr w14:val="tx1"/>
            </w14:solidFill>
          </w14:textFill>
        </w:rPr>
        <w:t>合同签订后7天内，发包人向承包人提供一式 2 份前期工作相关文件；具体相关文件内容由发包人在合同签订时填写明确。</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1" w:name="_Toc25507504"/>
      <w:r>
        <w:rPr>
          <w:rFonts w:hint="eastAsia" w:ascii="宋体" w:hAnsi="宋体" w:eastAsia="宋体"/>
          <w:color w:val="000000" w:themeColor="text1"/>
          <w:sz w:val="22"/>
          <w:szCs w:val="22"/>
          <w14:textFill>
            <w14:solidFill>
              <w14:schemeClr w14:val="tx1"/>
            </w14:solidFill>
          </w14:textFill>
        </w:rPr>
        <w:t>1.7联络</w:t>
      </w:r>
      <w:bookmarkEnd w:id="19"/>
      <w:bookmarkEnd w:id="20"/>
      <w:bookmarkEnd w:id="21"/>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1.7.2 第1.7.1 项中的通知、批准、证明、证书、指示、要求、请求、同意、意见、确定和决定等来往函件，均应在合同约定的期限内送达指定的地点和指定的接收人，并办理签收手续。</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（1）送达期限：</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autoSpaceDE w:val="0"/>
        <w:autoSpaceDN w:val="0"/>
        <w:adjustRightInd w:val="0"/>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（2）发包人接收文件的地点：</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autoSpaceDE w:val="0"/>
        <w:autoSpaceDN w:val="0"/>
        <w:adjustRightInd w:val="0"/>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（3）发包人指定的接收人为：</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autoSpaceDE w:val="0"/>
        <w:autoSpaceDN w:val="0"/>
        <w:adjustRightInd w:val="0"/>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（4）承包人接收文件的地点：</w:t>
      </w:r>
      <w:r>
        <w:rPr>
          <w:rFonts w:ascii="宋体" w:hAnsi="宋体" w:eastAsia="宋体"/>
          <w:color w:val="000000" w:themeColor="text1"/>
          <w:sz w:val="22"/>
          <w:szCs w:val="22"/>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autoSpaceDE w:val="0"/>
        <w:autoSpaceDN w:val="0"/>
        <w:adjustRightInd w:val="0"/>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（5）承包人指定的接收人为：</w:t>
      </w:r>
      <w:r>
        <w:rPr>
          <w:rFonts w:ascii="宋体" w:hAnsi="宋体" w:eastAsia="宋体"/>
          <w:color w:val="000000" w:themeColor="text1"/>
          <w:sz w:val="22"/>
          <w:szCs w:val="22"/>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autoSpaceDE w:val="0"/>
        <w:autoSpaceDN w:val="0"/>
        <w:adjustRightInd w:val="0"/>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（6）监理人接收文件的地点：</w:t>
      </w:r>
      <w:r>
        <w:rPr>
          <w:rFonts w:ascii="宋体" w:hAnsi="宋体" w:eastAsia="宋体"/>
          <w:color w:val="000000" w:themeColor="text1"/>
          <w:sz w:val="22"/>
          <w:szCs w:val="22"/>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（7）监理人指定的接收人为：</w:t>
      </w:r>
      <w:r>
        <w:rPr>
          <w:rFonts w:ascii="宋体" w:hAnsi="宋体" w:eastAsia="宋体"/>
          <w:color w:val="000000" w:themeColor="text1"/>
          <w:sz w:val="22"/>
          <w:szCs w:val="22"/>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2" w:name="_Toc25507505"/>
      <w:r>
        <w:rPr>
          <w:rFonts w:hint="eastAsia" w:ascii="宋体" w:hAnsi="宋体" w:eastAsia="宋体"/>
          <w:color w:val="000000" w:themeColor="text1"/>
          <w:sz w:val="22"/>
          <w:szCs w:val="22"/>
          <w14:textFill>
            <w14:solidFill>
              <w14:schemeClr w14:val="tx1"/>
            </w14:solidFill>
          </w14:textFill>
        </w:rPr>
        <w:t>1.11知识产权</w:t>
      </w:r>
      <w:bookmarkEnd w:id="22"/>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1.11.1对承包人为实施工程所编制的文件、承包人完成的设计工作成果和建造完成的建筑物的约定   </w:t>
      </w:r>
      <w:r>
        <w:rPr>
          <w:rFonts w:hint="eastAsia" w:ascii="宋体" w:hAnsi="宋体" w:eastAsia="宋体"/>
          <w:color w:val="000000" w:themeColor="text1"/>
          <w:sz w:val="22"/>
          <w:szCs w:val="22"/>
          <w:u w:val="single"/>
          <w14:textFill>
            <w14:solidFill>
              <w14:schemeClr w14:val="tx1"/>
            </w14:solidFill>
          </w14:textFill>
        </w:rPr>
        <w:t xml:space="preserve">                                                                    </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3" w:name="_Toc25507507"/>
      <w:r>
        <w:rPr>
          <w:rFonts w:hint="eastAsia" w:ascii="宋体" w:hAnsi="宋体" w:eastAsia="宋体"/>
          <w:color w:val="000000" w:themeColor="text1"/>
          <w:sz w:val="22"/>
          <w:szCs w:val="22"/>
          <w14:textFill>
            <w14:solidFill>
              <w14:schemeClr w14:val="tx1"/>
            </w14:solidFill>
          </w14:textFill>
        </w:rPr>
        <w:t>2．发包人义务</w:t>
      </w:r>
      <w:bookmarkEnd w:id="23"/>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4" w:name="_Toc25507508"/>
      <w:r>
        <w:rPr>
          <w:rFonts w:hint="eastAsia" w:ascii="宋体" w:hAnsi="宋体" w:eastAsia="宋体"/>
          <w:color w:val="000000" w:themeColor="text1"/>
          <w:sz w:val="22"/>
          <w:szCs w:val="22"/>
          <w14:textFill>
            <w14:solidFill>
              <w14:schemeClr w14:val="tx1"/>
            </w14:solidFill>
          </w14:textFill>
        </w:rPr>
        <w:t>2.3 提供施工场地</w:t>
      </w:r>
      <w:bookmarkEnd w:id="24"/>
    </w:p>
    <w:p>
      <w:pPr>
        <w:adjustRightInd w:val="0"/>
        <w:snapToGrid w:val="0"/>
        <w:spacing w:line="32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发包人应向承包人提供施工场地及进场施工条件：</w:t>
      </w:r>
    </w:p>
    <w:p>
      <w:pPr>
        <w:adjustRightInd w:val="0"/>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（1）永久占地的范围和面积：以发包人提供的</w:t>
      </w:r>
      <w:r>
        <w:rPr>
          <w:rFonts w:hint="eastAsia" w:ascii="宋体" w:hAnsi="宋体" w:eastAsia="宋体"/>
          <w:bCs/>
          <w:color w:val="000000" w:themeColor="text1"/>
          <w:sz w:val="22"/>
          <w:szCs w:val="22"/>
          <w14:textFill>
            <w14:solidFill>
              <w14:schemeClr w14:val="tx1"/>
            </w14:solidFill>
          </w14:textFill>
        </w:rPr>
        <w:t>规划</w:t>
      </w:r>
      <w:r>
        <w:rPr>
          <w:rFonts w:ascii="宋体" w:hAnsi="宋体" w:eastAsia="宋体"/>
          <w:bCs/>
          <w:color w:val="000000" w:themeColor="text1"/>
          <w:sz w:val="22"/>
          <w:szCs w:val="22"/>
          <w14:textFill>
            <w14:solidFill>
              <w14:schemeClr w14:val="tx1"/>
            </w14:solidFill>
          </w14:textFill>
        </w:rPr>
        <w:t>文件</w:t>
      </w:r>
      <w:r>
        <w:rPr>
          <w:rFonts w:hint="eastAsia" w:ascii="宋体" w:hAnsi="宋体" w:eastAsia="宋体"/>
          <w:bCs/>
          <w:color w:val="000000" w:themeColor="text1"/>
          <w:sz w:val="22"/>
          <w:szCs w:val="22"/>
          <w14:textFill>
            <w14:solidFill>
              <w14:schemeClr w14:val="tx1"/>
            </w14:solidFill>
          </w14:textFill>
        </w:rPr>
        <w:t>以及图纸范围</w:t>
      </w:r>
      <w:r>
        <w:rPr>
          <w:rFonts w:ascii="宋体" w:hAnsi="宋体" w:eastAsia="宋体"/>
          <w:bCs/>
          <w:color w:val="000000" w:themeColor="text1"/>
          <w:sz w:val="22"/>
          <w:szCs w:val="22"/>
          <w14:textFill>
            <w14:solidFill>
              <w14:schemeClr w14:val="tx1"/>
            </w14:solidFill>
          </w14:textFill>
        </w:rPr>
        <w:t>为准。</w:t>
      </w:r>
    </w:p>
    <w:p>
      <w:pPr>
        <w:adjustRightInd w:val="0"/>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（2）临时占地的范围和面积：不提供</w:t>
      </w:r>
      <w:r>
        <w:rPr>
          <w:rFonts w:hint="eastAsia" w:ascii="宋体" w:hAnsi="宋体" w:eastAsia="宋体"/>
          <w:bCs/>
          <w:color w:val="000000" w:themeColor="text1"/>
          <w:sz w:val="22"/>
          <w:szCs w:val="22"/>
          <w14:textFill>
            <w14:solidFill>
              <w14:schemeClr w14:val="tx1"/>
            </w14:solidFill>
          </w14:textFill>
        </w:rPr>
        <w:t>，如工程需要临时占地的，由承包人依法提出申请手续及承担相关费用。</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（3）</w:t>
      </w:r>
      <w:r>
        <w:rPr>
          <w:rFonts w:hint="eastAsia" w:ascii="宋体" w:hAnsi="宋体" w:eastAsia="宋体"/>
          <w:bCs/>
          <w:color w:val="000000" w:themeColor="text1"/>
          <w:sz w:val="22"/>
          <w:szCs w:val="22"/>
          <w14:textFill>
            <w14:solidFill>
              <w14:schemeClr w14:val="tx1"/>
            </w14:solidFill>
          </w14:textFill>
        </w:rPr>
        <w:t>施工场地应具备的施工条件及提供的时间：根据经发包人审查批准的施工组织设计，由承包人自行准备三通一平。施工场地以现场实际情况为准。</w:t>
      </w:r>
    </w:p>
    <w:p>
      <w:pPr>
        <w:adjustRightInd w:val="0"/>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（4）</w:t>
      </w:r>
      <w:r>
        <w:rPr>
          <w:rFonts w:hint="eastAsia" w:ascii="宋体" w:hAnsi="宋体" w:eastAsia="宋体"/>
          <w:bCs/>
          <w:color w:val="000000" w:themeColor="text1"/>
          <w:sz w:val="22"/>
          <w:szCs w:val="22"/>
          <w14:textFill>
            <w14:solidFill>
              <w14:schemeClr w14:val="tx1"/>
            </w14:solidFill>
          </w14:textFill>
        </w:rPr>
        <w:t>完成施工所需水、电、红线位置的时间及地点：施工进场前施工用电、用水报装由发包人提供工程红线范围内的接入点，承包人自行铺设至施工现场，相关费用自行承担。</w:t>
      </w:r>
    </w:p>
    <w:p>
      <w:pPr>
        <w:adjustRightInd w:val="0"/>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（5）施工场地外部道路通行权提供时间和要求：发包人协助承包人开通施工场地与紧邻公共道路的通道，承包人自行承担城区道路、收费道路通行所需要办理的各项手续以满足施工运输的需要</w:t>
      </w:r>
      <w:r>
        <w:rPr>
          <w:rFonts w:hint="eastAsia" w:ascii="宋体" w:hAnsi="宋体" w:eastAsia="宋体"/>
          <w:bCs/>
          <w:color w:val="000000" w:themeColor="text1"/>
          <w:sz w:val="22"/>
          <w:szCs w:val="22"/>
          <w14:textFill>
            <w14:solidFill>
              <w14:schemeClr w14:val="tx1"/>
            </w14:solidFill>
          </w14:textFill>
        </w:rPr>
        <w:t>，并承担费用</w:t>
      </w:r>
      <w:r>
        <w:rPr>
          <w:rFonts w:ascii="宋体" w:hAnsi="宋体" w:eastAsia="宋体"/>
          <w:bCs/>
          <w:color w:val="000000" w:themeColor="text1"/>
          <w:sz w:val="22"/>
          <w:szCs w:val="22"/>
          <w14:textFill>
            <w14:solidFill>
              <w14:schemeClr w14:val="tx1"/>
            </w14:solidFill>
          </w14:textFill>
        </w:rPr>
        <w:t>。</w:t>
      </w:r>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（6）施工场地内工程地质、地下管线、地下设施等有关资料的提供时间和要求：</w:t>
      </w:r>
      <w:r>
        <w:rPr>
          <w:rFonts w:hint="eastAsia" w:ascii="宋体" w:hAnsi="宋体" w:eastAsia="宋体"/>
          <w:bCs/>
          <w:color w:val="000000" w:themeColor="text1"/>
          <w:sz w:val="22"/>
          <w:szCs w:val="22"/>
          <w14:textFill>
            <w14:solidFill>
              <w14:schemeClr w14:val="tx1"/>
            </w14:solidFill>
          </w14:textFill>
        </w:rPr>
        <w:t>发包人应在开始工作前向承包人提供施工场地已有的工程地质和地下管线资料（如有），但由于资料涉及多个部门，准确性难以保证，资料仅作为重要危险源或者重要保护物的提示性作用，承包人在使用上述资料时应当慎重，对重要的管线、重要保护物、危险源区域进行施工时应当进行采取人工槽探或物探方式进行管线排查，防止资料标示位置与实际出现偏移或错误，确保重要保护对象的绝对安全。承包人在施工前应对地上、地下管线及邻近建（构）筑物、设施情况自行探测、调查、勘核，施工过程中承包人应采取有效措施保护地上、地下管线及邻近建（构）筑物和设施的安全，积极进行管线方面的协调工作，费用包含在合同总价中。施工过程中若因施工原因对地上、地下管线及邻近建（构）筑物和设施造成损坏，承包人须承担全部责任。发包人可以提供现有本幢建筑物已经完工内容的图纸，如图纸与现场情况不一致的风险由承包人自行承担，承包人如利用此图纸的必须与现场进行核对。</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（7）在中标通知书发出后一周内，双方代表应做好地块现场的交验工作并签字确认。</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5" w:name="_Toc25507509"/>
      <w:r>
        <w:rPr>
          <w:rFonts w:hint="eastAsia" w:ascii="宋体" w:hAnsi="宋体" w:eastAsia="宋体"/>
          <w:color w:val="000000" w:themeColor="text1"/>
          <w:sz w:val="22"/>
          <w:szCs w:val="22"/>
          <w14:textFill>
            <w14:solidFill>
              <w14:schemeClr w14:val="tx1"/>
            </w14:solidFill>
          </w14:textFill>
        </w:rPr>
        <w:t>2.4 办理证件和批件</w:t>
      </w:r>
      <w:bookmarkEnd w:id="25"/>
    </w:p>
    <w:p>
      <w:pPr>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双发约定</w:t>
      </w:r>
      <w:r>
        <w:rPr>
          <w:rFonts w:hint="eastAsia" w:ascii="宋体" w:hAnsi="宋体" w:eastAsia="宋体"/>
          <w:bCs/>
          <w:color w:val="000000" w:themeColor="text1"/>
          <w:sz w:val="22"/>
          <w:szCs w:val="22"/>
          <w:u w:val="single"/>
          <w14:textFill>
            <w14:solidFill>
              <w14:schemeClr w14:val="tx1"/>
            </w14:solidFill>
          </w14:textFill>
        </w:rPr>
        <w:t>：法律规定和（或）合同约定由发包人负责办理的工程建设项目必须履行的各类审批、核准或备案手续，由发包人办理，承包人应及时协助发包人办理；由此产生的费用已包含在承包人的合同总价内。</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6" w:name="_Toc25507510"/>
      <w:r>
        <w:rPr>
          <w:rFonts w:hint="eastAsia" w:ascii="宋体" w:hAnsi="宋体" w:eastAsia="宋体"/>
          <w:color w:val="000000" w:themeColor="text1"/>
          <w:sz w:val="22"/>
          <w:szCs w:val="22"/>
          <w14:textFill>
            <w14:solidFill>
              <w14:schemeClr w14:val="tx1"/>
            </w14:solidFill>
          </w14:textFill>
        </w:rPr>
        <w:t>2.5 支付合同价款</w:t>
      </w:r>
      <w:bookmarkEnd w:id="26"/>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发包人工程款支付担保的约定： </w:t>
      </w:r>
      <w:r>
        <w:rPr>
          <w:rFonts w:hint="eastAsia" w:ascii="宋体" w:hAnsi="宋体" w:eastAsia="宋体"/>
          <w:color w:val="000000" w:themeColor="text1"/>
          <w:sz w:val="22"/>
          <w:szCs w:val="22"/>
          <w:u w:val="single"/>
          <w14:textFill>
            <w14:solidFill>
              <w14:schemeClr w14:val="tx1"/>
            </w14:solidFill>
          </w14:textFill>
        </w:rPr>
        <w:t xml:space="preserve">                        /                   </w:t>
      </w:r>
      <w:r>
        <w:rPr>
          <w:rFonts w:hint="eastAsia" w:ascii="宋体" w:hAnsi="宋体" w:eastAsia="宋体"/>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7" w:name="_Toc25507511"/>
      <w:r>
        <w:rPr>
          <w:rFonts w:hint="eastAsia" w:ascii="宋体" w:hAnsi="宋体" w:eastAsia="宋体"/>
          <w:color w:val="000000" w:themeColor="text1"/>
          <w:sz w:val="22"/>
          <w:szCs w:val="22"/>
          <w14:textFill>
            <w14:solidFill>
              <w14:schemeClr w14:val="tx1"/>
            </w14:solidFill>
          </w14:textFill>
        </w:rPr>
        <w:t>2.7 其他义务</w:t>
      </w:r>
      <w:bookmarkEnd w:id="27"/>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发包人应履行合同的其他义务：</w:t>
      </w:r>
      <w:r>
        <w:rPr>
          <w:rFonts w:hint="eastAsia" w:ascii="宋体" w:hAnsi="宋体" w:eastAsia="宋体"/>
          <w:color w:val="000000" w:themeColor="text1"/>
          <w:sz w:val="22"/>
          <w:szCs w:val="22"/>
          <w:u w:val="single"/>
          <w14:textFill>
            <w14:solidFill>
              <w14:schemeClr w14:val="tx1"/>
            </w14:solidFill>
          </w14:textFill>
        </w:rPr>
        <w:t xml:space="preserve">            /                               </w:t>
      </w:r>
      <w:r>
        <w:rPr>
          <w:rFonts w:hint="eastAsia" w:ascii="宋体" w:hAnsi="宋体" w:eastAsia="宋体"/>
          <w:color w:val="000000" w:themeColor="text1"/>
          <w:sz w:val="22"/>
          <w:szCs w:val="22"/>
          <w14:textFill>
            <w14:solidFill>
              <w14:schemeClr w14:val="tx1"/>
            </w14:solidFill>
          </w14:textFill>
        </w:rPr>
        <w:t>。</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8" w:name="_Toc25507512"/>
      <w:r>
        <w:rPr>
          <w:rFonts w:hint="eastAsia" w:ascii="宋体" w:hAnsi="宋体" w:eastAsia="宋体"/>
          <w:color w:val="000000" w:themeColor="text1"/>
          <w:sz w:val="22"/>
          <w:szCs w:val="22"/>
          <w14:textFill>
            <w14:solidFill>
              <w14:schemeClr w14:val="tx1"/>
            </w14:solidFill>
          </w14:textFill>
        </w:rPr>
        <w:t>3. 监理人</w:t>
      </w:r>
      <w:bookmarkEnd w:id="28"/>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29" w:name="_Toc25507513"/>
      <w:r>
        <w:rPr>
          <w:rFonts w:hint="eastAsia" w:ascii="宋体" w:hAnsi="宋体" w:eastAsia="宋体"/>
          <w:color w:val="000000" w:themeColor="text1"/>
          <w:sz w:val="22"/>
          <w:szCs w:val="22"/>
          <w14:textFill>
            <w14:solidFill>
              <w14:schemeClr w14:val="tx1"/>
            </w14:solidFill>
          </w14:textFill>
        </w:rPr>
        <w:t>3.1 监理人的职责和权力</w:t>
      </w:r>
      <w:bookmarkEnd w:id="29"/>
    </w:p>
    <w:p>
      <w:pPr>
        <w:spacing w:line="360" w:lineRule="auto"/>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3.1.1 须经发包人批准行使的权力：</w:t>
      </w:r>
      <w:r>
        <w:rPr>
          <w:rFonts w:hint="eastAsia" w:ascii="宋体" w:hAnsi="宋体" w:eastAsia="宋体"/>
          <w:bCs/>
          <w:color w:val="000000" w:themeColor="text1"/>
          <w:sz w:val="22"/>
          <w:szCs w:val="22"/>
          <w:u w:val="single"/>
          <w14:textFill>
            <w14:solidFill>
              <w14:schemeClr w14:val="tx1"/>
            </w14:solidFill>
          </w14:textFill>
        </w:rPr>
        <w:t>除在《委托监理合同》中发包人已委托监理人行使的权力外，其余均为须经发包人批准行使的权力。</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0" w:name="_Toc25507514"/>
      <w:r>
        <w:rPr>
          <w:rFonts w:hint="eastAsia" w:ascii="宋体" w:hAnsi="宋体" w:eastAsia="宋体"/>
          <w:color w:val="000000" w:themeColor="text1"/>
          <w:sz w:val="22"/>
          <w:szCs w:val="22"/>
          <w14:textFill>
            <w14:solidFill>
              <w14:schemeClr w14:val="tx1"/>
            </w14:solidFill>
          </w14:textFill>
        </w:rPr>
        <w:t>3.3 监理人员</w:t>
      </w:r>
      <w:bookmarkEnd w:id="30"/>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3.3.4 总监理工程师授权或委托给其他监理人员权力的约定：</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1" w:name="_Toc25507515"/>
      <w:r>
        <w:rPr>
          <w:rFonts w:hint="eastAsia" w:ascii="宋体" w:hAnsi="宋体" w:eastAsia="宋体"/>
          <w:color w:val="000000" w:themeColor="text1"/>
          <w:sz w:val="22"/>
          <w:szCs w:val="22"/>
          <w14:textFill>
            <w14:solidFill>
              <w14:schemeClr w14:val="tx1"/>
            </w14:solidFill>
          </w14:textFill>
        </w:rPr>
        <w:t>3.4 监理人的指示</w:t>
      </w:r>
      <w:bookmarkEnd w:id="31"/>
    </w:p>
    <w:p>
      <w:pPr>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3.4.4承包人取得指示的其他约定：</w:t>
      </w:r>
      <w:r>
        <w:rPr>
          <w:rFonts w:hint="eastAsia" w:ascii="宋体" w:hAnsi="宋体" w:eastAsia="宋体"/>
          <w:bCs/>
          <w:color w:val="000000" w:themeColor="text1"/>
          <w:sz w:val="22"/>
          <w:szCs w:val="22"/>
          <w:u w:val="single"/>
          <w14:textFill>
            <w14:solidFill>
              <w14:schemeClr w14:val="tx1"/>
            </w14:solidFill>
          </w14:textFill>
        </w:rPr>
        <w:t>承包人从发包人代表和总监理工程师或按第3.3.1项被授权的监理人员处取得指示。承包人从总监理工程师或按第3.3.1项被授权的监理人员处取得的指示应符合《监理合同》约定的发包人对总监理工程师或按第3.3.1项被授权的监理人员的授权范围。</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2" w:name="_Toc25507516"/>
      <w:r>
        <w:rPr>
          <w:rFonts w:hint="eastAsia" w:ascii="宋体" w:hAnsi="宋体" w:eastAsia="宋体"/>
          <w:color w:val="000000" w:themeColor="text1"/>
          <w:sz w:val="22"/>
          <w:szCs w:val="22"/>
          <w14:textFill>
            <w14:solidFill>
              <w14:schemeClr w14:val="tx1"/>
            </w14:solidFill>
          </w14:textFill>
        </w:rPr>
        <w:t>3.5 商定或确定</w:t>
      </w:r>
      <w:bookmarkEnd w:id="32"/>
    </w:p>
    <w:p>
      <w:pPr>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3.5.1 关于对总监理工程师商定或确定提出异议的具体约定：</w:t>
      </w:r>
      <w:bookmarkStart w:id="33" w:name="_Toc25507517"/>
      <w:r>
        <w:rPr>
          <w:rFonts w:hint="eastAsia" w:ascii="宋体" w:hAnsi="宋体" w:eastAsia="宋体"/>
          <w:bCs/>
          <w:color w:val="000000" w:themeColor="text1"/>
          <w:sz w:val="22"/>
          <w:szCs w:val="22"/>
          <w:u w:val="single"/>
          <w14:textFill>
            <w14:solidFill>
              <w14:schemeClr w14:val="tx1"/>
            </w14:solidFill>
          </w14:textFill>
        </w:rPr>
        <w:t>合同当事人进行商定或确定时，总监理工程师应当会同合同当事人尽量通过协商达成一致，不能达成一致的，由总监理工程师按照合同约定审慎做出公正的确定。</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3.5.2 总监理工程师应将商定或确定的事项通知合同当事人，并附详细依据。合同当事人对总监理工程师的确定没有异议的，按照总监理工程师的确定执行。任何一方合同当事人有异议，按照第24条的规定处理。争议解决前，合同当事人暂按总监理工程师的确定执行；争议解决后，争议解决的结果与总监理工程师的确定不一致的，按照争议解决的结果执行，由此造成的损失由责任人承担。</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 承包人</w:t>
      </w:r>
      <w:bookmarkEnd w:id="33"/>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4" w:name="_Toc25507518"/>
      <w:r>
        <w:rPr>
          <w:rFonts w:hint="eastAsia" w:ascii="宋体" w:hAnsi="宋体" w:eastAsia="宋体"/>
          <w:color w:val="000000" w:themeColor="text1"/>
          <w:sz w:val="22"/>
          <w:szCs w:val="22"/>
          <w14:textFill>
            <w14:solidFill>
              <w14:schemeClr w14:val="tx1"/>
            </w14:solidFill>
          </w14:textFill>
        </w:rPr>
        <w:t>4.1 承包人的一般义务</w:t>
      </w:r>
      <w:bookmarkEnd w:id="34"/>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4.1.3 完成各项承包工作的其他约定：</w:t>
      </w:r>
      <w:r>
        <w:rPr>
          <w:rFonts w:hint="eastAsia" w:ascii="宋体" w:hAnsi="宋体" w:eastAsia="宋体"/>
          <w:color w:val="000000" w:themeColor="text1"/>
          <w:sz w:val="22"/>
          <w:szCs w:val="22"/>
          <w:u w:val="single"/>
          <w14:textFill>
            <w14:solidFill>
              <w14:schemeClr w14:val="tx1"/>
            </w14:solidFill>
          </w14:textFill>
        </w:rPr>
        <w:t>承包人应按合同约定和发包人的要求，提交相关报表；应按照合同约定的标准、规范、工程的功能、规模、考核目标和竣工日期，完成设计、采购、施工、竣工试验和（或）指导竣工后试验等工作，不得违反国家强制性标准、规范的规定；承包人应按合同约定，自费修复因承包人原因引起的设计、文件、设备、材料、部件、施工中存在的缺陷、或在竣工试验和竣工后试验中发现的缺陷。</w:t>
      </w:r>
      <w:r>
        <w:rPr>
          <w:rFonts w:hint="eastAsia" w:ascii="宋体" w:hAnsi="宋体" w:eastAsia="宋体"/>
          <w:color w:val="000000" w:themeColor="text1"/>
          <w:sz w:val="22"/>
          <w:szCs w:val="22"/>
          <w14:textFill>
            <w14:solidFill>
              <w14:schemeClr w14:val="tx1"/>
            </w14:solidFill>
          </w14:textFill>
        </w:rPr>
        <w:t xml:space="preserve">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4.1.10 其他义务</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承包人应履行合同约定的其他义务：</w:t>
      </w:r>
      <w:r>
        <w:rPr>
          <w:rFonts w:hint="eastAsia" w:ascii="宋体" w:hAnsi="宋体" w:eastAsia="宋体"/>
          <w:color w:val="000000" w:themeColor="text1"/>
          <w:sz w:val="22"/>
          <w:szCs w:val="22"/>
          <w:u w:val="single"/>
          <w14:textFill>
            <w14:solidFill>
              <w14:schemeClr w14:val="tx1"/>
            </w14:solidFill>
          </w14:textFill>
        </w:rPr>
        <w:t>承包人除完成本合同通用条款规定的任务和履行合同约定的义务外，还应完成的工作和履行的义务包括但不限于：</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（1）负责及时向发包人提供设计文件，及时整改到位使其满足发包人要求，并做好各系统管线的综合平衡工作。确保各阶段设计文件应顺利通过政府部门组织的各类审查等建设阶段必要的程序。</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负责及时办理施工临时占用道路、施工过程中所需证件（包括夜间施工证和质量安全监督登记）等合法手续。代表发包人办理开工证件（含施工许可证等）等工程合法手续，承包人应按发包人或相关职能部门要求及时办理。</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发包人将施工场地移交给承包人后，承包人应负责管理施工场地（包括施工安全、环境污染、扰民和民扰等），若发生非不可抗力或非发包人及监理人错误指令原因而影响施工导致的工期拖延及财产损失，由承包人承担相应责任及费用。</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负责施工场内临时道路、管线等设施的施工、保养和保护，相关费用由投标人在投标报价中综合考虑，不再另行计取，并采取必要措施避免工程施工对临近建筑物、已经完成的土建安装工程等设施造成破坏，做好相应保护工作。承包人根据发包人、监理人或专门机构有关指示，负责保护、修理和恢复那些被破坏的设施。承包人负责对单项工程、施工部位放线，并对放线的准确性负责。</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（5）施工过程中如发生扰民和民扰施工，由承包人负责妥善处理并承担由此发生的费用。</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（6）保证施工场地清洁卫生符合温州市有关规定。负责做好门前三清工作，包括由于工程施工而使用的市政道路整修、清理。</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（7）施工过程中，承包人应严格按温州市住建局相关规定执行，搞好文明施工，树立企业形象。负责做好施工现场安全保卫和组织管理工作，负责按文明施工工地及标准化管理进行施工。</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8）按本合同（包括合同、会议纪要约定内容以及设计变更等）规定应由承包人完成的工作，如承包人拒绝完成或不能按合同要求完成，发包人有权安排第三方完成，并按实际发生费用（费用按发包人委托的第三方咨询机构计算为准）从承包人当期应付工程款中代扣代付，并在工程结算中结清，影响工期的责任由承包人负责。</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（9）已竣工工程未交付发包人验收使用之前，由承包人负责成品保护，保护期间发生的损坏、损失等风险由承包人承担，承包人应自费予以修复。</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施工开工前，承包人应按照发包人的要求进行初步设计文件深化设计（如有）及进行施工图设计，施工图设计须满足发包人的要求并通过发包人或其委托的其他设计咨询机构的审核、接受其优化建议、咨询意见并整改到位，使其通过图纸审查等建设阶段必要的程序。编写实施性施工组织设计和施工进度计划，并按规定程序报监理人审批。承包人应严格按照经发包人审查批准的施工组织设计精心组织施工，未经发包人及监理人批准同意不得更改施工组织设计和自行组织施工，并承担因此发生的所有责任和费用。</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（11）对达到一定规模的危险性较大的分部分项工程，应编写专项方案，进行审查和论证并承担费用。</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（12）承包人工程施工期间的工期缩短费（包括加班增加费）、材料设备以及家具的二次搬运、垃圾清运及外运等，均由承包人承担，并已经纳入合同总价。</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（13）承包人的设计文件及施工组织方案，应报发包人确认，必要时组织有关专家论证，专家论证费用由承包人自行在报价中考虑，由承包人承担，发包人不再另行考虑。</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14）设计文件及施工组织方案须满足发包人的要求并得到确认并最终通过施工图审查。发包人可委托有关设计咨询机构或组织由有关专家和技术人员组成的审图小组，对承包人完成的施工图设计文件进行审查，承包人应积极配合。</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15）承包人应仔细验算概算的准确性，认真分析可能影响造价的各种因素（如自然条件和施工条件等），准确选用定额、费用和合理的市场价格等各项编制依据，提出对概算的修订意见，合理地反映施工条件，准确地确定概算工程造价。</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（16）本工程的安全防护、文明施工按工程所在地现行有关规定执行。承包人采取严格的安全防护措施，在工程的施工、完工及修补缺陷的整个过程中，都应当做到：</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①全面管理所有留在现场上的人员的安全；保护其管辖范围内的现场、保护已完和未完工程等处于有条不紊和良好的状态。</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②在需要的时间和地点，根据发包人或者当地政府的要求，自费提供和维持所有的照明灯光、护板、围墙、栅栏、警告信号标志和值班人员，对工程进行保护和为公众提供安全和方便。</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③承包人应自费采取适当措施，确保其工作人员和劳务人员的身体健康，并为预防传染病和一切必要卫生要求作出安排，制订应急措施。</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17）承包人应制订详细的，针对各项突发事件的应急预案，并按预案的要求作出演练，演练需达到相关法律、法规及规范要求并满足本工程实施需要，由此而产生的一切相关费用由投标人在投标报价中综合考虑，不再另行计取。</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（18）干扰与协调</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①承包人应当清楚地预计到施工期间对外界可能产生的不可避免的干扰，并为此保证主动努力减少这些干扰对外界的影响，且应当积极主动与外界进行协调。</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②承包人应当清楚并充分预计到在施工场地等工作的各种困难及其对工程进展的不利影响，甚至是严重影响。对此，承包人应积极主动做好协调、配合工作，并尽量创造各种条件和采取各种有效措施，以确保工程顺利推进及工期目标的实现。这种困难或影响不能免除承包人对工期目标未能实现的责任，并不得以此为理由要求顺延工期或增加各种费用。</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③承包人应负责协调施工期间外界的各种干扰，并不得以此要求顺延工期或增加费用。</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④在承包人的配合下，发包人可根据情况协调外界对工程的干扰。这种协调并不解除承包人的各项责任与义务。</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⑤承包人应主动高效协调和配合好监理、咨询单位、分包商、材料设备供应商、劳务队伍、相关主管部门及周边各方关系，确保项目顺利推进。</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19）本工程使用的主材及发包人在实施过程中有相应要求的材料、设备，订货前，中标人提供样品经发包人认可后方可进场，经发包人及监理工程师确认和封存，进场后必须按规定抽样送检，符合工程使用要求后，方可使用，如未经发包人及监理工程师同意，发生货不对板，发包人及监理工程师有权拒用，并由承包人承担损失。</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20）根据工程需要，承包人应采用计算机信息管理技术建立相应的信息技术网络，以便与发包人、管理单位、各有关单位进行数据交换，提高工作效率。如政府相关主管部门要求在工地现场装备实时监控系统时，承包人应按要求安装配备。上述所发生的费用，由承包人承担。</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（21）承包人应在合同签订同时，应与发包人签订《廉政合同》、《安全生产责任书》等。</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（23）保证民工工资的支付，严格执行《关于规范温州市建筑工程工资款与其他工程款分账管理的通知》(温住建发〔2018〕4号)。</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24）承包人必须按照城市建设档案及建设行政主管部门管理的有关规定，在工程施工过程中及时做好自己和需要管理的配合单位负责的工程档案的收集、整理、汇总工作，所有需存档的资料按月与进度款支付申请报送给发包人备份，同时要满足当地有关部门的备案要求。费用由承包人承担，发包人不再另行考虑。未按要求报送存档资料的每次支付5000元违约金。</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保证执行投标文件所承诺的实施方案中的资源投入计划，将工程施工所需的机械设备、人员、材料等资源，根据工程进度计划按时、按标准、足额投入；承包人项目管理机构中各级管理人员和所使用的机械设备的标准与数量不得低于国家规定的标准与数量。否则，按承包人违约处理，承包人应按合同专用条款的相关约定应承担相应违约责任。</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工程开工前，承包人必须在施工组织设计中编制资源投入计划，报总监理工程师和发包人批准后实施。特别是施工所需的机械设备（包括自有和租赁），应与国家规定的品牌、数量、质量、规格、性能相符且具备正常施工功能，并配有明显的承包人单位标志，且为合法使用设备（如年检证、使用证等），便于发包人检查承包人施工设备投入情况。</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施工过程中，承包人因特殊原因需变更资源投入计划或者对已投入的资源进行调整的，应当提前 7 天提出申请，报总监理工程师和发包人批准。</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26）施工场地布置：施工场地布置费用由承包人承担。承包人作为本项目装修承包单位，负责施工场地安全和文明施工管理，承担一切安全保卫义务，工程围墙外宣传画的款式要求需符合发包人指定的标准及图案要求并及时更新，费用由投标人在投标报价中综合考虑，不再另行计取。</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27）承包人应充分预计到承包范围界面对承包人工期和费用的影响和各种风险，承包人不得以承包范围界面不清或存在费用双方未确定或资源受限为理由，不按发包人或监理工程师指令进行施工，在发包人发出通知5日内，承包人不按要求进行施工的，发包人有权单方委托第三人进行实施，所发生的费用由承包人承担，发包人可在应付的合同费用或履约保证金内直接抵扣。</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（29）发包人需要已安装完成设备的相关资料（包含使用说明书及操作手册），承包人应按要求及时提供。</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（30）承包人须提前组织人员、设备进入施工现场，做好施工准备工作。人员误工费、设备闲置等费用由承包人承担，相关费用由投标人在投标报价中综合考虑，不再另行计取。</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31）对于承包人或其分包人以及发包人的专业分包人所雇佣的工人出现的伤亡事故或损失，应由承包人自行全部负责。对于这类伤亡或损失，发包人不承担任何责任。若发包人因这类伤亡或损失的索赔、诉讼导致经济损失的，由承包人承担相应赔偿责任，发包人可在应付的合同费用或履约保证金内直接抵扣。</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（32）承包人应向现场派驻为完成本合同工程的设计、施工及其缺陷的修复而需要的下述人员：</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①全程派驻现场的设计人员，未经发包人的批准，不应无故不到位或被替换；若确实无法到位或需替换，需经发包人批准后，用同等或更高资质和经历的人员替换；</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②按投标书确定名单的各类专业技术人员和管理人员。未经监理工程师的批准，这些人员不应无故不到位或被替换；若确实无法到位或需替换，需经监理工程师批准后，用同等或更高资质和经历的人员替换；</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③其他满足本合同工程施工需要的在本行业中技术熟练、经验丰富的各类专业人员、质检人员、管理人员和有能力进行施工管理、并指导作业的工长；</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④适应本工程需要的各类熟练技工、半熟练技工和普通工。</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若发包人或监理工程师认为这些人员仍不足以适应现场施工的需要并不能保证工程质量时，发包人或监理工程师有权要求承包人继续增派或雇用这类人员，并书面通知承包人和抄送发包人。承包人在接到上述通知后应立即执行监理工程师的上述指示，不得无故拖延，否则视为承包人违约。</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⑤承包人直接招用农民工作为劳务时，应遵循以下规定：</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应当依法按规定到当地劳动保障行政部门办理用工登记、就业登记和劳动合同签证。劳动合同必须由承包人或其授权的代表与农民工本人或劳务分包人直接签订，不得由他人代签。承包人的工程项目部、项目负责人、施工作业班组等不具备用工主体资格，不能直接与农民工或劳务分包人签订劳动合同。劳动合同要报发包人备查。</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承包人应确保农民工具备国家、行业规定的与其岗位相对应的施工作业证。若因农民工不具备相应施工作业证导致人身、财产损失的，由承包人承担相应赔偿责任。</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⑥承包人雇用农民工仅限于劳务作业，并应对劳务人员进行安全培训和管理，并加入到承包人的施工班组统一管理。有关施工质量、施工安全、施工进度、环境保护、技术方案、试验检测、材料保管与供应、机械设备等都必须由承包人管理与调配，不得将以上管理责任转移给他人。</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（33）发包人可调整项目的增减工作内容（包括建设规模、功能规模等），承包人须接受，并按发包人要求实施，由此所产生的工程管理、组织等费用及相关风险由承包人自行承担。</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（34）承包人在设计和施工阶段，应考虑与装修有关的各类封口、封边以及可能影响使用和美观的缺陷等内容，承包人负责上述内容的设计、修复的工作和费用，已经含在合同价内。</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5" w:name="_Toc25507519"/>
      <w:r>
        <w:rPr>
          <w:rFonts w:hint="eastAsia" w:ascii="宋体" w:hAnsi="宋体" w:eastAsia="宋体"/>
          <w:color w:val="000000" w:themeColor="text1"/>
          <w:sz w:val="22"/>
          <w:szCs w:val="22"/>
          <w14:textFill>
            <w14:solidFill>
              <w14:schemeClr w14:val="tx1"/>
            </w14:solidFill>
          </w14:textFill>
        </w:rPr>
        <w:t>4.2 履约担保</w:t>
      </w:r>
      <w:bookmarkEnd w:id="35"/>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承包人是否提供履约担保：</w:t>
      </w:r>
      <w:r>
        <w:rPr>
          <w:rFonts w:hint="eastAsia" w:ascii="宋体" w:hAnsi="宋体" w:eastAsia="宋体"/>
          <w:color w:val="000000" w:themeColor="text1"/>
          <w:sz w:val="22"/>
          <w:szCs w:val="22"/>
          <w:u w:val="single"/>
          <w14:textFill>
            <w14:solidFill>
              <w14:schemeClr w14:val="tx1"/>
            </w14:solidFill>
          </w14:textFill>
        </w:rPr>
        <w:t xml:space="preserve">  是   </w:t>
      </w:r>
      <w:r>
        <w:rPr>
          <w:rFonts w:hint="eastAsia" w:ascii="宋体" w:hAnsi="宋体" w:eastAsia="宋体"/>
          <w:color w:val="000000" w:themeColor="text1"/>
          <w:sz w:val="22"/>
          <w:szCs w:val="22"/>
          <w14:textFill>
            <w14:solidFill>
              <w14:schemeClr w14:val="tx1"/>
            </w14:solidFill>
          </w14:textFill>
        </w:rPr>
        <w:t>。</w:t>
      </w:r>
    </w:p>
    <w:p>
      <w:pPr>
        <w:snapToGrid w:val="0"/>
        <w:spacing w:line="360" w:lineRule="auto"/>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承包人提供履约担保的形式、金额及期限：</w:t>
      </w:r>
      <w:r>
        <w:rPr>
          <w:rFonts w:hint="eastAsia" w:ascii="宋体" w:hAnsi="宋体" w:eastAsia="宋体" w:cs="宋体"/>
          <w:bCs/>
          <w:color w:val="000000" w:themeColor="text1"/>
          <w:sz w:val="22"/>
          <w:szCs w:val="22"/>
          <w:u w:val="single"/>
          <w14:textFill>
            <w14:solidFill>
              <w14:schemeClr w14:val="tx1"/>
            </w14:solidFill>
          </w14:textFill>
        </w:rPr>
        <w:t>承包人按合同协议书的合同价格（包括设计费）的2%以银行转账或银行保函或保险的形式在合同协议书签订前15日历天内提交。</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履约担保范围包括工期担保、质量担保(含工程质量及设计责任)、项目管理机构工作及安全文明施工担保的内容，并不单独约定各项担保内容的最高限额，如违约索赔总额达到履约担保总额，发包人有权终止合同。合同中相关罚则或赔偿，发包人可视实际情况，有权直接在工程款支付中抵扣（待索赔事项完成后再将相应款项支付），而不需取得承包人同意。</w:t>
      </w:r>
    </w:p>
    <w:p>
      <w:pPr>
        <w:spacing w:line="360" w:lineRule="auto"/>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履约担保退还时间：履约担保在整个工程竣工验收合格后并由承包人提出申请十五个工作日内无息退还。</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6" w:name="_Toc25507520"/>
      <w:r>
        <w:rPr>
          <w:rFonts w:hint="eastAsia" w:ascii="宋体" w:hAnsi="宋体" w:eastAsia="宋体"/>
          <w:color w:val="000000" w:themeColor="text1"/>
          <w:sz w:val="22"/>
          <w:szCs w:val="22"/>
          <w14:textFill>
            <w14:solidFill>
              <w14:schemeClr w14:val="tx1"/>
            </w14:solidFill>
          </w14:textFill>
        </w:rPr>
        <w:t>4.3 分包和不得转包</w:t>
      </w:r>
      <w:bookmarkEnd w:id="36"/>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4.3.2 约定的分包工作事情：</w:t>
      </w:r>
      <w:r>
        <w:rPr>
          <w:rFonts w:hint="eastAsia" w:ascii="宋体" w:hAnsi="宋体" w:eastAsia="宋体"/>
          <w:color w:val="000000" w:themeColor="text1"/>
          <w:sz w:val="22"/>
          <w:szCs w:val="22"/>
          <w:u w:val="single"/>
          <w14:textFill>
            <w14:solidFill>
              <w14:schemeClr w14:val="tx1"/>
            </w14:solidFill>
          </w14:textFill>
        </w:rPr>
        <w:t>工程总承包单位同时具有相应的设计和施工资质的，可以将工程的设计或者施工分包给具备相应资质的单位，但不得将工程总承包项目中设计和施工一并或者分别发包给其他单位。工程总承包单位自行实施施工的，不得将工程主体结构的施工分包给其他单位；自行实施设计的，不得将工程主体部分的设计分包给其他单位。</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u w:val="single"/>
          <w14:textFill>
            <w14:solidFill>
              <w14:schemeClr w14:val="tx1"/>
            </w14:solidFill>
          </w14:textFill>
        </w:rPr>
        <w:t>工程总承包单位仅具有相应设计资质的，应当将工程总承包项目中的施工分包给具有相应施工资质的单位，不得将主体部分的设计分包给其他单位。工程总承包单位仅具有相应施工资质的，应当将工程总承包项目中的设计分包给具有相应设计资质的单位，不得将工程主体结构的施工分包给其他单位</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设计和施工主体结构、关键性工作的范围：</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允许分包的专业工程包括：</w:t>
      </w:r>
      <w:r>
        <w:rPr>
          <w:rFonts w:hint="eastAsia" w:ascii="宋体" w:hAnsi="宋体" w:eastAsia="宋体"/>
          <w:color w:val="000000" w:themeColor="text1"/>
          <w:sz w:val="22"/>
          <w:szCs w:val="22"/>
          <w:u w:val="single"/>
          <w14:textFill>
            <w14:solidFill>
              <w14:schemeClr w14:val="tx1"/>
            </w14:solidFill>
          </w14:textFill>
        </w:rPr>
        <w:t xml:space="preserve">                                             </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其他关于分包的约定：</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关于分包合同价款支付的约定：</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7" w:name="_Toc25507521"/>
      <w:r>
        <w:rPr>
          <w:rFonts w:hint="eastAsia" w:ascii="宋体" w:hAnsi="宋体" w:eastAsia="宋体"/>
          <w:color w:val="000000" w:themeColor="text1"/>
          <w:sz w:val="22"/>
          <w:szCs w:val="22"/>
          <w14:textFill>
            <w14:solidFill>
              <w14:schemeClr w14:val="tx1"/>
            </w14:solidFill>
          </w14:textFill>
        </w:rPr>
        <w:t>4.5 承包人</w:t>
      </w:r>
      <w:bookmarkEnd w:id="37"/>
      <w:r>
        <w:rPr>
          <w:rFonts w:hint="eastAsia" w:ascii="宋体" w:hAnsi="宋体" w:eastAsia="宋体"/>
          <w:color w:val="000000" w:themeColor="text1"/>
          <w:sz w:val="22"/>
          <w:szCs w:val="22"/>
          <w14:textFill>
            <w14:solidFill>
              <w14:schemeClr w14:val="tx1"/>
            </w14:solidFill>
          </w14:textFill>
        </w:rPr>
        <w:t>项目总负责人</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4.5.1承包人项目总负责人每月在施工现场的时间要求：</w:t>
      </w:r>
      <w:r>
        <w:rPr>
          <w:rFonts w:hint="eastAsia" w:ascii="宋体" w:hAnsi="宋体" w:eastAsia="宋体"/>
          <w:color w:val="000000" w:themeColor="text1"/>
          <w:sz w:val="22"/>
          <w:szCs w:val="22"/>
          <w:u w:val="single"/>
          <w14:textFill>
            <w14:solidFill>
              <w14:schemeClr w14:val="tx1"/>
            </w14:solidFill>
          </w14:textFill>
        </w:rPr>
        <w:t>项目总负责人每月现场到位不得少于22天</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实际到位天数每少一天，承包人按10000元/人.天支付违约金给发包人。</w:t>
      </w:r>
    </w:p>
    <w:p>
      <w:pPr>
        <w:spacing w:line="360" w:lineRule="auto"/>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承包人对项目总负责人的授权范围约定：</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（1）主持项目管理机构工作。</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（2）决定授权范围内的项目资金的投入和使用。</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（3）制定内部计酬办法。</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（4）参与选择并使用具有相应资质的分包人。</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（5）参与选择物资供应单位。</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（6）在授权范围内协调与项目有关的内、外部关系。</w:t>
      </w:r>
    </w:p>
    <w:p>
      <w:pPr>
        <w:spacing w:line="24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（7）法定代表人授予的其它权力。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承包人擅自更换项目总负责人的违约责任：</w:t>
      </w:r>
      <w:r>
        <w:rPr>
          <w:rFonts w:hint="eastAsia" w:ascii="宋体" w:hAnsi="宋体" w:eastAsia="宋体"/>
          <w:color w:val="000000" w:themeColor="text1"/>
          <w:sz w:val="22"/>
          <w:szCs w:val="22"/>
          <w:u w:val="single"/>
          <w14:textFill>
            <w14:solidFill>
              <w14:schemeClr w14:val="tx1"/>
            </w14:solidFill>
          </w14:textFill>
        </w:rPr>
        <w:t>项目总负责人（项目总负责人）在工程实施期间不得擅自更换或兼任其他工程项目总负责人（项目总负责人），否则，发包人有权解除合同。若确须更换项目总负责人应事先征得发包人书面同意，并应在更换14天前通知发包人和监理人，报经建设管理部门审查批准，更换应满足同资历相应人员，同时承包人应支付发包人员更换违约金每次20万元，发包人从当期工程进度款中扣取，不足部分从履约担保金中扣除。若更换项目总负责人未取得发包人书面同意，则承包人应支付发包人员更换违约金每次50万元，发包人从当期工程进度款中扣取.</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承包人无正当理由拒绝更换项目总负责人的违约责任：</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 xml:space="preserve">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4.5.4项目总负责人授权其下属人员代行职责的约定</w:t>
      </w:r>
      <w:r>
        <w:rPr>
          <w:rFonts w:hint="eastAsia" w:ascii="宋体" w:hAnsi="宋体" w:eastAsia="宋体"/>
          <w:i/>
          <w:color w:val="000000" w:themeColor="text1"/>
          <w:sz w:val="22"/>
          <w:szCs w:val="22"/>
          <w14:textFill>
            <w14:solidFill>
              <w14:schemeClr w14:val="tx1"/>
            </w14:solidFill>
          </w14:textFill>
        </w:rPr>
        <w:t>：</w:t>
      </w:r>
      <w:r>
        <w:rPr>
          <w:rFonts w:hint="eastAsia" w:ascii="宋体" w:hAnsi="宋体" w:eastAsia="宋体"/>
          <w:i/>
          <w:color w:val="000000" w:themeColor="text1"/>
          <w:sz w:val="22"/>
          <w:szCs w:val="22"/>
          <w:u w:val="single"/>
          <w14:textFill>
            <w14:solidFill>
              <w14:schemeClr w14:val="tx1"/>
            </w14:solidFill>
          </w14:textFill>
        </w:rPr>
        <w:t xml:space="preserve">                               </w:t>
      </w:r>
      <w:r>
        <w:rPr>
          <w:rFonts w:hint="eastAsia" w:ascii="宋体" w:hAnsi="宋体" w:eastAsia="宋体"/>
          <w:i/>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8" w:name="_Toc25507522"/>
      <w:r>
        <w:rPr>
          <w:rFonts w:hint="eastAsia" w:ascii="宋体" w:hAnsi="宋体" w:eastAsia="宋体"/>
          <w:color w:val="000000" w:themeColor="text1"/>
          <w:sz w:val="22"/>
          <w:szCs w:val="22"/>
          <w14:textFill>
            <w14:solidFill>
              <w14:schemeClr w14:val="tx1"/>
            </w14:solidFill>
          </w14:textFill>
        </w:rPr>
        <w:t>4.6 承包人人员的管理</w:t>
      </w:r>
      <w:bookmarkEnd w:id="38"/>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 4.6.1人力资源计划一览表的格式、内容、份数和提交时间：</w:t>
      </w:r>
      <w:r>
        <w:rPr>
          <w:rFonts w:hint="eastAsia" w:ascii="宋体" w:hAnsi="宋体" w:eastAsia="宋体"/>
          <w:color w:val="000000" w:themeColor="text1"/>
          <w:sz w:val="22"/>
          <w:szCs w:val="22"/>
          <w:u w:val="single"/>
          <w14:textFill>
            <w14:solidFill>
              <w14:schemeClr w14:val="tx1"/>
            </w14:solidFill>
          </w14:textFill>
        </w:rPr>
        <w:t>开工前提交，格式、内容自定。（以上提供的各类表格需与投标所报人员相符，并征得监理人及发包人的认可后方生效）</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4.6.2</w:t>
      </w:r>
      <w:r>
        <w:rPr>
          <w:rFonts w:ascii="宋体" w:hAnsi="宋体" w:eastAsia="宋体"/>
          <w:color w:val="000000" w:themeColor="text1"/>
          <w:sz w:val="22"/>
          <w:szCs w:val="22"/>
          <w14:textFill>
            <w14:solidFill>
              <w14:schemeClr w14:val="tx1"/>
            </w14:solidFill>
          </w14:textFill>
        </w:rPr>
        <w:t>承包人主要施工管理人员离开施工现场的</w:t>
      </w:r>
      <w:r>
        <w:rPr>
          <w:rFonts w:hint="eastAsia" w:ascii="宋体" w:hAnsi="宋体" w:eastAsia="宋体"/>
          <w:color w:val="000000" w:themeColor="text1"/>
          <w:sz w:val="22"/>
          <w:szCs w:val="22"/>
          <w14:textFill>
            <w14:solidFill>
              <w14:schemeClr w14:val="tx1"/>
            </w14:solidFill>
          </w14:textFill>
        </w:rPr>
        <w:t>其他</w:t>
      </w:r>
      <w:r>
        <w:rPr>
          <w:rFonts w:ascii="宋体" w:hAnsi="宋体" w:eastAsia="宋体"/>
          <w:color w:val="000000" w:themeColor="text1"/>
          <w:sz w:val="22"/>
          <w:szCs w:val="22"/>
          <w14:textFill>
            <w14:solidFill>
              <w14:schemeClr w14:val="tx1"/>
            </w14:solidFill>
          </w14:textFill>
        </w:rPr>
        <w:t>约定</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上述人员的到位率情况承诺，如没有到位的，承包人必须根据相关的违约条款支付违约金，可在当期工程款中扣除。承包人提交项目管理机构及施工现场管理人员安排报告的期限： 接到开工通知后7天内。</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承包人承诺的项目现场管理人员每月在施工现场的时间要求：</w:t>
      </w:r>
      <w:r>
        <w:rPr>
          <w:rFonts w:hint="eastAsia" w:ascii="宋体" w:hAnsi="宋体" w:eastAsia="宋体"/>
          <w:color w:val="000000" w:themeColor="text1"/>
          <w:sz w:val="22"/>
          <w:szCs w:val="22"/>
          <w:u w:val="single"/>
          <w14:textFill>
            <w14:solidFill>
              <w14:schemeClr w14:val="tx1"/>
            </w14:solidFill>
          </w14:textFill>
        </w:rPr>
        <w:t>施工负责人、施工技术负责人每月现场到位不得少于24天，实际到位天数每少一天，承包人按5000元/人.天支付违约金给发包人；其余人员（指质检员、施工员、安全员、资料员每月现场到位率为100%，每少一天，按3000元/人.天支付违约金。）</w:t>
      </w:r>
      <w:r>
        <w:rPr>
          <w:rFonts w:hint="eastAsia" w:ascii="宋体" w:hAnsi="宋体" w:eastAsia="宋体"/>
          <w:color w:val="000000" w:themeColor="text1"/>
          <w:sz w:val="22"/>
          <w:szCs w:val="22"/>
          <w14:textFill>
            <w14:solidFill>
              <w14:schemeClr w14:val="tx1"/>
            </w14:solidFill>
          </w14:textFill>
        </w:rPr>
        <w:t xml:space="preserve">            </w:t>
      </w:r>
    </w:p>
    <w:p>
      <w:pPr>
        <w:ind w:firstLine="440"/>
        <w:rPr>
          <w:rFonts w:ascii="宋体" w:hAnsi="宋体" w:eastAsia="宋体"/>
          <w:color w:val="000000" w:themeColor="text1"/>
          <w:sz w:val="22"/>
          <w:szCs w:val="22"/>
          <w:u w:val="single"/>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承包人主要施工管理人员擅自离开施工现场的违约责任</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承包人向发包人支付违约金为5000元/人·天，不足一天按一天计</w:t>
      </w:r>
      <w:r>
        <w:rPr>
          <w:rFonts w:hint="eastAsia" w:ascii="宋体" w:hAnsi="宋体" w:eastAsia="宋体"/>
          <w:color w:val="000000" w:themeColor="text1"/>
          <w:sz w:val="22"/>
          <w:szCs w:val="22"/>
          <w:u w:val="single"/>
          <w14:textFill>
            <w14:solidFill>
              <w14:schemeClr w14:val="tx1"/>
            </w14:solidFill>
          </w14:textFill>
        </w:rPr>
        <w:t>。</w:t>
      </w:r>
      <w:r>
        <w:rPr>
          <w:rFonts w:hint="eastAsia" w:ascii="宋体" w:hAnsi="宋体" w:eastAsia="宋体"/>
          <w:color w:val="000000" w:themeColor="text1"/>
          <w:sz w:val="22"/>
          <w:szCs w:val="22"/>
          <w14:textFill>
            <w14:solidFill>
              <w14:schemeClr w14:val="tx1"/>
            </w14:solidFill>
          </w14:textFill>
        </w:rPr>
        <w:t xml:space="preserve">                     </w:t>
      </w:r>
    </w:p>
    <w:p>
      <w:pPr>
        <w:ind w:firstLine="440"/>
        <w:rPr>
          <w:rFonts w:ascii="宋体" w:hAnsi="宋体"/>
          <w:color w:val="000000" w:themeColor="text1"/>
          <w:sz w:val="22"/>
          <w:szCs w:val="22"/>
          <w:u w:val="single"/>
          <w14:textFill>
            <w14:solidFill>
              <w14:schemeClr w14:val="tx1"/>
            </w14:solidFill>
          </w14:textFill>
        </w:rPr>
      </w:pPr>
      <w:r>
        <w:rPr>
          <w:color w:val="000000" w:themeColor="text1"/>
          <w:sz w:val="22"/>
          <w:szCs w:val="22"/>
          <w14:textFill>
            <w14:solidFill>
              <w14:schemeClr w14:val="tx1"/>
            </w14:solidFill>
          </w14:textFill>
        </w:rPr>
        <w:t>承包人擅自更换主要施工管理人员的违约责任</w:t>
      </w:r>
      <w:r>
        <w:rPr>
          <w:rFonts w:hint="eastAsia"/>
          <w:color w:val="000000" w:themeColor="text1"/>
          <w:sz w:val="22"/>
          <w:szCs w:val="22"/>
          <w14:textFill>
            <w14:solidFill>
              <w14:schemeClr w14:val="tx1"/>
            </w14:solidFill>
          </w14:textFill>
        </w:rPr>
        <w:t>：</w:t>
      </w:r>
      <w:r>
        <w:rPr>
          <w:rFonts w:hint="eastAsia" w:ascii="宋体" w:hAnsi="宋体"/>
          <w:color w:val="000000" w:themeColor="text1"/>
          <w:sz w:val="22"/>
          <w:szCs w:val="22"/>
          <w:u w:val="single"/>
          <w14:textFill>
            <w14:solidFill>
              <w14:schemeClr w14:val="tx1"/>
            </w14:solidFill>
          </w14:textFill>
        </w:rPr>
        <w:t>派驻到施工现场的主要施工管理人员未经发包人书面同意，不得中途更换，若须更换，应在更换14天前通知发包人和监理人，并将相同替换人员信息提交给发包人，发包人审查后批准同意可以更换。</w:t>
      </w:r>
    </w:p>
    <w:p>
      <w:pPr>
        <w:ind w:firstLine="440"/>
        <w:rPr>
          <w:rFonts w:ascii="宋体" w:hAnsi="宋体"/>
          <w:color w:val="000000" w:themeColor="text1"/>
          <w:sz w:val="22"/>
          <w:szCs w:val="22"/>
          <w:u w:val="single"/>
          <w14:textFill>
            <w14:solidFill>
              <w14:schemeClr w14:val="tx1"/>
            </w14:solidFill>
          </w14:textFill>
        </w:rPr>
      </w:pPr>
      <w:r>
        <w:rPr>
          <w:rFonts w:hint="eastAsia" w:ascii="宋体" w:hAnsi="宋体"/>
          <w:color w:val="000000" w:themeColor="text1"/>
          <w:sz w:val="22"/>
          <w:szCs w:val="22"/>
          <w:u w:val="single"/>
          <w14:textFill>
            <w14:solidFill>
              <w14:schemeClr w14:val="tx1"/>
            </w14:solidFill>
          </w14:textFill>
        </w:rPr>
        <w:t>承包人更换设计负责人或施工负责人的，应在更换14天前通知发包人和监理人，并将相同替换人员信息提交给发包人，发包人审查后批准同意可以更换。但须向发包人支付人员管理违约金为</w:t>
      </w:r>
      <w:r>
        <w:rPr>
          <w:rFonts w:hint="eastAsia" w:ascii="宋体" w:hAnsi="宋体" w:eastAsia="宋体"/>
          <w:color w:val="000000" w:themeColor="text1"/>
          <w:sz w:val="22"/>
          <w:szCs w:val="22"/>
          <w:u w:val="single"/>
          <w14:textFill>
            <w14:solidFill>
              <w14:schemeClr w14:val="tx1"/>
            </w14:solidFill>
          </w14:textFill>
        </w:rPr>
        <w:t>10</w:t>
      </w:r>
      <w:r>
        <w:rPr>
          <w:rFonts w:hint="eastAsia" w:ascii="宋体" w:hAnsi="宋体"/>
          <w:color w:val="000000" w:themeColor="text1"/>
          <w:sz w:val="22"/>
          <w:szCs w:val="22"/>
          <w:u w:val="single"/>
          <w14:textFill>
            <w14:solidFill>
              <w14:schemeClr w14:val="tx1"/>
            </w14:solidFill>
          </w14:textFill>
        </w:rPr>
        <w:t xml:space="preserve">万元/人·次； </w:t>
      </w:r>
    </w:p>
    <w:p>
      <w:pPr>
        <w:ind w:firstLine="440"/>
        <w:rPr>
          <w:color w:val="000000" w:themeColor="text1"/>
          <w:sz w:val="22"/>
          <w:szCs w:val="22"/>
          <w14:textFill>
            <w14:solidFill>
              <w14:schemeClr w14:val="tx1"/>
            </w14:solidFill>
          </w14:textFill>
        </w:rPr>
      </w:pPr>
      <w:r>
        <w:rPr>
          <w:rFonts w:hint="eastAsia" w:ascii="宋体" w:hAnsi="宋体"/>
          <w:color w:val="000000" w:themeColor="text1"/>
          <w:sz w:val="22"/>
          <w:szCs w:val="22"/>
          <w:u w:val="single"/>
          <w14:textFill>
            <w14:solidFill>
              <w14:schemeClr w14:val="tx1"/>
            </w14:solidFill>
          </w14:textFill>
        </w:rPr>
        <w:t>承包人更换其他人员的，应在更换14天前通知发包人和监理人，并将相同替换人员信息提交给发包人，发包人审查后批准同意可以更换，且每更换一人次支付违约金为</w:t>
      </w:r>
      <w:r>
        <w:rPr>
          <w:rFonts w:hint="eastAsia" w:ascii="宋体" w:hAnsi="宋体" w:eastAsia="宋体"/>
          <w:color w:val="000000" w:themeColor="text1"/>
          <w:sz w:val="22"/>
          <w:szCs w:val="22"/>
          <w:u w:val="single"/>
          <w14:textFill>
            <w14:solidFill>
              <w14:schemeClr w14:val="tx1"/>
            </w14:solidFill>
          </w14:textFill>
        </w:rPr>
        <w:t>5</w:t>
      </w:r>
      <w:r>
        <w:rPr>
          <w:rFonts w:hint="eastAsia" w:ascii="宋体" w:hAnsi="宋体"/>
          <w:color w:val="000000" w:themeColor="text1"/>
          <w:sz w:val="22"/>
          <w:szCs w:val="22"/>
          <w:u w:val="single"/>
          <w14:textFill>
            <w14:solidFill>
              <w14:schemeClr w14:val="tx1"/>
            </w14:solidFill>
          </w14:textFill>
        </w:rPr>
        <w:t>万元/人·次。</w:t>
      </w:r>
      <w:r>
        <w:rPr>
          <w:rFonts w:hint="eastAsia"/>
          <w:color w:val="000000" w:themeColor="text1"/>
          <w:sz w:val="22"/>
          <w:szCs w:val="22"/>
          <w14:textFill>
            <w14:solidFill>
              <w14:schemeClr w14:val="tx1"/>
            </w14:solidFill>
          </w14:textFill>
        </w:rPr>
        <w:t xml:space="preserve">  </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color w:val="000000" w:themeColor="text1"/>
          <w:sz w:val="22"/>
          <w:szCs w:val="22"/>
          <w:u w:val="single"/>
          <w14:textFill>
            <w14:solidFill>
              <w14:schemeClr w14:val="tx1"/>
            </w14:solidFill>
          </w14:textFill>
        </w:rPr>
        <w:t>若更换人员未取得发包人书面同意，则更换设计负责人或施工负责人的，承包人应支付发包人员更换违约金</w:t>
      </w:r>
      <w:r>
        <w:rPr>
          <w:rFonts w:hint="eastAsia" w:ascii="宋体" w:hAnsi="宋体" w:eastAsia="宋体"/>
          <w:color w:val="000000" w:themeColor="text1"/>
          <w:sz w:val="22"/>
          <w:szCs w:val="22"/>
          <w:u w:val="single"/>
          <w14:textFill>
            <w14:solidFill>
              <w14:schemeClr w14:val="tx1"/>
            </w14:solidFill>
          </w14:textFill>
        </w:rPr>
        <w:t>30</w:t>
      </w:r>
      <w:r>
        <w:rPr>
          <w:rFonts w:hint="eastAsia" w:ascii="宋体" w:hAnsi="宋体"/>
          <w:color w:val="000000" w:themeColor="text1"/>
          <w:sz w:val="22"/>
          <w:szCs w:val="22"/>
          <w:u w:val="single"/>
          <w14:textFill>
            <w14:solidFill>
              <w14:schemeClr w14:val="tx1"/>
            </w14:solidFill>
          </w14:textFill>
        </w:rPr>
        <w:t>万元/人·次；更换其他人员的，承包人应支付发包人员更换违约金每次</w:t>
      </w:r>
      <w:r>
        <w:rPr>
          <w:rFonts w:hint="eastAsia" w:ascii="宋体" w:hAnsi="宋体" w:eastAsia="宋体"/>
          <w:color w:val="000000" w:themeColor="text1"/>
          <w:sz w:val="22"/>
          <w:szCs w:val="22"/>
          <w:u w:val="single"/>
          <w14:textFill>
            <w14:solidFill>
              <w14:schemeClr w14:val="tx1"/>
            </w14:solidFill>
          </w14:textFill>
        </w:rPr>
        <w:t>20</w:t>
      </w:r>
      <w:r>
        <w:rPr>
          <w:rFonts w:hint="eastAsia" w:ascii="宋体" w:hAnsi="宋体"/>
          <w:color w:val="000000" w:themeColor="text1"/>
          <w:sz w:val="22"/>
          <w:szCs w:val="22"/>
          <w:u w:val="single"/>
          <w14:textFill>
            <w14:solidFill>
              <w14:schemeClr w14:val="tx1"/>
            </w14:solidFill>
          </w14:textFill>
        </w:rPr>
        <w:t>万元/人·次，均由发包人从当期工程进度款中扣取。</w:t>
      </w:r>
    </w:p>
    <w:p>
      <w:pPr>
        <w:ind w:firstLine="440"/>
        <w:rPr>
          <w:rFonts w:ascii="宋体" w:hAnsi="宋体" w:eastAsia="宋体"/>
          <w:color w:val="000000" w:themeColor="text1"/>
          <w:sz w:val="22"/>
          <w:szCs w:val="22"/>
          <w:u w:val="single"/>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承包人无正当理由拒绝撤换主要施工管理人员的违约责任</w:t>
      </w:r>
      <w:r>
        <w:rPr>
          <w:rFonts w:hint="eastAsia" w:ascii="宋体" w:hAnsi="宋体" w:eastAsia="宋体"/>
          <w:color w:val="000000" w:themeColor="text1"/>
          <w:sz w:val="22"/>
          <w:szCs w:val="22"/>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同承包人主要施工管理人员擅自离开施工现场违约。</w:t>
      </w:r>
      <w:r>
        <w:rPr>
          <w:rFonts w:hint="eastAsia" w:ascii="宋体" w:hAnsi="宋体" w:eastAsia="宋体"/>
          <w:color w:val="000000" w:themeColor="text1"/>
          <w:sz w:val="22"/>
          <w:szCs w:val="22"/>
          <w14:textFill>
            <w14:solidFill>
              <w14:schemeClr w14:val="tx1"/>
            </w14:solidFill>
          </w14:textFill>
        </w:rPr>
        <w:t xml:space="preserve">       </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39" w:name="_Toc25507524"/>
      <w:r>
        <w:rPr>
          <w:rFonts w:hint="eastAsia" w:ascii="宋体" w:hAnsi="宋体" w:eastAsia="宋体"/>
          <w:color w:val="000000" w:themeColor="text1"/>
          <w:sz w:val="22"/>
          <w:szCs w:val="22"/>
          <w14:textFill>
            <w14:solidFill>
              <w14:schemeClr w14:val="tx1"/>
            </w14:solidFill>
          </w14:textFill>
        </w:rPr>
        <w:t>4.8 进度计划</w:t>
      </w:r>
      <w:bookmarkEnd w:id="39"/>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4.8.1 合同进度计划</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承包人提交合同进度计划的内容和期限：</w:t>
      </w:r>
      <w:r>
        <w:rPr>
          <w:rFonts w:hint="eastAsia" w:ascii="宋体" w:hAnsi="宋体" w:eastAsia="宋体" w:cs="宋体"/>
          <w:bCs/>
          <w:color w:val="000000" w:themeColor="text1"/>
          <w:sz w:val="22"/>
          <w:szCs w:val="22"/>
          <w:u w:val="single"/>
          <w14:textFill>
            <w14:solidFill>
              <w14:schemeClr w14:val="tx1"/>
            </w14:solidFill>
          </w14:textFill>
        </w:rPr>
        <w:t>在合同签署后7天内,承包人向发包人提交2份格式和内容符合发包人代表或监理人规定的合同进度计划及设计进度计划，在施工图正式完成后提供一份施工进度计划以及为完成该计划而建议采用的实施性的施工安排和施工方案说明。</w:t>
      </w:r>
    </w:p>
    <w:p>
      <w:pPr>
        <w:snapToGrid w:val="0"/>
        <w:spacing w:line="320" w:lineRule="exact"/>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发包人和监理人在收到合同进度计划后确认批复或提出修改意见期限：</w:t>
      </w:r>
      <w:r>
        <w:rPr>
          <w:rFonts w:hint="eastAsia" w:ascii="宋体" w:hAnsi="宋体" w:eastAsia="宋体" w:cs="宋体"/>
          <w:bCs/>
          <w:color w:val="000000" w:themeColor="text1"/>
          <w:sz w:val="22"/>
          <w:szCs w:val="22"/>
          <w:u w:val="single"/>
          <w14:textFill>
            <w14:solidFill>
              <w14:schemeClr w14:val="tx1"/>
            </w14:solidFill>
          </w14:textFill>
        </w:rPr>
        <w:t>收到计划后的7天内审查同意或提出修改意见。发包人和监理人对承包人提交的进度计划的确认，不能减轻或免除承包人根据法律规定和合同约定应承担的任何责任或义务。</w:t>
      </w:r>
      <w:r>
        <w:rPr>
          <w:rFonts w:hint="eastAsia" w:ascii="宋体" w:hAnsi="宋体" w:eastAsia="宋体"/>
          <w:color w:val="000000" w:themeColor="text1"/>
          <w:sz w:val="22"/>
          <w:szCs w:val="22"/>
          <w:u w:val="single"/>
          <w14:textFill>
            <w14:solidFill>
              <w14:schemeClr w14:val="tx1"/>
            </w14:solidFill>
          </w14:textFill>
        </w:rPr>
        <w:t xml:space="preserve">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4.8.2 合同进度计划的修订</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承包人向监理人及发包人提交修订合同进度计划的申请报告和相关资料的期限：</w:t>
      </w:r>
      <w:r>
        <w:rPr>
          <w:rFonts w:hint="eastAsia" w:ascii="宋体" w:hAnsi="宋体" w:eastAsia="宋体"/>
          <w:bCs/>
          <w:color w:val="000000" w:themeColor="text1"/>
          <w:sz w:val="22"/>
          <w:szCs w:val="22"/>
          <w:u w:val="single"/>
          <w14:textFill>
            <w14:solidFill>
              <w14:schemeClr w14:val="tx1"/>
            </w14:solidFill>
          </w14:textFill>
        </w:rPr>
        <w:t>7天</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发包人和监理人批复修订合同进度计划申请报告的期限：</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bCs/>
          <w:color w:val="000000" w:themeColor="text1"/>
          <w:sz w:val="22"/>
          <w:szCs w:val="22"/>
          <w:u w:val="single"/>
          <w14:textFill>
            <w14:solidFill>
              <w14:schemeClr w14:val="tx1"/>
            </w14:solidFill>
          </w14:textFill>
        </w:rPr>
        <w:t>7天</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发包人和监理人批复修订合同进度计划的期限：</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bCs/>
          <w:color w:val="000000" w:themeColor="text1"/>
          <w:sz w:val="22"/>
          <w:szCs w:val="22"/>
          <w:u w:val="single"/>
          <w14:textFill>
            <w14:solidFill>
              <w14:schemeClr w14:val="tx1"/>
            </w14:solidFill>
          </w14:textFill>
        </w:rPr>
        <w:t>7天</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工程延期的审批</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4.8.2.1必须是非承包人自身的原因造成的工期延误，发包人才可以考虑是否受理承包人的延期申请；</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4.8.2.2若只是局部工程受到影响，承包人应采取措施予以弥补，而不能推迟工程的总工期；</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4.8.2.3延期工程项目如果不在工程施工进度网络计划的关键线路上，即使是关键工序但不在关键线路上的，发包人也不考虑延长工程总工期。</w:t>
      </w:r>
    </w:p>
    <w:p>
      <w:pPr>
        <w:pStyle w:val="4"/>
        <w:tabs>
          <w:tab w:val="left" w:pos="7116"/>
        </w:tabs>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0" w:name="_Toc25507525"/>
      <w:r>
        <w:rPr>
          <w:rFonts w:hint="eastAsia" w:ascii="宋体" w:hAnsi="宋体" w:eastAsia="宋体"/>
          <w:color w:val="000000" w:themeColor="text1"/>
          <w:sz w:val="22"/>
          <w:szCs w:val="22"/>
          <w14:textFill>
            <w14:solidFill>
              <w14:schemeClr w14:val="tx1"/>
            </w14:solidFill>
          </w14:textFill>
        </w:rPr>
        <w:t>5. 设计</w:t>
      </w:r>
      <w:bookmarkEnd w:id="40"/>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1" w:name="_Toc25507526"/>
      <w:r>
        <w:rPr>
          <w:rFonts w:hint="eastAsia" w:ascii="宋体" w:hAnsi="宋体" w:eastAsia="宋体"/>
          <w:color w:val="000000" w:themeColor="text1"/>
          <w:sz w:val="22"/>
          <w:szCs w:val="22"/>
          <w14:textFill>
            <w14:solidFill>
              <w14:schemeClr w14:val="tx1"/>
            </w14:solidFill>
          </w14:textFill>
        </w:rPr>
        <w:t>5.1 设计审查</w:t>
      </w:r>
      <w:bookmarkEnd w:id="41"/>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5.1.1设计审查的其他约定：</w:t>
      </w:r>
      <w:r>
        <w:rPr>
          <w:rFonts w:hint="eastAsia" w:ascii="宋体" w:hAnsi="宋体" w:eastAsia="宋体"/>
          <w:color w:val="000000" w:themeColor="text1"/>
          <w:sz w:val="22"/>
          <w:szCs w:val="22"/>
          <w:u w:val="single"/>
          <w14:textFill>
            <w14:solidFill>
              <w14:schemeClr w14:val="tx1"/>
            </w14:solidFill>
          </w14:textFill>
        </w:rPr>
        <w:t>设计文件需要政府部门审批的，由承包人牵头负责报送，发包人协助。时间由承包人自行计划，政府审批时间已包含在项目合同工期中。</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2" w:name="_Toc25507527"/>
      <w:r>
        <w:rPr>
          <w:rFonts w:ascii="宋体" w:hAnsi="宋体" w:eastAsia="宋体"/>
          <w:color w:val="000000" w:themeColor="text1"/>
          <w:sz w:val="22"/>
          <w:szCs w:val="22"/>
          <w14:textFill>
            <w14:solidFill>
              <w14:schemeClr w14:val="tx1"/>
            </w14:solidFill>
          </w14:textFill>
        </w:rPr>
        <w:t>5</w:t>
      </w:r>
      <w:r>
        <w:rPr>
          <w:rFonts w:hint="eastAsia" w:ascii="宋体" w:hAnsi="宋体" w:eastAsia="宋体"/>
          <w:color w:val="000000" w:themeColor="text1"/>
          <w:sz w:val="22"/>
          <w:szCs w:val="22"/>
          <w14:textFill>
            <w14:solidFill>
              <w14:schemeClr w14:val="tx1"/>
            </w14:solidFill>
          </w14:textFill>
        </w:rPr>
        <w:t>.2 竣工文件</w:t>
      </w:r>
      <w:bookmarkEnd w:id="42"/>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5.2.1 承包人提交竣工记录份数：</w:t>
      </w:r>
      <w:r>
        <w:rPr>
          <w:rFonts w:hint="eastAsia" w:ascii="宋体" w:hAnsi="宋体" w:eastAsia="宋体"/>
          <w:bCs/>
          <w:color w:val="000000" w:themeColor="text1"/>
          <w:sz w:val="22"/>
          <w:szCs w:val="22"/>
          <w:u w:val="single"/>
          <w14:textFill>
            <w14:solidFill>
              <w14:schemeClr w14:val="tx1"/>
            </w14:solidFill>
          </w14:textFill>
        </w:rPr>
        <w:t>在竣</w:t>
      </w:r>
      <w:r>
        <w:rPr>
          <w:rFonts w:hint="eastAsia" w:ascii="宋体" w:hAnsi="宋体" w:eastAsia="宋体" w:cs="宋体"/>
          <w:bCs/>
          <w:color w:val="000000" w:themeColor="text1"/>
          <w:sz w:val="22"/>
          <w:szCs w:val="22"/>
          <w:u w:val="single"/>
          <w14:textFill>
            <w14:solidFill>
              <w14:schemeClr w14:val="tx1"/>
            </w14:solidFill>
          </w14:textFill>
        </w:rPr>
        <w:t>工验收前十五天向发包人提供完整的经监理人盖章确认的竣工资料一式五份，竣工图光盘2张，承包范围内的地下管线竣工测量资料2份。提供工程施工全过程照片（重要工程节点施工过程、涉及工程变更取证、各级领导现</w:t>
      </w:r>
      <w:r>
        <w:rPr>
          <w:rFonts w:hint="eastAsia" w:ascii="宋体" w:hAnsi="宋体" w:eastAsia="宋体"/>
          <w:bCs/>
          <w:color w:val="000000" w:themeColor="text1"/>
          <w:sz w:val="22"/>
          <w:szCs w:val="22"/>
          <w:u w:val="single"/>
          <w14:textFill>
            <w14:solidFill>
              <w14:schemeClr w14:val="tx1"/>
            </w14:solidFill>
          </w14:textFill>
        </w:rPr>
        <w:t>场视察、相关部门各种类专项检查过程的记录等），做好影像资料台帐并保证其完备性。</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5.2.2 在颁发工程接收证书之前，发包人要求提交相应竣工图纸的份数和形式：</w:t>
      </w:r>
      <w:r>
        <w:rPr>
          <w:rFonts w:hint="eastAsia" w:ascii="宋体" w:hAnsi="宋体" w:eastAsia="宋体"/>
          <w:bCs/>
          <w:color w:val="000000" w:themeColor="text1"/>
          <w:sz w:val="22"/>
          <w:szCs w:val="22"/>
          <w:u w:val="single"/>
          <w14:textFill>
            <w14:solidFill>
              <w14:schemeClr w14:val="tx1"/>
            </w14:solidFill>
          </w14:textFill>
        </w:rPr>
        <w:t>承包人应向监理人提交相应竣工图纸一式五份，并取得监理人对尺寸、参照系统及其他有关细节的认可。监理人应按照第5.3款的约定进行审查。</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3" w:name="_Toc25507528"/>
      <w:r>
        <w:rPr>
          <w:rFonts w:hint="eastAsia" w:ascii="宋体" w:hAnsi="宋体" w:eastAsia="宋体"/>
          <w:color w:val="000000" w:themeColor="text1"/>
          <w:sz w:val="22"/>
          <w:szCs w:val="22"/>
          <w14:textFill>
            <w14:solidFill>
              <w14:schemeClr w14:val="tx1"/>
            </w14:solidFill>
          </w14:textFill>
        </w:rPr>
        <w:t>6. 材料和工程设备</w:t>
      </w:r>
      <w:bookmarkEnd w:id="43"/>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4" w:name="_Toc25507529"/>
      <w:r>
        <w:rPr>
          <w:rFonts w:hint="eastAsia" w:ascii="宋体" w:hAnsi="宋体" w:eastAsia="宋体"/>
          <w:color w:val="000000" w:themeColor="text1"/>
          <w:sz w:val="22"/>
          <w:szCs w:val="22"/>
          <w14:textFill>
            <w14:solidFill>
              <w14:schemeClr w14:val="tx1"/>
            </w14:solidFill>
          </w14:textFill>
        </w:rPr>
        <w:t>6.1 承包人提供的材料和工程设备</w:t>
      </w:r>
      <w:bookmarkEnd w:id="44"/>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6.1.1承包人提供的材料和工程设备采购的程序及责任承担约定约定其他：</w:t>
      </w:r>
      <w:r>
        <w:rPr>
          <w:rFonts w:hint="eastAsia" w:ascii="宋体" w:hAnsi="宋体" w:eastAsia="宋体"/>
          <w:color w:val="000000" w:themeColor="text1"/>
          <w:sz w:val="22"/>
          <w:szCs w:val="22"/>
          <w:u w:val="single"/>
          <w14:textFill>
            <w14:solidFill>
              <w14:schemeClr w14:val="tx1"/>
            </w14:solidFill>
          </w14:textFill>
        </w:rPr>
        <w:t>开工前提交五份，格式、内容自定。主要机具实际进场的报表格式、份数和报告期开工前提交五份，格式、内容自定。（提供的各类表格需征得监理公司及发包人的认可后方生效）</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6.1.2 承包人提供各项材料和工程设备一览表的格式、内容、份数和时间：</w:t>
      </w:r>
      <w:r>
        <w:rPr>
          <w:rFonts w:hint="eastAsia" w:ascii="宋体" w:hAnsi="宋体" w:eastAsia="宋体" w:cs="宋体"/>
          <w:bCs/>
          <w:color w:val="000000" w:themeColor="text1"/>
          <w:sz w:val="22"/>
          <w:szCs w:val="22"/>
          <w:u w:val="single"/>
          <w14:textFill>
            <w14:solidFill>
              <w14:schemeClr w14:val="tx1"/>
            </w14:solidFill>
          </w14:textFill>
        </w:rPr>
        <w:t>开工前提交三份，格式、内容自定</w:t>
      </w:r>
      <w:r>
        <w:rPr>
          <w:rFonts w:hint="eastAsia" w:ascii="宋体" w:hAnsi="宋体" w:eastAsia="宋体"/>
          <w:color w:val="000000" w:themeColor="text1"/>
          <w:sz w:val="22"/>
          <w:szCs w:val="22"/>
          <w:u w:val="single"/>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45" w:name="_Toc25507530"/>
      <w:r>
        <w:rPr>
          <w:rFonts w:hint="eastAsia" w:ascii="宋体" w:hAnsi="宋体" w:eastAsia="宋体"/>
          <w:color w:val="000000" w:themeColor="text1"/>
          <w:sz w:val="22"/>
          <w:szCs w:val="22"/>
          <w14:textFill>
            <w14:solidFill>
              <w14:schemeClr w14:val="tx1"/>
            </w14:solidFill>
          </w14:textFill>
        </w:rPr>
        <w:t>6.2 发包人提供的材料和工程设备</w:t>
      </w:r>
      <w:bookmarkEnd w:id="45"/>
    </w:p>
    <w:p>
      <w:pPr>
        <w:snapToGrid w:val="0"/>
        <w:spacing w:line="320" w:lineRule="exact"/>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本合同执行通用条款</w:t>
      </w:r>
      <w:r>
        <w:rPr>
          <w:rFonts w:hint="eastAsia" w:ascii="宋体" w:hAnsi="宋体" w:eastAsia="宋体" w:cs="宋体"/>
          <w:bCs/>
          <w:color w:val="000000" w:themeColor="text1"/>
          <w:sz w:val="22"/>
          <w:szCs w:val="22"/>
          <w:u w:val="single"/>
          <w14:textFill>
            <w14:solidFill>
              <w14:schemeClr w14:val="tx1"/>
            </w14:solidFill>
          </w14:textFill>
        </w:rPr>
        <w:t>6.2发包人提供的材料和工程设备（B），删除通用条款6.2发包人提供的材料和工程设备（A）。</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6.2.1发包人提供部分材料和工程设备一览表的格式、内容、份数和时间</w:t>
      </w:r>
      <w:r>
        <w:rPr>
          <w:rFonts w:hint="eastAsia" w:ascii="宋体" w:hAnsi="宋体" w:eastAsia="宋体"/>
          <w:color w:val="000000" w:themeColor="text1"/>
          <w:sz w:val="22"/>
          <w:szCs w:val="22"/>
          <w:u w:val="single"/>
          <w14:textFill>
            <w14:solidFill>
              <w14:schemeClr w14:val="tx1"/>
            </w14:solidFill>
          </w14:textFill>
        </w:rPr>
        <w:t xml:space="preserve">     /   </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6.2.3 发包人供应的材料和工程设备的其他约定：</w:t>
      </w:r>
      <w:r>
        <w:rPr>
          <w:rFonts w:hint="eastAsia" w:ascii="宋体" w:hAnsi="宋体" w:eastAsia="宋体"/>
          <w:color w:val="000000" w:themeColor="text1"/>
          <w:sz w:val="22"/>
          <w:szCs w:val="22"/>
          <w:u w:val="single"/>
          <w14:textFill>
            <w14:solidFill>
              <w14:schemeClr w14:val="tx1"/>
            </w14:solidFill>
          </w14:textFill>
        </w:rPr>
        <w:t xml:space="preserve">        /     </w:t>
      </w:r>
    </w:p>
    <w:p>
      <w:pPr>
        <w:pStyle w:val="5"/>
        <w:spacing w:before="0" w:after="0" w:line="320" w:lineRule="exact"/>
        <w:ind w:firstLine="442"/>
        <w:rPr>
          <w:rFonts w:ascii="宋体" w:hAnsi="宋体" w:eastAsia="宋体"/>
          <w:color w:val="000000" w:themeColor="text1"/>
          <w:sz w:val="22"/>
          <w:szCs w:val="22"/>
          <w14:textFill>
            <w14:solidFill>
              <w14:schemeClr w14:val="tx1"/>
            </w14:solidFill>
          </w14:textFill>
        </w:rPr>
      </w:pPr>
      <w:bookmarkStart w:id="46" w:name="_Toc7273468"/>
      <w:r>
        <w:rPr>
          <w:rFonts w:hint="eastAsia" w:ascii="宋体" w:hAnsi="宋体" w:eastAsia="宋体"/>
          <w:color w:val="000000" w:themeColor="text1"/>
          <w:sz w:val="22"/>
          <w:szCs w:val="22"/>
          <w14:textFill>
            <w14:solidFill>
              <w14:schemeClr w14:val="tx1"/>
            </w14:solidFill>
          </w14:textFill>
        </w:rPr>
        <w:t>6.5 禁止使用不合格的材料和工程设备</w:t>
      </w:r>
      <w:bookmarkEnd w:id="46"/>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6.5.1 为保证工程质量，凡由承包人独立采购的材料和工程设备，承包人应按照设计要求、技术标准及招标文件的约定采购符合上述要求的材料和工程设备。并向发包人提供质量保证书、出厂合格证及现场抽样检测报告等证明材料，对材料和工程设备质量负责。如不符合质量及技术标准要求或规格有差异的，承包人应按发包人要求的时间将不符合要求的材料和工程设备运出施工场地，重新采购符合要求的材料和工程设备。若已使用，由承包人负责整改处理，确保达到要求的质量标准。因使用不符合要求的材料对工程造成的损失由承包人负责，由此延误的工期不予顺延。</w:t>
      </w:r>
    </w:p>
    <w:p>
      <w:pPr>
        <w:pStyle w:val="5"/>
        <w:spacing w:before="0" w:after="0" w:line="320" w:lineRule="exact"/>
        <w:ind w:firstLine="442"/>
        <w:rPr>
          <w:rFonts w:ascii="宋体" w:hAnsi="宋体" w:eastAsia="宋体"/>
          <w:color w:val="000000" w:themeColor="text1"/>
          <w:sz w:val="22"/>
          <w:szCs w:val="22"/>
          <w14:textFill>
            <w14:solidFill>
              <w14:schemeClr w14:val="tx1"/>
            </w14:solidFill>
          </w14:textFill>
        </w:rPr>
      </w:pPr>
      <w:bookmarkStart w:id="47" w:name="_Toc351203558"/>
      <w:bookmarkStart w:id="48" w:name="_Toc7273469"/>
      <w:r>
        <w:rPr>
          <w:rFonts w:hint="eastAsia" w:ascii="宋体" w:hAnsi="宋体" w:eastAsia="宋体"/>
          <w:color w:val="000000" w:themeColor="text1"/>
          <w:sz w:val="22"/>
          <w:szCs w:val="22"/>
          <w14:textFill>
            <w14:solidFill>
              <w14:schemeClr w14:val="tx1"/>
            </w14:solidFill>
          </w14:textFill>
        </w:rPr>
        <w:t>6</w:t>
      </w:r>
      <w:r>
        <w:rPr>
          <w:rFonts w:ascii="宋体" w:hAnsi="宋体" w:eastAsia="宋体"/>
          <w:color w:val="000000" w:themeColor="text1"/>
          <w:sz w:val="22"/>
          <w:szCs w:val="22"/>
          <w14:textFill>
            <w14:solidFill>
              <w14:schemeClr w14:val="tx1"/>
            </w14:solidFill>
          </w14:textFill>
        </w:rPr>
        <w:t>.6 样品</w:t>
      </w:r>
      <w:bookmarkEnd w:id="47"/>
      <w:bookmarkEnd w:id="48"/>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.6.1</w:t>
      </w:r>
      <w:r>
        <w:rPr>
          <w:rFonts w:hint="eastAsia" w:ascii="宋体" w:hAnsi="宋体" w:eastAsia="宋体"/>
          <w:color w:val="000000" w:themeColor="text1"/>
          <w:kern w:val="0"/>
          <w:sz w:val="22"/>
          <w:szCs w:val="22"/>
          <w14:textFill>
            <w14:solidFill>
              <w14:schemeClr w14:val="tx1"/>
            </w14:solidFill>
          </w14:textFill>
        </w:rPr>
        <w:t xml:space="preserve"> </w:t>
      </w:r>
      <w:r>
        <w:rPr>
          <w:rFonts w:ascii="宋体" w:hAnsi="宋体" w:eastAsia="宋体"/>
          <w:color w:val="000000" w:themeColor="text1"/>
          <w:kern w:val="0"/>
          <w:sz w:val="22"/>
          <w:szCs w:val="22"/>
          <w14:textFill>
            <w14:solidFill>
              <w14:schemeClr w14:val="tx1"/>
            </w14:solidFill>
          </w14:textFill>
        </w:rPr>
        <w:t>样品的报送</w:t>
      </w:r>
      <w:r>
        <w:rPr>
          <w:rFonts w:hint="eastAsia" w:ascii="宋体" w:hAnsi="宋体" w:eastAsia="宋体"/>
          <w:color w:val="000000" w:themeColor="text1"/>
          <w:kern w:val="0"/>
          <w:sz w:val="22"/>
          <w:szCs w:val="22"/>
          <w14:textFill>
            <w14:solidFill>
              <w14:schemeClr w14:val="tx1"/>
            </w14:solidFill>
          </w14:textFill>
        </w:rPr>
        <w:t>与封存</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需要承包人报送样品的材料或工程设备</w:t>
      </w:r>
      <w:r>
        <w:rPr>
          <w:rFonts w:hint="eastAsia" w:ascii="宋体" w:hAnsi="宋体" w:eastAsia="宋体"/>
          <w:color w:val="000000" w:themeColor="text1"/>
          <w:kern w:val="0"/>
          <w:sz w:val="22"/>
          <w:szCs w:val="22"/>
          <w14:textFill>
            <w14:solidFill>
              <w14:schemeClr w14:val="tx1"/>
            </w14:solidFill>
          </w14:textFill>
        </w:rPr>
        <w:t>（包括并不限于铝合金门窗、石材饰面及地面、涂料、铝合金天棚材料、瓷砖等等）</w:t>
      </w:r>
      <w:r>
        <w:rPr>
          <w:rFonts w:ascii="宋体" w:hAnsi="宋体" w:eastAsia="宋体"/>
          <w:color w:val="000000" w:themeColor="text1"/>
          <w:kern w:val="0"/>
          <w:sz w:val="22"/>
          <w:szCs w:val="22"/>
          <w14:textFill>
            <w14:solidFill>
              <w14:schemeClr w14:val="tx1"/>
            </w14:solidFill>
          </w14:textFill>
        </w:rPr>
        <w:t>。样品的报送程序如下：</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1）承包人应在计划采购前28天向监理人报送样品。承包人报送的样品均应来自供应材料的实际生产地，且提供的样品的规格、数量足以表明材料或工程设备的质量、型号、颜色、表面处理、质地、误差和其他要求的特征。</w:t>
      </w:r>
      <w:r>
        <w:rPr>
          <w:rFonts w:hint="eastAsia" w:ascii="宋体" w:hAnsi="宋体" w:eastAsia="宋体"/>
          <w:color w:val="000000" w:themeColor="text1"/>
          <w:kern w:val="0"/>
          <w:sz w:val="22"/>
          <w:szCs w:val="22"/>
          <w14:textFill>
            <w14:solidFill>
              <w14:schemeClr w14:val="tx1"/>
            </w14:solidFill>
          </w14:textFill>
        </w:rPr>
        <w:t>对于大面积的墙面、地面以及天棚，承包人应按照发包人要求在工地现场制作一定面积的样板，经发包人同意后方可实施。</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（3）经发包人和监理人审批确认的样品</w:t>
      </w:r>
      <w:r>
        <w:rPr>
          <w:rFonts w:hint="eastAsia" w:ascii="宋体" w:hAnsi="宋体" w:eastAsia="宋体"/>
          <w:color w:val="000000" w:themeColor="text1"/>
          <w:kern w:val="0"/>
          <w:sz w:val="22"/>
          <w:szCs w:val="22"/>
          <w14:textFill>
            <w14:solidFill>
              <w14:schemeClr w14:val="tx1"/>
            </w14:solidFill>
          </w14:textFill>
        </w:rPr>
        <w:t>应按约定的方法封样，封存的样品</w:t>
      </w:r>
      <w:r>
        <w:rPr>
          <w:rFonts w:ascii="宋体" w:hAnsi="宋体" w:eastAsia="宋体"/>
          <w:color w:val="000000" w:themeColor="text1"/>
          <w:kern w:val="0"/>
          <w:sz w:val="22"/>
          <w:szCs w:val="22"/>
          <w14:textFill>
            <w14:solidFill>
              <w14:schemeClr w14:val="tx1"/>
            </w14:solidFill>
          </w14:textFill>
        </w:rPr>
        <w:t>作为检验工程相关部分的标准之一。承包人在施工过程中不得使用与样品不符的材料或工程设备。</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（4）发包人和监理人对样品的审批确认仅为确认相关材料或工程设备的特征或用途，不得被理解为对合同的修改或改变，也并不减轻或免除承包人任何的责任和义务。</w:t>
      </w:r>
      <w:r>
        <w:rPr>
          <w:rFonts w:hint="eastAsia" w:ascii="宋体" w:hAnsi="宋体" w:eastAsia="宋体"/>
          <w:color w:val="000000" w:themeColor="text1"/>
          <w:kern w:val="0"/>
          <w:sz w:val="22"/>
          <w:szCs w:val="22"/>
          <w14:textFill>
            <w14:solidFill>
              <w14:schemeClr w14:val="tx1"/>
            </w14:solidFill>
          </w14:textFill>
        </w:rPr>
        <w:t>如果封存的样品修改或改变了合同约定，合同当事人应当以书面协议予以确认。</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.6.2 样品的保管</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经批准的样品应由监理人负责封存于现场，承包人应在现场为保存样品提供适当和固定的场所并保持适当和良好的存储环境条件。</w:t>
      </w:r>
    </w:p>
    <w:p>
      <w:pPr>
        <w:pStyle w:val="5"/>
        <w:spacing w:before="0" w:after="0" w:line="320" w:lineRule="exact"/>
        <w:ind w:firstLine="442"/>
        <w:rPr>
          <w:rFonts w:ascii="宋体" w:hAnsi="宋体" w:eastAsia="宋体"/>
          <w:color w:val="000000" w:themeColor="text1"/>
          <w:sz w:val="22"/>
          <w:szCs w:val="22"/>
          <w14:textFill>
            <w14:solidFill>
              <w14:schemeClr w14:val="tx1"/>
            </w14:solidFill>
          </w14:textFill>
        </w:rPr>
      </w:pPr>
      <w:bookmarkStart w:id="49" w:name="_Toc351203559"/>
      <w:bookmarkStart w:id="50" w:name="_Toc7273470"/>
      <w:r>
        <w:rPr>
          <w:rFonts w:hint="eastAsia" w:ascii="宋体" w:hAnsi="宋体" w:eastAsia="宋体"/>
          <w:color w:val="000000" w:themeColor="text1"/>
          <w:sz w:val="22"/>
          <w:szCs w:val="22"/>
          <w14:textFill>
            <w14:solidFill>
              <w14:schemeClr w14:val="tx1"/>
            </w14:solidFill>
          </w14:textFill>
        </w:rPr>
        <w:t>6</w:t>
      </w:r>
      <w:r>
        <w:rPr>
          <w:rFonts w:ascii="宋体" w:hAnsi="宋体" w:eastAsia="宋体"/>
          <w:color w:val="000000" w:themeColor="text1"/>
          <w:sz w:val="22"/>
          <w:szCs w:val="22"/>
          <w14:textFill>
            <w14:solidFill>
              <w14:schemeClr w14:val="tx1"/>
            </w14:solidFill>
          </w14:textFill>
        </w:rPr>
        <w:t>.7材料与工程设备的替代</w:t>
      </w:r>
      <w:bookmarkEnd w:id="49"/>
      <w:bookmarkEnd w:id="50"/>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.7.1 出现下列情况需要使用替代材料和工程设备的，承包人应按照第</w:t>
      </w: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.7.2项约定的程序执行：</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（1）基准日</w:t>
      </w:r>
      <w:r>
        <w:rPr>
          <w:rFonts w:hint="eastAsia" w:ascii="宋体" w:hAnsi="宋体" w:eastAsia="宋体"/>
          <w:color w:val="000000" w:themeColor="text1"/>
          <w:kern w:val="0"/>
          <w:sz w:val="22"/>
          <w:szCs w:val="22"/>
          <w14:textFill>
            <w14:solidFill>
              <w14:schemeClr w14:val="tx1"/>
            </w14:solidFill>
          </w14:textFill>
        </w:rPr>
        <w:t>期</w:t>
      </w:r>
      <w:r>
        <w:rPr>
          <w:rFonts w:ascii="宋体" w:hAnsi="宋体" w:eastAsia="宋体"/>
          <w:color w:val="000000" w:themeColor="text1"/>
          <w:kern w:val="0"/>
          <w:sz w:val="22"/>
          <w:szCs w:val="22"/>
          <w14:textFill>
            <w14:solidFill>
              <w14:schemeClr w14:val="tx1"/>
            </w14:solidFill>
          </w14:textFill>
        </w:rPr>
        <w:t>后生效的法律规定禁止使用的；</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（2）发包人要求使用替代品的；</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（3）因其他原因必须使用替代品的。</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.7.2 承包人应在使用替代材料和工程设备28天前书面通知监理人，并附下列文件：</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（1）被替代的材料和工程设备的名称、数量、规格、</w:t>
      </w:r>
      <w:r>
        <w:rPr>
          <w:rFonts w:hint="eastAsia" w:ascii="宋体" w:hAnsi="宋体" w:eastAsia="宋体"/>
          <w:color w:val="000000" w:themeColor="text1"/>
          <w:kern w:val="0"/>
          <w:sz w:val="22"/>
          <w:szCs w:val="22"/>
          <w14:textFill>
            <w14:solidFill>
              <w14:schemeClr w14:val="tx1"/>
            </w14:solidFill>
          </w14:textFill>
        </w:rPr>
        <w:t>颜色、</w:t>
      </w:r>
      <w:r>
        <w:rPr>
          <w:rFonts w:ascii="宋体" w:hAnsi="宋体" w:eastAsia="宋体"/>
          <w:color w:val="000000" w:themeColor="text1"/>
          <w:kern w:val="0"/>
          <w:sz w:val="22"/>
          <w:szCs w:val="22"/>
          <w14:textFill>
            <w14:solidFill>
              <w14:schemeClr w14:val="tx1"/>
            </w14:solidFill>
          </w14:textFill>
        </w:rPr>
        <w:t>型号、品牌、性能、价格及其他相关资料；</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（2）替代品的名称、数量、规格、</w:t>
      </w:r>
      <w:r>
        <w:rPr>
          <w:rFonts w:hint="eastAsia" w:ascii="宋体" w:hAnsi="宋体" w:eastAsia="宋体"/>
          <w:color w:val="000000" w:themeColor="text1"/>
          <w:kern w:val="0"/>
          <w:sz w:val="22"/>
          <w:szCs w:val="22"/>
          <w14:textFill>
            <w14:solidFill>
              <w14:schemeClr w14:val="tx1"/>
            </w14:solidFill>
          </w14:textFill>
        </w:rPr>
        <w:t>颜色、</w:t>
      </w:r>
      <w:r>
        <w:rPr>
          <w:rFonts w:ascii="宋体" w:hAnsi="宋体" w:eastAsia="宋体"/>
          <w:color w:val="000000" w:themeColor="text1"/>
          <w:kern w:val="0"/>
          <w:sz w:val="22"/>
          <w:szCs w:val="22"/>
          <w14:textFill>
            <w14:solidFill>
              <w14:schemeClr w14:val="tx1"/>
            </w14:solidFill>
          </w14:textFill>
        </w:rPr>
        <w:t>型号、品牌、性能、价格及其他相关资料；</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（3）替代品与被替代产品之间的差异以及使用替代品可能对工程产生的影响；</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（4）替代品与被替代产品的价格差异；</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（5）使用替代品的理由和原因说明；</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（6）监理人要求的其他文件。</w:t>
      </w:r>
    </w:p>
    <w:p>
      <w:pPr>
        <w:autoSpaceDE w:val="0"/>
        <w:autoSpaceDN w:val="0"/>
        <w:adjustRightInd w:val="0"/>
        <w:spacing w:line="320" w:lineRule="exact"/>
        <w:ind w:firstLine="440"/>
        <w:jc w:val="left"/>
        <w:rPr>
          <w:rFonts w:ascii="宋体" w:hAnsi="宋体" w:eastAsia="宋体"/>
          <w:color w:val="000000" w:themeColor="text1"/>
          <w:kern w:val="0"/>
          <w:sz w:val="22"/>
          <w:szCs w:val="22"/>
          <w14:textFill>
            <w14:solidFill>
              <w14:schemeClr w14:val="tx1"/>
            </w14:solidFill>
          </w14:textFill>
        </w:rPr>
      </w:pPr>
      <w:r>
        <w:rPr>
          <w:rFonts w:ascii="宋体" w:hAnsi="宋体" w:eastAsia="宋体"/>
          <w:color w:val="000000" w:themeColor="text1"/>
          <w:kern w:val="0"/>
          <w:sz w:val="22"/>
          <w:szCs w:val="22"/>
          <w14:textFill>
            <w14:solidFill>
              <w14:schemeClr w14:val="tx1"/>
            </w14:solidFill>
          </w14:textFill>
        </w:rPr>
        <w:t>监理人应在收到通知后14天内向承包人发出经发包人签认的书面指示；监理人逾期发出书面指示的，视为发包人和监理人同意使用替代品。</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color w:val="000000" w:themeColor="text1"/>
          <w:kern w:val="0"/>
          <w:sz w:val="22"/>
          <w:szCs w:val="22"/>
          <w14:textFill>
            <w14:solidFill>
              <w14:schemeClr w14:val="tx1"/>
            </w14:solidFill>
          </w14:textFill>
        </w:rPr>
        <w:t>6</w:t>
      </w:r>
      <w:r>
        <w:rPr>
          <w:rFonts w:ascii="宋体" w:hAnsi="宋体" w:eastAsia="宋体"/>
          <w:color w:val="000000" w:themeColor="text1"/>
          <w:kern w:val="0"/>
          <w:sz w:val="22"/>
          <w:szCs w:val="22"/>
          <w14:textFill>
            <w14:solidFill>
              <w14:schemeClr w14:val="tx1"/>
            </w14:solidFill>
          </w14:textFill>
        </w:rPr>
        <w:t>.7.3 发包人认可使用替代材料和工程设备的，替代材料和工程设备的价格，</w:t>
      </w:r>
      <w:r>
        <w:rPr>
          <w:rFonts w:hint="eastAsia" w:ascii="宋体" w:hAnsi="宋体" w:eastAsia="宋体"/>
          <w:color w:val="000000" w:themeColor="text1"/>
          <w:kern w:val="0"/>
          <w:sz w:val="22"/>
          <w:szCs w:val="22"/>
          <w14:textFill>
            <w14:solidFill>
              <w14:schemeClr w14:val="tx1"/>
            </w14:solidFill>
          </w14:textFill>
        </w:rPr>
        <w:t>除基准日期后生效的法律规定禁止使用的以外，价格不予调整。基准日期后生效的法律规定禁止使用的</w:t>
      </w:r>
      <w:r>
        <w:rPr>
          <w:rFonts w:ascii="宋体" w:hAnsi="宋体" w:eastAsia="宋体"/>
          <w:color w:val="000000" w:themeColor="text1"/>
          <w:kern w:val="0"/>
          <w:sz w:val="22"/>
          <w:szCs w:val="22"/>
          <w14:textFill>
            <w14:solidFill>
              <w14:schemeClr w14:val="tx1"/>
            </w14:solidFill>
          </w14:textFill>
        </w:rPr>
        <w:t>替代材料和工程设备的价格，</w:t>
      </w:r>
      <w:r>
        <w:rPr>
          <w:rFonts w:hint="eastAsia" w:ascii="宋体" w:hAnsi="宋体" w:eastAsia="宋体"/>
          <w:color w:val="000000" w:themeColor="text1"/>
          <w:kern w:val="0"/>
          <w:sz w:val="22"/>
          <w:szCs w:val="22"/>
          <w14:textFill>
            <w14:solidFill>
              <w14:schemeClr w14:val="tx1"/>
            </w14:solidFill>
          </w14:textFill>
        </w:rPr>
        <w:t>按照合理的成本与利润构成的原则，</w:t>
      </w:r>
      <w:r>
        <w:rPr>
          <w:rFonts w:ascii="宋体" w:hAnsi="宋体" w:eastAsia="宋体"/>
          <w:color w:val="000000" w:themeColor="text1"/>
          <w:kern w:val="0"/>
          <w:sz w:val="22"/>
          <w:szCs w:val="22"/>
          <w14:textFill>
            <w14:solidFill>
              <w14:schemeClr w14:val="tx1"/>
            </w14:solidFill>
          </w14:textFill>
        </w:rPr>
        <w:t>由合同当事人按照第</w:t>
      </w:r>
      <w:r>
        <w:rPr>
          <w:rFonts w:hint="eastAsia" w:ascii="宋体" w:hAnsi="宋体" w:eastAsia="宋体"/>
          <w:color w:val="000000" w:themeColor="text1"/>
          <w:kern w:val="0"/>
          <w:sz w:val="22"/>
          <w:szCs w:val="22"/>
          <w14:textFill>
            <w14:solidFill>
              <w14:schemeClr w14:val="tx1"/>
            </w14:solidFill>
          </w14:textFill>
        </w:rPr>
        <w:t>3.5</w:t>
      </w:r>
      <w:r>
        <w:rPr>
          <w:rFonts w:ascii="宋体" w:hAnsi="宋体" w:eastAsia="宋体"/>
          <w:color w:val="000000" w:themeColor="text1"/>
          <w:kern w:val="0"/>
          <w:sz w:val="22"/>
          <w:szCs w:val="22"/>
          <w14:textFill>
            <w14:solidFill>
              <w14:schemeClr w14:val="tx1"/>
            </w14:solidFill>
          </w14:textFill>
        </w:rPr>
        <w:t>款商定或确定确定价格。</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1" w:name="_Toc25507531"/>
      <w:r>
        <w:rPr>
          <w:rFonts w:hint="eastAsia" w:ascii="宋体" w:hAnsi="宋体" w:eastAsia="宋体"/>
          <w:color w:val="000000" w:themeColor="text1"/>
          <w:sz w:val="22"/>
          <w:szCs w:val="22"/>
          <w14:textFill>
            <w14:solidFill>
              <w14:schemeClr w14:val="tx1"/>
            </w14:solidFill>
          </w14:textFill>
        </w:rPr>
        <w:t>7. 施工设备和临时设施</w:t>
      </w:r>
      <w:bookmarkEnd w:id="51"/>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2" w:name="_Toc25507532"/>
      <w:r>
        <w:rPr>
          <w:rFonts w:hint="eastAsia" w:ascii="宋体" w:hAnsi="宋体" w:eastAsia="宋体"/>
          <w:color w:val="000000" w:themeColor="text1"/>
          <w:sz w:val="22"/>
          <w:szCs w:val="22"/>
          <w14:textFill>
            <w14:solidFill>
              <w14:schemeClr w14:val="tx1"/>
            </w14:solidFill>
          </w14:textFill>
        </w:rPr>
        <w:t>7.1 承包人提供的施工设备和临时设施</w:t>
      </w:r>
      <w:bookmarkEnd w:id="52"/>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7.1.2关于临时设施和临时占地的其他约定：</w:t>
      </w:r>
      <w:r>
        <w:rPr>
          <w:rFonts w:hint="eastAsia" w:ascii="宋体" w:hAnsi="宋体" w:eastAsia="宋体"/>
          <w:color w:val="000000" w:themeColor="text1"/>
          <w:sz w:val="22"/>
          <w:szCs w:val="22"/>
          <w:u w:val="single"/>
          <w14:textFill>
            <w14:solidFill>
              <w14:schemeClr w14:val="tx1"/>
            </w14:solidFill>
          </w14:textFill>
        </w:rPr>
        <w:t>承包人自行承担修建临时设施的费用，需要临时占地的，由承包人办理申请手续并承担相应费用，发包人予以协助。</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3" w:name="_Toc25507533"/>
      <w:r>
        <w:rPr>
          <w:rFonts w:hint="eastAsia" w:ascii="宋体" w:hAnsi="宋体" w:eastAsia="宋体"/>
          <w:color w:val="000000" w:themeColor="text1"/>
          <w:sz w:val="22"/>
          <w:szCs w:val="22"/>
          <w14:textFill>
            <w14:solidFill>
              <w14:schemeClr w14:val="tx1"/>
            </w14:solidFill>
          </w14:textFill>
        </w:rPr>
        <w:t>7.2 发包人提供的施工设备和临时设施</w:t>
      </w:r>
      <w:bookmarkEnd w:id="53"/>
    </w:p>
    <w:p>
      <w:pPr>
        <w:snapToGrid w:val="0"/>
        <w:spacing w:line="320" w:lineRule="exact"/>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本合同执行通用条款</w:t>
      </w:r>
      <w:r>
        <w:rPr>
          <w:rFonts w:hint="eastAsia" w:ascii="宋体" w:hAnsi="宋体" w:eastAsia="宋体" w:cs="宋体"/>
          <w:bCs/>
          <w:color w:val="000000" w:themeColor="text1"/>
          <w:sz w:val="22"/>
          <w:szCs w:val="22"/>
          <w:u w:val="single"/>
          <w14:textFill>
            <w14:solidFill>
              <w14:schemeClr w14:val="tx1"/>
            </w14:solidFill>
          </w14:textFill>
        </w:rPr>
        <w:t>7.2发包人提供的施工设备和临时设施（B），删除通用条款7.2发包人提供的施工设备和临时设施（A）。</w:t>
      </w:r>
    </w:p>
    <w:p>
      <w:pPr>
        <w:pStyle w:val="5"/>
        <w:spacing w:before="0" w:after="0" w:line="320" w:lineRule="exact"/>
        <w:ind w:firstLine="442"/>
        <w:rPr>
          <w:rFonts w:ascii="宋体" w:hAnsi="宋体" w:eastAsia="宋体"/>
          <w:color w:val="000000" w:themeColor="text1"/>
          <w:sz w:val="22"/>
          <w:szCs w:val="22"/>
          <w14:textFill>
            <w14:solidFill>
              <w14:schemeClr w14:val="tx1"/>
            </w14:solidFill>
          </w14:textFill>
        </w:rPr>
      </w:pPr>
      <w:bookmarkStart w:id="54" w:name="_Toc7273473"/>
      <w:r>
        <w:rPr>
          <w:rFonts w:hint="eastAsia" w:ascii="宋体" w:hAnsi="宋体" w:eastAsia="宋体"/>
          <w:color w:val="000000" w:themeColor="text1"/>
          <w:sz w:val="22"/>
          <w:szCs w:val="22"/>
          <w14:textFill>
            <w14:solidFill>
              <w14:schemeClr w14:val="tx1"/>
            </w14:solidFill>
          </w14:textFill>
        </w:rPr>
        <w:t>7.3 要求承包人增加或更换施工设备</w:t>
      </w:r>
      <w:bookmarkEnd w:id="54"/>
    </w:p>
    <w:p>
      <w:pPr>
        <w:spacing w:line="320" w:lineRule="exact"/>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使用的施工设备不能满足合同进度计划和（或）质量标准时，监理人有权要求承包人增加或更换施工设备，承包人应及时增加或更换，由此增加的费用和（或）工期延误由承包人承担。非承包人原因导致的工期延误，而发包人要求承包人增加施工设备投入的情况，由此增加的费用（或）工期延误由发包人与承包人另行签订赶工协议。</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5" w:name="_Toc25507534"/>
      <w:r>
        <w:rPr>
          <w:rFonts w:hint="eastAsia" w:ascii="宋体" w:hAnsi="宋体" w:eastAsia="宋体"/>
          <w:color w:val="000000" w:themeColor="text1"/>
          <w:sz w:val="22"/>
          <w:szCs w:val="22"/>
          <w14:textFill>
            <w14:solidFill>
              <w14:schemeClr w14:val="tx1"/>
            </w14:solidFill>
          </w14:textFill>
        </w:rPr>
        <w:t>8. 交通运输</w:t>
      </w:r>
      <w:bookmarkEnd w:id="55"/>
    </w:p>
    <w:p>
      <w:pPr>
        <w:pStyle w:val="5"/>
        <w:spacing w:before="0" w:after="0" w:line="240" w:lineRule="auto"/>
        <w:ind w:firstLine="442"/>
        <w:rPr>
          <w:rFonts w:ascii="宋体" w:hAnsi="宋体" w:eastAsia="宋体"/>
          <w:i/>
          <w:color w:val="000000" w:themeColor="text1"/>
          <w:sz w:val="22"/>
          <w:szCs w:val="22"/>
          <w14:textFill>
            <w14:solidFill>
              <w14:schemeClr w14:val="tx1"/>
            </w14:solidFill>
          </w14:textFill>
        </w:rPr>
      </w:pPr>
      <w:bookmarkStart w:id="56" w:name="_Toc25507535"/>
      <w:r>
        <w:rPr>
          <w:rFonts w:hint="eastAsia" w:ascii="宋体" w:hAnsi="宋体" w:eastAsia="宋体"/>
          <w:color w:val="000000" w:themeColor="text1"/>
          <w:sz w:val="22"/>
          <w:szCs w:val="22"/>
          <w14:textFill>
            <w14:solidFill>
              <w14:schemeClr w14:val="tx1"/>
            </w14:solidFill>
          </w14:textFill>
        </w:rPr>
        <w:t>8.1 道路通行权和场外设施</w:t>
      </w:r>
      <w:bookmarkEnd w:id="56"/>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本合同执行通用条款</w:t>
      </w:r>
      <w:r>
        <w:rPr>
          <w:rFonts w:hint="eastAsia" w:ascii="宋体" w:hAnsi="宋体" w:eastAsia="宋体"/>
          <w:bCs/>
          <w:color w:val="000000" w:themeColor="text1"/>
          <w:sz w:val="22"/>
          <w:szCs w:val="22"/>
          <w:u w:val="single"/>
          <w14:textFill>
            <w14:solidFill>
              <w14:schemeClr w14:val="tx1"/>
            </w14:solidFill>
          </w14:textFill>
        </w:rPr>
        <w:t>8.1道路通行权和场外设施（B），删除通用条款8.1道路通行权和场外设施（A）。</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7" w:name="_Toc25507536"/>
      <w:r>
        <w:rPr>
          <w:rFonts w:hint="eastAsia" w:ascii="宋体" w:hAnsi="宋体" w:eastAsia="宋体"/>
          <w:color w:val="000000" w:themeColor="text1"/>
          <w:sz w:val="22"/>
          <w:szCs w:val="22"/>
          <w14:textFill>
            <w14:solidFill>
              <w14:schemeClr w14:val="tx1"/>
            </w14:solidFill>
          </w14:textFill>
        </w:rPr>
        <w:t>8.2 场内施工道路</w:t>
      </w:r>
      <w:bookmarkEnd w:id="57"/>
    </w:p>
    <w:p>
      <w:pPr>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8.2.1施工所需临时道路和交通设施维护和管理其他约定：</w:t>
      </w:r>
      <w:r>
        <w:rPr>
          <w:rFonts w:hint="eastAsia" w:ascii="宋体" w:hAnsi="宋体" w:eastAsia="宋体"/>
          <w:bCs/>
          <w:color w:val="000000" w:themeColor="text1"/>
          <w:sz w:val="22"/>
          <w:szCs w:val="22"/>
          <w:u w:val="single"/>
          <w14:textFill>
            <w14:solidFill>
              <w14:schemeClr w14:val="tx1"/>
            </w14:solidFill>
          </w14:textFill>
        </w:rPr>
        <w:t>承包人应在施工期间确保正常运营。</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8" w:name="_Toc25507537"/>
      <w:r>
        <w:rPr>
          <w:rFonts w:hint="eastAsia" w:ascii="宋体" w:hAnsi="宋体" w:eastAsia="宋体"/>
          <w:color w:val="000000" w:themeColor="text1"/>
          <w:sz w:val="22"/>
          <w:szCs w:val="22"/>
          <w14:textFill>
            <w14:solidFill>
              <w14:schemeClr w14:val="tx1"/>
            </w14:solidFill>
          </w14:textFill>
        </w:rPr>
        <w:t>8.4超大件和超重件的运输</w:t>
      </w:r>
      <w:bookmarkEnd w:id="58"/>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    超大件或超重件运输的其他约定：</w:t>
      </w:r>
      <w:r>
        <w:rPr>
          <w:rFonts w:hint="eastAsia" w:ascii="宋体" w:hAnsi="宋体" w:eastAsia="宋体"/>
          <w:color w:val="000000" w:themeColor="text1"/>
          <w:sz w:val="22"/>
          <w:szCs w:val="22"/>
          <w:u w:val="single"/>
          <w14:textFill>
            <w14:solidFill>
              <w14:schemeClr w14:val="tx1"/>
            </w14:solidFill>
          </w14:textFill>
        </w:rPr>
        <w:t xml:space="preserve">                     /                        </w:t>
      </w:r>
      <w:r>
        <w:rPr>
          <w:rFonts w:hint="eastAsia" w:ascii="宋体" w:hAnsi="宋体" w:eastAsia="宋体"/>
          <w:color w:val="000000" w:themeColor="text1"/>
          <w:sz w:val="22"/>
          <w:szCs w:val="22"/>
          <w14:textFill>
            <w14:solidFill>
              <w14:schemeClr w14:val="tx1"/>
            </w14:solidFill>
          </w14:textFill>
        </w:rPr>
        <w:t>。</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59" w:name="_Toc25507538"/>
      <w:r>
        <w:rPr>
          <w:rFonts w:hint="eastAsia" w:ascii="宋体" w:hAnsi="宋体" w:eastAsia="宋体"/>
          <w:color w:val="000000" w:themeColor="text1"/>
          <w:sz w:val="22"/>
          <w:szCs w:val="22"/>
          <w14:textFill>
            <w14:solidFill>
              <w14:schemeClr w14:val="tx1"/>
            </w14:solidFill>
          </w14:textFill>
        </w:rPr>
        <w:t>9. 测量放线</w:t>
      </w:r>
      <w:bookmarkEnd w:id="59"/>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0" w:name="_Toc25507539"/>
      <w:r>
        <w:rPr>
          <w:rFonts w:hint="eastAsia" w:ascii="宋体" w:hAnsi="宋体" w:eastAsia="宋体"/>
          <w:color w:val="000000" w:themeColor="text1"/>
          <w:sz w:val="22"/>
          <w:szCs w:val="22"/>
          <w14:textFill>
            <w14:solidFill>
              <w14:schemeClr w14:val="tx1"/>
            </w14:solidFill>
          </w14:textFill>
        </w:rPr>
        <w:t>9.1 施工控制网</w:t>
      </w:r>
      <w:bookmarkEnd w:id="60"/>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9.1.1 发包通过监理人向承包人提供测量基准点、基准线和水准点及其书面资料的期限：</w:t>
      </w:r>
    </w:p>
    <w:p>
      <w:pPr>
        <w:pStyle w:val="4"/>
        <w:spacing w:before="0" w:after="0" w:line="240" w:lineRule="auto"/>
        <w:ind w:firstLine="330" w:firstLineChars="150"/>
        <w:rPr>
          <w:rFonts w:ascii="宋体" w:hAnsi="宋体" w:eastAsia="宋体" w:cs="宋体"/>
          <w:b w:val="0"/>
          <w:color w:val="000000" w:themeColor="text1"/>
          <w:sz w:val="22"/>
          <w:szCs w:val="22"/>
          <w:u w:val="single"/>
          <w14:textFill>
            <w14:solidFill>
              <w14:schemeClr w14:val="tx1"/>
            </w14:solidFill>
          </w14:textFill>
        </w:rPr>
      </w:pPr>
      <w:bookmarkStart w:id="61" w:name="_Toc25507540"/>
      <w:r>
        <w:rPr>
          <w:rFonts w:hint="eastAsia" w:ascii="宋体" w:hAnsi="宋体" w:eastAsia="宋体" w:cs="宋体"/>
          <w:b w:val="0"/>
          <w:color w:val="000000" w:themeColor="text1"/>
          <w:sz w:val="22"/>
          <w:szCs w:val="22"/>
          <w:u w:val="single"/>
          <w14:textFill>
            <w14:solidFill>
              <w14:schemeClr w14:val="tx1"/>
            </w14:solidFill>
          </w14:textFill>
        </w:rPr>
        <w:t>发包人应在开工前，向有关部门获取测量基准点、基准线和水准点及其书面资料。除合同另有约定外，承包人应根据国家测绘基准、测绘系统和工程测量技术规范，按上述基准点（线）以及合同工程精度要求，测设施工控制网，并在接收上述测量基准点等后的28天内将施工控制网资料报送监理人批准。</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9.2 施工测量</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9.2.3 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9.3.4 承包人应矫正工程的位置、标高、尺寸或准线中出现的任何差错，并对工程各部分的定位负责。</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施工过程中对施工现场内水准点等测量标志物的保护工作由承包人负责。</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10. 安全、治安保卫和环境保护</w:t>
      </w:r>
      <w:bookmarkEnd w:id="61"/>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2" w:name="_Toc25507541"/>
      <w:r>
        <w:rPr>
          <w:rFonts w:hint="eastAsia" w:ascii="宋体" w:hAnsi="宋体" w:eastAsia="宋体"/>
          <w:color w:val="000000" w:themeColor="text1"/>
          <w:sz w:val="22"/>
          <w:szCs w:val="22"/>
          <w14:textFill>
            <w14:solidFill>
              <w14:schemeClr w14:val="tx1"/>
            </w14:solidFill>
          </w14:textFill>
        </w:rPr>
        <w:t>10.2 承包人的安全责任</w:t>
      </w:r>
      <w:bookmarkEnd w:id="62"/>
    </w:p>
    <w:p>
      <w:pPr>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10.2.1承包人编制安全措施计划报送监理人期限：</w:t>
      </w:r>
      <w:r>
        <w:rPr>
          <w:rFonts w:hint="eastAsia" w:ascii="宋体" w:hAnsi="宋体" w:eastAsia="宋体"/>
          <w:bCs/>
          <w:color w:val="000000" w:themeColor="text1"/>
          <w:sz w:val="22"/>
          <w:szCs w:val="22"/>
          <w:u w:val="single"/>
          <w14:textFill>
            <w14:solidFill>
              <w14:schemeClr w14:val="tx1"/>
            </w14:solidFill>
          </w14:textFill>
        </w:rPr>
        <w:t>进场施工前7天内。</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10.2.7 合同约定的安全作业环境及安全施工措施所需费用应遵守有关规定，并包括在相关工作的合同价格中。因采取合同未约定的安全作业环境及安全施工措施增加的费用，由承包人承担该措施费。</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3" w:name="_Toc471823184"/>
      <w:bookmarkStart w:id="64" w:name="_Toc7273481"/>
      <w:r>
        <w:rPr>
          <w:rFonts w:hint="eastAsia" w:ascii="宋体" w:hAnsi="宋体" w:eastAsia="宋体"/>
          <w:color w:val="000000" w:themeColor="text1"/>
          <w:sz w:val="22"/>
          <w:szCs w:val="22"/>
          <w14:textFill>
            <w14:solidFill>
              <w14:schemeClr w14:val="tx1"/>
            </w14:solidFill>
          </w14:textFill>
        </w:rPr>
        <w:t>10.3治安保卫</w:t>
      </w:r>
      <w:bookmarkEnd w:id="63"/>
      <w:bookmarkEnd w:id="64"/>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10.3.3补充以下内容：承包人应做好协调承包人人员与发包人工作人员可能产生的治安管理工作。</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5" w:name="_Toc471823185"/>
      <w:bookmarkStart w:id="66" w:name="_Toc7273482"/>
      <w:r>
        <w:rPr>
          <w:rFonts w:hint="eastAsia" w:ascii="宋体" w:hAnsi="宋体" w:eastAsia="宋体"/>
          <w:color w:val="000000" w:themeColor="text1"/>
          <w:sz w:val="22"/>
          <w:szCs w:val="22"/>
          <w14:textFill>
            <w14:solidFill>
              <w14:schemeClr w14:val="tx1"/>
            </w14:solidFill>
          </w14:textFill>
        </w:rPr>
        <w:t>10.4环境保护</w:t>
      </w:r>
      <w:bookmarkEnd w:id="65"/>
      <w:bookmarkEnd w:id="66"/>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10.4.2提交健康、安全、环境管理计划的份数和时间：开工前提交三份  。</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10.4.4承包人应当承担因其原因引起的环境污染侵权损害赔偿责任，因上述环境污染引起纠纷而导致暂停施工的，由此增加的费用和（或）延误的工期由承包人承担。</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7" w:name="_Toc25507542"/>
      <w:r>
        <w:rPr>
          <w:rFonts w:hint="eastAsia" w:ascii="宋体" w:hAnsi="宋体" w:eastAsia="宋体"/>
          <w:color w:val="000000" w:themeColor="text1"/>
          <w:sz w:val="22"/>
          <w:szCs w:val="22"/>
          <w14:textFill>
            <w14:solidFill>
              <w14:schemeClr w14:val="tx1"/>
            </w14:solidFill>
          </w14:textFill>
        </w:rPr>
        <w:t>11. 开始工作和竣工</w:t>
      </w:r>
      <w:bookmarkEnd w:id="67"/>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8" w:name="_Toc25507543"/>
      <w:r>
        <w:rPr>
          <w:rFonts w:hint="eastAsia" w:ascii="宋体" w:hAnsi="宋体" w:eastAsia="宋体"/>
          <w:color w:val="000000" w:themeColor="text1"/>
          <w:sz w:val="22"/>
          <w:szCs w:val="22"/>
          <w14:textFill>
            <w14:solidFill>
              <w14:schemeClr w14:val="tx1"/>
            </w14:solidFill>
          </w14:textFill>
        </w:rPr>
        <w:t>11.1 开始工作</w:t>
      </w:r>
      <w:bookmarkEnd w:id="68"/>
    </w:p>
    <w:p>
      <w:pPr>
        <w:snapToGrid w:val="0"/>
        <w:spacing w:line="320" w:lineRule="exact"/>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开始工作的条件：</w:t>
      </w:r>
      <w:r>
        <w:rPr>
          <w:rFonts w:hint="eastAsia" w:ascii="宋体" w:hAnsi="宋体" w:eastAsia="宋体"/>
          <w:color w:val="000000" w:themeColor="text1"/>
          <w:sz w:val="22"/>
          <w:szCs w:val="22"/>
          <w:u w:val="single"/>
          <w14:textFill>
            <w14:solidFill>
              <w14:schemeClr w14:val="tx1"/>
            </w14:solidFill>
          </w14:textFill>
        </w:rPr>
        <w:t>发出中标通知书，在合同签订之日起。</w:t>
      </w:r>
      <w:r>
        <w:rPr>
          <w:rFonts w:hint="eastAsia" w:ascii="宋体" w:hAnsi="宋体" w:eastAsia="宋体"/>
          <w:color w:val="000000" w:themeColor="text1"/>
          <w:sz w:val="22"/>
          <w:szCs w:val="22"/>
          <w:u w:val="single"/>
          <w14:textFill>
            <w14:solidFill>
              <w14:schemeClr w14:val="tx1"/>
            </w14:solidFill>
          </w14:textFill>
        </w:rPr>
        <w:t>发包人提供施工用电接头，施工用水接口，但内部电线与管道以及电讯线路的接入、临时用电、临时用水等费用均由承包人自行负责并承担相关费用。</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69" w:name="_Toc7273485"/>
      <w:r>
        <w:rPr>
          <w:rFonts w:hint="eastAsia" w:ascii="宋体" w:hAnsi="宋体" w:eastAsia="宋体"/>
          <w:color w:val="000000" w:themeColor="text1"/>
          <w:sz w:val="22"/>
          <w:szCs w:val="22"/>
          <w14:textFill>
            <w14:solidFill>
              <w14:schemeClr w14:val="tx1"/>
            </w14:solidFill>
          </w14:textFill>
        </w:rPr>
        <w:t>11.2竣工</w:t>
      </w:r>
      <w:bookmarkEnd w:id="69"/>
    </w:p>
    <w:p>
      <w:pPr>
        <w:spacing w:line="320" w:lineRule="exact"/>
        <w:ind w:firstLine="431" w:firstLineChars="196"/>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0" w:name="_Toc25507544"/>
      <w:r>
        <w:rPr>
          <w:rFonts w:hint="eastAsia" w:ascii="宋体" w:hAnsi="宋体" w:eastAsia="宋体"/>
          <w:color w:val="000000" w:themeColor="text1"/>
          <w:sz w:val="22"/>
          <w:szCs w:val="22"/>
          <w14:textFill>
            <w14:solidFill>
              <w14:schemeClr w14:val="tx1"/>
            </w14:solidFill>
          </w14:textFill>
        </w:rPr>
        <w:t>11.3 发包人引起的工期延误</w:t>
      </w:r>
      <w:bookmarkEnd w:id="70"/>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（8）发包人造成工期延误的其他原因：</w:t>
      </w:r>
      <w:r>
        <w:rPr>
          <w:rFonts w:hint="eastAsia" w:ascii="宋体" w:hAnsi="宋体" w:eastAsia="宋体" w:cs="宋体"/>
          <w:bCs/>
          <w:color w:val="000000" w:themeColor="text1"/>
          <w:sz w:val="22"/>
          <w:szCs w:val="22"/>
          <w:u w:val="single"/>
          <w14:textFill>
            <w14:solidFill>
              <w14:schemeClr w14:val="tx1"/>
            </w14:solidFill>
          </w14:textFill>
        </w:rPr>
        <w:t>承包人必须考虑自备发电机以备应急之需，保证工程进度。原则上，发包人不接受承包人提出延长工期的申请，如非承包人原因造成的连续停水、停电超过48小时的，经发包人核实并书面确认的，工期顺延，但以上所涉及的所有费用均由承包人承担。</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1" w:name="_Toc25507545"/>
      <w:r>
        <w:rPr>
          <w:rFonts w:hint="eastAsia" w:ascii="宋体" w:hAnsi="宋体" w:eastAsia="宋体"/>
          <w:color w:val="000000" w:themeColor="text1"/>
          <w:sz w:val="22"/>
          <w:szCs w:val="22"/>
          <w14:textFill>
            <w14:solidFill>
              <w14:schemeClr w14:val="tx1"/>
            </w14:solidFill>
          </w14:textFill>
        </w:rPr>
        <w:t>11.4 异常恶劣的气候条件</w:t>
      </w:r>
      <w:bookmarkEnd w:id="71"/>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发包人和承包人同意以下情形视为异常恶劣的气候条件：</w:t>
      </w:r>
      <w:r>
        <w:rPr>
          <w:rFonts w:hint="eastAsia" w:ascii="宋体" w:hAnsi="宋体" w:eastAsia="宋体"/>
          <w:color w:val="000000" w:themeColor="text1"/>
          <w:sz w:val="22"/>
          <w:szCs w:val="22"/>
          <w:u w:val="single"/>
          <w14:textFill>
            <w14:solidFill>
              <w14:schemeClr w14:val="tx1"/>
            </w14:solidFill>
          </w14:textFill>
        </w:rPr>
        <w:t>市气象局发布的各类恶劣气候橙色（及以上）预警信号。</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2" w:name="_Toc25507546"/>
      <w:r>
        <w:rPr>
          <w:rFonts w:hint="eastAsia" w:ascii="宋体" w:hAnsi="宋体" w:eastAsia="宋体"/>
          <w:color w:val="000000" w:themeColor="text1"/>
          <w:sz w:val="22"/>
          <w:szCs w:val="22"/>
          <w14:textFill>
            <w14:solidFill>
              <w14:schemeClr w14:val="tx1"/>
            </w14:solidFill>
          </w14:textFill>
        </w:rPr>
        <w:t>11.5 承包人引起的工期延误</w:t>
      </w:r>
      <w:bookmarkEnd w:id="72"/>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因承包人原因造成工期延误，逾期竣工违约金的计算方法为：</w:t>
      </w:r>
      <w:r>
        <w:rPr>
          <w:rFonts w:hint="eastAsia" w:ascii="宋体" w:hAnsi="宋体" w:eastAsia="宋体" w:cs="宋体"/>
          <w:bCs/>
          <w:color w:val="000000" w:themeColor="text1"/>
          <w:sz w:val="22"/>
          <w:szCs w:val="22"/>
          <w:u w:val="single"/>
          <w14:textFill>
            <w14:solidFill>
              <w14:schemeClr w14:val="tx1"/>
            </w14:solidFill>
          </w14:textFill>
        </w:rPr>
        <w:t>工期拖延的前1个月每延误一天10000元计算，超过30天后，每延误一天按20000元计算。</w:t>
      </w:r>
    </w:p>
    <w:p>
      <w:pPr>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因承包人原因造成工期延误，逾期竣工违约金的上限：</w:t>
      </w:r>
      <w:r>
        <w:rPr>
          <w:rFonts w:hint="eastAsia" w:ascii="宋体" w:hAnsi="宋体" w:eastAsia="宋体" w:cs="宋体"/>
          <w:bCs/>
          <w:color w:val="000000" w:themeColor="text1"/>
          <w:sz w:val="22"/>
          <w:szCs w:val="22"/>
          <w:u w:val="single"/>
          <w14:textFill>
            <w14:solidFill>
              <w14:schemeClr w14:val="tx1"/>
            </w14:solidFill>
          </w14:textFill>
        </w:rPr>
        <w:t>最高限额为合同价的3%。</w:t>
      </w:r>
    </w:p>
    <w:p>
      <w:pPr>
        <w:ind w:firstLine="442"/>
        <w:rPr>
          <w:rFonts w:ascii="宋体" w:hAnsi="宋体" w:eastAsia="宋体"/>
          <w:b/>
          <w:bCs/>
          <w:color w:val="000000" w:themeColor="text1"/>
          <w:sz w:val="22"/>
          <w:szCs w:val="22"/>
          <w14:textFill>
            <w14:solidFill>
              <w14:schemeClr w14:val="tx1"/>
            </w14:solidFill>
          </w14:textFill>
        </w:rPr>
      </w:pPr>
      <w:r>
        <w:rPr>
          <w:rFonts w:hint="eastAsia" w:ascii="宋体" w:hAnsi="宋体" w:eastAsia="宋体"/>
          <w:b/>
          <w:bCs/>
          <w:color w:val="000000" w:themeColor="text1"/>
          <w:sz w:val="22"/>
          <w:szCs w:val="22"/>
          <w14:textFill>
            <w14:solidFill>
              <w14:schemeClr w14:val="tx1"/>
            </w14:solidFill>
          </w14:textFill>
        </w:rPr>
        <w:t>本条增加：</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发包人或监理人根据经审核的进度计划对进度进行监管。对未按进度计划实施的按如下处理；</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非发包人原因，关键线路拖延超过1个月的，现场专题会议讨论分析原因，修订计划，制定整改措施，形成书面材料；经发包人同意的整改措施未按计划实施或未达到整改效果的，约谈承包人企业负责人，落实承包人企业副总经理级别到现场带班，督促施工进度；当关键线路拖延超过3个月的，约谈承包人企业负责人，向住建委通报，建议取消企业信誉评价。</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工期发生拖延的，发包人按相关法律程序有权追究承包人相关法律责任，承包人承担因此引起的全部法律责任及承担发包人的所有经济损失。</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3" w:name="_Toc25507547"/>
      <w:r>
        <w:rPr>
          <w:rFonts w:hint="eastAsia" w:ascii="宋体" w:hAnsi="宋体" w:eastAsia="宋体"/>
          <w:color w:val="000000" w:themeColor="text1"/>
          <w:sz w:val="22"/>
          <w:szCs w:val="22"/>
          <w14:textFill>
            <w14:solidFill>
              <w14:schemeClr w14:val="tx1"/>
            </w14:solidFill>
          </w14:textFill>
        </w:rPr>
        <w:t>11.6 工期提前</w:t>
      </w:r>
      <w:bookmarkEnd w:id="73"/>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提前竣工的奖励：</w:t>
      </w:r>
      <w:r>
        <w:rPr>
          <w:rFonts w:hint="eastAsia" w:ascii="宋体" w:hAnsi="宋体" w:eastAsia="宋体"/>
          <w:color w:val="000000" w:themeColor="text1"/>
          <w:sz w:val="22"/>
          <w:szCs w:val="22"/>
          <w:u w:val="single"/>
          <w14:textFill>
            <w14:solidFill>
              <w14:schemeClr w14:val="tx1"/>
            </w14:solidFill>
          </w14:textFill>
        </w:rPr>
        <w:t>无</w:t>
      </w:r>
      <w:r>
        <w:rPr>
          <w:rFonts w:hint="eastAsia" w:ascii="宋体" w:hAnsi="宋体" w:eastAsia="宋体"/>
          <w:color w:val="000000" w:themeColor="text1"/>
          <w:sz w:val="22"/>
          <w:szCs w:val="22"/>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11.7行政审批迟延</w:t>
      </w:r>
    </w:p>
    <w:p>
      <w:pPr>
        <w:ind w:firstLine="440"/>
        <w:rPr>
          <w:rFonts w:ascii="宋体" w:hAnsi="宋体" w:eastAsia="宋体"/>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因国家有关部门审批迟延造成费用增加和（或）工期延误的，由承包人承担,费用在投标报价中,工期已在合同工期中考虑，承包人应发挥自身优势，积极与政府部门联系，确保正常的审批时间；如确实出现特殊情况的，由发包人核实予以延期，但费用不予增加。</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4" w:name="_Toc25507548"/>
      <w:r>
        <w:rPr>
          <w:rFonts w:hint="eastAsia" w:ascii="宋体" w:hAnsi="宋体" w:eastAsia="宋体"/>
          <w:color w:val="000000" w:themeColor="text1"/>
          <w:sz w:val="22"/>
          <w:szCs w:val="22"/>
          <w14:textFill>
            <w14:solidFill>
              <w14:schemeClr w14:val="tx1"/>
            </w14:solidFill>
          </w14:textFill>
        </w:rPr>
        <w:t>12. 暂停工作</w:t>
      </w:r>
      <w:bookmarkEnd w:id="74"/>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5" w:name="_Toc25507549"/>
      <w:r>
        <w:rPr>
          <w:rFonts w:hint="eastAsia" w:ascii="宋体" w:hAnsi="宋体" w:eastAsia="宋体"/>
          <w:color w:val="000000" w:themeColor="text1"/>
          <w:sz w:val="22"/>
          <w:szCs w:val="22"/>
          <w14:textFill>
            <w14:solidFill>
              <w14:schemeClr w14:val="tx1"/>
            </w14:solidFill>
          </w14:textFill>
        </w:rPr>
        <w:t>12.1 由发包人暂停工作</w:t>
      </w:r>
      <w:bookmarkEnd w:id="75"/>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12.1.2 由于承包人下列原因造成发包人暂停工作的，承包人承担责任的其他暂停工作</w:t>
      </w:r>
      <w:r>
        <w:rPr>
          <w:rFonts w:hint="eastAsia" w:ascii="宋体" w:hAnsi="宋体" w:eastAsia="宋体"/>
          <w:color w:val="000000" w:themeColor="text1"/>
          <w:sz w:val="22"/>
          <w:szCs w:val="22"/>
          <w:u w:val="single"/>
          <w14:textFill>
            <w14:solidFill>
              <w14:schemeClr w14:val="tx1"/>
            </w14:solidFill>
          </w14:textFill>
        </w:rPr>
        <w:t xml:space="preserve">        /    </w:t>
      </w:r>
      <w:r>
        <w:rPr>
          <w:rFonts w:hint="eastAsia" w:ascii="宋体" w:hAnsi="宋体" w:eastAsia="宋体"/>
          <w:color w:val="000000" w:themeColor="text1"/>
          <w:sz w:val="22"/>
          <w:szCs w:val="22"/>
          <w14:textFill>
            <w14:solidFill>
              <w14:schemeClr w14:val="tx1"/>
            </w14:solidFill>
          </w14:textFill>
        </w:rPr>
        <w:t>。</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76" w:name="_Toc25507550"/>
      <w:r>
        <w:rPr>
          <w:rFonts w:hint="eastAsia" w:ascii="宋体" w:hAnsi="宋体" w:eastAsia="宋体"/>
          <w:color w:val="000000" w:themeColor="text1"/>
          <w:sz w:val="22"/>
          <w:szCs w:val="22"/>
          <w14:textFill>
            <w14:solidFill>
              <w14:schemeClr w14:val="tx1"/>
            </w14:solidFill>
          </w14:textFill>
        </w:rPr>
        <w:t>13. 工程质量</w:t>
      </w:r>
      <w:bookmarkEnd w:id="76"/>
    </w:p>
    <w:p>
      <w:pPr>
        <w:pStyle w:val="5"/>
        <w:spacing w:before="0" w:after="0" w:line="320" w:lineRule="exact"/>
        <w:ind w:firstLine="442"/>
        <w:rPr>
          <w:rFonts w:ascii="宋体" w:hAnsi="宋体" w:eastAsia="宋体"/>
          <w:bCs w:val="0"/>
          <w:color w:val="000000" w:themeColor="text1"/>
          <w:sz w:val="22"/>
          <w:szCs w:val="22"/>
          <w14:textFill>
            <w14:solidFill>
              <w14:schemeClr w14:val="tx1"/>
            </w14:solidFill>
          </w14:textFill>
        </w:rPr>
      </w:pPr>
      <w:bookmarkStart w:id="77" w:name="_Toc7273492"/>
      <w:bookmarkStart w:id="78" w:name="_Toc25507552"/>
      <w:r>
        <w:rPr>
          <w:rFonts w:hint="eastAsia" w:ascii="宋体" w:hAnsi="宋体" w:eastAsia="宋体"/>
          <w:bCs w:val="0"/>
          <w:color w:val="000000" w:themeColor="text1"/>
          <w:sz w:val="22"/>
          <w:szCs w:val="22"/>
          <w14:textFill>
            <w14:solidFill>
              <w14:schemeClr w14:val="tx1"/>
            </w14:solidFill>
          </w14:textFill>
        </w:rPr>
        <w:t>13.1工程质量要求</w:t>
      </w:r>
      <w:bookmarkEnd w:id="77"/>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1</w:t>
      </w:r>
      <w:r>
        <w:rPr>
          <w:rFonts w:hint="eastAsia" w:ascii="宋体" w:hAnsi="宋体" w:eastAsia="宋体"/>
          <w:bCs/>
          <w:color w:val="000000" w:themeColor="text1"/>
          <w:sz w:val="22"/>
          <w:szCs w:val="22"/>
          <w14:textFill>
            <w14:solidFill>
              <w14:schemeClr w14:val="tx1"/>
            </w14:solidFill>
          </w14:textFill>
        </w:rPr>
        <w:t>3</w:t>
      </w:r>
      <w:r>
        <w:rPr>
          <w:rFonts w:ascii="宋体" w:hAnsi="宋体" w:eastAsia="宋体"/>
          <w:bCs/>
          <w:color w:val="000000" w:themeColor="text1"/>
          <w:sz w:val="22"/>
          <w:szCs w:val="22"/>
          <w14:textFill>
            <w14:solidFill>
              <w14:schemeClr w14:val="tx1"/>
            </w14:solidFill>
          </w14:textFill>
        </w:rPr>
        <w:t>.</w:t>
      </w:r>
      <w:r>
        <w:rPr>
          <w:rFonts w:hint="eastAsia" w:ascii="宋体" w:hAnsi="宋体" w:eastAsia="宋体"/>
          <w:bCs/>
          <w:color w:val="000000" w:themeColor="text1"/>
          <w:sz w:val="22"/>
          <w:szCs w:val="22"/>
          <w14:textFill>
            <w14:solidFill>
              <w14:schemeClr w14:val="tx1"/>
            </w14:solidFill>
          </w14:textFill>
        </w:rPr>
        <w:t>1</w:t>
      </w:r>
      <w:r>
        <w:rPr>
          <w:rFonts w:ascii="宋体" w:hAnsi="宋体" w:eastAsia="宋体"/>
          <w:bCs/>
          <w:color w:val="000000" w:themeColor="text1"/>
          <w:sz w:val="22"/>
          <w:szCs w:val="22"/>
          <w14:textFill>
            <w14:solidFill>
              <w14:schemeClr w14:val="tx1"/>
            </w14:solidFill>
          </w14:textFill>
        </w:rPr>
        <w:t>.1</w:t>
      </w:r>
      <w:r>
        <w:rPr>
          <w:rFonts w:hint="eastAsia" w:ascii="宋体" w:hAnsi="宋体" w:eastAsia="宋体"/>
          <w:bCs/>
          <w:color w:val="000000" w:themeColor="text1"/>
          <w:sz w:val="22"/>
          <w:szCs w:val="22"/>
          <w14:textFill>
            <w14:solidFill>
              <w14:schemeClr w14:val="tx1"/>
            </w14:solidFill>
          </w14:textFill>
        </w:rPr>
        <w:t>按工程施工及验收规范执行，并符合工程所在地质监部门要求。</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13.1.2承包人必须投标时承诺的工程质量目标的。需要质检的隐蔽工程和中间验收部位的分类、部位、质检内容、标准、表格和参检方的约定按工程施工及验收规范执行。</w:t>
      </w:r>
    </w:p>
    <w:p>
      <w:pPr>
        <w:pStyle w:val="5"/>
        <w:spacing w:before="0" w:after="0" w:line="320" w:lineRule="exact"/>
        <w:ind w:firstLine="442"/>
        <w:rPr>
          <w:rFonts w:ascii="宋体" w:hAnsi="宋体" w:eastAsia="宋体"/>
          <w:bCs w:val="0"/>
          <w:color w:val="000000" w:themeColor="text1"/>
          <w:sz w:val="22"/>
          <w:szCs w:val="22"/>
          <w14:textFill>
            <w14:solidFill>
              <w14:schemeClr w14:val="tx1"/>
            </w14:solidFill>
          </w14:textFill>
        </w:rPr>
      </w:pPr>
      <w:bookmarkStart w:id="79" w:name="_Toc7273493"/>
      <w:r>
        <w:rPr>
          <w:rFonts w:hint="eastAsia" w:ascii="宋体" w:hAnsi="宋体" w:eastAsia="宋体"/>
          <w:bCs w:val="0"/>
          <w:color w:val="000000" w:themeColor="text1"/>
          <w:sz w:val="22"/>
          <w:szCs w:val="22"/>
          <w14:textFill>
            <w14:solidFill>
              <w14:schemeClr w14:val="tx1"/>
            </w14:solidFill>
          </w14:textFill>
        </w:rPr>
        <w:t>13.6承包人的质量管理</w:t>
      </w:r>
      <w:bookmarkEnd w:id="79"/>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按照合同约定向发包人和监理人提交工程质量保证体系及措施文件，建立完善的质量检查制度，并提交相应的工程质量文件。对于发包人和监理人违反法律规定和合同约定的错误指示，承包人有权拒绝实施。</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承包人应对施工人员进行质量教育和技术培训，定期考核施工人员的劳动技能，严格执行施工规范和操作规程。</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80" w:name="_Toc7273494"/>
      <w:r>
        <w:rPr>
          <w:rFonts w:hint="eastAsia" w:ascii="宋体" w:hAnsi="宋体" w:eastAsia="宋体"/>
          <w:color w:val="000000" w:themeColor="text1"/>
          <w:sz w:val="22"/>
          <w:szCs w:val="22"/>
          <w14:textFill>
            <w14:solidFill>
              <w14:schemeClr w14:val="tx1"/>
            </w14:solidFill>
          </w14:textFill>
        </w:rPr>
        <w:t>14. 试验和检验</w:t>
      </w:r>
      <w:bookmarkEnd w:id="80"/>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81" w:name="_Toc7273495"/>
      <w:r>
        <w:rPr>
          <w:rFonts w:hint="eastAsia" w:ascii="宋体" w:hAnsi="宋体" w:eastAsia="宋体"/>
          <w:color w:val="000000" w:themeColor="text1"/>
          <w:sz w:val="22"/>
          <w:szCs w:val="22"/>
          <w14:textFill>
            <w14:solidFill>
              <w14:schemeClr w14:val="tx1"/>
            </w14:solidFill>
          </w14:textFill>
        </w:rPr>
        <w:t>14.1 材料、工程设备和工程的试验和检验</w:t>
      </w:r>
      <w:bookmarkEnd w:id="81"/>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在14.1.4款后补充第14.1.5款如下：</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本合同永久工程设备的检验和交货验收，应由承包人会同监理人、发包人、设备供货方进行检验和交货验收，验收由监理人组织。</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15. 变更</w:t>
      </w:r>
      <w:bookmarkEnd w:id="78"/>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82" w:name="_Toc7273497"/>
      <w:bookmarkStart w:id="83" w:name="_Toc25507555"/>
      <w:r>
        <w:rPr>
          <w:rFonts w:hint="eastAsia" w:ascii="宋体" w:hAnsi="宋体" w:eastAsia="宋体"/>
          <w:color w:val="000000" w:themeColor="text1"/>
          <w:sz w:val="22"/>
          <w:szCs w:val="22"/>
          <w14:textFill>
            <w14:solidFill>
              <w14:schemeClr w14:val="tx1"/>
            </w14:solidFill>
          </w14:textFill>
        </w:rPr>
        <w:t>15.3变更程序</w:t>
      </w:r>
      <w:bookmarkEnd w:id="82"/>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15.3.2变更估价</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发包人发出的变更指令进行的合同价格调整，承包人按照合理的成本与利润构成的原则，由合同当事人按照以下原则确定变更工作的价格。涉及包干费用内容的变更，价格不调整。</w:t>
      </w:r>
    </w:p>
    <w:p>
      <w:pPr>
        <w:snapToGrid w:val="0"/>
        <w:spacing w:line="400" w:lineRule="exact"/>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发包人原因引起的变更单价和工程量的确定：</w:t>
      </w:r>
    </w:p>
    <w:p>
      <w:pPr>
        <w:snapToGrid w:val="0"/>
        <w:spacing w:line="400" w:lineRule="exact"/>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①单价确定方法：</w:t>
      </w:r>
    </w:p>
    <w:p>
      <w:pPr>
        <w:snapToGrid w:val="0"/>
        <w:spacing w:line="400" w:lineRule="exact"/>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（新增与核减部分的单价均按以下方法确定单价）：由承包人按照现行的计价依据（《建设工程工程量清单计价规范》（GB50500-2013）、《浙江省建设工程计价规则》（2018版））、</w:t>
      </w:r>
      <w:r>
        <w:rPr>
          <w:rFonts w:hint="eastAsia" w:ascii="宋体" w:hAnsi="宋体" w:eastAsia="宋体"/>
          <w:color w:val="000000" w:themeColor="text1"/>
          <w:sz w:val="22"/>
          <w:szCs w:val="22"/>
          <w:u w:val="single"/>
          <w14:textFill>
            <w14:solidFill>
              <w14:schemeClr w14:val="tx1"/>
            </w14:solidFill>
          </w14:textFill>
        </w:rPr>
        <w:t>相关配套文件及当期人工、材料信息价</w:t>
      </w:r>
      <w:r>
        <w:rPr>
          <w:rFonts w:hint="eastAsia" w:ascii="宋体" w:hAnsi="宋体" w:eastAsia="宋体" w:cs="宋体"/>
          <w:color w:val="000000" w:themeColor="text1"/>
          <w:sz w:val="22"/>
          <w:szCs w:val="22"/>
          <w:u w:val="single"/>
          <w14:textFill>
            <w14:solidFill>
              <w14:schemeClr w14:val="tx1"/>
            </w14:solidFill>
          </w14:textFill>
        </w:rPr>
        <w:t>进行计算后，按建筑安装工程费中标下浮率</w:t>
      </w:r>
      <w:r>
        <w:rPr>
          <w:rFonts w:hint="eastAsia" w:ascii="宋体" w:hAnsi="宋体" w:eastAsia="宋体"/>
          <w:color w:val="000000" w:themeColor="text1"/>
          <w:sz w:val="22"/>
          <w:szCs w:val="22"/>
          <w:u w:val="single"/>
          <w14:textFill>
            <w14:solidFill>
              <w14:schemeClr w14:val="tx1"/>
            </w14:solidFill>
          </w14:textFill>
        </w:rPr>
        <w:t>下浮计算</w:t>
      </w:r>
      <w:r>
        <w:rPr>
          <w:rFonts w:hint="eastAsia" w:ascii="宋体" w:hAnsi="宋体" w:eastAsia="宋体" w:cs="宋体"/>
          <w:color w:val="000000" w:themeColor="text1"/>
          <w:sz w:val="22"/>
          <w:szCs w:val="22"/>
          <w:u w:val="single"/>
          <w14:textFill>
            <w14:solidFill>
              <w14:schemeClr w14:val="tx1"/>
            </w14:solidFill>
          </w14:textFill>
        </w:rPr>
        <w:t>（</w:t>
      </w:r>
      <w:r>
        <w:rPr>
          <w:rFonts w:hint="eastAsia" w:ascii="宋体" w:hAnsi="宋体" w:eastAsia="宋体"/>
          <w:color w:val="000000" w:themeColor="text1"/>
          <w:sz w:val="22"/>
          <w:szCs w:val="22"/>
          <w:u w:val="single"/>
          <w14:textFill>
            <w14:solidFill>
              <w14:schemeClr w14:val="tx1"/>
            </w14:solidFill>
          </w14:textFill>
        </w:rPr>
        <w:t>各项弹性费率区间取费费率按中值计取，不计取提前竣工增加费，其中无价材料按双方确认后计入，不下浮，仅计取税金</w:t>
      </w:r>
      <w:r>
        <w:rPr>
          <w:rFonts w:hint="eastAsia" w:ascii="宋体" w:hAnsi="宋体" w:eastAsia="宋体" w:cs="宋体"/>
          <w:color w:val="000000" w:themeColor="text1"/>
          <w:sz w:val="22"/>
          <w:szCs w:val="22"/>
          <w:u w:val="single"/>
          <w14:textFill>
            <w14:solidFill>
              <w14:schemeClr w14:val="tx1"/>
            </w14:solidFill>
          </w14:textFill>
        </w:rPr>
        <w:t>），经发包人审定后，作为结算价格。在《平阳县建材价格信息》、《温州市建设工程造价信息》、《浙江省造价信息》均没有相关材料的价格时，该材料价格由发包人、承包人、造价咨询单位三方询价确定，三方仍存在价格争议的部分由甲乙双方共同委托第三方中介机构裁定。</w:t>
      </w:r>
    </w:p>
    <w:p>
      <w:pPr>
        <w:snapToGrid w:val="0"/>
        <w:spacing w:line="400" w:lineRule="exact"/>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②工程量调整方法：</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经发包人确认的由发包人原因引起的施工范围调整、工程变更、设计变更，按实际增加或减少的工程量和根据第①条确定的单价调整合同价格</w:t>
      </w:r>
      <w:r>
        <w:rPr>
          <w:rFonts w:hint="eastAsia" w:ascii="宋体" w:hAnsi="宋体" w:eastAsia="宋体" w:cs="宋体"/>
          <w:color w:val="000000" w:themeColor="text1"/>
          <w:sz w:val="22"/>
          <w:szCs w:val="22"/>
          <w14:textFill>
            <w14:solidFill>
              <w14:schemeClr w14:val="tx1"/>
            </w14:solidFill>
          </w14:textFill>
        </w:rPr>
        <w:t>。</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因发包人发出变更引起的的价格调整在核定后并入当期进度款的支付。</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补充以下内容：</w:t>
      </w:r>
    </w:p>
    <w:p>
      <w:pPr>
        <w:widowControl/>
        <w:snapToGrid w:val="0"/>
        <w:spacing w:line="400" w:lineRule="exact"/>
        <w:ind w:firstLine="440"/>
        <w:jc w:val="left"/>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15.3.2.1未经发包人确认的工程变更均不得调整合同价。</w:t>
      </w:r>
    </w:p>
    <w:p>
      <w:pPr>
        <w:widowControl/>
        <w:snapToGrid w:val="0"/>
        <w:spacing w:line="320" w:lineRule="exact"/>
        <w:ind w:firstLine="440"/>
        <w:jc w:val="left"/>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15.3.2.2下列情况，经发包人确定的变更，其责任属于承包人，不得调整合同价格。</w:t>
      </w:r>
    </w:p>
    <w:p>
      <w:pPr>
        <w:widowControl/>
        <w:numPr>
          <w:ilvl w:val="0"/>
          <w:numId w:val="6"/>
        </w:numPr>
        <w:snapToGrid w:val="0"/>
        <w:spacing w:line="320" w:lineRule="exact"/>
        <w:ind w:firstLine="440"/>
        <w:jc w:val="left"/>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承包人使用非招标文件推荐（或未经发包人确认）的材料设备品牌，发包人有权要求更换为推荐品牌。</w:t>
      </w:r>
    </w:p>
    <w:p>
      <w:pPr>
        <w:widowControl/>
        <w:numPr>
          <w:ilvl w:val="0"/>
          <w:numId w:val="6"/>
        </w:numPr>
        <w:snapToGrid w:val="0"/>
        <w:spacing w:line="320" w:lineRule="exact"/>
        <w:ind w:firstLine="440"/>
        <w:jc w:val="left"/>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承包人使用的材料外观、颜色、规格未经发包人确认，发包人有权要求更换。</w:t>
      </w:r>
    </w:p>
    <w:p>
      <w:pPr>
        <w:widowControl/>
        <w:numPr>
          <w:ilvl w:val="0"/>
          <w:numId w:val="6"/>
        </w:numPr>
        <w:snapToGrid w:val="0"/>
        <w:spacing w:line="320" w:lineRule="exact"/>
        <w:ind w:firstLine="440"/>
        <w:jc w:val="left"/>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墙面、地面、天棚的大面积材料施工前未制作样板并经发包人确认的，发包人有权要求重做。</w:t>
      </w:r>
    </w:p>
    <w:p>
      <w:pPr>
        <w:snapToGrid w:val="0"/>
        <w:spacing w:line="320" w:lineRule="exact"/>
        <w:ind w:firstLine="442"/>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15.3.2.3设计费包干。</w:t>
      </w:r>
    </w:p>
    <w:p>
      <w:pPr>
        <w:snapToGrid w:val="0"/>
        <w:spacing w:line="320" w:lineRule="exact"/>
        <w:ind w:firstLine="440"/>
        <w:rPr>
          <w:rFonts w:ascii="宋体" w:hAnsi="宋体" w:eastAsia="宋体" w:cs="宋体"/>
          <w:bCs/>
          <w:color w:val="000000" w:themeColor="text1"/>
          <w:sz w:val="22"/>
          <w:szCs w:val="22"/>
          <w:u w:val="single"/>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15.3.2.4</w:t>
      </w:r>
      <w:r>
        <w:rPr>
          <w:rFonts w:hint="eastAsia" w:ascii="宋体" w:hAnsi="宋体" w:eastAsia="宋体" w:cs="宋体"/>
          <w:bCs/>
          <w:color w:val="000000" w:themeColor="text1"/>
          <w:sz w:val="22"/>
          <w:szCs w:val="22"/>
          <w:u w:val="single"/>
          <w14:textFill>
            <w14:solidFill>
              <w14:schemeClr w14:val="tx1"/>
            </w14:solidFill>
          </w14:textFill>
        </w:rPr>
        <w:t>本工程合同价已经考虑在审批过程中的初步设计优化（如有）、施工图的调整与修改产生变动的风险，费用由承包人承担。除设计范围调整外，设计费包干不调整。</w:t>
      </w:r>
    </w:p>
    <w:p>
      <w:pPr>
        <w:widowControl/>
        <w:snapToGrid w:val="0"/>
        <w:spacing w:line="400" w:lineRule="exact"/>
        <w:ind w:firstLine="440"/>
        <w:jc w:val="left"/>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15.3.3 变更指示</w:t>
      </w:r>
    </w:p>
    <w:p>
      <w:pPr>
        <w:widowControl/>
        <w:snapToGrid w:val="0"/>
        <w:spacing w:line="400" w:lineRule="exact"/>
        <w:ind w:firstLine="440"/>
        <w:jc w:val="left"/>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（1）修改为：变更指示由发包人发出，或经发包人确认后由监理人发出。</w:t>
      </w:r>
    </w:p>
    <w:p>
      <w:pPr>
        <w:widowControl/>
        <w:snapToGrid w:val="0"/>
        <w:spacing w:line="400" w:lineRule="exact"/>
        <w:ind w:firstLine="440"/>
        <w:jc w:val="left"/>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u w:val="single"/>
          <w14:textFill>
            <w14:solidFill>
              <w14:schemeClr w14:val="tx1"/>
            </w14:solidFill>
          </w14:textFill>
        </w:rPr>
        <w:t>（2）变更指示应说明变更的目的、范围、变更内容以及变更的工程量及其进度和技术要求，并附有关图纸和文件。承包人收到变更指示后，应按变更指示进行变更工作。</w:t>
      </w:r>
    </w:p>
    <w:p>
      <w:pPr>
        <w:widowControl/>
        <w:snapToGrid w:val="0"/>
        <w:spacing w:line="400" w:lineRule="exact"/>
        <w:ind w:firstLine="440"/>
        <w:jc w:val="left"/>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15.3.4变更估价程序</w:t>
      </w:r>
    </w:p>
    <w:p>
      <w:pPr>
        <w:widowControl/>
        <w:snapToGrid w:val="0"/>
        <w:spacing w:line="400" w:lineRule="exact"/>
        <w:ind w:firstLine="440"/>
        <w:jc w:val="left"/>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承包人应在收到变更指示后14天内，向监理人提交变更估价申请。监理人应在收到承包人提交的变更估价申请后7天内审查完毕并报送发包人，监理人对变更估价申请有异议，通知承包人修改后重新提交。监理人应在承包人提交变更估价申请后14天内审批完毕，发包人应在监理人提交变更估价申请后28天内审批完毕。发包人逾期未完成审批或未提出异议的，视为认可承包人提交的变更估价申请。</w:t>
      </w:r>
    </w:p>
    <w:p>
      <w:pPr>
        <w:widowControl/>
        <w:snapToGrid w:val="0"/>
        <w:spacing w:line="320" w:lineRule="exact"/>
        <w:ind w:firstLine="440"/>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15.3.5变更引起的工期调整</w:t>
      </w:r>
    </w:p>
    <w:p>
      <w:pPr>
        <w:pStyle w:val="19"/>
        <w:tabs>
          <w:tab w:val="left" w:pos="574"/>
          <w:tab w:val="left" w:pos="9360"/>
        </w:tabs>
        <w:ind w:firstLine="220"/>
        <w:rPr>
          <w:rFonts w:ascii="宋体" w:hAnsi="宋体"/>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因变更引起工期变化的，合同当事人均可要求调整合同工期，由合同当事人按照第第3.5 款商定或确定并参考工程所在地的工期定额标准确定增减工期天数。</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15.4 暂列金额</w:t>
      </w:r>
      <w:bookmarkEnd w:id="83"/>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合同当事人关于暂列金额使用的约定：</w:t>
      </w:r>
      <w:r>
        <w:rPr>
          <w:rFonts w:hint="eastAsia" w:ascii="宋体" w:hAnsi="宋体" w:eastAsia="宋体"/>
          <w:color w:val="000000" w:themeColor="text1"/>
          <w:sz w:val="22"/>
          <w:szCs w:val="22"/>
          <w:u w:val="single"/>
          <w14:textFill>
            <w14:solidFill>
              <w14:schemeClr w14:val="tx1"/>
            </w14:solidFill>
          </w14:textFill>
        </w:rPr>
        <w:t xml:space="preserve">                                     </w:t>
      </w:r>
      <w:r>
        <w:rPr>
          <w:rFonts w:hint="eastAsia" w:ascii="宋体" w:hAnsi="宋体" w:eastAsia="宋体"/>
          <w:color w:val="000000" w:themeColor="text1"/>
          <w:sz w:val="22"/>
          <w:szCs w:val="22"/>
          <w14:textFill>
            <w14:solidFill>
              <w14:schemeClr w14:val="tx1"/>
            </w14:solidFill>
          </w14:textFill>
        </w:rPr>
        <w:t>。</w:t>
      </w:r>
    </w:p>
    <w:p>
      <w:pPr>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15.5 计日工</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本合同执行通用条款</w:t>
      </w:r>
      <w:r>
        <w:rPr>
          <w:rFonts w:hint="eastAsia" w:ascii="宋体" w:hAnsi="宋体" w:eastAsia="宋体"/>
          <w:color w:val="000000" w:themeColor="text1"/>
          <w:sz w:val="22"/>
          <w:szCs w:val="22"/>
          <w:u w:val="single"/>
          <w14:textFill>
            <w14:solidFill>
              <w14:schemeClr w14:val="tx1"/>
            </w14:solidFill>
          </w14:textFill>
        </w:rPr>
        <w:t xml:space="preserve">15.5 款规定的计日工  </w:t>
      </w:r>
      <w:r>
        <w:rPr>
          <w:rFonts w:hint="eastAsia" w:ascii="宋体" w:hAnsi="宋体" w:eastAsia="宋体"/>
          <w:color w:val="000000" w:themeColor="text1"/>
          <w:sz w:val="22"/>
          <w:szCs w:val="22"/>
          <w14:textFill>
            <w14:solidFill>
              <w14:schemeClr w14:val="tx1"/>
            </w14:solidFill>
          </w14:textFill>
        </w:rPr>
        <w:t>。</w:t>
      </w:r>
    </w:p>
    <w:p>
      <w:pPr>
        <w:pStyle w:val="6"/>
        <w:spacing w:before="0" w:after="0" w:line="240" w:lineRule="auto"/>
        <w:ind w:firstLine="440"/>
        <w:rPr>
          <w:rFonts w:ascii="宋体" w:hAnsi="宋体" w:eastAsia="宋体"/>
          <w:i/>
          <w:color w:val="000000" w:themeColor="text1"/>
          <w:sz w:val="22"/>
          <w:szCs w:val="22"/>
          <w14:textFill>
            <w14:solidFill>
              <w14:schemeClr w14:val="tx1"/>
            </w14:solidFill>
          </w14:textFill>
        </w:rPr>
      </w:pPr>
      <w:r>
        <w:rPr>
          <w:rFonts w:hint="eastAsia" w:ascii="宋体" w:hAnsi="宋体" w:eastAsia="宋体"/>
          <w:b w:val="0"/>
          <w:color w:val="000000" w:themeColor="text1"/>
          <w:sz w:val="22"/>
          <w:szCs w:val="22"/>
          <w14:textFill>
            <w14:solidFill>
              <w14:schemeClr w14:val="tx1"/>
            </w14:solidFill>
          </w14:textFill>
        </w:rPr>
        <w:t>15.6 暂估价</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发包人在价格清单中给定暂估价的专业服务、材料、工程设备和专业工程属于依法必须招标的范围并达到规定的规模标准的，由发包人和承包人共同招标确定暂估价供应商或分包人，承包人应按照施工进度计划，在招标工作启动前28天通知发包人。招标过程中产生的费用由发包人承担，承包人配合发包人委托的招标代理公司实施暂估价招标工作。确定中标人后，由承包人与中标人签订暂估价合同。</w:t>
      </w:r>
      <w:r>
        <w:rPr>
          <w:rFonts w:hint="eastAsia" w:ascii="宋体" w:hAnsi="宋体" w:eastAsia="宋体"/>
          <w:color w:val="000000" w:themeColor="text1"/>
          <w:sz w:val="22"/>
          <w:szCs w:val="22"/>
          <w14:textFill>
            <w14:solidFill>
              <w14:schemeClr w14:val="tx1"/>
            </w14:solidFill>
          </w14:textFill>
        </w:rPr>
        <w:t xml:space="preserve">            </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84" w:name="_Toc25507556"/>
      <w:r>
        <w:rPr>
          <w:rFonts w:hint="eastAsia" w:ascii="宋体" w:hAnsi="宋体" w:eastAsia="宋体"/>
          <w:color w:val="000000" w:themeColor="text1"/>
          <w:sz w:val="22"/>
          <w:szCs w:val="22"/>
          <w14:textFill>
            <w14:solidFill>
              <w14:schemeClr w14:val="tx1"/>
            </w14:solidFill>
          </w14:textFill>
        </w:rPr>
        <w:t>16. 价格调整</w:t>
      </w:r>
      <w:bookmarkEnd w:id="84"/>
    </w:p>
    <w:p>
      <w:pPr>
        <w:pStyle w:val="5"/>
        <w:spacing w:before="0" w:after="0" w:line="400" w:lineRule="exact"/>
        <w:ind w:firstLine="442"/>
        <w:rPr>
          <w:rFonts w:ascii="宋体" w:hAnsi="宋体" w:eastAsia="宋体" w:cs="宋体"/>
          <w:bCs w:val="0"/>
          <w:color w:val="000000" w:themeColor="text1"/>
          <w:sz w:val="22"/>
          <w:szCs w:val="22"/>
          <w14:textFill>
            <w14:solidFill>
              <w14:schemeClr w14:val="tx1"/>
            </w14:solidFill>
          </w14:textFill>
        </w:rPr>
      </w:pPr>
      <w:bookmarkStart w:id="85" w:name="_Toc4067"/>
      <w:bookmarkStart w:id="86" w:name="_Toc13710"/>
      <w:bookmarkStart w:id="87" w:name="_Toc25507558"/>
      <w:r>
        <w:rPr>
          <w:rFonts w:hint="eastAsia" w:ascii="宋体" w:hAnsi="宋体" w:eastAsia="宋体" w:cs="宋体"/>
          <w:bCs w:val="0"/>
          <w:color w:val="000000" w:themeColor="text1"/>
          <w:sz w:val="22"/>
          <w:szCs w:val="22"/>
          <w14:textFill>
            <w14:solidFill>
              <w14:schemeClr w14:val="tx1"/>
            </w14:solidFill>
          </w14:textFill>
        </w:rPr>
        <w:t>16.1物价波动引起的调整</w:t>
      </w:r>
      <w:bookmarkEnd w:id="85"/>
      <w:bookmarkEnd w:id="86"/>
    </w:p>
    <w:p>
      <w:pPr>
        <w:numPr>
          <w:ilvl w:val="0"/>
          <w:numId w:val="7"/>
        </w:numPr>
        <w:spacing w:line="400" w:lineRule="exact"/>
        <w:ind w:firstLine="560" w:firstLineChars="0"/>
        <w:rPr>
          <w:rFonts w:ascii="宋体" w:hAnsi="宋体" w:eastAsia="宋体" w:cs="宋体"/>
          <w:color w:val="000000" w:themeColor="text1"/>
          <w:sz w:val="22"/>
          <w:szCs w:val="22"/>
          <w14:textFill>
            <w14:solidFill>
              <w14:schemeClr w14:val="tx1"/>
            </w14:solidFill>
          </w14:textFill>
        </w:rPr>
      </w:pPr>
      <w:bookmarkStart w:id="88" w:name="_Toc15090"/>
      <w:r>
        <w:rPr>
          <w:rFonts w:hint="eastAsia" w:ascii="宋体" w:hAnsi="宋体" w:eastAsia="宋体" w:cs="宋体"/>
          <w:color w:val="000000" w:themeColor="text1"/>
          <w:sz w:val="22"/>
          <w:szCs w:val="22"/>
          <w14:textFill>
            <w14:solidFill>
              <w14:schemeClr w14:val="tx1"/>
            </w14:solidFill>
          </w14:textFill>
        </w:rPr>
        <w:t>本工程主要材料（仅指钢材、水泥、商品混凝土、砌体、电线电缆）采用按</w:t>
      </w:r>
      <w:r>
        <w:rPr>
          <w:rFonts w:hint="eastAsia" w:ascii="宋体" w:hAnsi="宋体" w:eastAsia="宋体" w:cs="宋体"/>
          <w:color w:val="000000" w:themeColor="text1"/>
          <w:sz w:val="22"/>
          <w:szCs w:val="22"/>
          <w:u w:val="single"/>
          <w14:textFill>
            <w14:solidFill>
              <w14:schemeClr w14:val="tx1"/>
            </w14:solidFill>
          </w14:textFill>
        </w:rPr>
        <w:t>月</w:t>
      </w:r>
      <w:r>
        <w:rPr>
          <w:rFonts w:hint="eastAsia" w:ascii="宋体" w:hAnsi="宋体" w:eastAsia="宋体" w:cs="宋体"/>
          <w:color w:val="000000" w:themeColor="text1"/>
          <w:sz w:val="22"/>
          <w:szCs w:val="22"/>
          <w14:textFill>
            <w14:solidFill>
              <w14:schemeClr w14:val="tx1"/>
            </w14:solidFill>
          </w14:textFill>
        </w:rPr>
        <w:t>的方式计算动态差价，以实施当月《平阳县建材价格信息》的信息价（X）与 监理单位签发的开工令前28天所在月份《平阳县建材价格信息》的基期信息价格（Y）之间的差值作为价差调整基础。以上动态管理材料价差结算的计算式为：（X-Y）×（1+税率），数量以定额含量为准。动态管理的基期价格以监理单位签发的开工令前28天所在月份《平阳县建材价格信息》为准；2、人工费动态管理办法按抽料补差法计取价差，计算公式：人工费价差=∑（当月人工市场信息价－基准人工市场信息价）×现行定额人工消耗量（分Ⅰ、Ⅱ、Ⅲ类人工）。具体参照温建建〔2008〕35 号《关于进一步加强建设工程造价动态管理的通知》和温住建发〔2012〕38 号&lt;转发浙江省建设工程价格信息动态管理办法的通知》和温住建发〔2015〕84 号《关于进一步完善人工动态管理的通知》。人工采用按月计算动态价差，即按照当月《平阳县建材价格信息》人工市场信息价与基准人工市场信息价进行比较，确定价差调整幅度。人工费基期价格以监理单位签发的开工令前28天所在月份《平阳县建材价格信息》的价格信息为准。3、材料信息价在《平阳县建材价格信息》上没有的，参考同期的《温州工程造价信息》和《浙江省造价信息》。4、材料和人工动态管理计算时调整额仅计取税金。变更引起的工程量及人工不纳入动态管理。5、</w:t>
      </w:r>
      <w:r>
        <w:rPr>
          <w:rFonts w:hint="eastAsia" w:ascii="宋体" w:hAnsi="宋体" w:eastAsia="宋体"/>
          <w:color w:val="000000" w:themeColor="text1"/>
          <w:sz w:val="22"/>
          <w:szCs w:val="22"/>
          <w14:textFill>
            <w14:solidFill>
              <w14:schemeClr w14:val="tx1"/>
            </w14:solidFill>
          </w14:textFill>
        </w:rPr>
        <w:t>价差款按阶段核算后在核算后的下一期工程款支付中同期支付或扣</w:t>
      </w:r>
      <w:r>
        <w:rPr>
          <w:rFonts w:hint="eastAsia" w:ascii="宋体" w:hAnsi="宋体" w:eastAsia="宋体" w:cs="宋体"/>
          <w:color w:val="000000" w:themeColor="text1"/>
          <w:sz w:val="22"/>
          <w:szCs w:val="22"/>
          <w14:textFill>
            <w14:solidFill>
              <w14:schemeClr w14:val="tx1"/>
            </w14:solidFill>
          </w14:textFill>
        </w:rPr>
        <w:t>回。</w:t>
      </w:r>
    </w:p>
    <w:p>
      <w:pPr>
        <w:pStyle w:val="5"/>
        <w:spacing w:before="0" w:after="0" w:line="400" w:lineRule="exact"/>
        <w:ind w:firstLine="442"/>
        <w:rPr>
          <w:rFonts w:ascii="宋体" w:hAnsi="宋体" w:eastAsia="宋体" w:cs="宋体"/>
          <w:bCs w:val="0"/>
          <w:color w:val="000000" w:themeColor="text1"/>
          <w:sz w:val="22"/>
          <w:szCs w:val="22"/>
          <w14:textFill>
            <w14:solidFill>
              <w14:schemeClr w14:val="tx1"/>
            </w14:solidFill>
          </w14:textFill>
        </w:rPr>
      </w:pPr>
      <w:r>
        <w:rPr>
          <w:rFonts w:hint="eastAsia" w:ascii="宋体" w:hAnsi="宋体" w:eastAsia="宋体" w:cs="宋体"/>
          <w:bCs w:val="0"/>
          <w:color w:val="000000" w:themeColor="text1"/>
          <w:sz w:val="22"/>
          <w:szCs w:val="22"/>
          <w14:textFill>
            <w14:solidFill>
              <w14:schemeClr w14:val="tx1"/>
            </w14:solidFill>
          </w14:textFill>
        </w:rPr>
        <w:t>16.2法律变化引起的调整</w:t>
      </w:r>
      <w:bookmarkEnd w:id="88"/>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基准日期后，法律变化导致承包人在合同履行过程中所需要的费用发生除第16.1款约定以外的增加时，由发包人承担由此增加的费用；减少时，应从合同价格中予以扣减。基准日期后，因法律变化造成工期延误时，工期应予以顺延。</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因法律变化引起的合同价格和工期调整，合同当事人无法达成一致的，由总监理工程师按第3.5款商定或确定的约定处理。</w:t>
      </w:r>
    </w:p>
    <w:p>
      <w:pPr>
        <w:spacing w:line="400" w:lineRule="exact"/>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因承包人原因造成工期延误，在工期延误期间出现法律变化的，由此增加的费用和（或）延误的工期由承包人承担。</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bCs w:val="0"/>
          <w:color w:val="000000" w:themeColor="text1"/>
          <w:sz w:val="22"/>
          <w:szCs w:val="22"/>
          <w14:textFill>
            <w14:solidFill>
              <w14:schemeClr w14:val="tx1"/>
            </w14:solidFill>
          </w14:textFill>
        </w:rPr>
        <w:t>17. 合同价格与支付</w:t>
      </w:r>
      <w:bookmarkEnd w:id="87"/>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89" w:name="_Toc25507559"/>
      <w:r>
        <w:rPr>
          <w:rFonts w:hint="eastAsia" w:ascii="宋体" w:hAnsi="宋体" w:eastAsia="宋体"/>
          <w:color w:val="000000" w:themeColor="text1"/>
          <w:sz w:val="22"/>
          <w:szCs w:val="22"/>
          <w14:textFill>
            <w14:solidFill>
              <w14:schemeClr w14:val="tx1"/>
            </w14:solidFill>
          </w14:textFill>
        </w:rPr>
        <w:t>17.1 合同价格</w:t>
      </w:r>
      <w:bookmarkEnd w:id="89"/>
    </w:p>
    <w:p>
      <w:pPr>
        <w:spacing w:line="400" w:lineRule="exact"/>
        <w:ind w:firstLine="440"/>
        <w:rPr>
          <w:rFonts w:ascii="宋体" w:hAnsi="宋体" w:eastAsia="宋体" w:cs="宋体"/>
          <w:color w:val="000000" w:themeColor="text1"/>
          <w:sz w:val="22"/>
          <w:szCs w:val="22"/>
          <w14:textFill>
            <w14:solidFill>
              <w14:schemeClr w14:val="tx1"/>
            </w14:solidFill>
          </w14:textFill>
        </w:rPr>
      </w:pPr>
      <w:bookmarkStart w:id="90" w:name="_Toc25507565"/>
      <w:r>
        <w:rPr>
          <w:rFonts w:hint="eastAsia" w:ascii="宋体" w:hAnsi="宋体" w:eastAsia="宋体" w:cs="宋体"/>
          <w:color w:val="000000" w:themeColor="text1"/>
          <w:sz w:val="22"/>
          <w:szCs w:val="22"/>
          <w14:textFill>
            <w14:solidFill>
              <w14:schemeClr w14:val="tx1"/>
            </w14:solidFill>
          </w14:textFill>
        </w:rPr>
        <w:t>17.1.1合同价格包括：</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（1）设计费：按</w:t>
      </w:r>
      <w:r>
        <w:rPr>
          <w:rFonts w:hint="eastAsia" w:ascii="宋体" w:hAnsi="宋体" w:eastAsia="宋体" w:cs="宋体"/>
          <w:color w:val="000000" w:themeColor="text1"/>
          <w:sz w:val="22"/>
          <w:szCs w:val="22"/>
          <w:u w:val="single"/>
          <w14:textFill>
            <w14:solidFill>
              <w14:schemeClr w14:val="tx1"/>
            </w14:solidFill>
          </w14:textFill>
        </w:rPr>
        <w:t>设计费中标价</w:t>
      </w:r>
      <w:r>
        <w:rPr>
          <w:rFonts w:hint="eastAsia" w:ascii="宋体" w:hAnsi="宋体" w:eastAsia="宋体" w:cs="宋体"/>
          <w:color w:val="000000" w:themeColor="text1"/>
          <w:sz w:val="22"/>
          <w:szCs w:val="22"/>
          <w14:textFill>
            <w14:solidFill>
              <w14:schemeClr w14:val="tx1"/>
            </w14:solidFill>
          </w14:textFill>
        </w:rPr>
        <w:t>包干，今后不再调整。</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（2）建筑安装工程费用</w:t>
      </w:r>
    </w:p>
    <w:p>
      <w:pPr>
        <w:spacing w:line="400" w:lineRule="exact"/>
        <w:ind w:firstLine="440"/>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建筑安装工程费包含承包人承包的所有建筑安装工程内容。建筑安装工程费用按以下规则计算总价，再按照</w:t>
      </w:r>
      <w:r>
        <w:rPr>
          <w:rFonts w:hint="eastAsia" w:ascii="宋体" w:hAnsi="宋体" w:eastAsia="宋体"/>
          <w:color w:val="000000" w:themeColor="text1"/>
          <w:sz w:val="22"/>
          <w:szCs w:val="22"/>
          <w14:textFill>
            <w14:solidFill>
              <w14:schemeClr w14:val="tx1"/>
            </w14:solidFill>
          </w14:textFill>
        </w:rPr>
        <w:t>建筑安装工程费中标下浮率</w:t>
      </w:r>
      <w:r>
        <w:rPr>
          <w:rFonts w:hint="eastAsia" w:ascii="宋体" w:hAnsi="宋体" w:eastAsia="宋体" w:cs="宋体"/>
          <w:color w:val="000000" w:themeColor="text1"/>
          <w:sz w:val="22"/>
          <w:szCs w:val="22"/>
          <w14:textFill>
            <w14:solidFill>
              <w14:schemeClr w14:val="tx1"/>
            </w14:solidFill>
          </w14:textFill>
        </w:rPr>
        <w:t>下浮（下浮后的价格应低于</w:t>
      </w:r>
      <w:r>
        <w:rPr>
          <w:rFonts w:hint="eastAsia" w:ascii="宋体" w:hAnsi="宋体" w:eastAsia="宋体"/>
          <w:color w:val="000000" w:themeColor="text1"/>
          <w:sz w:val="22"/>
          <w:szCs w:val="22"/>
          <w14:textFill>
            <w14:solidFill>
              <w14:schemeClr w14:val="tx1"/>
            </w14:solidFill>
          </w14:textFill>
        </w:rPr>
        <w:t>建筑安装工程费</w:t>
      </w:r>
      <w:r>
        <w:rPr>
          <w:rFonts w:hint="eastAsia" w:ascii="宋体" w:hAnsi="宋体" w:eastAsia="宋体" w:cs="宋体"/>
          <w:color w:val="000000" w:themeColor="text1"/>
          <w:sz w:val="22"/>
          <w:szCs w:val="22"/>
          <w14:textFill>
            <w14:solidFill>
              <w14:schemeClr w14:val="tx1"/>
            </w14:solidFill>
          </w14:textFill>
        </w:rPr>
        <w:t>中标价），作为结算依据。</w:t>
      </w:r>
      <w:r>
        <w:rPr>
          <w:rFonts w:hint="eastAsia" w:ascii="宋体" w:hAnsi="宋体" w:eastAsia="宋体"/>
          <w:color w:val="000000" w:themeColor="text1"/>
          <w:sz w:val="22"/>
          <w:szCs w:val="22"/>
          <w14:textFill>
            <w14:solidFill>
              <w14:schemeClr w14:val="tx1"/>
            </w14:solidFill>
          </w14:textFill>
        </w:rPr>
        <w:t>建筑安装工程费中标下浮率=（1-建筑安装工程费用中标价/</w:t>
      </w:r>
      <w:r>
        <w:rPr>
          <w:rFonts w:hint="eastAsia" w:ascii="宋体" w:hAnsi="宋体" w:eastAsia="宋体" w:cs="宋体"/>
          <w:color w:val="000000" w:themeColor="text1"/>
          <w:sz w:val="22"/>
          <w:szCs w:val="22"/>
          <w14:textFill>
            <w14:solidFill>
              <w14:schemeClr w14:val="tx1"/>
            </w14:solidFill>
          </w14:textFill>
        </w:rPr>
        <w:t>本招标项目建筑安装工程费用概算费</w:t>
      </w:r>
      <w:r>
        <w:rPr>
          <w:rFonts w:hint="eastAsia" w:ascii="宋体" w:hAnsi="宋体" w:eastAsia="宋体" w:cs="宋体"/>
          <w:color w:val="000000" w:themeColor="text1"/>
          <w:sz w:val="22"/>
          <w:szCs w:val="22"/>
          <w:lang w:bidi="en-US"/>
          <w14:textFill>
            <w14:solidFill>
              <w14:schemeClr w14:val="tx1"/>
            </w14:solidFill>
          </w14:textFill>
        </w:rPr>
        <w:t>）</w:t>
      </w:r>
      <w:r>
        <w:rPr>
          <w:rFonts w:hint="eastAsia" w:ascii="宋体" w:hAnsi="宋体" w:eastAsia="宋体"/>
          <w:color w:val="000000" w:themeColor="text1"/>
          <w:sz w:val="22"/>
          <w:szCs w:val="22"/>
          <w14:textFill>
            <w14:solidFill>
              <w14:schemeClr w14:val="tx1"/>
            </w14:solidFill>
          </w14:textFill>
        </w:rPr>
        <w:t>×100%。</w:t>
      </w:r>
      <w:r>
        <w:rPr>
          <w:rFonts w:hint="eastAsia" w:ascii="宋体" w:hAnsi="宋体" w:eastAsia="宋体" w:cs="宋体"/>
          <w:b/>
          <w:bCs/>
          <w:color w:val="000000" w:themeColor="text1"/>
          <w:sz w:val="22"/>
          <w:szCs w:val="22"/>
          <w14:textFill>
            <w14:solidFill>
              <w14:schemeClr w14:val="tx1"/>
            </w14:solidFill>
          </w14:textFill>
        </w:rPr>
        <w:t>本项目本招标项目建筑安装工程费用概算费为</w:t>
      </w:r>
      <w:r>
        <w:rPr>
          <w:rFonts w:hint="eastAsia" w:ascii="宋体" w:hAnsi="宋体" w:eastAsia="宋体" w:cs="宋体"/>
          <w:color w:val="000000" w:themeColor="text1"/>
          <w:sz w:val="22"/>
          <w:szCs w:val="22"/>
          <w:u w:val="single"/>
          <w14:textFill>
            <w14:solidFill>
              <w14:schemeClr w14:val="tx1"/>
            </w14:solidFill>
          </w14:textFill>
        </w:rPr>
        <w:t xml:space="preserve">           </w:t>
      </w:r>
      <w:r>
        <w:rPr>
          <w:rFonts w:ascii="宋体" w:hAnsi="宋体" w:eastAsia="宋体" w:cs="宋体"/>
          <w:color w:val="000000" w:themeColor="text1"/>
          <w:sz w:val="22"/>
          <w:szCs w:val="22"/>
          <w14:textFill>
            <w14:solidFill>
              <w14:schemeClr w14:val="tx1"/>
            </w14:solidFill>
          </w14:textFill>
        </w:rPr>
        <w:t>7094.16万元</w:t>
      </w:r>
      <w:r>
        <w:rPr>
          <w:rFonts w:hint="eastAsia" w:ascii="宋体" w:hAnsi="宋体" w:eastAsia="宋体" w:cs="宋体"/>
          <w:b/>
          <w:bCs/>
          <w:color w:val="000000" w:themeColor="text1"/>
          <w:sz w:val="22"/>
          <w:szCs w:val="22"/>
          <w14:textFill>
            <w14:solidFill>
              <w14:schemeClr w14:val="tx1"/>
            </w14:solidFill>
          </w14:textFill>
        </w:rPr>
        <w:t>。</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）设备购置费：按</w:t>
      </w:r>
      <w:r>
        <w:rPr>
          <w:rFonts w:hint="eastAsia" w:ascii="宋体" w:hAnsi="宋体" w:eastAsia="宋体" w:cs="宋体"/>
          <w:color w:val="000000" w:themeColor="text1"/>
          <w:sz w:val="22"/>
          <w:szCs w:val="22"/>
          <w:u w:val="single"/>
          <w14:textFill>
            <w14:solidFill>
              <w14:schemeClr w14:val="tx1"/>
            </w14:solidFill>
          </w14:textFill>
        </w:rPr>
        <w:t>设备购置费中标价</w:t>
      </w:r>
      <w:r>
        <w:rPr>
          <w:rFonts w:hint="eastAsia" w:ascii="宋体" w:hAnsi="宋体" w:eastAsia="宋体" w:cs="宋体"/>
          <w:color w:val="000000" w:themeColor="text1"/>
          <w:sz w:val="22"/>
          <w:szCs w:val="22"/>
          <w14:textFill>
            <w14:solidFill>
              <w14:schemeClr w14:val="tx1"/>
            </w14:solidFill>
          </w14:textFill>
        </w:rPr>
        <w:t>包干，今后不再调整。</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17.1.2编制施工图预算工程费用</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建筑安装工程费</w:t>
      </w:r>
      <w:r>
        <w:rPr>
          <w:rFonts w:hint="eastAsia" w:ascii="宋体" w:hAnsi="宋体" w:eastAsia="宋体" w:cs="宋体"/>
          <w:color w:val="000000" w:themeColor="text1"/>
          <w:sz w:val="22"/>
          <w:szCs w:val="22"/>
          <w14:textFill>
            <w14:solidFill>
              <w14:schemeClr w14:val="tx1"/>
            </w14:solidFill>
          </w14:textFill>
        </w:rPr>
        <w:t>在施工图经发包人委托的第三方审查合格后由发包人委托的第三方造价咨询公司按以下规则编制：</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①计价依据：《建设工程工程量清单计价规范》（GB50500-2013）；《浙江省建设工程计价规则》（2018版）；《浙江省房屋建筑与装饰工程预算定额》（2018版）；《浙江省通用安装工程预算定额》（2018版）；《浙江省施工机械台班费用定额》（2018版）等，《关于增值税调整后我省建设工程计价依据增值税税率及有关计价调整的通知》[浙建建发（2019）92号]以及其他相关配套计价文件。</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计量规范：《房屋建筑与装饰工程工程量计算规范》（GB 50854-2013）；《通用安装工程工程量计算规范》（GB 50856-2013）、《浙江省建设工程计价依据》（2018版）以及国家、浙江省、温州市、平阳县相关配套文件。</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②取费依据：各项取费费率按2018版费用定额规定的弹性费率区间的中值计取（市区一般工程，并执行基准日期前建设主管部门发布的最新施工费用费率调整文件），不计取提前竣工增加费。</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③取费基数：以定额的人工费及定额的机械费作为计算费用的基数。</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④人工、材料价格按监理单位签发的开工令前28天所在月的造价信息取定，套用顺序为《平阳县建材价格信息》的信息价、《温州市建设工程造价信息》、《浙江造价信息》。在《平阳县建材价格信息》的信息价、《温州市建设工程造价信息》、《浙江省造价信息》均没有相关材料的价格时，该材料价格由发包人、承包人、造价咨询单位三方询价确定，三方仍存在价格争议的部分由甲乙双方共同委托第三方裁定。询价材料价格不再下浮。</w:t>
      </w:r>
    </w:p>
    <w:p>
      <w:pPr>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⑤编制施工预算时应按实际情况及有关计价规范考虑以下技术措施费用（不得重复计算）；安全文明施工费如已包含的相关临设费用，也不得重复计算；结算应按实调整。结算应按实调整。其中安全文明施工费的3%-10%（金额不少于3万）须作为党建费用综合考虑在内。</w:t>
      </w:r>
    </w:p>
    <w:tbl>
      <w:tblPr>
        <w:tblStyle w:val="45"/>
        <w:tblW w:w="8855" w:type="dxa"/>
        <w:jc w:val="center"/>
        <w:tblLayout w:type="fixed"/>
        <w:tblCellMar>
          <w:top w:w="0" w:type="dxa"/>
          <w:left w:w="108" w:type="dxa"/>
          <w:bottom w:w="0" w:type="dxa"/>
          <w:right w:w="108" w:type="dxa"/>
        </w:tblCellMar>
      </w:tblPr>
      <w:tblGrid>
        <w:gridCol w:w="730"/>
        <w:gridCol w:w="8125"/>
      </w:tblGrid>
      <w:tr>
        <w:tblPrEx>
          <w:tblCellMar>
            <w:top w:w="0" w:type="dxa"/>
            <w:left w:w="108" w:type="dxa"/>
            <w:bottom w:w="0" w:type="dxa"/>
            <w:right w:w="108" w:type="dxa"/>
          </w:tblCellMar>
        </w:tblPrEx>
        <w:trPr>
          <w:trHeight w:val="351" w:hRule="atLeast"/>
          <w:jc w:val="center"/>
        </w:trPr>
        <w:tc>
          <w:tcPr>
            <w:tcW w:w="730" w:type="dxa"/>
            <w:tcBorders>
              <w:top w:val="single" w:color="000000" w:sz="4" w:space="0"/>
              <w:left w:val="single" w:color="000000" w:sz="4" w:space="0"/>
              <w:bottom w:val="nil"/>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序号</w:t>
            </w:r>
          </w:p>
        </w:tc>
        <w:tc>
          <w:tcPr>
            <w:tcW w:w="8125" w:type="dxa"/>
            <w:tcBorders>
              <w:top w:val="single" w:color="000000" w:sz="4" w:space="0"/>
              <w:left w:val="nil"/>
              <w:bottom w:val="nil"/>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费用名称</w:t>
            </w:r>
          </w:p>
        </w:tc>
      </w:tr>
      <w:tr>
        <w:tblPrEx>
          <w:tblCellMar>
            <w:top w:w="0" w:type="dxa"/>
            <w:left w:w="108" w:type="dxa"/>
            <w:bottom w:w="0" w:type="dxa"/>
            <w:right w:w="108" w:type="dxa"/>
          </w:tblCellMar>
        </w:tblPrEx>
        <w:trPr>
          <w:trHeight w:val="274" w:hRule="atLeast"/>
          <w:jc w:val="center"/>
        </w:trPr>
        <w:tc>
          <w:tcPr>
            <w:tcW w:w="730"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w:t>
            </w:r>
          </w:p>
        </w:tc>
        <w:tc>
          <w:tcPr>
            <w:tcW w:w="8125" w:type="dxa"/>
            <w:tcBorders>
              <w:top w:val="single" w:color="auto" w:sz="4" w:space="0"/>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现场已有建筑垃圾清运</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2</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三通一平不足部分的费用</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3</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承包人向发包人及监理人员提供充足的办公用房、生活用房</w:t>
            </w:r>
          </w:p>
        </w:tc>
      </w:tr>
      <w:tr>
        <w:tblPrEx>
          <w:tblCellMar>
            <w:top w:w="0" w:type="dxa"/>
            <w:left w:w="108" w:type="dxa"/>
            <w:bottom w:w="0" w:type="dxa"/>
            <w:right w:w="108" w:type="dxa"/>
          </w:tblCellMar>
        </w:tblPrEx>
        <w:trPr>
          <w:trHeight w:val="366"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4</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由于施工场地不足引起红线以外的临时道路、办公用房及民工宿舍等搭设或租用产生增加费用</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5</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自备发电机、储水设施</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6</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周边建筑物及市政道路保护（包括地下管道）</w:t>
            </w:r>
          </w:p>
        </w:tc>
      </w:tr>
      <w:tr>
        <w:tblPrEx>
          <w:tblCellMar>
            <w:top w:w="0" w:type="dxa"/>
            <w:left w:w="108" w:type="dxa"/>
            <w:bottom w:w="0" w:type="dxa"/>
            <w:right w:w="108" w:type="dxa"/>
          </w:tblCellMar>
        </w:tblPrEx>
        <w:trPr>
          <w:trHeight w:val="362"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7</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塔式起重机基础建造：含基础及其下支撑桩，钢支撑制作安装、拆除及回收，基础凿除，基础模板</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8</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施工电梯固定基础建造</w:t>
            </w:r>
          </w:p>
        </w:tc>
      </w:tr>
      <w:tr>
        <w:tblPrEx>
          <w:tblCellMar>
            <w:top w:w="0" w:type="dxa"/>
            <w:left w:w="108" w:type="dxa"/>
            <w:bottom w:w="0" w:type="dxa"/>
            <w:right w:w="108" w:type="dxa"/>
          </w:tblCellMar>
        </w:tblPrEx>
        <w:trPr>
          <w:trHeight w:val="439"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44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9</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大型机械设备进出场及安拆：塔式起重机、施工电梯、桩机、挖掘机等安装、拆卸、场外运输费用</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10</w:t>
            </w:r>
          </w:p>
        </w:tc>
        <w:tc>
          <w:tcPr>
            <w:tcW w:w="8125" w:type="dxa"/>
            <w:tcBorders>
              <w:top w:val="nil"/>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施工用水用电引入</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11</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地下室开挖土方二次周转</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12</w:t>
            </w:r>
          </w:p>
        </w:tc>
        <w:tc>
          <w:tcPr>
            <w:tcW w:w="8125" w:type="dxa"/>
            <w:tcBorders>
              <w:top w:val="nil"/>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地下室</w:t>
            </w:r>
            <w:r>
              <w:rPr>
                <w:rFonts w:ascii="宋体" w:hAnsi="宋体" w:eastAsia="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包括基础、板、墙、沉降缝及后浇带</w:t>
            </w:r>
            <w:r>
              <w:rPr>
                <w:rFonts w:ascii="宋体" w:hAnsi="宋体" w:eastAsia="宋体"/>
                <w:color w:val="000000" w:themeColor="text1"/>
                <w:sz w:val="22"/>
                <w:szCs w:val="22"/>
                <w14:textFill>
                  <w14:solidFill>
                    <w14:schemeClr w14:val="tx1"/>
                  </w14:solidFill>
                </w14:textFill>
              </w:rPr>
              <w:t>)</w:t>
            </w:r>
            <w:r>
              <w:rPr>
                <w:rFonts w:hint="eastAsia" w:ascii="宋体" w:hAnsi="宋体" w:eastAsia="宋体" w:cs="宋体"/>
                <w:color w:val="000000" w:themeColor="text1"/>
                <w:sz w:val="22"/>
                <w:szCs w:val="22"/>
                <w14:textFill>
                  <w14:solidFill>
                    <w14:schemeClr w14:val="tx1"/>
                  </w14:solidFill>
                </w14:textFill>
              </w:rPr>
              <w:t>清理、保护措施</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13</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地下障碍物处理</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14</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施工排水、降水费</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15</w:t>
            </w:r>
          </w:p>
        </w:tc>
        <w:tc>
          <w:tcPr>
            <w:tcW w:w="8125" w:type="dxa"/>
            <w:tcBorders>
              <w:top w:val="nil"/>
              <w:left w:val="nil"/>
              <w:bottom w:val="single" w:color="000000" w:sz="4" w:space="0"/>
              <w:right w:val="single" w:color="000000"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基坑应急措施处理</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16</w:t>
            </w:r>
          </w:p>
        </w:tc>
        <w:tc>
          <w:tcPr>
            <w:tcW w:w="8125" w:type="dxa"/>
            <w:tcBorders>
              <w:top w:val="nil"/>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施工中可能发生的干扰土方和泥浆外运、进出场地等导致增加费用</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17</w:t>
            </w:r>
          </w:p>
        </w:tc>
        <w:tc>
          <w:tcPr>
            <w:tcW w:w="8125" w:type="dxa"/>
            <w:tcBorders>
              <w:top w:val="nil"/>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施工场地全部道路硬化</w:t>
            </w:r>
          </w:p>
        </w:tc>
      </w:tr>
      <w:tr>
        <w:tblPrEx>
          <w:tblCellMar>
            <w:top w:w="0" w:type="dxa"/>
            <w:left w:w="108" w:type="dxa"/>
            <w:bottom w:w="0" w:type="dxa"/>
            <w:right w:w="108" w:type="dxa"/>
          </w:tblCellMar>
        </w:tblPrEx>
        <w:trPr>
          <w:trHeight w:val="274" w:hRule="atLeast"/>
          <w:jc w:val="center"/>
        </w:trPr>
        <w:tc>
          <w:tcPr>
            <w:tcW w:w="730" w:type="dxa"/>
            <w:tcBorders>
              <w:top w:val="nil"/>
              <w:left w:val="single" w:color="000000" w:sz="4" w:space="0"/>
              <w:bottom w:val="single" w:color="000000" w:sz="4" w:space="0"/>
              <w:right w:val="single" w:color="000000" w:sz="4" w:space="0"/>
            </w:tcBorders>
            <w:shd w:val="clear" w:color="000000" w:fill="FFFFFF"/>
            <w:vAlign w:val="center"/>
          </w:tcPr>
          <w:p>
            <w:pPr>
              <w:ind w:firstLine="0" w:firstLineChars="0"/>
              <w:contextualSpacing/>
              <w:jc w:val="center"/>
              <w:rPr>
                <w:rFonts w:ascii="宋体" w:hAnsi="宋体" w:eastAsia="宋体"/>
                <w:color w:val="000000" w:themeColor="text1"/>
                <w:sz w:val="22"/>
                <w:szCs w:val="22"/>
                <w14:textFill>
                  <w14:solidFill>
                    <w14:schemeClr w14:val="tx1"/>
                  </w14:solidFill>
                </w14:textFill>
              </w:rPr>
            </w:pPr>
            <w:r>
              <w:rPr>
                <w:rFonts w:ascii="宋体" w:hAnsi="宋体" w:eastAsia="宋体"/>
                <w:color w:val="000000" w:themeColor="text1"/>
                <w:sz w:val="22"/>
                <w:szCs w:val="22"/>
                <w14:textFill>
                  <w14:solidFill>
                    <w14:schemeClr w14:val="tx1"/>
                  </w14:solidFill>
                </w14:textFill>
              </w:rPr>
              <w:t>18</w:t>
            </w:r>
          </w:p>
        </w:tc>
        <w:tc>
          <w:tcPr>
            <w:tcW w:w="8125" w:type="dxa"/>
            <w:tcBorders>
              <w:top w:val="nil"/>
              <w:left w:val="nil"/>
              <w:bottom w:val="single" w:color="auto" w:sz="4" w:space="0"/>
              <w:right w:val="single" w:color="auto" w:sz="4" w:space="0"/>
            </w:tcBorders>
            <w:shd w:val="clear" w:color="000000" w:fill="FFFFFF"/>
            <w:vAlign w:val="center"/>
          </w:tcPr>
          <w:p>
            <w:pPr>
              <w:widowControl/>
              <w:ind w:firstLine="440"/>
              <w:contextualSpacing/>
              <w:jc w:val="left"/>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施工现场因消防及防汛、抗旱演练需要而增加的费用</w:t>
            </w:r>
          </w:p>
        </w:tc>
      </w:tr>
    </w:tbl>
    <w:p>
      <w:pPr>
        <w:pStyle w:val="19"/>
        <w:tabs>
          <w:tab w:val="left" w:pos="574"/>
          <w:tab w:val="left" w:pos="9360"/>
        </w:tabs>
        <w:spacing w:after="0" w:line="400" w:lineRule="exact"/>
        <w:ind w:firstLine="221"/>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17.1.3本项目实行限额设计及结算（限额金额为签约合同价）：</w:t>
      </w:r>
    </w:p>
    <w:p>
      <w:pPr>
        <w:pStyle w:val="19"/>
        <w:tabs>
          <w:tab w:val="left" w:pos="574"/>
          <w:tab w:val="left" w:pos="9360"/>
        </w:tabs>
        <w:spacing w:after="0" w:line="400" w:lineRule="exact"/>
        <w:ind w:firstLine="221"/>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①经结算单位审核，最终结算审定价少于签约合同价的，以最终结算审定价为准。</w:t>
      </w:r>
    </w:p>
    <w:p>
      <w:pPr>
        <w:pStyle w:val="19"/>
        <w:tabs>
          <w:tab w:val="left" w:pos="574"/>
          <w:tab w:val="left" w:pos="9360"/>
        </w:tabs>
        <w:spacing w:after="0" w:line="400" w:lineRule="exact"/>
        <w:ind w:firstLine="221"/>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②最终结算审定价超出签约合同价的，以签约合同价为准，超出部分由承包人自行承担。</w:t>
      </w:r>
    </w:p>
    <w:p>
      <w:pPr>
        <w:pStyle w:val="5"/>
        <w:spacing w:before="0" w:after="0" w:line="400" w:lineRule="exact"/>
        <w:ind w:firstLine="442"/>
        <w:rPr>
          <w:rFonts w:ascii="宋体" w:hAnsi="宋体" w:eastAsia="宋体" w:cs="宋体"/>
          <w:bCs w:val="0"/>
          <w:color w:val="000000" w:themeColor="text1"/>
          <w:sz w:val="22"/>
          <w:szCs w:val="22"/>
          <w14:textFill>
            <w14:solidFill>
              <w14:schemeClr w14:val="tx1"/>
            </w14:solidFill>
          </w14:textFill>
        </w:rPr>
      </w:pPr>
      <w:bookmarkStart w:id="91" w:name="_Toc4875"/>
      <w:r>
        <w:rPr>
          <w:rFonts w:hint="eastAsia" w:ascii="宋体" w:hAnsi="宋体" w:eastAsia="宋体" w:cs="宋体"/>
          <w:bCs w:val="0"/>
          <w:color w:val="000000" w:themeColor="text1"/>
          <w:sz w:val="22"/>
          <w:szCs w:val="22"/>
          <w14:textFill>
            <w14:solidFill>
              <w14:schemeClr w14:val="tx1"/>
            </w14:solidFill>
          </w14:textFill>
        </w:rPr>
        <w:t>17.2 预付款</w:t>
      </w:r>
      <w:bookmarkEnd w:id="91"/>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17.2.1 预付款</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（1）设计费：</w:t>
      </w:r>
      <w:r>
        <w:rPr>
          <w:rFonts w:hint="eastAsia" w:ascii="宋体" w:hAnsi="宋体" w:eastAsia="宋体" w:cs="宋体"/>
          <w:color w:val="000000" w:themeColor="text1"/>
          <w:sz w:val="22"/>
          <w:szCs w:val="22"/>
          <w:u w:val="single"/>
          <w14:textFill>
            <w14:solidFill>
              <w14:schemeClr w14:val="tx1"/>
            </w14:solidFill>
          </w14:textFill>
        </w:rPr>
        <w:t>合同签订后支付设计费的20%</w:t>
      </w:r>
      <w:r>
        <w:rPr>
          <w:rFonts w:hint="eastAsia" w:ascii="宋体" w:hAnsi="宋体" w:eastAsia="宋体" w:cs="宋体"/>
          <w:color w:val="000000" w:themeColor="text1"/>
          <w:sz w:val="22"/>
          <w:szCs w:val="22"/>
          <w14:textFill>
            <w14:solidFill>
              <w14:schemeClr w14:val="tx1"/>
            </w14:solidFill>
          </w14:textFill>
        </w:rPr>
        <w:t>。</w:t>
      </w:r>
    </w:p>
    <w:p>
      <w:pPr>
        <w:snapToGrid w:val="0"/>
        <w:spacing w:line="400" w:lineRule="exact"/>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（2）建筑安装工程费：</w:t>
      </w:r>
      <w:r>
        <w:rPr>
          <w:rFonts w:hint="eastAsia" w:ascii="宋体" w:hAnsi="宋体" w:eastAsia="宋体" w:cs="宋体"/>
          <w:color w:val="000000" w:themeColor="text1"/>
          <w:sz w:val="22"/>
          <w:szCs w:val="22"/>
          <w:u w:val="single"/>
          <w14:textFill>
            <w14:solidFill>
              <w14:schemeClr w14:val="tx1"/>
            </w14:solidFill>
          </w14:textFill>
        </w:rPr>
        <w:t>领取施工许可证，工程设备、施工班组人员进场正式施工后支付合同价的10%。</w:t>
      </w:r>
    </w:p>
    <w:p>
      <w:pPr>
        <w:snapToGrid w:val="0"/>
        <w:spacing w:line="36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w:t>
      </w:r>
      <w:r>
        <w:rPr>
          <w:rFonts w:ascii="宋体" w:hAnsi="宋体" w:eastAsia="宋体" w:cs="宋体"/>
          <w:color w:val="000000" w:themeColor="text1"/>
          <w:sz w:val="22"/>
          <w:szCs w:val="22"/>
          <w14:textFill>
            <w14:solidFill>
              <w14:schemeClr w14:val="tx1"/>
            </w14:solidFill>
          </w14:textFill>
        </w:rPr>
        <w:t>3</w:t>
      </w:r>
      <w:r>
        <w:rPr>
          <w:rFonts w:hint="eastAsia" w:ascii="宋体" w:hAnsi="宋体" w:eastAsia="宋体" w:cs="宋体"/>
          <w:color w:val="000000" w:themeColor="text1"/>
          <w:sz w:val="22"/>
          <w:szCs w:val="22"/>
          <w14:textFill>
            <w14:solidFill>
              <w14:schemeClr w14:val="tx1"/>
            </w14:solidFill>
          </w14:textFill>
        </w:rPr>
        <w:t>）设备购置费：根据设备订货合同约定预付时间及预付比例支付，不超过签约合同价中设备购置费的30%。</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17.2.3预付款扣回与还清</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（1）预付款扣回的时间、比例：</w:t>
      </w:r>
      <w:r>
        <w:rPr>
          <w:rFonts w:hint="eastAsia" w:ascii="宋体" w:hAnsi="宋体" w:eastAsia="宋体" w:cs="宋体"/>
          <w:color w:val="000000" w:themeColor="text1"/>
          <w:sz w:val="22"/>
          <w:szCs w:val="22"/>
          <w:u w:val="single"/>
          <w14:textFill>
            <w14:solidFill>
              <w14:schemeClr w14:val="tx1"/>
            </w14:solidFill>
          </w14:textFill>
        </w:rPr>
        <w:t>设计费在第一笔设计费进度款支付时转为设计费的一部分，建筑安装工程费在建筑安装工程费支付进度款时扣回，每月按该月审定支付进度款的20%扣回，预付款扣完为止</w:t>
      </w:r>
      <w:r>
        <w:rPr>
          <w:rFonts w:hint="eastAsia" w:ascii="宋体" w:hAnsi="宋体" w:eastAsia="宋体" w:cs="宋体"/>
          <w:color w:val="000000" w:themeColor="text1"/>
          <w:sz w:val="22"/>
          <w:szCs w:val="22"/>
          <w14:textFill>
            <w14:solidFill>
              <w14:schemeClr w14:val="tx1"/>
            </w14:solidFill>
          </w14:textFill>
        </w:rPr>
        <w:t>。</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17.3 工程进度付款</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17.3.1 付款时间</w:t>
      </w:r>
    </w:p>
    <w:p>
      <w:pPr>
        <w:snapToGrid w:val="0"/>
        <w:spacing w:line="400" w:lineRule="exac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（1）设计费：</w:t>
      </w:r>
      <w:r>
        <w:rPr>
          <w:rFonts w:hint="eastAsia" w:ascii="宋体" w:hAnsi="宋体" w:eastAsia="宋体" w:cs="宋体"/>
          <w:color w:val="000000" w:themeColor="text1"/>
          <w:sz w:val="22"/>
          <w:szCs w:val="22"/>
          <w:u w:val="single"/>
          <w14:textFill>
            <w14:solidFill>
              <w14:schemeClr w14:val="tx1"/>
            </w14:solidFill>
          </w14:textFill>
        </w:rPr>
        <w:t>施工图完成后支付至设计费的60%（含设计费预付款转为的设计费进度款）,工程预验收合格后支付至80%，工程验收合格后支付剩余的20%</w:t>
      </w:r>
      <w:r>
        <w:rPr>
          <w:rFonts w:hint="eastAsia" w:ascii="宋体" w:hAnsi="宋体" w:eastAsia="宋体" w:cs="宋体"/>
          <w:color w:val="000000" w:themeColor="text1"/>
          <w:sz w:val="22"/>
          <w:szCs w:val="22"/>
          <w14:textFill>
            <w14:solidFill>
              <w14:schemeClr w14:val="tx1"/>
            </w14:solidFill>
          </w14:textFill>
        </w:rPr>
        <w:t>。</w:t>
      </w:r>
    </w:p>
    <w:p>
      <w:pPr>
        <w:pStyle w:val="19"/>
        <w:ind w:firstLine="21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rFonts w:ascii="宋体" w:hAnsi="宋体" w:cs="Cambria"/>
          <w:color w:val="000000" w:themeColor="text1"/>
          <w:kern w:val="2"/>
          <w:sz w:val="22"/>
          <w:szCs w:val="22"/>
          <w14:textFill>
            <w14:solidFill>
              <w14:schemeClr w14:val="tx1"/>
            </w14:solidFill>
          </w14:textFill>
        </w:rPr>
        <w:t xml:space="preserve"> （2）设备购置费：设备进场支付签约合同价中设备购置费的40%，安装调试完毕支付至设备购置费的80%（含设备购置费预付款），工程竣工支付至设备购置费的90%（含设备购置费预付款），办理竣工结算后支付至98.5%，余款1.5%在提交等额工程质量保修金保函后予以支付。</w:t>
      </w:r>
    </w:p>
    <w:p>
      <w:pPr>
        <w:pStyle w:val="19"/>
        <w:tabs>
          <w:tab w:val="left" w:pos="574"/>
          <w:tab w:val="left" w:pos="9360"/>
        </w:tabs>
        <w:spacing w:after="0"/>
        <w:ind w:firstLine="440" w:firstLineChars="200"/>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r>
        <w:rPr>
          <w:rFonts w:ascii="宋体" w:hAnsi="宋体" w:cs="宋体"/>
          <w:color w:val="000000" w:themeColor="text1"/>
          <w:sz w:val="22"/>
          <w:szCs w:val="22"/>
          <w14:textFill>
            <w14:solidFill>
              <w14:schemeClr w14:val="tx1"/>
            </w14:solidFill>
          </w14:textFill>
        </w:rPr>
        <w:t>3</w:t>
      </w:r>
      <w:r>
        <w:rPr>
          <w:rFonts w:hint="eastAsia" w:ascii="宋体" w:hAnsi="宋体" w:cs="宋体"/>
          <w:color w:val="000000" w:themeColor="text1"/>
          <w:sz w:val="22"/>
          <w:szCs w:val="22"/>
          <w14:textFill>
            <w14:solidFill>
              <w14:schemeClr w14:val="tx1"/>
            </w14:solidFill>
          </w14:textFill>
        </w:rPr>
        <w:t>）建筑安装工程费进度款支付条件和支付节点：</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①</w:t>
      </w:r>
      <w:r>
        <w:rPr>
          <w:rFonts w:hint="eastAsia" w:ascii="宋体" w:hAnsi="宋体" w:eastAsia="宋体" w:cs="宋体"/>
          <w:color w:val="000000" w:themeColor="text1"/>
          <w:sz w:val="22"/>
          <w:szCs w:val="22"/>
          <w14:textFill>
            <w14:solidFill>
              <w14:schemeClr w14:val="tx1"/>
            </w14:solidFill>
          </w14:textFill>
        </w:rPr>
        <w:t>建筑安装工程费</w:t>
      </w:r>
      <w:r>
        <w:rPr>
          <w:rFonts w:hint="eastAsia" w:ascii="宋体" w:hAnsi="宋体" w:eastAsia="宋体"/>
          <w:color w:val="000000" w:themeColor="text1"/>
          <w:sz w:val="22"/>
          <w:szCs w:val="22"/>
          <w14:textFill>
            <w14:solidFill>
              <w14:schemeClr w14:val="tx1"/>
            </w14:solidFill>
          </w14:textFill>
        </w:rPr>
        <w:t>进度款：由承包人在每个月的25日前，承包人根据当月实际已完成工程量提出支付申请，报监理单位、发包人（如有跟踪审计，则包括跟踪设计单位）审核并签证确认。发包人应在收到支付申请后15日内，按确认工程量的85%支付工程进度款。如果预算审核前已经支付的进度款在审核后存在差额的，该费用在预算审核完成当月的进度款中按实调整，多退少补。工程进度款支付至建安工程预算价的85%时停止支付。</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fldChar w:fldCharType="begin"/>
      </w:r>
      <w:r>
        <w:rPr>
          <w:rFonts w:hint="eastAsia" w:ascii="宋体" w:hAnsi="宋体" w:eastAsia="宋体"/>
          <w:color w:val="000000" w:themeColor="text1"/>
          <w:sz w:val="22"/>
          <w:szCs w:val="22"/>
          <w14:textFill>
            <w14:solidFill>
              <w14:schemeClr w14:val="tx1"/>
            </w14:solidFill>
          </w14:textFill>
        </w:rPr>
        <w:instrText xml:space="preserve"> = 2 \* GB3 </w:instrText>
      </w:r>
      <w:r>
        <w:rPr>
          <w:rFonts w:hint="eastAsia" w:ascii="宋体" w:hAnsi="宋体" w:eastAsia="宋体"/>
          <w:color w:val="000000" w:themeColor="text1"/>
          <w:sz w:val="22"/>
          <w:szCs w:val="22"/>
          <w14:textFill>
            <w14:solidFill>
              <w14:schemeClr w14:val="tx1"/>
            </w14:solidFill>
          </w14:textFill>
        </w:rPr>
        <w:fldChar w:fldCharType="separate"/>
      </w:r>
      <w:r>
        <w:rPr>
          <w:rFonts w:hint="eastAsia" w:ascii="宋体" w:hAnsi="宋体" w:eastAsia="宋体"/>
          <w:color w:val="000000" w:themeColor="text1"/>
          <w:sz w:val="22"/>
          <w:szCs w:val="22"/>
          <w14:textFill>
            <w14:solidFill>
              <w14:schemeClr w14:val="tx1"/>
            </w14:solidFill>
          </w14:textFill>
        </w:rPr>
        <w:t>②</w:t>
      </w:r>
      <w:r>
        <w:rPr>
          <w:rFonts w:hint="eastAsia" w:ascii="宋体" w:hAnsi="宋体" w:eastAsia="宋体"/>
          <w:color w:val="000000" w:themeColor="text1"/>
          <w:sz w:val="22"/>
          <w:szCs w:val="22"/>
          <w14:textFill>
            <w14:solidFill>
              <w14:schemeClr w14:val="tx1"/>
            </w14:solidFill>
          </w14:textFill>
        </w:rPr>
        <w:fldChar w:fldCharType="end"/>
      </w:r>
      <w:r>
        <w:rPr>
          <w:rFonts w:hint="eastAsia" w:ascii="宋体" w:hAnsi="宋体" w:eastAsia="宋体"/>
          <w:color w:val="000000" w:themeColor="text1"/>
          <w:sz w:val="22"/>
          <w:szCs w:val="22"/>
          <w14:textFill>
            <w14:solidFill>
              <w14:schemeClr w14:val="tx1"/>
            </w14:solidFill>
          </w14:textFill>
        </w:rPr>
        <w:t>工程通过竣工验收，承包人按当地要求提交竣工资料及结算资料经相关单位部门，审核后，支付至建安工程费的97%。竣工验收合格后14日内，承包人在缴纳违约款（或在工程款中扣除）后，发包人退还履约保函。</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工程价款结算后，超过送审额5%以外部分的核增费用及核减费用由承包人承担。</w:t>
      </w:r>
    </w:p>
    <w:p>
      <w:pPr>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④剩余结算总额（不含设计费，余同）的1.5%作为工程质量保证金。工程质量保证金如采用保函，则在通过竣工验收、承包人提供工程质量保函后，发包人支付至工程结算价的100%。</w:t>
      </w:r>
    </w:p>
    <w:p>
      <w:pPr>
        <w:snapToGrid w:val="0"/>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17.3.2 进度付款申请单</w:t>
      </w:r>
    </w:p>
    <w:p>
      <w:pPr>
        <w:snapToGrid w:val="0"/>
        <w:ind w:firstLine="440"/>
        <w:rPr>
          <w:rFonts w:ascii="宋体" w:hAnsi="宋体" w:eastAsia="宋体" w:cs="宋体"/>
          <w:color w:val="000000" w:themeColor="text1"/>
          <w:sz w:val="22"/>
          <w:szCs w:val="22"/>
          <w:u w:val="single"/>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承包人提交的进度付款申请单份数：</w:t>
      </w:r>
      <w:r>
        <w:rPr>
          <w:rFonts w:hint="eastAsia" w:ascii="宋体" w:hAnsi="宋体" w:eastAsia="宋体" w:cs="宋体"/>
          <w:color w:val="000000" w:themeColor="text1"/>
          <w:sz w:val="22"/>
          <w:szCs w:val="22"/>
          <w:u w:val="single"/>
          <w14:textFill>
            <w14:solidFill>
              <w14:schemeClr w14:val="tx1"/>
            </w14:solidFill>
          </w14:textFill>
        </w:rPr>
        <w:t>提供当期进度计划及当期工程量统计报表各5份，上报监理、有关部门核定后，报至发包人，经审核后予以支付。</w:t>
      </w:r>
    </w:p>
    <w:p>
      <w:pPr>
        <w:snapToGrid w:val="0"/>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17.3.3 进度付款证书和支付时间</w:t>
      </w:r>
    </w:p>
    <w:p>
      <w:pPr>
        <w:snapToGrid w:val="0"/>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发包人逾期付款违约金：</w:t>
      </w:r>
      <w:r>
        <w:rPr>
          <w:rFonts w:hint="eastAsia" w:ascii="宋体" w:hAnsi="宋体" w:eastAsia="宋体" w:cs="宋体"/>
          <w:color w:val="000000" w:themeColor="text1"/>
          <w:sz w:val="22"/>
          <w:szCs w:val="22"/>
          <w:u w:val="single"/>
          <w14:textFill>
            <w14:solidFill>
              <w14:schemeClr w14:val="tx1"/>
            </w14:solidFill>
          </w14:textFill>
        </w:rPr>
        <w:t xml:space="preserve">     /     。</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92" w:name="_Toc7273504"/>
      <w:r>
        <w:rPr>
          <w:rFonts w:hint="eastAsia" w:ascii="宋体" w:hAnsi="宋体" w:eastAsia="宋体"/>
          <w:color w:val="000000" w:themeColor="text1"/>
          <w:sz w:val="22"/>
          <w:szCs w:val="22"/>
          <w14:textFill>
            <w14:solidFill>
              <w14:schemeClr w14:val="tx1"/>
            </w14:solidFill>
          </w14:textFill>
        </w:rPr>
        <w:t>17.4 质量保证金</w:t>
      </w:r>
      <w:bookmarkEnd w:id="92"/>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17.4.1工程竣工结算时一次性扣留质量保证金。质量保证金比例为：质量保证金采用银行保函（出具银行须经发包人认可）形式；银行保函额度为结算总价的1.5%；银行保函有效期自本项目竣工验收合格之日起2年；银行保函在缺陷责任期满后退还；银行保函退还不计息。</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质量保证金的暂扣方式：工程结算审定后扣留。</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缺陷责任期期限：24个月</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93" w:name="_Toc7273505"/>
      <w:r>
        <w:rPr>
          <w:rFonts w:hint="eastAsia" w:ascii="宋体" w:hAnsi="宋体" w:eastAsia="宋体"/>
          <w:color w:val="000000" w:themeColor="text1"/>
          <w:sz w:val="22"/>
          <w:szCs w:val="22"/>
          <w14:textFill>
            <w14:solidFill>
              <w14:schemeClr w14:val="tx1"/>
            </w14:solidFill>
          </w14:textFill>
        </w:rPr>
        <w:t>17.5 竣工结算</w:t>
      </w:r>
      <w:bookmarkEnd w:id="93"/>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17.5.1 竣工付款申请单</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承包人提交的竣工付款申请单份数：</w:t>
      </w:r>
      <w:r>
        <w:rPr>
          <w:rFonts w:hint="eastAsia" w:ascii="宋体" w:hAnsi="宋体" w:eastAsia="宋体"/>
          <w:bCs/>
          <w:color w:val="000000" w:themeColor="text1"/>
          <w:sz w:val="22"/>
          <w:szCs w:val="22"/>
          <w:u w:val="single"/>
          <w14:textFill>
            <w14:solidFill>
              <w14:schemeClr w14:val="tx1"/>
            </w14:solidFill>
          </w14:textFill>
        </w:rPr>
        <w:t>10份</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17.5.2竣工付款证书及支付时间</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增加以下内容：</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（4）本工程为政府性投资项目，发包人根据财政部门（或相关部门，余同）的规定审定工程结算，与承包人办理最终价款结算手续。</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（5）承包人应当在工程验收合格后的 3个月内向发包人提交完整的工程竣工结算资料，经发包人催促后14天内仍未提供或没有明确答复，发包人不再受理承包人逾期提交的资料且有权根据已有资料进行查并以已有资料提交财政部门进行审价，审计结果将作为最终结算造价。由于财政部门审价期限的延迟，双方均不向对方承担责任。</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（6）结算审核追加费用按浙价服[2009]84号《浙江省物价局关于进一步完善工程造价咨询服务收费的通知》文件规定标准由承包人支付。</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94" w:name="_Toc7273506"/>
      <w:r>
        <w:rPr>
          <w:rFonts w:hint="eastAsia" w:ascii="宋体" w:hAnsi="宋体" w:eastAsia="宋体"/>
          <w:color w:val="000000" w:themeColor="text1"/>
          <w:sz w:val="22"/>
          <w:szCs w:val="22"/>
          <w14:textFill>
            <w14:solidFill>
              <w14:schemeClr w14:val="tx1"/>
            </w14:solidFill>
          </w14:textFill>
        </w:rPr>
        <w:t>17.6 最终结清</w:t>
      </w:r>
      <w:bookmarkEnd w:id="94"/>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17.6.1 最终结清申请单</w:t>
      </w:r>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承包人提交的最终结清申请单份数：</w:t>
      </w:r>
      <w:r>
        <w:rPr>
          <w:rFonts w:hint="eastAsia" w:ascii="宋体" w:hAnsi="宋体" w:eastAsia="宋体" w:cs="宋体"/>
          <w:bCs/>
          <w:color w:val="000000" w:themeColor="text1"/>
          <w:sz w:val="22"/>
          <w:szCs w:val="22"/>
          <w14:textFill>
            <w14:solidFill>
              <w14:schemeClr w14:val="tx1"/>
            </w14:solidFill>
          </w14:textFill>
        </w:rPr>
        <w:t>10份。</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18. 竣工试验和竣工验收</w:t>
      </w:r>
      <w:bookmarkEnd w:id="90"/>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95" w:name="_Toc25507566"/>
      <w:r>
        <w:rPr>
          <w:rFonts w:hint="eastAsia" w:ascii="宋体" w:hAnsi="宋体" w:eastAsia="宋体"/>
          <w:color w:val="000000" w:themeColor="text1"/>
          <w:sz w:val="22"/>
          <w:szCs w:val="22"/>
          <w14:textFill>
            <w14:solidFill>
              <w14:schemeClr w14:val="tx1"/>
            </w14:solidFill>
          </w14:textFill>
        </w:rPr>
        <w:t>18.1 竣工试验</w:t>
      </w:r>
      <w:bookmarkEnd w:id="95"/>
      <w:r>
        <w:rPr>
          <w:rFonts w:hint="eastAsia" w:ascii="宋体" w:hAnsi="宋体" w:eastAsia="宋体"/>
          <w:color w:val="000000" w:themeColor="text1"/>
          <w:sz w:val="22"/>
          <w:szCs w:val="22"/>
          <w14:textFill>
            <w14:solidFill>
              <w14:schemeClr w14:val="tx1"/>
            </w14:solidFill>
          </w14:textFill>
        </w:rPr>
        <w:t xml:space="preserve">   </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bookmarkStart w:id="96" w:name="_Toc247527755"/>
      <w:bookmarkStart w:id="97" w:name="_Toc247514154"/>
      <w:bookmarkStart w:id="98" w:name="_Toc25507570"/>
      <w:r>
        <w:rPr>
          <w:rFonts w:hint="eastAsia" w:ascii="宋体" w:hAnsi="宋体" w:eastAsia="宋体"/>
          <w:bCs/>
          <w:color w:val="000000" w:themeColor="text1"/>
          <w:sz w:val="22"/>
          <w:szCs w:val="22"/>
          <w14:textFill>
            <w14:solidFill>
              <w14:schemeClr w14:val="tx1"/>
            </w14:solidFill>
          </w14:textFill>
        </w:rPr>
        <w:t>18.1.1承包人按照第5.5款和第5.6款提交文件后，进行竣工试验。</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18.1.2承包人应提前21天将可以开始进行竣工试验的日期通知监理人，监理人应在该日期后14天内，确定竣工试验具体时间。竣工试验应按下述顺序进行：</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（1）第一阶段，承包人进行适当的检查和功能性试验，保证每一项工程设备都满足合同要求，并能安全地进入下一阶段试验;</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（2）第二阶段，承包人进行试验，保证工程或区段工程满足合同要求，在所有可利用的操作条件下安全运行；</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（3）第三阶段，当工程能安全运行时，承包人应通知监理人及发包人，可以进行其他竣工试验，包括各种性能测试，以证明工程符合发包人要求中列明的性能保证指标。</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18.1.3 承包人应按合同约定进行工程及工程设备试运行。试运行所需人员、设备、材料、燃料、电力、消耗品、工具等必要的条件以及试运行费用等由专用合同条款规定。</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18.1.4 某项竣工试验未能通过的，承包人应按照发包人及监理人的指示限期改正，并承担合同约定的相应责任。</w:t>
      </w:r>
    </w:p>
    <w:bookmarkEnd w:id="96"/>
    <w:bookmarkEnd w:id="97"/>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99" w:name="_Toc7273509"/>
      <w:r>
        <w:rPr>
          <w:rFonts w:hint="eastAsia" w:ascii="宋体" w:hAnsi="宋体" w:eastAsia="宋体"/>
          <w:color w:val="000000" w:themeColor="text1"/>
          <w:sz w:val="22"/>
          <w:szCs w:val="22"/>
          <w14:textFill>
            <w14:solidFill>
              <w14:schemeClr w14:val="tx1"/>
            </w14:solidFill>
          </w14:textFill>
        </w:rPr>
        <w:t>18.2竣工验收申请报告</w:t>
      </w:r>
      <w:bookmarkEnd w:id="99"/>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竣工验收报告的格式、份数和提交时间：在竣工验收后七天内向发包人提供一式柒份。</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完整竣工资料的格式、份数和提交时间：</w:t>
      </w:r>
      <w:r>
        <w:rPr>
          <w:rFonts w:hint="eastAsia" w:ascii="宋体" w:hAnsi="宋体" w:eastAsia="宋体" w:cs="宋体"/>
          <w:bCs/>
          <w:color w:val="000000" w:themeColor="text1"/>
          <w:sz w:val="22"/>
          <w:szCs w:val="22"/>
          <w14:textFill>
            <w14:solidFill>
              <w14:schemeClr w14:val="tx1"/>
            </w14:solidFill>
          </w14:textFill>
        </w:rPr>
        <w:t>在竣工验收前十五天向发包人提供完整的竣工资料一式柒份，报监理人审核确认。竣工图光盘2张。提供工程施工全过程照片（重要工程节点施工过程、涉及工程变更取证、各级领导现场视察、相关部门各种类专项检查过程的记录等），做好影像资料台帐并保证其完备性。</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00" w:name="_Toc7273510"/>
      <w:r>
        <w:rPr>
          <w:rFonts w:hint="eastAsia" w:ascii="宋体" w:hAnsi="宋体" w:eastAsia="宋体"/>
          <w:color w:val="000000" w:themeColor="text1"/>
          <w:sz w:val="22"/>
          <w:szCs w:val="22"/>
          <w14:textFill>
            <w14:solidFill>
              <w14:schemeClr w14:val="tx1"/>
            </w14:solidFill>
          </w14:textFill>
        </w:rPr>
        <w:t>18.9竣工后试验</w:t>
      </w:r>
      <w:bookmarkEnd w:id="100"/>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本工程竣工后试验根据法律法规及相关部门要求进行。</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19. 缺陷责任与保修责任</w:t>
      </w:r>
      <w:bookmarkEnd w:id="98"/>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01" w:name="_Toc25507571"/>
      <w:r>
        <w:rPr>
          <w:rFonts w:hint="eastAsia" w:ascii="宋体" w:hAnsi="宋体" w:eastAsia="宋体"/>
          <w:color w:val="000000" w:themeColor="text1"/>
          <w:sz w:val="22"/>
          <w:szCs w:val="22"/>
          <w14:textFill>
            <w14:solidFill>
              <w14:schemeClr w14:val="tx1"/>
            </w14:solidFill>
          </w14:textFill>
        </w:rPr>
        <w:t>19.1 缺陷责任期的起算时间</w:t>
      </w:r>
      <w:bookmarkEnd w:id="101"/>
    </w:p>
    <w:p>
      <w:pPr>
        <w:adjustRightInd w:val="0"/>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 xml:space="preserve"> </w:t>
      </w:r>
      <w:bookmarkStart w:id="102" w:name="_Toc25507572"/>
      <w:r>
        <w:rPr>
          <w:rFonts w:hint="eastAsia" w:ascii="宋体" w:hAnsi="宋体" w:eastAsia="宋体"/>
          <w:bCs/>
          <w:color w:val="000000" w:themeColor="text1"/>
          <w:sz w:val="22"/>
          <w:szCs w:val="22"/>
          <w14:textFill>
            <w14:solidFill>
              <w14:schemeClr w14:val="tx1"/>
            </w14:solidFill>
          </w14:textFill>
        </w:rPr>
        <w:t>缺陷责任期的具体期限：</w:t>
      </w:r>
      <w:bookmarkEnd w:id="102"/>
      <w:r>
        <w:rPr>
          <w:rFonts w:ascii="宋体" w:hAnsi="宋体" w:eastAsia="宋体"/>
          <w:bCs/>
          <w:color w:val="000000" w:themeColor="text1"/>
          <w:sz w:val="22"/>
          <w:szCs w:val="22"/>
          <w:u w:val="single"/>
          <w14:textFill>
            <w14:solidFill>
              <w14:schemeClr w14:val="tx1"/>
            </w14:solidFill>
          </w14:textFill>
        </w:rPr>
        <w:t>本项目缺陷责任期</w:t>
      </w:r>
      <w:r>
        <w:rPr>
          <w:rFonts w:hint="eastAsia" w:ascii="宋体" w:hAnsi="宋体" w:eastAsia="宋体"/>
          <w:bCs/>
          <w:color w:val="000000" w:themeColor="text1"/>
          <w:sz w:val="22"/>
          <w:szCs w:val="22"/>
          <w:u w:val="single"/>
          <w14:textFill>
            <w14:solidFill>
              <w14:schemeClr w14:val="tx1"/>
            </w14:solidFill>
          </w14:textFill>
        </w:rPr>
        <w:t>2年，</w:t>
      </w:r>
      <w:r>
        <w:rPr>
          <w:rFonts w:ascii="宋体" w:hAnsi="宋体" w:eastAsia="宋体"/>
          <w:bCs/>
          <w:color w:val="000000" w:themeColor="text1"/>
          <w:sz w:val="22"/>
          <w:szCs w:val="22"/>
          <w:u w:val="single"/>
          <w14:textFill>
            <w14:solidFill>
              <w14:schemeClr w14:val="tx1"/>
            </w14:solidFill>
          </w14:textFill>
        </w:rPr>
        <w:t>从</w:t>
      </w:r>
      <w:r>
        <w:rPr>
          <w:rFonts w:hint="eastAsia" w:ascii="宋体" w:hAnsi="宋体" w:eastAsia="宋体"/>
          <w:bCs/>
          <w:color w:val="000000" w:themeColor="text1"/>
          <w:sz w:val="22"/>
          <w:szCs w:val="22"/>
          <w:u w:val="single"/>
          <w14:textFill>
            <w14:solidFill>
              <w14:schemeClr w14:val="tx1"/>
            </w14:solidFill>
          </w14:textFill>
        </w:rPr>
        <w:t>工程竣工验收通过</w:t>
      </w:r>
      <w:r>
        <w:rPr>
          <w:rFonts w:ascii="宋体" w:hAnsi="宋体" w:eastAsia="宋体"/>
          <w:bCs/>
          <w:color w:val="000000" w:themeColor="text1"/>
          <w:sz w:val="22"/>
          <w:szCs w:val="22"/>
          <w:u w:val="single"/>
          <w14:textFill>
            <w14:solidFill>
              <w14:schemeClr w14:val="tx1"/>
            </w14:solidFill>
          </w14:textFill>
        </w:rPr>
        <w:t>之日</w:t>
      </w:r>
      <w:r>
        <w:rPr>
          <w:rFonts w:hint="eastAsia" w:ascii="宋体" w:hAnsi="宋体" w:eastAsia="宋体"/>
          <w:bCs/>
          <w:color w:val="000000" w:themeColor="text1"/>
          <w:sz w:val="22"/>
          <w:szCs w:val="22"/>
          <w:u w:val="single"/>
          <w14:textFill>
            <w14:solidFill>
              <w14:schemeClr w14:val="tx1"/>
            </w14:solidFill>
          </w14:textFill>
        </w:rPr>
        <w:t>起算</w:t>
      </w:r>
      <w:r>
        <w:rPr>
          <w:rFonts w:ascii="宋体" w:hAnsi="宋体" w:eastAsia="宋体"/>
          <w:bCs/>
          <w:color w:val="000000" w:themeColor="text1"/>
          <w:sz w:val="22"/>
          <w:szCs w:val="22"/>
          <w:u w:val="single"/>
          <w14:textFill>
            <w14:solidFill>
              <w14:schemeClr w14:val="tx1"/>
            </w14:solidFill>
          </w14:textFill>
        </w:rPr>
        <w:t>。</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03" w:name="_Toc7273513"/>
      <w:bookmarkStart w:id="104" w:name="_Toc247527768"/>
      <w:bookmarkStart w:id="105" w:name="_Toc509172357"/>
      <w:bookmarkStart w:id="106" w:name="_Toc247514167"/>
      <w:r>
        <w:rPr>
          <w:rFonts w:hint="eastAsia" w:ascii="宋体" w:hAnsi="宋体" w:eastAsia="宋体"/>
          <w:color w:val="000000" w:themeColor="text1"/>
          <w:sz w:val="22"/>
          <w:szCs w:val="22"/>
          <w14:textFill>
            <w14:solidFill>
              <w14:schemeClr w14:val="tx1"/>
            </w14:solidFill>
          </w14:textFill>
        </w:rPr>
        <w:t>19.2 缺陷责任</w:t>
      </w:r>
      <w:bookmarkEnd w:id="103"/>
      <w:bookmarkEnd w:id="104"/>
      <w:bookmarkEnd w:id="105"/>
      <w:bookmarkEnd w:id="106"/>
    </w:p>
    <w:p>
      <w:pPr>
        <w:adjustRightInd w:val="0"/>
        <w:snapToGrid w:val="0"/>
        <w:spacing w:line="320" w:lineRule="exact"/>
        <w:ind w:firstLine="431" w:firstLineChars="196"/>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19.2.5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超过24个月。</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07" w:name="_Toc25507573"/>
      <w:r>
        <w:rPr>
          <w:rFonts w:hint="eastAsia" w:ascii="宋体" w:hAnsi="宋体" w:eastAsia="宋体"/>
          <w:color w:val="000000" w:themeColor="text1"/>
          <w:sz w:val="22"/>
          <w:szCs w:val="22"/>
          <w14:textFill>
            <w14:solidFill>
              <w14:schemeClr w14:val="tx1"/>
            </w14:solidFill>
          </w14:textFill>
        </w:rPr>
        <w:t>19.7 保修责任</w:t>
      </w:r>
      <w:bookmarkEnd w:id="107"/>
    </w:p>
    <w:p>
      <w:pPr>
        <w:snapToGrid w:val="0"/>
        <w:spacing w:line="320" w:lineRule="exact"/>
        <w:ind w:firstLine="440"/>
        <w:rPr>
          <w:rFonts w:ascii="宋体" w:hAnsi="宋体" w:eastAsia="宋体"/>
          <w:bCs/>
          <w:color w:val="000000" w:themeColor="text1"/>
          <w:sz w:val="22"/>
          <w:szCs w:val="22"/>
          <w:u w:val="single"/>
          <w14:textFill>
            <w14:solidFill>
              <w14:schemeClr w14:val="tx1"/>
            </w14:solidFill>
          </w14:textFill>
        </w:rPr>
      </w:pPr>
      <w:bookmarkStart w:id="108" w:name="_Toc25507574"/>
      <w:r>
        <w:rPr>
          <w:rFonts w:hint="eastAsia" w:ascii="宋体" w:hAnsi="宋体" w:eastAsia="宋体"/>
          <w:bCs/>
          <w:color w:val="000000" w:themeColor="text1"/>
          <w:sz w:val="22"/>
          <w:szCs w:val="22"/>
          <w14:textFill>
            <w14:solidFill>
              <w14:schemeClr w14:val="tx1"/>
            </w14:solidFill>
          </w14:textFill>
        </w:rPr>
        <w:t>工程质量保修范围、期限和责任：</w:t>
      </w:r>
      <w:r>
        <w:rPr>
          <w:rFonts w:hint="eastAsia" w:ascii="宋体" w:hAnsi="宋体" w:eastAsia="宋体" w:cs="宋体"/>
          <w:bCs/>
          <w:color w:val="000000" w:themeColor="text1"/>
          <w:sz w:val="22"/>
          <w:szCs w:val="22"/>
          <w:u w:val="single"/>
          <w14:textFill>
            <w14:solidFill>
              <w14:schemeClr w14:val="tx1"/>
            </w14:solidFill>
          </w14:textFill>
        </w:rPr>
        <w:t>合同范围内容的全部内容，期限为：1．地基基础工程和主体结构工程为设计文件规定的工程合理使用年限；2．屋面防水工程、有防水要求的卫生间、房间和外墙面的防渗等所有有防水防渗要求的部位为8年；3．装修工程为2年；4．电气管线、给排水管道、设备安装工程为2年；5．供热与供冷系统为2个采暖期、供冷期；6．其他项目保修期限约定如下：其他材料设备为2年（其他材料设备的铭牌保修期若长于招标要求，则按其铭牌要求执行），除上述外，工程整体保修2年。保修期除发包人要求另有约定外从工程竣工验收通过之日起算。</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在工程移交发包人后，因承包人原因产生的质量缺陷，承包人应承担质量缺陷责任和保修义务。缺陷责任期届满，承包人仍应按合同约定的工程各部位保修年限承担保修义务。</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20. 保险</w:t>
      </w:r>
      <w:bookmarkEnd w:id="108"/>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09" w:name="_Toc25507575"/>
      <w:r>
        <w:rPr>
          <w:rFonts w:hint="eastAsia" w:ascii="宋体" w:hAnsi="宋体" w:eastAsia="宋体"/>
          <w:color w:val="000000" w:themeColor="text1"/>
          <w:sz w:val="22"/>
          <w:szCs w:val="22"/>
          <w14:textFill>
            <w14:solidFill>
              <w14:schemeClr w14:val="tx1"/>
            </w14:solidFill>
          </w14:textFill>
        </w:rPr>
        <w:t>20.1 设计和工程保险</w:t>
      </w:r>
      <w:bookmarkEnd w:id="109"/>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bookmarkStart w:id="110" w:name="_Toc25507578"/>
      <w:r>
        <w:rPr>
          <w:rFonts w:hint="eastAsia" w:ascii="宋体" w:hAnsi="宋体" w:eastAsia="宋体"/>
          <w:bCs/>
          <w:color w:val="000000" w:themeColor="text1"/>
          <w:sz w:val="22"/>
          <w:szCs w:val="22"/>
          <w14:textFill>
            <w14:solidFill>
              <w14:schemeClr w14:val="tx1"/>
            </w14:solidFill>
          </w14:textFill>
        </w:rPr>
        <w:t>20.1.1合同双方商定，由承包人负责投保的保险种类、保险范围、投保金额、保险期限和持续有效的时间：</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保险范围：包括设计、施工设备、进场材料及承包人相关人员和第三者责任险等保险。</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保险期限：开工起直至承包人向发包人移交合格工程前。</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建筑工程一切险的投保方及对投保的相关要求：投保方需发包人同意。</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20.1.2第三者责任险的应投保方及对投保的相关要求：第三者责任险的保险费由承包人报价时列入并支付。</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21. 不可抗力</w:t>
      </w:r>
      <w:bookmarkEnd w:id="110"/>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11" w:name="_Toc25507579"/>
      <w:r>
        <w:rPr>
          <w:rFonts w:hint="eastAsia" w:ascii="宋体" w:hAnsi="宋体" w:eastAsia="宋体"/>
          <w:color w:val="000000" w:themeColor="text1"/>
          <w:sz w:val="22"/>
          <w:szCs w:val="22"/>
          <w14:textFill>
            <w14:solidFill>
              <w14:schemeClr w14:val="tx1"/>
            </w14:solidFill>
          </w14:textFill>
        </w:rPr>
        <w:t>21.1 不可抗力的确认</w:t>
      </w:r>
      <w:bookmarkEnd w:id="111"/>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bookmarkStart w:id="112" w:name="_Toc25507580"/>
      <w:r>
        <w:rPr>
          <w:rFonts w:hint="eastAsia" w:ascii="宋体" w:hAnsi="宋体" w:eastAsia="宋体"/>
          <w:bCs/>
          <w:color w:val="000000" w:themeColor="text1"/>
          <w:sz w:val="22"/>
          <w:szCs w:val="22"/>
          <w14:textFill>
            <w14:solidFill>
              <w14:schemeClr w14:val="tx1"/>
            </w14:solidFill>
          </w14:textFill>
        </w:rPr>
        <w:t>21.1.1双方关于不可抗的约定: 六级以上地震、山洪暴发、战争、十级以上台风及其他属于承包人不能预见、不能避免并不能克服的客观情况。</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21.1.2 不可抗力发生后，发包人和承包人应及时认真统计所造成的损失，收集不可抗力造成损失的证据。合同双方对是否属于不可抗力或其损失的意见不一致的，由监理人按第3.5 款商定或确定。发生争议时，按第24条的约定执行。</w:t>
      </w: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22. 违约</w:t>
      </w:r>
      <w:bookmarkEnd w:id="112"/>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13" w:name="_Toc25507581"/>
      <w:r>
        <w:rPr>
          <w:rFonts w:hint="eastAsia" w:ascii="宋体" w:hAnsi="宋体" w:eastAsia="宋体"/>
          <w:color w:val="000000" w:themeColor="text1"/>
          <w:sz w:val="22"/>
          <w:szCs w:val="22"/>
          <w14:textFill>
            <w14:solidFill>
              <w14:schemeClr w14:val="tx1"/>
            </w14:solidFill>
          </w14:textFill>
        </w:rPr>
        <w:t>22.1 承包人违约</w:t>
      </w:r>
      <w:bookmarkEnd w:id="113"/>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bookmarkStart w:id="114" w:name="_Toc25507582"/>
      <w:r>
        <w:rPr>
          <w:rFonts w:hint="eastAsia" w:ascii="宋体" w:hAnsi="宋体" w:eastAsia="宋体"/>
          <w:bCs/>
          <w:color w:val="000000" w:themeColor="text1"/>
          <w:sz w:val="22"/>
          <w:szCs w:val="22"/>
          <w14:textFill>
            <w14:solidFill>
              <w14:schemeClr w14:val="tx1"/>
            </w14:solidFill>
          </w14:textFill>
        </w:rPr>
        <w:t>22.1.2对承包人违约的处理</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增加以下条款：（4）承包人发生第22.1.1(1）目约定的违约情况时约定承包人违约应承担的违约责任：承包人必须严格按照施工图及工程施工验收规范等精心组织施工，严格把好每道工序的质量关，确保工程竣工验收达到合格等级。经验收，如有不合格工程，承包人应返工、整改、采取相应的补救、修复措施，直至工程竣工验收合格，如无法修复或严重降低工程整体质量，则发包人有权扣除其全额质量履约保证金，处以工程结算总造价的5%的违约金,并足额追偿发包人损失。</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（5）承包人发生第22.1.1(5）目约定的违约情况时约定承包人违约承担的违约责任：工期（包括设计（含前期工作）工期等节点工期），</w:t>
      </w:r>
      <w:r>
        <w:rPr>
          <w:rFonts w:hint="eastAsia" w:ascii="宋体" w:hAnsi="宋体" w:eastAsia="宋体" w:cs="宋体"/>
          <w:bCs/>
          <w:color w:val="000000" w:themeColor="text1"/>
          <w:sz w:val="22"/>
          <w:szCs w:val="22"/>
          <w:u w:val="single"/>
          <w14:textFill>
            <w14:solidFill>
              <w14:schemeClr w14:val="tx1"/>
            </w14:solidFill>
          </w14:textFill>
        </w:rPr>
        <w:t>工期拖延的前1个月每延误一天10000元计算，超过30天后，每延误一天按20000元计算，最高限额为合同价的3%”。</w:t>
      </w:r>
      <w:r>
        <w:rPr>
          <w:rFonts w:hint="eastAsia" w:ascii="宋体" w:hAnsi="宋体" w:eastAsia="宋体"/>
          <w:bCs/>
          <w:color w:val="000000" w:themeColor="text1"/>
          <w:sz w:val="22"/>
          <w:szCs w:val="22"/>
          <w14:textFill>
            <w14:solidFill>
              <w14:schemeClr w14:val="tx1"/>
            </w14:solidFill>
          </w14:textFill>
        </w:rPr>
        <w:t>如因承包人自身原因造成工期严重滞后，又无明显改进措施的，发包人有权要求承包人退场，并承担由此产生的一切损失。</w:t>
      </w:r>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bCs/>
          <w:color w:val="000000" w:themeColor="text1"/>
          <w:sz w:val="22"/>
          <w:szCs w:val="22"/>
          <w14:textFill>
            <w14:solidFill>
              <w14:schemeClr w14:val="tx1"/>
            </w14:solidFill>
          </w14:textFill>
        </w:rPr>
        <w:t>（6）承包人发生第22.1.1(9）目约定的违约情况时约定承包人违约承担的其他违约责任：按有关规定做好文明施工，保证施工场地清洁，符合环境卫生管理要求，承担自身原因造成的损失和罚款。</w:t>
      </w:r>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22.2发包人违约</w:t>
      </w:r>
      <w:bookmarkEnd w:id="114"/>
      <w:r>
        <w:rPr>
          <w:rFonts w:hint="eastAsia" w:ascii="宋体" w:hAnsi="宋体" w:eastAsia="宋体"/>
          <w:color w:val="000000" w:themeColor="text1"/>
          <w:sz w:val="22"/>
          <w:szCs w:val="22"/>
          <w14:textFill>
            <w14:solidFill>
              <w14:schemeClr w14:val="tx1"/>
            </w14:solidFill>
          </w14:textFill>
        </w:rPr>
        <w:t xml:space="preserve">   </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22.2.1 发包人违约的其他情形_____________/______________。</w:t>
      </w:r>
      <w:bookmarkStart w:id="115" w:name="_Toc25507583"/>
    </w:p>
    <w:p>
      <w:pPr>
        <w:ind w:firstLine="440"/>
        <w:rPr>
          <w:rFonts w:ascii="宋体" w:hAnsi="宋体" w:eastAsia="宋体"/>
          <w:color w:val="000000" w:themeColor="text1"/>
          <w:sz w:val="22"/>
          <w:szCs w:val="22"/>
          <w14:textFill>
            <w14:solidFill>
              <w14:schemeClr w14:val="tx1"/>
            </w14:solidFill>
          </w14:textFill>
        </w:rPr>
      </w:pPr>
    </w:p>
    <w:p>
      <w:pPr>
        <w:pStyle w:val="4"/>
        <w:spacing w:before="0" w:after="0" w:line="240" w:lineRule="auto"/>
        <w:ind w:firstLine="442"/>
        <w:rPr>
          <w:rFonts w:ascii="宋体" w:hAnsi="宋体" w:eastAsia="宋体"/>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24. 争议的解决</w:t>
      </w:r>
      <w:bookmarkEnd w:id="115"/>
    </w:p>
    <w:p>
      <w:pPr>
        <w:pStyle w:val="5"/>
        <w:spacing w:before="0" w:after="0" w:line="240" w:lineRule="auto"/>
        <w:ind w:firstLine="442"/>
        <w:rPr>
          <w:rFonts w:ascii="宋体" w:hAnsi="宋体" w:eastAsia="宋体"/>
          <w:color w:val="000000" w:themeColor="text1"/>
          <w:sz w:val="22"/>
          <w:szCs w:val="22"/>
          <w14:textFill>
            <w14:solidFill>
              <w14:schemeClr w14:val="tx1"/>
            </w14:solidFill>
          </w14:textFill>
        </w:rPr>
      </w:pPr>
      <w:bookmarkStart w:id="116" w:name="_Toc25507584"/>
      <w:r>
        <w:rPr>
          <w:rFonts w:hint="eastAsia" w:ascii="宋体" w:hAnsi="宋体" w:eastAsia="宋体"/>
          <w:color w:val="000000" w:themeColor="text1"/>
          <w:sz w:val="22"/>
          <w:szCs w:val="22"/>
          <w14:textFill>
            <w14:solidFill>
              <w14:schemeClr w14:val="tx1"/>
            </w14:solidFill>
          </w14:textFill>
        </w:rPr>
        <w:t>24.1 争议的解决方式</w:t>
      </w:r>
      <w:bookmarkEnd w:id="116"/>
    </w:p>
    <w:p>
      <w:pPr>
        <w:spacing w:line="320" w:lineRule="exact"/>
        <w:ind w:firstLine="440"/>
        <w:rPr>
          <w:rFonts w:ascii="宋体" w:hAnsi="宋体" w:eastAsia="宋体"/>
          <w:bCs/>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发包人和承包人在履行合同中发生争议的，可以友好协商解决或者提请争议评审组评审。合同当事人友好协商解决不成、不愿提请争议评审或者不接受争议评审组意见的，</w:t>
      </w:r>
      <w:bookmarkStart w:id="117" w:name="_Toc25507585"/>
      <w:r>
        <w:rPr>
          <w:rFonts w:hint="eastAsia" w:ascii="宋体" w:hAnsi="宋体" w:eastAsia="宋体"/>
          <w:bCs/>
          <w:color w:val="000000" w:themeColor="text1"/>
          <w:sz w:val="22"/>
          <w:szCs w:val="22"/>
          <w14:textFill>
            <w14:solidFill>
              <w14:schemeClr w14:val="tx1"/>
            </w14:solidFill>
          </w14:textFill>
        </w:rPr>
        <w:t>则</w:t>
      </w:r>
      <w:r>
        <w:rPr>
          <w:rFonts w:ascii="宋体" w:hAnsi="宋体" w:eastAsia="宋体"/>
          <w:bCs/>
          <w:color w:val="000000" w:themeColor="text1"/>
          <w:sz w:val="22"/>
          <w:szCs w:val="22"/>
          <w14:textFill>
            <w14:solidFill>
              <w14:schemeClr w14:val="tx1"/>
            </w14:solidFill>
          </w14:textFill>
        </w:rPr>
        <w:t>任一方可将该争议</w:t>
      </w:r>
      <w:r>
        <w:rPr>
          <w:rFonts w:hint="eastAsia" w:ascii="宋体" w:hAnsi="宋体" w:eastAsia="宋体"/>
          <w:bCs/>
          <w:color w:val="000000" w:themeColor="text1"/>
          <w:sz w:val="22"/>
          <w:szCs w:val="22"/>
          <w14:textFill>
            <w14:solidFill>
              <w14:schemeClr w14:val="tx1"/>
            </w14:solidFill>
          </w14:textFill>
        </w:rPr>
        <w:t>向</w:t>
      </w:r>
      <w:r>
        <w:rPr>
          <w:rFonts w:hint="eastAsia" w:ascii="宋体" w:hAnsi="宋体" w:eastAsia="宋体"/>
          <w:bCs/>
          <w:color w:val="000000" w:themeColor="text1"/>
          <w:sz w:val="22"/>
          <w:szCs w:val="22"/>
          <w:u w:val="single"/>
          <w14:textFill>
            <w14:solidFill>
              <w14:schemeClr w14:val="tx1"/>
            </w14:solidFill>
          </w14:textFill>
        </w:rPr>
        <w:t>工程所在地人民法院</w:t>
      </w:r>
      <w:r>
        <w:rPr>
          <w:rFonts w:hint="eastAsia" w:ascii="宋体" w:hAnsi="宋体" w:eastAsia="宋体"/>
          <w:bCs/>
          <w:color w:val="000000" w:themeColor="text1"/>
          <w:sz w:val="22"/>
          <w:szCs w:val="22"/>
          <w14:textFill>
            <w14:solidFill>
              <w14:schemeClr w14:val="tx1"/>
            </w14:solidFill>
          </w14:textFill>
        </w:rPr>
        <w:t>提起诉讼</w:t>
      </w:r>
      <w:r>
        <w:rPr>
          <w:rFonts w:ascii="宋体" w:hAnsi="宋体" w:eastAsia="宋体"/>
          <w:bCs/>
          <w:color w:val="000000" w:themeColor="text1"/>
          <w:sz w:val="22"/>
          <w:szCs w:val="22"/>
          <w14:textFill>
            <w14:solidFill>
              <w14:schemeClr w14:val="tx1"/>
            </w14:solidFill>
          </w14:textFill>
        </w:rPr>
        <w:t>。</w:t>
      </w:r>
    </w:p>
    <w:p>
      <w:pPr>
        <w:snapToGrid w:val="0"/>
        <w:spacing w:line="320" w:lineRule="exact"/>
        <w:ind w:firstLine="440"/>
        <w:rPr>
          <w:rFonts w:ascii="宋体" w:hAnsi="宋体" w:eastAsia="宋体"/>
          <w:bCs/>
          <w:color w:val="000000" w:themeColor="text1"/>
          <w:sz w:val="22"/>
          <w:szCs w:val="22"/>
          <w14:textFill>
            <w14:solidFill>
              <w14:schemeClr w14:val="tx1"/>
            </w14:solidFill>
          </w14:textFill>
        </w:rPr>
      </w:pPr>
      <w:r>
        <w:rPr>
          <w:rFonts w:ascii="宋体" w:hAnsi="宋体" w:eastAsia="宋体"/>
          <w:bCs/>
          <w:color w:val="000000" w:themeColor="text1"/>
          <w:sz w:val="22"/>
          <w:szCs w:val="22"/>
          <w14:textFill>
            <w14:solidFill>
              <w14:schemeClr w14:val="tx1"/>
            </w14:solidFill>
          </w14:textFill>
        </w:rPr>
        <w:t>在争议解决期间，双方应在不影响本项目</w:t>
      </w:r>
      <w:r>
        <w:rPr>
          <w:rFonts w:hint="eastAsia" w:ascii="宋体" w:hAnsi="宋体" w:eastAsia="宋体"/>
          <w:bCs/>
          <w:color w:val="000000" w:themeColor="text1"/>
          <w:sz w:val="22"/>
          <w:szCs w:val="22"/>
          <w14:textFill>
            <w14:solidFill>
              <w14:schemeClr w14:val="tx1"/>
            </w14:solidFill>
          </w14:textFill>
        </w:rPr>
        <w:t>工程</w:t>
      </w:r>
      <w:r>
        <w:rPr>
          <w:rFonts w:ascii="宋体" w:hAnsi="宋体" w:eastAsia="宋体"/>
          <w:bCs/>
          <w:color w:val="000000" w:themeColor="text1"/>
          <w:sz w:val="22"/>
          <w:szCs w:val="22"/>
          <w14:textFill>
            <w14:solidFill>
              <w14:schemeClr w14:val="tx1"/>
            </w14:solidFill>
          </w14:textFill>
        </w:rPr>
        <w:t>进度的情况下继续履行合同。</w:t>
      </w:r>
    </w:p>
    <w:bookmarkEnd w:id="117"/>
    <w:p>
      <w:pPr>
        <w:pStyle w:val="5"/>
        <w:spacing w:before="0" w:after="0" w:line="320" w:lineRule="exact"/>
        <w:ind w:firstLine="442"/>
        <w:rPr>
          <w:rFonts w:ascii="宋体" w:hAnsi="宋体" w:eastAsia="宋体"/>
          <w:color w:val="000000" w:themeColor="text1"/>
          <w:sz w:val="22"/>
          <w:szCs w:val="22"/>
          <w14:textFill>
            <w14:solidFill>
              <w14:schemeClr w14:val="tx1"/>
            </w14:solidFill>
          </w14:textFill>
        </w:rPr>
      </w:pPr>
      <w:bookmarkStart w:id="118" w:name="_Toc7273523"/>
      <w:r>
        <w:rPr>
          <w:rFonts w:hint="eastAsia" w:ascii="宋体" w:hAnsi="宋体" w:eastAsia="宋体"/>
          <w:color w:val="000000" w:themeColor="text1"/>
          <w:sz w:val="22"/>
          <w:szCs w:val="22"/>
          <w14:textFill>
            <w14:solidFill>
              <w14:schemeClr w14:val="tx1"/>
            </w14:solidFill>
          </w14:textFill>
        </w:rPr>
        <w:t>25. 补充条款</w:t>
      </w:r>
      <w:bookmarkEnd w:id="118"/>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 为做好工程建设中的党风廉政建设，保证工程建设高效优质，保证建设资金的安全有效使用及投资效益，发包人与承包人在签订工程合同的同时必须签订《廉政合同》《工程质量保修书》《安全生产文明施工协议书》。《廉政合同》《工程质量保修书》《安全生产文明施工协议书》作为施工合同协议书的附件，与工程施工合同协议书等具有同等的法律效力，经合同双方签字立即生效，双方务必认真执行。</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25.3 乙方不得以任何理由拒绝甲方要求的工程量的增减及工作内容的变更。</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25.4 乙方不得随意提出材料品种和规格的变更，除非经发包人同意，不得以采购困难等理由延误工期，否则甲方有权自行组织采购。</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25.5除合同约定的指定分包项目外，本工程不得非法分包和转包。一经发现，甲方有权解除合同并由乙方承担由此造成的一切损失。</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25.6 已有管线、设备、建筑物保护工作由承包人负责，否则造成的损失由承包人承担。</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25.7 所有工程联系单必须统一编号，一式四份，上报监理人、有关部门审核后由业主确定。</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25.8 工程竣工验收以后，资料必须交付温州城建档案馆备案后才予以支付工程审计尾款。</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25.9 现场原材料进场前，须办理相关手续，经监理人及业主方认可后方可组织材料进场。</w:t>
      </w:r>
    </w:p>
    <w:p>
      <w:pPr>
        <w:snapToGrid w:val="0"/>
        <w:spacing w:line="320" w:lineRule="exact"/>
        <w:ind w:firstLine="442"/>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25.10承包人承诺的施工现场项目部技术经济管理人员必须按投标承诺名单及时到位，项目总负责人和施工负责人到位率不足50%的，发包人有权中止合同，没收全部履约保证金，同时承包人赔偿发包人由此造成的损失。</w:t>
      </w:r>
      <w:r>
        <w:rPr>
          <w:rFonts w:hint="eastAsia" w:ascii="宋体" w:hAnsi="宋体" w:eastAsia="宋体" w:cs="宋体"/>
          <w:bCs/>
          <w:color w:val="000000" w:themeColor="text1"/>
          <w:sz w:val="22"/>
          <w:szCs w:val="22"/>
          <w14:textFill>
            <w14:solidFill>
              <w14:schemeClr w14:val="tx1"/>
            </w14:solidFill>
          </w14:textFill>
        </w:rPr>
        <w:t>若因特殊情况或实际需要必须调换者，承包人必须事先向发包人提供以下材料并取得发包人的书面批准以后，才能派替换的人员进场：</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a、书面请示报告；</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b、替换人的技术职称证书、岗位证书、身份证（验证原件，提供复印件）及其工作经历与业绩等有关证明材料。</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25.11未经发包人同意，承包人擅自更换人员时，将被视为承包人违约，发包人将按上述相关收取违约金，在当期工程款支付中扣除，情节严重的，发包人将同时没收部分或全部履约担保，直至单方面中止本承包合同。如现场人员不服从业主、监理人人员的管理，业主和监理人有权要求更换该人员。</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承包人派驻本项目的现场负责人以及各主要管理人员必须具有在承包人单位缴纳社保，并提供社保证明材料原件。否则视为承包人违规转包，发包人将向住建局举报，并中止合同和没收履约担保。由此造成的所有责任均由承包人承担。</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25.12在工程总承包合同签订生效后15天内，承包人应根据招标文件要求和投标文件承诺将项目组人员配备情况上报发包人和监理人，经确认后执行。</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25.13本项目由承包人实行设计施工工程总承包，若确需另择设计（或施工）单位进行专项（或专业承包）工程设计（或施工）的，由承包人负责将其专项（专业承包）工程设计（施工）分包给具备相应的专项（专业承包）设计（施工）资质等级的单位，分包单位的选择须经过发包人审核同意。</w:t>
      </w:r>
    </w:p>
    <w:p>
      <w:pPr>
        <w:snapToGrid w:val="0"/>
        <w:spacing w:line="32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25.14 为便于合同执行，未经双方确认，农民工工资暂按建筑安装工程费的20%计算。</w:t>
      </w:r>
    </w:p>
    <w:p>
      <w:pPr>
        <w:ind w:firstLine="440"/>
        <w:rPr>
          <w:rFonts w:ascii="宋体" w:hAnsi="宋体" w:eastAsia="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25.15 如评标委员会在评标时未发现承包人投标文件中存在未完全响应招标文件要求的，承包人应按发包人的要求修改至符合招标文件要求，费用不予调整。</w:t>
      </w: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ascii="Cambria" w:hAnsi="font-weight : 400" w:eastAsia="Times New Roman" w:cs="Times New Roman"/>
          <w:color w:val="000000" w:themeColor="text1"/>
          <w:sz w:val="44"/>
          <w:szCs w:val="44"/>
          <w14:textFill>
            <w14:solidFill>
              <w14:schemeClr w14:val="tx1"/>
            </w14:solidFill>
          </w14:textFill>
        </w:rPr>
      </w:pPr>
    </w:p>
    <w:p>
      <w:pPr>
        <w:pStyle w:val="4"/>
        <w:spacing w:before="0" w:after="0" w:line="580" w:lineRule="exact"/>
        <w:ind w:firstLine="883"/>
        <w:contextualSpacing/>
        <w:jc w:val="center"/>
        <w:rPr>
          <w:rFonts w:cs="Times New Roman" w:asciiTheme="minorEastAsia" w:hAnsiTheme="minorEastAsia" w:eastAsiaTheme="minorEastAsia"/>
          <w:bCs w:val="0"/>
          <w:color w:val="000000" w:themeColor="text1"/>
          <w:sz w:val="28"/>
          <w:szCs w:val="28"/>
          <w14:textFill>
            <w14:solidFill>
              <w14:schemeClr w14:val="tx1"/>
            </w14:solidFill>
          </w14:textFill>
        </w:rPr>
      </w:pPr>
      <w:r>
        <w:rPr>
          <w:rFonts w:ascii="Cambria" w:hAnsi="font-weight : 400" w:eastAsia="Times New Roman" w:cs="Times New Roman"/>
          <w:color w:val="000000" w:themeColor="text1"/>
          <w:sz w:val="44"/>
          <w:szCs w:val="44"/>
          <w14:textFill>
            <w14:solidFill>
              <w14:schemeClr w14:val="tx1"/>
            </w14:solidFill>
          </w14:textFill>
        </w:rPr>
        <w:t>第三节</w:t>
      </w:r>
      <w:r>
        <w:rPr>
          <w:rFonts w:ascii="Cambria" w:hAnsi="font-weight : 400" w:eastAsia="Times New Roman" w:cs="Cambria"/>
          <w:color w:val="000000" w:themeColor="text1"/>
          <w:sz w:val="44"/>
          <w:szCs w:val="44"/>
          <w14:textFill>
            <w14:solidFill>
              <w14:schemeClr w14:val="tx1"/>
            </w14:solidFill>
          </w14:textFill>
        </w:rPr>
        <w:t xml:space="preserve"> </w:t>
      </w:r>
      <w:r>
        <w:rPr>
          <w:rFonts w:ascii="Cambria" w:hAnsi="font-weight : 400" w:eastAsia="Times New Roman" w:cs="Times New Roman"/>
          <w:color w:val="000000" w:themeColor="text1"/>
          <w:sz w:val="44"/>
          <w:szCs w:val="44"/>
          <w14:textFill>
            <w14:solidFill>
              <w14:schemeClr w14:val="tx1"/>
            </w14:solidFill>
          </w14:textFill>
        </w:rPr>
        <w:t>合同附件格式</w:t>
      </w:r>
      <w:bookmarkEnd w:id="12"/>
      <w:bookmarkEnd w:id="13"/>
      <w:bookmarkEnd w:id="14"/>
      <w:r>
        <w:rPr>
          <w:rFonts w:ascii="Cambria" w:hAnsi="Cambria" w:eastAsia="Times New Roman" w:cs="Times New Roman"/>
          <w:b w:val="0"/>
          <w:bCs w:val="0"/>
          <w:color w:val="000000" w:themeColor="text1"/>
          <w:sz w:val="21"/>
          <w:szCs w:val="21"/>
          <w14:textFill>
            <w14:solidFill>
              <w14:schemeClr w14:val="tx1"/>
            </w14:solidFill>
          </w14:textFill>
        </w:rPr>
        <w:br w:type="page"/>
      </w:r>
      <w:bookmarkStart w:id="119" w:name="_Toc152042547"/>
      <w:bookmarkStart w:id="120" w:name="_Toc152045768"/>
      <w:bookmarkStart w:id="121" w:name="_Toc519674472"/>
      <w:bookmarkStart w:id="122" w:name="_Toc144974827"/>
      <w:bookmarkStart w:id="123" w:name="_Toc247527800"/>
      <w:bookmarkStart w:id="124" w:name="_Toc247514199"/>
      <w:r>
        <w:rPr>
          <w:rFonts w:hint="eastAsia" w:cs="宋体" w:asciiTheme="minorEastAsia" w:hAnsiTheme="minorEastAsia" w:eastAsiaTheme="minorEastAsia"/>
          <w:bCs w:val="0"/>
          <w:color w:val="000000" w:themeColor="text1"/>
          <w:sz w:val="28"/>
          <w:szCs w:val="28"/>
          <w14:textFill>
            <w14:solidFill>
              <w14:schemeClr w14:val="tx1"/>
            </w14:solidFill>
          </w14:textFill>
        </w:rPr>
        <w:t>附件一：合同协议书</w:t>
      </w:r>
      <w:bookmarkEnd w:id="15"/>
      <w:bookmarkEnd w:id="119"/>
      <w:bookmarkEnd w:id="120"/>
      <w:bookmarkEnd w:id="121"/>
      <w:bookmarkEnd w:id="122"/>
      <w:bookmarkEnd w:id="123"/>
      <w:bookmarkEnd w:id="124"/>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bookmarkStart w:id="125" w:name="_Toc144974831"/>
      <w:r>
        <w:rPr>
          <w:rFonts w:hint="eastAsia" w:cs="宋体" w:asciiTheme="minorEastAsia" w:hAnsiTheme="minorEastAsia" w:eastAsiaTheme="minorEastAsia"/>
          <w:color w:val="000000" w:themeColor="text1"/>
          <w:sz w:val="22"/>
          <w:szCs w:val="22"/>
          <w14:textFill>
            <w14:solidFill>
              <w14:schemeClr w14:val="tx1"/>
            </w14:solidFill>
          </w14:textFill>
        </w:rPr>
        <w:t>发包人（全称）：</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承包人（全称）：</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u w:val="single"/>
          <w14:textFill>
            <w14:solidFill>
              <w14:schemeClr w14:val="tx1"/>
            </w14:solidFill>
          </w14:textFill>
        </w:rPr>
        <w:t>（牵头方）</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根据《中华人民共和国合同法》、《中华人民共和国建筑法》及有关法律规定，遵循平等、自愿、公平和诚实信用的原则，双方就工程设计、采购、施工总承包及有关事项协商一致，共同达成如下协议：</w:t>
      </w:r>
      <w:bookmarkStart w:id="126" w:name="_Toc351203481"/>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一、工程概况</w:t>
      </w:r>
      <w:bookmarkEnd w:id="126"/>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工程名称：</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工程地点：</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工程立项批准文号：</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资金来源：</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工程内容：</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工程承包范围：</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27" w:name="_Toc351203482"/>
      <w:r>
        <w:rPr>
          <w:rFonts w:hint="eastAsia" w:cs="宋体" w:asciiTheme="minorEastAsia" w:hAnsiTheme="minorEastAsia" w:eastAsiaTheme="minorEastAsia"/>
          <w:color w:val="000000" w:themeColor="text1"/>
          <w:sz w:val="22"/>
          <w:szCs w:val="22"/>
          <w14:textFill>
            <w14:solidFill>
              <w14:schemeClr w14:val="tx1"/>
            </w14:solidFill>
          </w14:textFill>
        </w:rPr>
        <w:t>二、合同工期</w:t>
      </w:r>
      <w:bookmarkEnd w:id="127"/>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承包人计划开始工作日期：，实际开始工作日期按照监理人开始工作通知中载明的开始工作日期为准。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工期总日历天数：</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天。其中设计（含前期工作）工期：日历天，施工工期：日历天。</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28" w:name="_Toc351203483"/>
      <w:r>
        <w:rPr>
          <w:rFonts w:hint="eastAsia" w:cs="宋体" w:asciiTheme="minorEastAsia" w:hAnsiTheme="minorEastAsia" w:eastAsiaTheme="minorEastAsia"/>
          <w:color w:val="000000" w:themeColor="text1"/>
          <w:sz w:val="22"/>
          <w:szCs w:val="22"/>
          <w14:textFill>
            <w14:solidFill>
              <w14:schemeClr w14:val="tx1"/>
            </w14:solidFill>
          </w14:textFill>
        </w:rPr>
        <w:t>三、质量标准</w:t>
      </w:r>
      <w:bookmarkEnd w:id="128"/>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工程质量符合</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标准。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29" w:name="_Toc351203484"/>
      <w:r>
        <w:rPr>
          <w:rFonts w:hint="eastAsia" w:cs="宋体" w:asciiTheme="minorEastAsia" w:hAnsiTheme="minorEastAsia" w:eastAsiaTheme="minorEastAsia"/>
          <w:color w:val="000000" w:themeColor="text1"/>
          <w:sz w:val="22"/>
          <w:szCs w:val="22"/>
          <w14:textFill>
            <w14:solidFill>
              <w14:schemeClr w14:val="tx1"/>
            </w14:solidFill>
          </w14:textFill>
        </w:rPr>
        <w:t>四、签约合同价与合同价格形式</w:t>
      </w:r>
      <w:bookmarkEnd w:id="129"/>
      <w:r>
        <w:rPr>
          <w:rFonts w:cs="Times New Roman" w:asciiTheme="minorEastAsia" w:hAnsiTheme="minorEastAsia" w:eastAsiaTheme="minorEastAsia"/>
          <w:color w:val="000000" w:themeColor="text1"/>
          <w:sz w:val="22"/>
          <w:szCs w:val="22"/>
          <w14:textFill>
            <w14:solidFill>
              <w14:schemeClr w14:val="tx1"/>
            </w14:solidFill>
          </w14:textFill>
        </w:rPr>
        <w:tab/>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签约合同价为：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人民币（大写）</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元</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其中：</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）勘察设计费：</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人民币（大写）</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元</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）设备购置费：</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人民币（大写）</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元</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）建筑安装工程费：</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人民币（大写）</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元</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合同价格形式：</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0" w:name="_Toc351203485"/>
      <w:r>
        <w:rPr>
          <w:rFonts w:hint="eastAsia" w:cs="宋体" w:asciiTheme="minorEastAsia" w:hAnsiTheme="minorEastAsia" w:eastAsiaTheme="minorEastAsia"/>
          <w:color w:val="000000" w:themeColor="text1"/>
          <w:sz w:val="22"/>
          <w:szCs w:val="22"/>
          <w14:textFill>
            <w14:solidFill>
              <w14:schemeClr w14:val="tx1"/>
            </w14:solidFill>
          </w14:textFill>
        </w:rPr>
        <w:t>五、</w:t>
      </w:r>
      <w:bookmarkEnd w:id="130"/>
      <w:r>
        <w:rPr>
          <w:rFonts w:hint="eastAsia" w:cs="宋体" w:asciiTheme="minorEastAsia" w:hAnsiTheme="minorEastAsia" w:eastAsiaTheme="minorEastAsia"/>
          <w:color w:val="000000" w:themeColor="text1"/>
          <w:sz w:val="22"/>
          <w:szCs w:val="22"/>
          <w14:textFill>
            <w14:solidFill>
              <w14:schemeClr w14:val="tx1"/>
            </w14:solidFill>
          </w14:textFill>
        </w:rPr>
        <w:t>项目总负责人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承包人项目总负责人</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；设计负责人；施工负责人：。</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1" w:name="_Toc351203486"/>
      <w:r>
        <w:rPr>
          <w:rFonts w:hint="eastAsia" w:cs="宋体" w:asciiTheme="minorEastAsia" w:hAnsiTheme="minorEastAsia" w:eastAsiaTheme="minorEastAsia"/>
          <w:color w:val="000000" w:themeColor="text1"/>
          <w:sz w:val="22"/>
          <w:szCs w:val="22"/>
          <w14:textFill>
            <w14:solidFill>
              <w14:schemeClr w14:val="tx1"/>
            </w14:solidFill>
          </w14:textFill>
        </w:rPr>
        <w:t>六、合同文件构成</w:t>
      </w:r>
      <w:bookmarkEnd w:id="131"/>
    </w:p>
    <w:p>
      <w:pPr>
        <w:spacing w:line="360" w:lineRule="auto"/>
        <w:ind w:firstLine="330" w:firstLineChars="15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本协议书与下列文件一起构成合同文件：</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中标通知书；</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投标函及投标函附录；</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专用合同条款；</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通用合同条款；</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发包人要求；</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价格清单；</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(7)</w:t>
      </w:r>
      <w:r>
        <w:rPr>
          <w:rFonts w:hint="eastAsia" w:cs="宋体" w:asciiTheme="minorEastAsia" w:hAnsiTheme="minorEastAsia" w:eastAsiaTheme="minorEastAsia"/>
          <w:color w:val="000000" w:themeColor="text1"/>
          <w:sz w:val="22"/>
          <w:szCs w:val="22"/>
          <w14:textFill>
            <w14:solidFill>
              <w14:schemeClr w14:val="tx1"/>
            </w14:solidFill>
          </w14:textFill>
        </w:rPr>
        <w:t>承包人建议；</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(8)</w:t>
      </w:r>
      <w:r>
        <w:rPr>
          <w:rFonts w:hint="eastAsia" w:cs="宋体" w:asciiTheme="minorEastAsia" w:hAnsiTheme="minorEastAsia" w:eastAsiaTheme="minorEastAsia"/>
          <w:color w:val="000000" w:themeColor="text1"/>
          <w:sz w:val="22"/>
          <w:szCs w:val="22"/>
          <w14:textFill>
            <w14:solidFill>
              <w14:schemeClr w14:val="tx1"/>
            </w14:solidFill>
          </w14:textFill>
        </w:rPr>
        <w:t>其他合同文件。</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在合同订立及履行过程中形成的与合同有关的文件均构成合同文件组成部分。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上述各项合同文件包括合同当事人就该项合同文件所作出的补充和修改，属于同一类内容的文件，应以最新签署的为准。专用合同条款及其附件须经合同当事人签字或盖章。</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2" w:name="_Toc351203487"/>
      <w:r>
        <w:rPr>
          <w:rFonts w:hint="eastAsia" w:cs="宋体" w:asciiTheme="minorEastAsia" w:hAnsiTheme="minorEastAsia" w:eastAsiaTheme="minorEastAsia"/>
          <w:color w:val="000000" w:themeColor="text1"/>
          <w:sz w:val="22"/>
          <w:szCs w:val="22"/>
          <w14:textFill>
            <w14:solidFill>
              <w14:schemeClr w14:val="tx1"/>
            </w14:solidFill>
          </w14:textFill>
        </w:rPr>
        <w:t>七、承诺</w:t>
      </w:r>
      <w:bookmarkEnd w:id="132"/>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发包人承诺按合同约定的条件、时间和方式向承包人支付合同价款。</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承包人承诺按合同约定承担工程的设计实施、竣工及缺陷修复。</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3" w:name="_Toc351203488"/>
      <w:r>
        <w:rPr>
          <w:rFonts w:hint="eastAsia" w:cs="宋体" w:asciiTheme="minorEastAsia" w:hAnsiTheme="minorEastAsia" w:eastAsiaTheme="minorEastAsia"/>
          <w:color w:val="000000" w:themeColor="text1"/>
          <w:sz w:val="22"/>
          <w:szCs w:val="22"/>
          <w14:textFill>
            <w14:solidFill>
              <w14:schemeClr w14:val="tx1"/>
            </w14:solidFill>
          </w14:textFill>
        </w:rPr>
        <w:t>八、词语含义</w:t>
      </w:r>
      <w:bookmarkEnd w:id="133"/>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本协议书中词语含义与第二部分通用合同条款中赋予的含义相同。</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4" w:name="_Toc351203489"/>
      <w:r>
        <w:rPr>
          <w:rFonts w:hint="eastAsia" w:cs="宋体" w:asciiTheme="minorEastAsia" w:hAnsiTheme="minorEastAsia" w:eastAsiaTheme="minorEastAsia"/>
          <w:color w:val="000000" w:themeColor="text1"/>
          <w:sz w:val="22"/>
          <w:szCs w:val="22"/>
          <w14:textFill>
            <w14:solidFill>
              <w14:schemeClr w14:val="tx1"/>
            </w14:solidFill>
          </w14:textFill>
        </w:rPr>
        <w:t>九、签订时间</w:t>
      </w:r>
      <w:bookmarkEnd w:id="134"/>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本合同于年月日签订。</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5" w:name="_Toc351203490"/>
      <w:r>
        <w:rPr>
          <w:rFonts w:hint="eastAsia" w:cs="宋体" w:asciiTheme="minorEastAsia" w:hAnsiTheme="minorEastAsia" w:eastAsiaTheme="minorEastAsia"/>
          <w:color w:val="000000" w:themeColor="text1"/>
          <w:sz w:val="22"/>
          <w:szCs w:val="22"/>
          <w14:textFill>
            <w14:solidFill>
              <w14:schemeClr w14:val="tx1"/>
            </w14:solidFill>
          </w14:textFill>
        </w:rPr>
        <w:t>十、签订地点</w:t>
      </w:r>
      <w:bookmarkEnd w:id="135"/>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本合同在签订。</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6" w:name="_Toc351203491"/>
      <w:r>
        <w:rPr>
          <w:rFonts w:hint="eastAsia" w:cs="宋体" w:asciiTheme="minorEastAsia" w:hAnsiTheme="minorEastAsia" w:eastAsiaTheme="minorEastAsia"/>
          <w:color w:val="000000" w:themeColor="text1"/>
          <w:sz w:val="22"/>
          <w:szCs w:val="22"/>
          <w14:textFill>
            <w14:solidFill>
              <w14:schemeClr w14:val="tx1"/>
            </w14:solidFill>
          </w14:textFill>
        </w:rPr>
        <w:t>十一、补充协议</w:t>
      </w:r>
      <w:bookmarkEnd w:id="136"/>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合同未尽事宜，合同当事人另行签订补充协议，补充协议是合同的组成部分。</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7" w:name="_Toc351203492"/>
      <w:r>
        <w:rPr>
          <w:rFonts w:hint="eastAsia" w:cs="宋体" w:asciiTheme="minorEastAsia" w:hAnsiTheme="minorEastAsia" w:eastAsiaTheme="minorEastAsia"/>
          <w:color w:val="000000" w:themeColor="text1"/>
          <w:sz w:val="22"/>
          <w:szCs w:val="22"/>
          <w14:textFill>
            <w14:solidFill>
              <w14:schemeClr w14:val="tx1"/>
            </w14:solidFill>
          </w14:textFill>
        </w:rPr>
        <w:t>十二、合同生效</w:t>
      </w:r>
      <w:bookmarkEnd w:id="137"/>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本合同自</w:t>
      </w:r>
      <w:r>
        <w:rPr>
          <w:rFonts w:hint="eastAsia" w:cs="宋体" w:asciiTheme="minorEastAsia" w:hAnsiTheme="minorEastAsia" w:eastAsiaTheme="minorEastAsia"/>
          <w:color w:val="000000" w:themeColor="text1"/>
          <w:sz w:val="22"/>
          <w:szCs w:val="22"/>
          <w:u w:val="single"/>
          <w14:textFill>
            <w14:solidFill>
              <w14:schemeClr w14:val="tx1"/>
            </w14:solidFill>
          </w14:textFill>
        </w:rPr>
        <w:t>双方签字并盖章</w:t>
      </w:r>
      <w:r>
        <w:rPr>
          <w:rFonts w:hint="eastAsia" w:cs="宋体" w:asciiTheme="minorEastAsia" w:hAnsiTheme="minorEastAsia" w:eastAsiaTheme="minorEastAsia"/>
          <w:color w:val="000000" w:themeColor="text1"/>
          <w:sz w:val="22"/>
          <w:szCs w:val="22"/>
          <w14:textFill>
            <w14:solidFill>
              <w14:schemeClr w14:val="tx1"/>
            </w14:solidFill>
          </w14:textFill>
        </w:rPr>
        <w:t>后生效。</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bookmarkStart w:id="138" w:name="_Toc351203493"/>
      <w:r>
        <w:rPr>
          <w:rFonts w:hint="eastAsia" w:cs="宋体" w:asciiTheme="minorEastAsia" w:hAnsiTheme="minorEastAsia" w:eastAsiaTheme="minorEastAsia"/>
          <w:color w:val="000000" w:themeColor="text1"/>
          <w:sz w:val="22"/>
          <w:szCs w:val="22"/>
          <w14:textFill>
            <w14:solidFill>
              <w14:schemeClr w14:val="tx1"/>
            </w14:solidFill>
          </w14:textFill>
        </w:rPr>
        <w:t>十三、合同份数</w:t>
      </w:r>
      <w:bookmarkEnd w:id="138"/>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本合同一式     份，均具有同等法律效力，发包人执份，承包人执份。</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pStyle w:val="19"/>
        <w:spacing w:line="360" w:lineRule="auto"/>
        <w:ind w:firstLine="180"/>
        <w:rPr>
          <w:color w:val="000000" w:themeColor="text1"/>
          <w:sz w:val="18"/>
          <w:szCs w:val="18"/>
          <w14:textFill>
            <w14:solidFill>
              <w14:schemeClr w14:val="tx1"/>
            </w14:solidFill>
          </w14:textFill>
        </w:rPr>
      </w:pPr>
    </w:p>
    <w:p>
      <w:pPr>
        <w:pStyle w:val="20"/>
        <w:spacing w:line="360" w:lineRule="auto"/>
        <w:rPr>
          <w:color w:val="000000" w:themeColor="text1"/>
          <w:sz w:val="15"/>
          <w:szCs w:val="15"/>
          <w14:textFill>
            <w14:solidFill>
              <w14:schemeClr w14:val="tx1"/>
            </w14:solidFill>
          </w14:textFill>
        </w:rPr>
      </w:pPr>
    </w:p>
    <w:p>
      <w:pPr>
        <w:spacing w:line="360" w:lineRule="auto"/>
        <w:ind w:firstLine="440"/>
        <w:rPr>
          <w:rFonts w:eastAsiaTheme="minorEastAsia"/>
          <w:color w:val="000000" w:themeColor="text1"/>
          <w:sz w:val="22"/>
          <w:szCs w:val="22"/>
          <w14:textFill>
            <w14:solidFill>
              <w14:schemeClr w14:val="tx1"/>
            </w14:solidFill>
          </w14:textFill>
        </w:rPr>
      </w:pPr>
    </w:p>
    <w:p>
      <w:pPr>
        <w:pStyle w:val="19"/>
        <w:spacing w:line="360" w:lineRule="auto"/>
        <w:ind w:firstLine="180"/>
        <w:rPr>
          <w:color w:val="000000" w:themeColor="text1"/>
          <w:sz w:val="18"/>
          <w:szCs w:val="18"/>
          <w14:textFill>
            <w14:solidFill>
              <w14:schemeClr w14:val="tx1"/>
            </w14:solidFill>
          </w14:textFill>
        </w:rPr>
      </w:pPr>
    </w:p>
    <w:p>
      <w:pPr>
        <w:pStyle w:val="20"/>
        <w:spacing w:line="360" w:lineRule="auto"/>
        <w:rPr>
          <w:color w:val="000000" w:themeColor="text1"/>
          <w14:textFill>
            <w14:solidFill>
              <w14:schemeClr w14:val="tx1"/>
            </w14:solidFill>
          </w14:textFill>
        </w:rPr>
      </w:pPr>
    </w:p>
    <w:p>
      <w:pPr>
        <w:spacing w:line="360" w:lineRule="auto"/>
        <w:ind w:firstLine="360"/>
        <w:rPr>
          <w:color w:val="000000" w:themeColor="text1"/>
          <w:sz w:val="18"/>
          <w:szCs w:val="18"/>
          <w14:textFill>
            <w14:solidFill>
              <w14:schemeClr w14:val="tx1"/>
            </w14:solidFill>
          </w14:textFill>
        </w:rPr>
      </w:pPr>
    </w:p>
    <w:p>
      <w:pPr>
        <w:pStyle w:val="19"/>
        <w:spacing w:line="360" w:lineRule="auto"/>
        <w:ind w:firstLine="180"/>
        <w:rPr>
          <w:color w:val="000000" w:themeColor="text1"/>
          <w:sz w:val="18"/>
          <w:szCs w:val="18"/>
          <w14:textFill>
            <w14:solidFill>
              <w14:schemeClr w14:val="tx1"/>
            </w14:solidFill>
          </w14:textFill>
        </w:rPr>
      </w:pPr>
    </w:p>
    <w:p>
      <w:pPr>
        <w:pStyle w:val="20"/>
        <w:spacing w:line="360" w:lineRule="auto"/>
        <w:rPr>
          <w:color w:val="000000" w:themeColor="text1"/>
          <w14:textFill>
            <w14:solidFill>
              <w14:schemeClr w14:val="tx1"/>
            </w14:solidFill>
          </w14:textFill>
        </w:rPr>
      </w:pPr>
    </w:p>
    <w:p>
      <w:pPr>
        <w:spacing w:line="360" w:lineRule="auto"/>
        <w:ind w:firstLine="360"/>
        <w:rPr>
          <w:color w:val="000000" w:themeColor="text1"/>
          <w:sz w:val="18"/>
          <w:szCs w:val="18"/>
          <w14:textFill>
            <w14:solidFill>
              <w14:schemeClr w14:val="tx1"/>
            </w14:solidFill>
          </w14:textFill>
        </w:rPr>
      </w:pPr>
    </w:p>
    <w:p>
      <w:pPr>
        <w:pStyle w:val="19"/>
        <w:spacing w:line="360" w:lineRule="auto"/>
        <w:ind w:firstLine="180"/>
        <w:rPr>
          <w:color w:val="000000" w:themeColor="text1"/>
          <w:sz w:val="18"/>
          <w:szCs w:val="18"/>
          <w14:textFill>
            <w14:solidFill>
              <w14:schemeClr w14:val="tx1"/>
            </w14:solidFill>
          </w14:textFill>
        </w:rPr>
      </w:pPr>
    </w:p>
    <w:p>
      <w:pPr>
        <w:pStyle w:val="20"/>
        <w:spacing w:line="360" w:lineRule="auto"/>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Times New Roman" w:asciiTheme="minorEastAsia" w:hAnsiTheme="minorEastAsia" w:eastAsiaTheme="minorEastAsia"/>
          <w:color w:val="000000" w:themeColor="text1"/>
          <w:sz w:val="22"/>
          <w:szCs w:val="22"/>
          <w14:textFill>
            <w14:solidFill>
              <w14:schemeClr w14:val="tx1"/>
            </w14:solidFill>
          </w14:textFill>
        </w:rPr>
        <w:t>此页无正文，为协议签署页。</w:t>
      </w:r>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发包人：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公章</w:t>
      </w:r>
      <w:r>
        <w:rPr>
          <w:rFonts w:cs="Times New Roman" w:asciiTheme="minorEastAsia" w:hAnsiTheme="minorEastAsia" w:eastAsiaTheme="minorEastAsia"/>
          <w:color w:val="000000" w:themeColor="text1"/>
          <w:sz w:val="22"/>
          <w:szCs w:val="22"/>
          <w14:textFill>
            <w14:solidFill>
              <w14:schemeClr w14:val="tx1"/>
            </w14:solidFill>
          </w14:textFill>
        </w:rPr>
        <w:t>)</w:t>
      </w:r>
    </w:p>
    <w:p>
      <w:pPr>
        <w:tabs>
          <w:tab w:val="left" w:pos="4410"/>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组织机构代码：</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址：</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MingLiU_HKSCS"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邮政编码：</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法定代表人：</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委托代理人：</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电</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话：</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传</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真：</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电子信箱：</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开户银行：</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账</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号：</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        </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spacing w:line="360" w:lineRule="auto"/>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公章</w:t>
      </w:r>
      <w:r>
        <w:rPr>
          <w:rFonts w:cs="Times New Roman" w:asciiTheme="minorEastAsia" w:hAnsiTheme="minorEastAsia" w:eastAsiaTheme="minorEastAsia"/>
          <w:color w:val="000000" w:themeColor="text1"/>
          <w:sz w:val="22"/>
          <w:szCs w:val="22"/>
          <w14:textFill>
            <w14:solidFill>
              <w14:schemeClr w14:val="tx1"/>
            </w14:solidFill>
          </w14:textFill>
        </w:rPr>
        <w:t>)</w:t>
      </w:r>
    </w:p>
    <w:p>
      <w:pPr>
        <w:tabs>
          <w:tab w:val="left" w:pos="4410"/>
          <w:tab w:val="right" w:pos="8306"/>
        </w:tabs>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组织机构代码：</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址：</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邮政编码：</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法定代表人：</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委托代理人：</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电</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话：</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传</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真：</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电子信箱：</w:t>
      </w:r>
      <w:r>
        <w:rPr>
          <w:rFonts w:hint="eastAsia" w:cs="宋体"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开户银行：</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账</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号：</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MingLiU_HKSCS" w:asciiTheme="minorEastAsia" w:hAnsiTheme="minorEastAsia" w:eastAsiaTheme="minorEastAsia"/>
          <w:color w:val="000000" w:themeColor="text1"/>
          <w:sz w:val="22"/>
          <w:szCs w:val="22"/>
          <w:u w:val="single"/>
          <w14:textFill>
            <w14:solidFill>
              <w14:schemeClr w14:val="tx1"/>
            </w14:solidFill>
          </w14:textFill>
        </w:rPr>
        <w:t></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p>
    <w:p>
      <w:pPr>
        <w:pStyle w:val="5"/>
        <w:spacing w:before="0" w:after="0" w:line="360" w:lineRule="auto"/>
        <w:ind w:firstLine="420"/>
        <w:contextualSpacing/>
        <w:rPr>
          <w:rFonts w:cs="Cambria" w:asciiTheme="minorEastAsia" w:hAnsiTheme="minorEastAsia" w:eastAsiaTheme="minorEastAsia"/>
          <w:b w:val="0"/>
          <w:bCs w:val="0"/>
          <w:color w:val="000000" w:themeColor="text1"/>
          <w:sz w:val="24"/>
          <w:szCs w:val="24"/>
          <w14:textFill>
            <w14:solidFill>
              <w14:schemeClr w14:val="tx1"/>
            </w14:solidFill>
          </w14:textFill>
        </w:rPr>
      </w:pPr>
      <w:bookmarkStart w:id="139" w:name="_Toc152042551"/>
      <w:bookmarkStart w:id="140" w:name="_Toc247514200"/>
      <w:bookmarkStart w:id="141" w:name="_Toc247527801"/>
      <w:bookmarkStart w:id="142" w:name="_Toc152045769"/>
      <w:r>
        <w:rPr>
          <w:rFonts w:ascii="Cambria" w:cs="Cambria"/>
          <w:b w:val="0"/>
          <w:bCs w:val="0"/>
          <w:color w:val="000000" w:themeColor="text1"/>
          <w:sz w:val="21"/>
          <w:szCs w:val="21"/>
          <w14:textFill>
            <w14:solidFill>
              <w14:schemeClr w14:val="tx1"/>
            </w14:solidFill>
          </w14:textFill>
        </w:rPr>
        <w:br w:type="page"/>
      </w:r>
      <w:bookmarkStart w:id="143" w:name="_Toc519674473"/>
      <w:r>
        <w:rPr>
          <w:rFonts w:hint="eastAsia" w:cs="宋体" w:asciiTheme="minorEastAsia" w:hAnsiTheme="minorEastAsia" w:eastAsiaTheme="minorEastAsia"/>
          <w:b w:val="0"/>
          <w:bCs w:val="0"/>
          <w:color w:val="000000" w:themeColor="text1"/>
          <w:sz w:val="24"/>
          <w:szCs w:val="24"/>
          <w14:textFill>
            <w14:solidFill>
              <w14:schemeClr w14:val="tx1"/>
            </w14:solidFill>
          </w14:textFill>
        </w:rPr>
        <w:t>附件二：履约担保格式</w:t>
      </w:r>
      <w:bookmarkEnd w:id="125"/>
      <w:bookmarkEnd w:id="139"/>
      <w:bookmarkEnd w:id="140"/>
      <w:bookmarkEnd w:id="141"/>
      <w:bookmarkEnd w:id="142"/>
      <w:bookmarkEnd w:id="143"/>
    </w:p>
    <w:p>
      <w:pPr>
        <w:widowControl/>
        <w:spacing w:line="500" w:lineRule="exact"/>
        <w:ind w:firstLine="440"/>
        <w:contextualSpacing/>
        <w:jc w:val="center"/>
        <w:rPr>
          <w:rFonts w:cs="Times New Roman" w:asciiTheme="minorEastAsia" w:hAnsiTheme="minorEastAsia" w:eastAsiaTheme="minorEastAsia"/>
          <w:color w:val="000000" w:themeColor="text1"/>
          <w:sz w:val="22"/>
          <w:szCs w:val="22"/>
          <w14:textFill>
            <w14:solidFill>
              <w14:schemeClr w14:val="tx1"/>
            </w14:solidFill>
          </w14:textFill>
        </w:rPr>
      </w:pPr>
      <w:bookmarkStart w:id="144" w:name="_Toc144974833"/>
      <w:bookmarkStart w:id="145" w:name="_Toc152042553"/>
      <w:bookmarkStart w:id="146" w:name="_Toc247527802"/>
      <w:bookmarkStart w:id="147" w:name="_Toc247514201"/>
      <w:bookmarkStart w:id="148" w:name="_Toc152045771"/>
      <w:r>
        <w:rPr>
          <w:rFonts w:hint="eastAsia" w:cs="华文宋体" w:asciiTheme="minorEastAsia" w:hAnsiTheme="minorEastAsia" w:eastAsiaTheme="minorEastAsia"/>
          <w:color w:val="000000" w:themeColor="text1"/>
          <w:sz w:val="22"/>
          <w:szCs w:val="22"/>
          <w14:textFill>
            <w14:solidFill>
              <w14:schemeClr w14:val="tx1"/>
            </w14:solidFill>
          </w14:textFill>
        </w:rPr>
        <w:t>履约保函</w:t>
      </w:r>
    </w:p>
    <w:p>
      <w:pPr>
        <w:widowControl/>
        <w:spacing w:line="500" w:lineRule="exact"/>
        <w:ind w:firstLine="442"/>
        <w:contextualSpacing/>
        <w:jc w:val="center"/>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14:textFill>
            <w14:solidFill>
              <w14:schemeClr w14:val="tx1"/>
            </w14:solidFill>
          </w14:textFill>
        </w:rPr>
        <w:t>编号：</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致：</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受益人</w:t>
      </w:r>
      <w:r>
        <w:rPr>
          <w:rFonts w:cs="Times New Roman" w:asciiTheme="minorEastAsia" w:hAnsiTheme="minorEastAsia" w:eastAsiaTheme="minorEastAsia"/>
          <w:color w:val="000000" w:themeColor="text1"/>
          <w:sz w:val="22"/>
          <w:szCs w:val="22"/>
          <w14:textFill>
            <w14:solidFill>
              <w14:schemeClr w14:val="tx1"/>
            </w14:solidFill>
          </w14:textFill>
        </w:rPr>
        <w:t>):</w:t>
      </w:r>
    </w:p>
    <w:p>
      <w:pPr>
        <w:widowControl/>
        <w:spacing w:line="500" w:lineRule="exact"/>
        <w:ind w:firstLine="416"/>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pacing w:val="-6"/>
          <w:sz w:val="22"/>
          <w:szCs w:val="22"/>
          <w14:textFill>
            <w14:solidFill>
              <w14:schemeClr w14:val="tx1"/>
            </w14:solidFill>
          </w14:textFill>
        </w:rPr>
        <w:t>鉴于</w:t>
      </w:r>
      <w:r>
        <w:rPr>
          <w:rFonts w:cs="Times New Roman" w:asciiTheme="minorEastAsia" w:hAnsiTheme="minorEastAsia" w:eastAsiaTheme="minorEastAsia"/>
          <w:color w:val="000000" w:themeColor="text1"/>
          <w:spacing w:val="-6"/>
          <w:sz w:val="22"/>
          <w:szCs w:val="22"/>
          <w14:textFill>
            <w14:solidFill>
              <w14:schemeClr w14:val="tx1"/>
            </w14:solidFill>
          </w14:textFill>
        </w:rPr>
        <w:t>(</w:t>
      </w:r>
      <w:r>
        <w:rPr>
          <w:rFonts w:hint="eastAsia" w:cs="宋体" w:asciiTheme="minorEastAsia" w:hAnsiTheme="minorEastAsia" w:eastAsiaTheme="minorEastAsia"/>
          <w:color w:val="000000" w:themeColor="text1"/>
          <w:spacing w:val="-6"/>
          <w:sz w:val="22"/>
          <w:szCs w:val="22"/>
          <w14:textFill>
            <w14:solidFill>
              <w14:schemeClr w14:val="tx1"/>
            </w14:solidFill>
          </w14:textFill>
        </w:rPr>
        <w:t>申请人</w:t>
      </w:r>
      <w:r>
        <w:rPr>
          <w:rFonts w:cs="Times New Roman" w:asciiTheme="minorEastAsia" w:hAnsiTheme="minorEastAsia" w:eastAsiaTheme="minorEastAsia"/>
          <w:color w:val="000000" w:themeColor="text1"/>
          <w:spacing w:val="-6"/>
          <w:sz w:val="22"/>
          <w:szCs w:val="22"/>
          <w14:textFill>
            <w14:solidFill>
              <w14:schemeClr w14:val="tx1"/>
            </w14:solidFill>
          </w14:textFill>
        </w:rPr>
        <w:t>)</w:t>
      </w:r>
      <w:r>
        <w:rPr>
          <w:rFonts w:hint="eastAsia" w:cs="宋体" w:asciiTheme="minorEastAsia" w:hAnsiTheme="minorEastAsia" w:eastAsiaTheme="minorEastAsia"/>
          <w:color w:val="000000" w:themeColor="text1"/>
          <w:spacing w:val="-6"/>
          <w:sz w:val="22"/>
          <w:szCs w:val="22"/>
          <w14:textFill>
            <w14:solidFill>
              <w14:schemeClr w14:val="tx1"/>
            </w14:solidFill>
          </w14:textFill>
        </w:rPr>
        <w:t>于年月日与你方就项目签订了编号为的合同</w:t>
      </w:r>
      <w:r>
        <w:rPr>
          <w:rFonts w:cs="Times New Roman" w:asciiTheme="minorEastAsia" w:hAnsiTheme="minorEastAsia" w:eastAsiaTheme="minorEastAsia"/>
          <w:color w:val="000000" w:themeColor="text1"/>
          <w:spacing w:val="-6"/>
          <w:sz w:val="22"/>
          <w:szCs w:val="22"/>
          <w14:textFill>
            <w14:solidFill>
              <w14:schemeClr w14:val="tx1"/>
            </w14:solidFill>
          </w14:textFill>
        </w:rPr>
        <w:t>(</w:t>
      </w:r>
      <w:r>
        <w:rPr>
          <w:rFonts w:hint="eastAsia" w:cs="宋体" w:asciiTheme="minorEastAsia" w:hAnsiTheme="minorEastAsia" w:eastAsiaTheme="minorEastAsia"/>
          <w:color w:val="000000" w:themeColor="text1"/>
          <w:spacing w:val="-6"/>
          <w:sz w:val="22"/>
          <w:szCs w:val="22"/>
          <w14:textFill>
            <w14:solidFill>
              <w14:schemeClr w14:val="tx1"/>
            </w14:solidFill>
          </w14:textFill>
        </w:rPr>
        <w:t>下称主合同</w:t>
      </w:r>
      <w:r>
        <w:rPr>
          <w:rFonts w:cs="Times New Roman" w:asciiTheme="minorEastAsia" w:hAnsiTheme="minorEastAsia" w:eastAsiaTheme="minorEastAsia"/>
          <w:color w:val="000000" w:themeColor="text1"/>
          <w:spacing w:val="-6"/>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，我行根据该合同和申请人的要求，兹开立以贵方为受益人、金额不超过人民币</w:t>
      </w:r>
      <w:r>
        <w:rPr>
          <w:rFonts w:hint="eastAsia" w:cs="宋体" w:asciiTheme="minorEastAsia" w:hAnsiTheme="minorEastAsia" w:eastAsiaTheme="minorEastAsia"/>
          <w:color w:val="000000" w:themeColor="text1"/>
          <w:sz w:val="22"/>
          <w:szCs w:val="22"/>
          <w:u w:val="single"/>
          <w14:textFill>
            <w14:solidFill>
              <w14:schemeClr w14:val="tx1"/>
            </w14:solidFill>
          </w14:textFill>
        </w:rPr>
        <w:t>万</w:t>
      </w:r>
      <w:r>
        <w:rPr>
          <w:rFonts w:hint="eastAsia" w:cs="宋体" w:asciiTheme="minorEastAsia" w:hAnsiTheme="minorEastAsia" w:eastAsiaTheme="minorEastAsia"/>
          <w:color w:val="000000" w:themeColor="text1"/>
          <w:sz w:val="22"/>
          <w:szCs w:val="22"/>
          <w14:textFill>
            <w14:solidFill>
              <w14:schemeClr w14:val="tx1"/>
            </w14:solidFill>
          </w14:textFill>
        </w:rPr>
        <w:t>元整的不可撤消的担保函。</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我行保证申请人将按照主合同的约定按期完工</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如果申请人未能在合同规定时间内按照主合同规定履行该义务，我行保证在收到贵方提交的书面索赔通知和所附的下述违约证明文件后，依本保函规定向贵方支付不超过担保金额的款项：</w:t>
      </w:r>
    </w:p>
    <w:p>
      <w:pPr>
        <w:widowControl/>
        <w:numPr>
          <w:ilvl w:val="0"/>
          <w:numId w:val="8"/>
        </w:numPr>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表明贵方同申请人对赔偿金额达成一致意见的来往函件或其他文件</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或</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、合同规定的仲裁机构或司法机构出具的裁定或判决申请人承担赔偿金额的法律文件。</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本保函的担保金额将随申请人或我行已向贵方支付的金额自动作相应递减。</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如果贵方与承包人协商变更主合同应事先征得我行书面认可，否则本保函即行失效。</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本保函自开立之日起生效</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有效期截止日为年月日。到期后，无论贵方是否将保函正本退回我行，本保函均自动失效。</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本保函未经本行同意不得转让。</w:t>
      </w:r>
    </w:p>
    <w:p>
      <w:pPr>
        <w:widowControl/>
        <w:spacing w:line="50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要求支付的通知书及所附证明文件须亲自递交或以挂号邮件寄至我行。本保函适用中华人民共和国法律并按中华人民共和国法律解释。</w:t>
      </w:r>
    </w:p>
    <w:p>
      <w:pPr>
        <w:widowControl/>
        <w:spacing w:line="500" w:lineRule="exact"/>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出具保函银行名称：</w:t>
      </w:r>
    </w:p>
    <w:p>
      <w:pPr>
        <w:widowControl/>
        <w:spacing w:line="500" w:lineRule="exact"/>
        <w:ind w:firstLine="0" w:firstLineChars="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签字人姓名和职务：</w:t>
      </w:r>
    </w:p>
    <w:p>
      <w:pPr>
        <w:widowControl/>
        <w:spacing w:line="500" w:lineRule="exact"/>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签字人签名：</w:t>
      </w:r>
    </w:p>
    <w:p>
      <w:pPr>
        <w:widowControl/>
        <w:spacing w:line="500" w:lineRule="exact"/>
        <w:ind w:firstLine="0" w:firstLineChars="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公章：</w:t>
      </w:r>
    </w:p>
    <w:p>
      <w:pPr>
        <w:widowControl/>
        <w:spacing w:line="500" w:lineRule="exact"/>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日期：   年   月</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Times New Roman"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日</w:t>
      </w:r>
    </w:p>
    <w:p>
      <w:pPr>
        <w:pStyle w:val="5"/>
        <w:spacing w:before="0" w:after="0" w:line="520" w:lineRule="exact"/>
        <w:ind w:firstLine="400"/>
        <w:contextualSpacing/>
        <w:rPr>
          <w:rFonts w:cs="Cambria" w:asciiTheme="minorEastAsia" w:hAnsiTheme="minorEastAsia" w:eastAsiaTheme="minorEastAsia"/>
          <w:b w:val="0"/>
          <w:bCs w:val="0"/>
          <w:color w:val="000000" w:themeColor="text1"/>
          <w:sz w:val="22"/>
          <w:szCs w:val="22"/>
          <w14:textFill>
            <w14:solidFill>
              <w14:schemeClr w14:val="tx1"/>
            </w14:solidFill>
          </w14:textFill>
        </w:rPr>
      </w:pPr>
      <w:r>
        <w:rPr>
          <w:rFonts w:ascii="Cambria" w:cs="Cambria"/>
          <w:b w:val="0"/>
          <w:bCs w:val="0"/>
          <w:color w:val="000000" w:themeColor="text1"/>
          <w:sz w:val="20"/>
          <w:szCs w:val="20"/>
          <w14:textFill>
            <w14:solidFill>
              <w14:schemeClr w14:val="tx1"/>
            </w14:solidFill>
          </w14:textFill>
        </w:rPr>
        <w:br w:type="page"/>
      </w:r>
      <w:bookmarkStart w:id="149" w:name="_Toc519674474"/>
      <w:r>
        <w:rPr>
          <w:rFonts w:hint="eastAsia" w:cs="宋体" w:asciiTheme="minorEastAsia" w:hAnsiTheme="minorEastAsia" w:eastAsiaTheme="minorEastAsia"/>
          <w:b w:val="0"/>
          <w:bCs w:val="0"/>
          <w:color w:val="000000" w:themeColor="text1"/>
          <w:sz w:val="22"/>
          <w:szCs w:val="22"/>
          <w14:textFill>
            <w14:solidFill>
              <w14:schemeClr w14:val="tx1"/>
            </w14:solidFill>
          </w14:textFill>
        </w:rPr>
        <w:t>附件三：预付款担保格式</w:t>
      </w:r>
      <w:bookmarkEnd w:id="144"/>
      <w:bookmarkEnd w:id="145"/>
      <w:bookmarkEnd w:id="146"/>
      <w:bookmarkEnd w:id="147"/>
      <w:bookmarkEnd w:id="148"/>
      <w:bookmarkEnd w:id="149"/>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预付款担保</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（发包人名称）：</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根据（承包人名称）（以下称</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承包人</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）与（发包人名称）（以下简称</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发包人</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）于</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年月日签订的（项目名称）设计采购施工总承包合同，承包人按约定的金额向发包人提交一份预付款担保，即有权得到发包人支付相等金额的预付款。我方愿意就你方提供给承包人的预付款提供担保。</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1. </w:t>
      </w:r>
      <w:r>
        <w:rPr>
          <w:rFonts w:hint="eastAsia" w:cs="宋体" w:asciiTheme="minorEastAsia" w:hAnsiTheme="minorEastAsia" w:eastAsiaTheme="minorEastAsia"/>
          <w:color w:val="000000" w:themeColor="text1"/>
          <w:sz w:val="22"/>
          <w:szCs w:val="22"/>
          <w14:textFill>
            <w14:solidFill>
              <w14:schemeClr w14:val="tx1"/>
            </w14:solidFill>
          </w14:textFill>
        </w:rPr>
        <w:t>担保金额人民币（大写）</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Times New Roman" w:asciiTheme="minorEastAsia" w:hAnsiTheme="minorEastAsia"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2. </w:t>
      </w:r>
      <w:r>
        <w:rPr>
          <w:rFonts w:hint="eastAsia" w:cs="宋体" w:asciiTheme="minorEastAsia" w:hAnsiTheme="minorEastAsia" w:eastAsiaTheme="minorEastAsia"/>
          <w:color w:val="000000" w:themeColor="text1"/>
          <w:sz w:val="22"/>
          <w:szCs w:val="22"/>
          <w14:textFill>
            <w14:solidFill>
              <w14:schemeClr w14:val="tx1"/>
            </w14:solidFill>
          </w14:textFill>
        </w:rPr>
        <w:t>担保有效期自预付款支付给承包人起生效，至发包人签发的进度付款证书说明预付款已完全扣清止。</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 </w:t>
      </w:r>
      <w:r>
        <w:rPr>
          <w:rFonts w:hint="eastAsia" w:cs="宋体" w:asciiTheme="minorEastAsia" w:hAnsiTheme="minorEastAsia" w:eastAsiaTheme="minorEastAsia"/>
          <w:color w:val="000000" w:themeColor="text1"/>
          <w:sz w:val="22"/>
          <w:szCs w:val="22"/>
          <w14:textFill>
            <w14:solidFill>
              <w14:schemeClr w14:val="tx1"/>
            </w14:solidFill>
          </w14:textFill>
        </w:rPr>
        <w:t>在本保函有效期内，因承包人违反合同约定的义务而要求收回预付款时，我方在收到你方的书面通知后，在７天内无条件支付。但本保函的担保金额，在任何时候不应超过预付款金额减去发包人按合同约定在向承包人签发的进度付款证书中扣除的金额。</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4. </w:t>
      </w:r>
      <w:r>
        <w:rPr>
          <w:rFonts w:hint="eastAsia" w:cs="宋体" w:asciiTheme="minorEastAsia" w:hAnsiTheme="minorEastAsia" w:eastAsiaTheme="minorEastAsia"/>
          <w:color w:val="000000" w:themeColor="text1"/>
          <w:sz w:val="22"/>
          <w:szCs w:val="22"/>
          <w14:textFill>
            <w14:solidFill>
              <w14:schemeClr w14:val="tx1"/>
            </w14:solidFill>
          </w14:textFill>
        </w:rPr>
        <w:t>发包人和承包人按《通用合同条款》第</w:t>
      </w:r>
      <w:r>
        <w:rPr>
          <w:rFonts w:cs="Times New Roman" w:asciiTheme="minorEastAsia" w:hAnsiTheme="minorEastAsia" w:eastAsiaTheme="minorEastAsia"/>
          <w:color w:val="000000" w:themeColor="text1"/>
          <w:sz w:val="22"/>
          <w:szCs w:val="22"/>
          <w14:textFill>
            <w14:solidFill>
              <w14:schemeClr w14:val="tx1"/>
            </w14:solidFill>
          </w14:textFill>
        </w:rPr>
        <w:t>15</w:t>
      </w:r>
      <w:r>
        <w:rPr>
          <w:rFonts w:hint="eastAsia" w:cs="宋体" w:asciiTheme="minorEastAsia" w:hAnsiTheme="minorEastAsia" w:eastAsiaTheme="minorEastAsia"/>
          <w:color w:val="000000" w:themeColor="text1"/>
          <w:sz w:val="22"/>
          <w:szCs w:val="22"/>
          <w14:textFill>
            <w14:solidFill>
              <w14:schemeClr w14:val="tx1"/>
            </w14:solidFill>
          </w14:textFill>
        </w:rPr>
        <w:t>条变更合同时，我方承担本保函规定的义务不变。</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因本保函发生的纠纷，可由双方协商解决，协商不成的，任何一方均可提请</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u w:val="single"/>
          <w14:textFill>
            <w14:solidFill>
              <w14:schemeClr w14:val="tx1"/>
            </w14:solidFill>
          </w14:textFill>
        </w:rPr>
        <w:t>平阳</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仲裁委员会仲裁。</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6. </w:t>
      </w:r>
      <w:r>
        <w:rPr>
          <w:rFonts w:hint="eastAsia" w:cs="宋体" w:asciiTheme="minorEastAsia" w:hAnsiTheme="minorEastAsia" w:eastAsiaTheme="minorEastAsia"/>
          <w:color w:val="000000" w:themeColor="text1"/>
          <w:sz w:val="22"/>
          <w:szCs w:val="22"/>
          <w14:textFill>
            <w14:solidFill>
              <w14:schemeClr w14:val="tx1"/>
            </w14:solidFill>
          </w14:textFill>
        </w:rPr>
        <w:t>本保函自我方法定代表人（或其授权代理人）签字并加盖公章之日起生效。</w:t>
      </w:r>
    </w:p>
    <w:p>
      <w:pPr>
        <w:spacing w:line="520" w:lineRule="exact"/>
        <w:ind w:firstLine="3770" w:firstLineChars="171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担保人：（盖单位章）</w:t>
      </w:r>
    </w:p>
    <w:p>
      <w:pPr>
        <w:spacing w:line="520" w:lineRule="exact"/>
        <w:ind w:firstLine="3770" w:firstLineChars="171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法定代表人或授权人：（签字）</w:t>
      </w:r>
    </w:p>
    <w:p>
      <w:pPr>
        <w:spacing w:line="520" w:lineRule="exact"/>
        <w:ind w:firstLine="3770" w:firstLineChars="1714"/>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址：</w:t>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p>
    <w:p>
      <w:pPr>
        <w:spacing w:line="520" w:lineRule="exact"/>
        <w:ind w:firstLine="3770" w:firstLineChars="1714"/>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邮政编码：</w:t>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r>
        <w:rPr>
          <w:rFonts w:cs="Times New Roman" w:asciiTheme="minorEastAsia" w:hAnsiTheme="minorEastAsia" w:eastAsiaTheme="minorEastAsia"/>
          <w:color w:val="000000" w:themeColor="text1"/>
          <w:sz w:val="22"/>
          <w:szCs w:val="22"/>
          <w:u w:val="single"/>
          <w14:textFill>
            <w14:solidFill>
              <w14:schemeClr w14:val="tx1"/>
            </w14:solidFill>
          </w14:textFill>
        </w:rPr>
        <w:tab/>
      </w:r>
    </w:p>
    <w:p>
      <w:pPr>
        <w:spacing w:line="520" w:lineRule="exact"/>
        <w:ind w:firstLine="3770" w:firstLineChars="1714"/>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电</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话：</w:t>
      </w:r>
    </w:p>
    <w:p>
      <w:pPr>
        <w:spacing w:line="520" w:lineRule="exact"/>
        <w:ind w:firstLine="5302" w:firstLineChars="241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年     月    日</w:t>
      </w:r>
    </w:p>
    <w:p>
      <w:pPr>
        <w:ind w:firstLine="420"/>
        <w:rPr>
          <w:rFonts w:hAnsi="Cambria" w:cs="Times New Roman"/>
          <w:b/>
          <w:bCs/>
          <w:color w:val="000000" w:themeColor="text1"/>
          <w:sz w:val="21"/>
          <w:szCs w:val="21"/>
          <w14:textFill>
            <w14:solidFill>
              <w14:schemeClr w14:val="tx1"/>
            </w14:solidFill>
          </w14:textFill>
        </w:rPr>
      </w:pPr>
      <w:r>
        <w:rPr>
          <w:rFonts w:hAnsi="Cambria" w:cs="Times New Roman"/>
          <w:color w:val="000000" w:themeColor="text1"/>
          <w:sz w:val="21"/>
          <w:szCs w:val="21"/>
          <w14:textFill>
            <w14:solidFill>
              <w14:schemeClr w14:val="tx1"/>
            </w14:solidFill>
          </w14:textFill>
        </w:rPr>
        <w:br w:type="page"/>
      </w:r>
      <w:r>
        <w:rPr>
          <w:rFonts w:hint="eastAsia" w:ascii="宋体" w:hAnsi="宋体" w:eastAsia="宋体" w:cs="宋体"/>
          <w:b/>
          <w:bCs/>
          <w:color w:val="000000" w:themeColor="text1"/>
          <w:sz w:val="21"/>
          <w:szCs w:val="21"/>
          <w14:textFill>
            <w14:solidFill>
              <w14:schemeClr w14:val="tx1"/>
            </w14:solidFill>
          </w14:textFill>
        </w:rPr>
        <w:t>附件四：</w:t>
      </w:r>
    </w:p>
    <w:p>
      <w:pPr>
        <w:spacing w:line="360" w:lineRule="auto"/>
        <w:ind w:firstLine="643"/>
        <w:jc w:val="center"/>
        <w:rPr>
          <w:rFonts w:hAnsi="Cambria" w:cs="Times New Roman"/>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工程质量保修协议</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发包人：</w:t>
      </w:r>
    </w:p>
    <w:p>
      <w:pPr>
        <w:tabs>
          <w:tab w:val="left" w:pos="660"/>
        </w:tabs>
        <w:spacing w:line="520" w:lineRule="exact"/>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w:t>
      </w:r>
    </w:p>
    <w:p>
      <w:pPr>
        <w:pStyle w:val="29"/>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为保证本工程在合理使用期限内正常使用，甲乙双方协商一致签订本工程质量保修书。承包人按国家《建设工程质量管理条例》及双方约定承担工程质量缺陷的保修责任。</w:t>
      </w:r>
    </w:p>
    <w:p>
      <w:pPr>
        <w:pStyle w:val="26"/>
        <w:spacing w:line="520" w:lineRule="exact"/>
        <w:ind w:firstLine="440"/>
        <w:contextualSpacing/>
        <w:outlineLvl w:val="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一、工程质量保修范围和内容</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承包人质量保修期内，按照有关法律、法规、规章的管理规定及双方约定，承担本工程质量保修责任。</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质量保修范围包括地基基础工程、主体结构工程、屋面防水工程、有防水要求的卫生间、房间和外墙面的防渗漏，供热与供冷系统，电气管线、给排水管道、设备安装工程，以及约定的其它项目。具体保修的内容约定如下：</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保修内容为：</w:t>
      </w:r>
      <w:r>
        <w:rPr>
          <w:rFonts w:cs="Times New Roman" w:asciiTheme="minorEastAsia" w:hAnsiTheme="minorEastAsia" w:eastAsiaTheme="minorEastAsia"/>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u w:val="single"/>
          <w14:textFill>
            <w14:solidFill>
              <w14:schemeClr w14:val="tx1"/>
            </w14:solidFill>
          </w14:textFill>
        </w:rPr>
        <w:t>本合同承包范围内的全部工程内容。</w:t>
      </w:r>
    </w:p>
    <w:p>
      <w:pPr>
        <w:pStyle w:val="26"/>
        <w:spacing w:line="520" w:lineRule="exact"/>
        <w:ind w:firstLine="440"/>
        <w:contextualSpacing/>
        <w:outlineLvl w:val="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二、质量保修期</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根据《建设工程质量管理条例》及有关规定，约定本工程的质量保修期如下：</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．地基基础工程和主体结构工程为设计文件规定的工程合理使用年限；</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．屋面防水工程、有防水要求的卫生间、房间和外墙面的防渗漏为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．装修工程为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．电气管线、给排水管道、设备安装工程为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．供热与供冷系统为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个采暖期、供冷期；</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．住宅小区内的给排水设施、道路等配套工程为</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7</w:t>
      </w:r>
      <w:r>
        <w:rPr>
          <w:rFonts w:hint="eastAsia" w:cs="宋体" w:asciiTheme="minorEastAsia" w:hAnsiTheme="minorEastAsia" w:eastAsiaTheme="minorEastAsia"/>
          <w:color w:val="000000" w:themeColor="text1"/>
          <w:sz w:val="22"/>
          <w:szCs w:val="22"/>
          <w14:textFill>
            <w14:solidFill>
              <w14:schemeClr w14:val="tx1"/>
            </w14:solidFill>
          </w14:textFill>
        </w:rPr>
        <w:t>．其他项目保修期限约定如下：</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p>
    <w:p>
      <w:pPr>
        <w:pStyle w:val="26"/>
        <w:spacing w:line="520" w:lineRule="exact"/>
        <w:ind w:firstLine="442"/>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b/>
          <w:bCs/>
          <w:color w:val="000000" w:themeColor="text1"/>
          <w:sz w:val="22"/>
          <w:szCs w:val="22"/>
          <w:u w:val="single"/>
          <w14:textFill>
            <w14:solidFill>
              <w14:schemeClr w14:val="tx1"/>
            </w14:solidFill>
          </w14:textFill>
        </w:rPr>
        <w:t>质量保修期自工程竣工验收合格且发包人接收之日起计算。</w:t>
      </w:r>
    </w:p>
    <w:p>
      <w:pPr>
        <w:widowControl/>
        <w:tabs>
          <w:tab w:val="left" w:pos="2880"/>
        </w:tabs>
        <w:spacing w:line="520" w:lineRule="exact"/>
        <w:ind w:firstLine="440"/>
        <w:contextualSpacing/>
        <w:outlineLvl w:val="0"/>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三、质量保修责任</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w:t>
      </w:r>
      <w:r>
        <w:rPr>
          <w:rFonts w:hint="eastAsia" w:cs="宋体" w:asciiTheme="minorEastAsia" w:hAnsiTheme="minorEastAsia" w:eastAsiaTheme="minorEastAsia"/>
          <w:color w:val="000000" w:themeColor="text1"/>
          <w:kern w:val="0"/>
          <w:sz w:val="22"/>
          <w:szCs w:val="22"/>
          <w14:textFill>
            <w14:solidFill>
              <w14:schemeClr w14:val="tx1"/>
            </w14:solidFill>
          </w14:textFill>
        </w:rPr>
        <w:t>．属于保修范围内的项目，承包人同意接到发包人或相关主管部门管理，通知后在本合同约定期限内派人到现场进行维修。承包人如在接到书面通知后未在期限内派人到现场维修的，视为承包人未履行维修义务。</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2</w:t>
      </w:r>
      <w:r>
        <w:rPr>
          <w:rFonts w:hint="eastAsia" w:cs="宋体" w:asciiTheme="minorEastAsia" w:hAnsiTheme="minorEastAsia" w:eastAsiaTheme="minorEastAsia"/>
          <w:color w:val="000000" w:themeColor="text1"/>
          <w:kern w:val="0"/>
          <w:sz w:val="22"/>
          <w:szCs w:val="22"/>
          <w14:textFill>
            <w14:solidFill>
              <w14:schemeClr w14:val="tx1"/>
            </w14:solidFill>
          </w14:textFill>
        </w:rPr>
        <w:t>．发生须紧急抢修事故，承包人接到事故通知后，应立即到达事故现场抢修。</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3</w:t>
      </w:r>
      <w:r>
        <w:rPr>
          <w:rFonts w:hint="eastAsia" w:cs="宋体" w:asciiTheme="minorEastAsia" w:hAnsiTheme="minorEastAsia" w:eastAsiaTheme="minorEastAsia"/>
          <w:color w:val="000000" w:themeColor="text1"/>
          <w:kern w:val="0"/>
          <w:sz w:val="22"/>
          <w:szCs w:val="22"/>
          <w14:textFill>
            <w14:solidFill>
              <w14:schemeClr w14:val="tx1"/>
            </w14:solidFill>
          </w14:textFill>
        </w:rPr>
        <w:t>．保修期内发生工程质量问题的，承包人除承担保修责任外，因工程质量给发包人和发包人造成损失的，承包人承担赔偿责任，发包人有权根据实际情况先行代承包人向发包人赔偿损失，所需费用从工程质量保修金中扣除。</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4</w:t>
      </w:r>
      <w:r>
        <w:rPr>
          <w:rFonts w:hint="eastAsia" w:cs="宋体" w:asciiTheme="minorEastAsia" w:hAnsiTheme="minorEastAsia" w:eastAsiaTheme="minorEastAsia"/>
          <w:color w:val="000000" w:themeColor="text1"/>
          <w:kern w:val="0"/>
          <w:sz w:val="22"/>
          <w:szCs w:val="22"/>
          <w14:textFill>
            <w14:solidFill>
              <w14:schemeClr w14:val="tx1"/>
            </w14:solidFill>
          </w14:textFill>
        </w:rPr>
        <w:t>．在国家规定的工程合理使用期限内，承包人确保地基基础工程和主体结构的质量。因承包人原因致使工程在合理使用期限内造成人身和财产损害的，承包人应承担损害赔偿责任。</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5</w:t>
      </w:r>
      <w:r>
        <w:rPr>
          <w:rFonts w:hint="eastAsia" w:cs="宋体" w:asciiTheme="minorEastAsia" w:hAnsiTheme="minorEastAsia" w:eastAsiaTheme="minorEastAsia"/>
          <w:color w:val="000000" w:themeColor="text1"/>
          <w:kern w:val="0"/>
          <w:sz w:val="22"/>
          <w:szCs w:val="22"/>
          <w14:textFill>
            <w14:solidFill>
              <w14:schemeClr w14:val="tx1"/>
            </w14:solidFill>
          </w14:textFill>
        </w:rPr>
        <w:t>．承包人需制定专门的维修负责人在现场负责维修工作，并在工程竣工验收之前将维修负责人姓名、联系电话、地址、传真等信息报发包人和物业管理公司记录，该工程维修负责人代表承包人全权处理现场维修工作。</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6</w:t>
      </w:r>
      <w:r>
        <w:rPr>
          <w:rFonts w:hint="eastAsia" w:cs="宋体" w:asciiTheme="minorEastAsia" w:hAnsiTheme="minorEastAsia" w:eastAsiaTheme="minorEastAsia"/>
          <w:color w:val="000000" w:themeColor="text1"/>
          <w:kern w:val="0"/>
          <w:sz w:val="22"/>
          <w:szCs w:val="22"/>
          <w14:textFill>
            <w14:solidFill>
              <w14:schemeClr w14:val="tx1"/>
            </w14:solidFill>
          </w14:textFill>
        </w:rPr>
        <w:t>．承包人派人到现场进行维修的时间：</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a.</w:t>
      </w:r>
      <w:r>
        <w:rPr>
          <w:rFonts w:hint="eastAsia" w:cs="宋体" w:asciiTheme="minorEastAsia" w:hAnsiTheme="minorEastAsia" w:eastAsiaTheme="minorEastAsia"/>
          <w:color w:val="000000" w:themeColor="text1"/>
          <w:kern w:val="0"/>
          <w:sz w:val="22"/>
          <w:szCs w:val="22"/>
          <w14:textFill>
            <w14:solidFill>
              <w14:schemeClr w14:val="tx1"/>
            </w14:solidFill>
          </w14:textFill>
        </w:rPr>
        <w:t>给排水、供电设施及线路出现故障，承包人须在接到通知后</w:t>
      </w:r>
      <w:r>
        <w:rPr>
          <w:rFonts w:cs="Times New Roman" w:asciiTheme="minorEastAsia" w:hAnsiTheme="minorEastAsia" w:eastAsiaTheme="minorEastAsia"/>
          <w:i/>
          <w:iCs/>
          <w:color w:val="000000" w:themeColor="text1"/>
          <w:kern w:val="0"/>
          <w:sz w:val="22"/>
          <w:szCs w:val="22"/>
          <w:u w:val="single"/>
          <w14:textFill>
            <w14:solidFill>
              <w14:schemeClr w14:val="tx1"/>
            </w14:solidFill>
          </w14:textFill>
        </w:rPr>
        <w:t xml:space="preserve"> 4  </w:t>
      </w:r>
      <w:r>
        <w:rPr>
          <w:rFonts w:hint="eastAsia" w:cs="宋体" w:asciiTheme="minorEastAsia" w:hAnsiTheme="minorEastAsia" w:eastAsiaTheme="minorEastAsia"/>
          <w:color w:val="000000" w:themeColor="text1"/>
          <w:kern w:val="0"/>
          <w:sz w:val="22"/>
          <w:szCs w:val="22"/>
          <w14:textFill>
            <w14:solidFill>
              <w14:schemeClr w14:val="tx1"/>
            </w14:solidFill>
          </w14:textFill>
        </w:rPr>
        <w:t>小时内派人到现场维修，</w:t>
      </w:r>
      <w:r>
        <w:rPr>
          <w:rFonts w:cs="Times New Roman" w:asciiTheme="minorEastAsia" w:hAnsiTheme="minorEastAsia" w:eastAsiaTheme="minorEastAsia"/>
          <w:i/>
          <w:iCs/>
          <w:color w:val="000000" w:themeColor="text1"/>
          <w:kern w:val="0"/>
          <w:sz w:val="22"/>
          <w:szCs w:val="22"/>
          <w:u w:val="single"/>
          <w14:textFill>
            <w14:solidFill>
              <w14:schemeClr w14:val="tx1"/>
            </w14:solidFill>
          </w14:textFill>
        </w:rPr>
        <w:t xml:space="preserve">  12  </w:t>
      </w:r>
      <w:r>
        <w:rPr>
          <w:rFonts w:hint="eastAsia" w:cs="宋体" w:asciiTheme="minorEastAsia" w:hAnsiTheme="minorEastAsia" w:eastAsiaTheme="minorEastAsia"/>
          <w:color w:val="000000" w:themeColor="text1"/>
          <w:kern w:val="0"/>
          <w:sz w:val="22"/>
          <w:szCs w:val="22"/>
          <w14:textFill>
            <w14:solidFill>
              <w14:schemeClr w14:val="tx1"/>
            </w14:solidFill>
          </w14:textFill>
        </w:rPr>
        <w:t>小时内完成维修工作。</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b.</w:t>
      </w:r>
      <w:r>
        <w:rPr>
          <w:rFonts w:hint="eastAsia" w:cs="宋体" w:asciiTheme="minorEastAsia" w:hAnsiTheme="minorEastAsia" w:eastAsiaTheme="minorEastAsia"/>
          <w:color w:val="000000" w:themeColor="text1"/>
          <w:kern w:val="0"/>
          <w:sz w:val="22"/>
          <w:szCs w:val="22"/>
          <w14:textFill>
            <w14:solidFill>
              <w14:schemeClr w14:val="tx1"/>
            </w14:solidFill>
          </w14:textFill>
        </w:rPr>
        <w:t>其他一般情况，承包人须在接到通知后</w:t>
      </w:r>
      <w:r>
        <w:rPr>
          <w:rFonts w:cs="Times New Roman" w:asciiTheme="minorEastAsia" w:hAnsiTheme="minorEastAsia" w:eastAsiaTheme="minorEastAsia"/>
          <w:i/>
          <w:iCs/>
          <w:color w:val="000000" w:themeColor="text1"/>
          <w:kern w:val="0"/>
          <w:sz w:val="22"/>
          <w:szCs w:val="22"/>
          <w:u w:val="single"/>
          <w14:textFill>
            <w14:solidFill>
              <w14:schemeClr w14:val="tx1"/>
            </w14:solidFill>
          </w14:textFill>
        </w:rPr>
        <w:t xml:space="preserve">  24  </w:t>
      </w:r>
      <w:r>
        <w:rPr>
          <w:rFonts w:hint="eastAsia" w:cs="宋体" w:asciiTheme="minorEastAsia" w:hAnsiTheme="minorEastAsia" w:eastAsiaTheme="minorEastAsia"/>
          <w:color w:val="000000" w:themeColor="text1"/>
          <w:kern w:val="0"/>
          <w:sz w:val="22"/>
          <w:szCs w:val="22"/>
          <w14:textFill>
            <w14:solidFill>
              <w14:schemeClr w14:val="tx1"/>
            </w14:solidFill>
          </w14:textFill>
        </w:rPr>
        <w:t>小时内派人到现场维修，</w:t>
      </w:r>
      <w:r>
        <w:rPr>
          <w:rFonts w:cs="Times New Roman" w:asciiTheme="minorEastAsia" w:hAnsiTheme="minorEastAsia" w:eastAsiaTheme="minorEastAsia"/>
          <w:i/>
          <w:iCs/>
          <w:color w:val="000000" w:themeColor="text1"/>
          <w:kern w:val="0"/>
          <w:sz w:val="22"/>
          <w:szCs w:val="22"/>
          <w:u w:val="single"/>
          <w14:textFill>
            <w14:solidFill>
              <w14:schemeClr w14:val="tx1"/>
            </w14:solidFill>
          </w14:textFill>
        </w:rPr>
        <w:t>48</w:t>
      </w:r>
      <w:r>
        <w:rPr>
          <w:rFonts w:hint="eastAsia" w:cs="宋体" w:asciiTheme="minorEastAsia" w:hAnsiTheme="minorEastAsia" w:eastAsiaTheme="minorEastAsia"/>
          <w:color w:val="000000" w:themeColor="text1"/>
          <w:kern w:val="0"/>
          <w:sz w:val="22"/>
          <w:szCs w:val="22"/>
          <w14:textFill>
            <w14:solidFill>
              <w14:schemeClr w14:val="tx1"/>
            </w14:solidFill>
          </w14:textFill>
        </w:rPr>
        <w:t>小时内完成维修工作。</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c.</w:t>
      </w:r>
      <w:r>
        <w:rPr>
          <w:rFonts w:hint="eastAsia" w:cs="宋体" w:asciiTheme="minorEastAsia" w:hAnsiTheme="minorEastAsia" w:eastAsiaTheme="minorEastAsia"/>
          <w:color w:val="000000" w:themeColor="text1"/>
          <w:kern w:val="0"/>
          <w:sz w:val="22"/>
          <w:szCs w:val="22"/>
          <w14:textFill>
            <w14:solidFill>
              <w14:schemeClr w14:val="tx1"/>
            </w14:solidFill>
          </w14:textFill>
        </w:rPr>
        <w:t>对于一时无法彻底修复的大修问题，承包人应在</w:t>
      </w:r>
      <w:r>
        <w:rPr>
          <w:rFonts w:cs="Times New Roman" w:asciiTheme="minorEastAsia" w:hAnsiTheme="minorEastAsia" w:eastAsiaTheme="minorEastAsia"/>
          <w:i/>
          <w:iCs/>
          <w:color w:val="000000" w:themeColor="text1"/>
          <w:kern w:val="0"/>
          <w:sz w:val="22"/>
          <w:szCs w:val="22"/>
          <w:u w:val="single"/>
          <w14:textFill>
            <w14:solidFill>
              <w14:schemeClr w14:val="tx1"/>
            </w14:solidFill>
          </w14:textFill>
        </w:rPr>
        <w:t xml:space="preserve"> 3  </w:t>
      </w:r>
      <w:r>
        <w:rPr>
          <w:rFonts w:hint="eastAsia" w:cs="宋体" w:asciiTheme="minorEastAsia" w:hAnsiTheme="minorEastAsia" w:eastAsiaTheme="minorEastAsia"/>
          <w:color w:val="000000" w:themeColor="text1"/>
          <w:kern w:val="0"/>
          <w:sz w:val="22"/>
          <w:szCs w:val="22"/>
          <w14:textFill>
            <w14:solidFill>
              <w14:schemeClr w14:val="tx1"/>
            </w14:solidFill>
          </w14:textFill>
        </w:rPr>
        <w:t>天内以书面形式明确维修方案及维修期限，报发包人代表审核同意后次日起实施。</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7</w:t>
      </w:r>
      <w:r>
        <w:rPr>
          <w:rFonts w:hint="eastAsia" w:cs="宋体" w:asciiTheme="minorEastAsia" w:hAnsiTheme="minorEastAsia" w:eastAsiaTheme="minorEastAsia"/>
          <w:color w:val="000000" w:themeColor="text1"/>
          <w:kern w:val="0"/>
          <w:sz w:val="22"/>
          <w:szCs w:val="22"/>
          <w14:textFill>
            <w14:solidFill>
              <w14:schemeClr w14:val="tx1"/>
            </w14:solidFill>
          </w14:textFill>
        </w:rPr>
        <w:t>．在承包人人员到达之前，发包人可采取适当的应急措施，费用由承包人承担。</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8</w:t>
      </w:r>
      <w:r>
        <w:rPr>
          <w:rFonts w:hint="eastAsia" w:cs="宋体" w:asciiTheme="minorEastAsia" w:hAnsiTheme="minorEastAsia" w:eastAsiaTheme="minorEastAsia"/>
          <w:color w:val="000000" w:themeColor="text1"/>
          <w:kern w:val="0"/>
          <w:sz w:val="22"/>
          <w:szCs w:val="22"/>
          <w14:textFill>
            <w14:solidFill>
              <w14:schemeClr w14:val="tx1"/>
            </w14:solidFill>
          </w14:textFill>
        </w:rPr>
        <w:t>．遇下列特殊情况的，承包人同意发包人、发包人或相关主管部门管理可以对一定金额（材料安装类</w:t>
      </w:r>
      <w:r>
        <w:rPr>
          <w:rFonts w:cs="Times New Roman" w:asciiTheme="minorEastAsia" w:hAnsiTheme="minorEastAsia" w:eastAsiaTheme="minorEastAsia"/>
          <w:color w:val="000000" w:themeColor="text1"/>
          <w:kern w:val="0"/>
          <w:sz w:val="22"/>
          <w:szCs w:val="22"/>
          <w14:textFill>
            <w14:solidFill>
              <w14:schemeClr w14:val="tx1"/>
            </w14:solidFill>
          </w14:textFill>
        </w:rPr>
        <w:t>5000</w:t>
      </w:r>
      <w:r>
        <w:rPr>
          <w:rFonts w:hint="eastAsia" w:cs="宋体" w:asciiTheme="minorEastAsia" w:hAnsiTheme="minorEastAsia" w:eastAsiaTheme="minorEastAsia"/>
          <w:color w:val="000000" w:themeColor="text1"/>
          <w:kern w:val="0"/>
          <w:sz w:val="22"/>
          <w:szCs w:val="22"/>
          <w14:textFill>
            <w14:solidFill>
              <w14:schemeClr w14:val="tx1"/>
            </w14:solidFill>
          </w14:textFill>
        </w:rPr>
        <w:t>元，土建市政类</w:t>
      </w:r>
      <w:r>
        <w:rPr>
          <w:rFonts w:cs="Times New Roman" w:asciiTheme="minorEastAsia" w:hAnsiTheme="minorEastAsia" w:eastAsiaTheme="minorEastAsia"/>
          <w:color w:val="000000" w:themeColor="text1"/>
          <w:kern w:val="0"/>
          <w:sz w:val="22"/>
          <w:szCs w:val="22"/>
          <w14:textFill>
            <w14:solidFill>
              <w14:schemeClr w14:val="tx1"/>
            </w14:solidFill>
          </w14:textFill>
        </w:rPr>
        <w:t xml:space="preserve"> 10000</w:t>
      </w:r>
      <w:r>
        <w:rPr>
          <w:rFonts w:hint="eastAsia" w:cs="宋体" w:asciiTheme="minorEastAsia" w:hAnsiTheme="minorEastAsia" w:eastAsiaTheme="minorEastAsia"/>
          <w:color w:val="000000" w:themeColor="text1"/>
          <w:kern w:val="0"/>
          <w:sz w:val="22"/>
          <w:szCs w:val="22"/>
          <w14:textFill>
            <w14:solidFill>
              <w14:schemeClr w14:val="tx1"/>
            </w14:solidFill>
          </w14:textFill>
        </w:rPr>
        <w:t>元）以内的维修项目进行应急处理，可先行委托其他单位进行维修，所产生的维修费用由承包人承担。</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a</w:t>
      </w:r>
      <w:r>
        <w:rPr>
          <w:rFonts w:hint="eastAsia" w:cs="宋体" w:asciiTheme="minorEastAsia" w:hAnsiTheme="minorEastAsia" w:eastAsiaTheme="minorEastAsia"/>
          <w:color w:val="000000" w:themeColor="text1"/>
          <w:kern w:val="0"/>
          <w:sz w:val="22"/>
          <w:szCs w:val="22"/>
          <w14:textFill>
            <w14:solidFill>
              <w14:schemeClr w14:val="tx1"/>
            </w14:solidFill>
          </w14:textFill>
        </w:rPr>
        <w:t>．紧急抢修事故时，为避免损失进一步扩大；</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b</w:t>
      </w:r>
      <w:r>
        <w:rPr>
          <w:rFonts w:hint="eastAsia" w:cs="宋体" w:asciiTheme="minorEastAsia" w:hAnsiTheme="minorEastAsia" w:eastAsiaTheme="minorEastAsia"/>
          <w:color w:val="000000" w:themeColor="text1"/>
          <w:kern w:val="0"/>
          <w:sz w:val="22"/>
          <w:szCs w:val="22"/>
          <w14:textFill>
            <w14:solidFill>
              <w14:schemeClr w14:val="tx1"/>
            </w14:solidFill>
          </w14:textFill>
        </w:rPr>
        <w:t>．直接影响到发包人财产安全及正常运转时；</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9</w:t>
      </w:r>
      <w:r>
        <w:rPr>
          <w:rFonts w:hint="eastAsia" w:cs="宋体" w:asciiTheme="minorEastAsia" w:hAnsiTheme="minorEastAsia" w:eastAsiaTheme="minorEastAsia"/>
          <w:color w:val="000000" w:themeColor="text1"/>
          <w:kern w:val="0"/>
          <w:sz w:val="22"/>
          <w:szCs w:val="22"/>
          <w14:textFill>
            <w14:solidFill>
              <w14:schemeClr w14:val="tx1"/>
            </w14:solidFill>
          </w14:textFill>
        </w:rPr>
        <w:t>．发包人或相关主管部门管理认为需召开维保工作协调会时，承包人应当准时参加，会议上提出的问题必须当场确定解决方案，承包人对其派出与会人员的签字确认负全部责任，并应当执行会议决定。否则，视作承包人未履行维修义务。</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10</w:t>
      </w:r>
      <w:r>
        <w:rPr>
          <w:rFonts w:hint="eastAsia" w:cs="宋体" w:asciiTheme="minorEastAsia" w:hAnsiTheme="minorEastAsia" w:eastAsiaTheme="minorEastAsia"/>
          <w:color w:val="000000" w:themeColor="text1"/>
          <w:kern w:val="0"/>
          <w:sz w:val="22"/>
          <w:szCs w:val="22"/>
          <w14:textFill>
            <w14:solidFill>
              <w14:schemeClr w14:val="tx1"/>
            </w14:solidFill>
          </w14:textFill>
        </w:rPr>
        <w:t>．承包人未在指定期限派人维修或发生其他视为承包人未履行维修义务情形的，发包人或相关主管部门管理有权委托第三人进行维修，所产生相关费用包括维修费、对发包人补偿金等均由承包人承担，并在工程保修金中扣除。</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11</w:t>
      </w:r>
      <w:r>
        <w:rPr>
          <w:rFonts w:hint="eastAsia" w:cs="宋体" w:asciiTheme="minorEastAsia" w:hAnsiTheme="minorEastAsia" w:eastAsiaTheme="minorEastAsia"/>
          <w:color w:val="000000" w:themeColor="text1"/>
          <w:kern w:val="0"/>
          <w:sz w:val="22"/>
          <w:szCs w:val="22"/>
          <w14:textFill>
            <w14:solidFill>
              <w14:schemeClr w14:val="tx1"/>
            </w14:solidFill>
          </w14:textFill>
        </w:rPr>
        <w:t>．因工程质量问题发生工程维修费用或对第三人赔偿损失的，发包人通知承包人应承担的费用或损失金额，承包人收到通知后</w:t>
      </w:r>
      <w:r>
        <w:rPr>
          <w:rFonts w:cs="Times New Roman" w:asciiTheme="minorEastAsia" w:hAnsiTheme="minorEastAsia" w:eastAsiaTheme="minorEastAsia"/>
          <w:color w:val="000000" w:themeColor="text1"/>
          <w:kern w:val="0"/>
          <w:sz w:val="22"/>
          <w:szCs w:val="22"/>
          <w14:textFill>
            <w14:solidFill>
              <w14:schemeClr w14:val="tx1"/>
            </w14:solidFill>
          </w14:textFill>
        </w:rPr>
        <w:t>7</w:t>
      </w:r>
      <w:r>
        <w:rPr>
          <w:rFonts w:hint="eastAsia" w:cs="宋体" w:asciiTheme="minorEastAsia" w:hAnsiTheme="minorEastAsia" w:eastAsiaTheme="minorEastAsia"/>
          <w:color w:val="000000" w:themeColor="text1"/>
          <w:kern w:val="0"/>
          <w:sz w:val="22"/>
          <w:szCs w:val="22"/>
          <w14:textFill>
            <w14:solidFill>
              <w14:schemeClr w14:val="tx1"/>
            </w14:solidFill>
          </w14:textFill>
        </w:rPr>
        <w:t>日内不提出具体异议的，视为承包人认可并同意承担通知书中确定的金额。</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12</w:t>
      </w:r>
      <w:r>
        <w:rPr>
          <w:rFonts w:hint="eastAsia" w:cs="宋体" w:asciiTheme="minorEastAsia" w:hAnsiTheme="minorEastAsia" w:eastAsiaTheme="minorEastAsia"/>
          <w:color w:val="000000" w:themeColor="text1"/>
          <w:kern w:val="0"/>
          <w:sz w:val="22"/>
          <w:szCs w:val="22"/>
          <w14:textFill>
            <w14:solidFill>
              <w14:schemeClr w14:val="tx1"/>
            </w14:solidFill>
          </w14:textFill>
        </w:rPr>
        <w:t>、工程竣工验收后，本工程移交给相关单位管理，并从移交日起，接管单位有权代为行使发包方在本协议中关于保修养护事宜的权利和责任，即接管单位可直接通知承包人履行保修养护责任。</w:t>
      </w:r>
    </w:p>
    <w:p>
      <w:pPr>
        <w:pStyle w:val="26"/>
        <w:spacing w:line="520" w:lineRule="exact"/>
        <w:ind w:firstLine="440"/>
        <w:contextualSpacing/>
        <w:outlineLvl w:val="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四、保修费用</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保修费用由造成质量缺陷的责任方承担。承包人负责保修的质量，工程保修项目完成后须经发包人代表验收签字方可。工程保修项目应保证在十二个月内不出现同类问题，否则，即使保修期满也应继续维修。对同一工程质量问题承包人维修两次后，再次发生该质量问题的，物业管理公司（或相关主管部门管理）有权安排自行维修、委托其他单位维修，所产生相关费用包括维修费、对发包人的补偿金等均由承包人承担。</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u w:val="single"/>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五、质量保修金的支付与返还</w:t>
      </w:r>
    </w:p>
    <w:p>
      <w:pPr>
        <w:widowControl/>
        <w:tabs>
          <w:tab w:val="left" w:pos="2880"/>
        </w:tabs>
        <w:spacing w:line="520" w:lineRule="exact"/>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如质量保修金余额不足以支付工程保修及赔偿等费用，承包人应在接到发包人通知后</w:t>
      </w:r>
      <w:r>
        <w:rPr>
          <w:rFonts w:cs="Times New Roman" w:asciiTheme="minorEastAsia" w:hAnsiTheme="minorEastAsia" w:eastAsiaTheme="minorEastAsia"/>
          <w:color w:val="000000" w:themeColor="text1"/>
          <w:kern w:val="0"/>
          <w:sz w:val="22"/>
          <w:szCs w:val="22"/>
          <w14:textFill>
            <w14:solidFill>
              <w14:schemeClr w14:val="tx1"/>
            </w14:solidFill>
          </w14:textFill>
        </w:rPr>
        <w:t>15</w:t>
      </w:r>
      <w:r>
        <w:rPr>
          <w:rFonts w:hint="eastAsia" w:cs="宋体" w:asciiTheme="minorEastAsia" w:hAnsiTheme="minorEastAsia" w:eastAsiaTheme="minorEastAsia"/>
          <w:color w:val="000000" w:themeColor="text1"/>
          <w:kern w:val="0"/>
          <w:sz w:val="22"/>
          <w:szCs w:val="22"/>
          <w14:textFill>
            <w14:solidFill>
              <w14:schemeClr w14:val="tx1"/>
            </w14:solidFill>
          </w14:textFill>
        </w:rPr>
        <w:t>天内将差额补齐。</w:t>
      </w:r>
    </w:p>
    <w:p>
      <w:pPr>
        <w:pStyle w:val="26"/>
        <w:spacing w:line="520" w:lineRule="exact"/>
        <w:ind w:firstLine="440"/>
        <w:contextualSpacing/>
        <w:outlineLvl w:val="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六、其他</w:t>
      </w:r>
    </w:p>
    <w:p>
      <w:pPr>
        <w:pStyle w:val="26"/>
        <w:spacing w:line="520" w:lineRule="exact"/>
        <w:ind w:firstLine="440"/>
        <w:contextualSpacing/>
        <w:rPr>
          <w:rFonts w:cs="Times New Roman" w:asciiTheme="minorEastAsia" w:hAnsiTheme="minorEastAsia" w:eastAsiaTheme="minorEastAsia"/>
          <w:color w:val="000000" w:themeColor="text1"/>
          <w:sz w:val="22"/>
          <w:szCs w:val="22"/>
          <w:u w:val="single"/>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约定的其他工程质量保修事项：</w:t>
      </w:r>
      <w:r>
        <w:rPr>
          <w:rFonts w:cs="Times New Roman" w:asciiTheme="minorEastAsia" w:hAnsiTheme="minorEastAsia" w:eastAsiaTheme="minorEastAsia"/>
          <w:b/>
          <w:bCs/>
          <w:color w:val="000000" w:themeColor="text1"/>
          <w:sz w:val="22"/>
          <w:szCs w:val="22"/>
          <w:u w:val="single"/>
          <w14:textFill>
            <w14:solidFill>
              <w14:schemeClr w14:val="tx1"/>
            </w14:solidFill>
          </w14:textFill>
        </w:rPr>
        <w:t xml:space="preserve">                         </w:t>
      </w:r>
      <w:r>
        <w:rPr>
          <w:rFonts w:hint="eastAsia" w:cs="宋体" w:asciiTheme="minorEastAsia" w:hAnsiTheme="minorEastAsia" w:eastAsiaTheme="minorEastAsia"/>
          <w:b/>
          <w:bCs/>
          <w:color w:val="000000" w:themeColor="text1"/>
          <w:sz w:val="22"/>
          <w:szCs w:val="22"/>
          <w:u w:val="single"/>
          <w14:textFill>
            <w14:solidFill>
              <w14:schemeClr w14:val="tx1"/>
            </w14:solidFill>
          </w14:textFill>
        </w:rPr>
        <w:t>。</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本工程质量保修书，由发包人和承包人双方在竣工验收前共同签署，作为工程总承包合同附件，其有效期限至保修期满。</w:t>
      </w:r>
    </w:p>
    <w:p>
      <w:pPr>
        <w:pStyle w:val="26"/>
        <w:spacing w:line="520" w:lineRule="exact"/>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发包人（公章）：</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承包人（公章）：</w:t>
      </w:r>
    </w:p>
    <w:p>
      <w:pPr>
        <w:pStyle w:val="26"/>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法定代表人（签字或盖章）：</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法定代表人（签字或盖章）：</w:t>
      </w:r>
    </w:p>
    <w:p>
      <w:pPr>
        <w:spacing w:line="52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年</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月</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日</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年</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月</w:t>
      </w:r>
      <w:r>
        <w:rPr>
          <w:rFonts w:cs="Times New Roman" w:asciiTheme="minorEastAsia" w:hAnsiTheme="minorEastAsia" w:eastAsiaTheme="minorEastAsia"/>
          <w:color w:val="000000" w:themeColor="text1"/>
          <w:sz w:val="22"/>
          <w:szCs w:val="22"/>
          <w14:textFill>
            <w14:solidFill>
              <w14:schemeClr w14:val="tx1"/>
            </w14:solidFill>
          </w14:textFill>
        </w:rPr>
        <w:t xml:space="preserve">    </w:t>
      </w:r>
      <w:r>
        <w:rPr>
          <w:rFonts w:hint="eastAsia" w:cs="宋体" w:asciiTheme="minorEastAsia" w:hAnsiTheme="minorEastAsia" w:eastAsiaTheme="minorEastAsia"/>
          <w:color w:val="000000" w:themeColor="text1"/>
          <w:sz w:val="22"/>
          <w:szCs w:val="22"/>
          <w14:textFill>
            <w14:solidFill>
              <w14:schemeClr w14:val="tx1"/>
            </w14:solidFill>
          </w14:textFill>
        </w:rPr>
        <w:t>日</w:t>
      </w:r>
    </w:p>
    <w:p>
      <w:pPr>
        <w:ind w:firstLine="480"/>
        <w:rPr>
          <w:rFonts w:cs="Times New Roman"/>
          <w:b/>
          <w:bCs/>
          <w:color w:val="000000" w:themeColor="text1"/>
          <w:sz w:val="21"/>
          <w:szCs w:val="21"/>
          <w14:textFill>
            <w14:solidFill>
              <w14:schemeClr w14:val="tx1"/>
            </w14:solidFill>
          </w14:textFill>
        </w:rPr>
      </w:pPr>
      <w:r>
        <w:rPr>
          <w:rFonts w:cs="Times New Roman"/>
          <w:color w:val="000000" w:themeColor="text1"/>
          <w:sz w:val="24"/>
          <w:szCs w:val="24"/>
          <w:u w:val="single"/>
          <w14:textFill>
            <w14:solidFill>
              <w14:schemeClr w14:val="tx1"/>
            </w14:solidFill>
          </w14:textFill>
        </w:rPr>
        <w:br w:type="page"/>
      </w:r>
      <w:r>
        <w:rPr>
          <w:rFonts w:hint="eastAsia" w:ascii="宋体" w:hAnsi="宋体" w:eastAsia="宋体" w:cs="宋体"/>
          <w:b/>
          <w:bCs/>
          <w:color w:val="000000" w:themeColor="text1"/>
          <w:sz w:val="21"/>
          <w:szCs w:val="21"/>
          <w14:textFill>
            <w14:solidFill>
              <w14:schemeClr w14:val="tx1"/>
            </w14:solidFill>
          </w14:textFill>
        </w:rPr>
        <w:t>附件五：</w:t>
      </w:r>
    </w:p>
    <w:p>
      <w:pPr>
        <w:spacing w:line="360" w:lineRule="auto"/>
        <w:ind w:firstLine="643"/>
        <w:jc w:val="center"/>
        <w:rPr>
          <w:rFonts w:cs="Times New Roman"/>
          <w:b/>
          <w:bCs/>
          <w:color w:val="000000" w:themeColor="text1"/>
          <w:sz w:val="32"/>
          <w:szCs w:val="32"/>
          <w14:textFill>
            <w14:solidFill>
              <w14:schemeClr w14:val="tx1"/>
            </w14:solidFill>
          </w14:textFill>
        </w:rPr>
      </w:pPr>
      <w:r>
        <w:rPr>
          <w:rFonts w:cs="Times New Roman"/>
          <w:b/>
          <w:bCs/>
          <w:color w:val="000000" w:themeColor="text1"/>
          <w:sz w:val="32"/>
          <w:szCs w:val="32"/>
          <w14:textFill>
            <w14:solidFill>
              <w14:schemeClr w14:val="tx1"/>
            </w14:solidFill>
          </w14:textFill>
        </w:rPr>
        <w:t>廉政责任书</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根据有关工程建设、廉政建设的规定，为做好工程建设中的党风廉政建设，保证工程建设高效优质，保证建设资金的安全和有效使用以及投资效益，</w:t>
      </w:r>
      <w:r>
        <w:rPr>
          <w:rFonts w:asciiTheme="minorEastAsia" w:hAnsiTheme="minorEastAsia" w:eastAsiaTheme="minorEastAsia"/>
          <w:color w:val="000000" w:themeColor="text1"/>
          <w:sz w:val="22"/>
          <w:szCs w:val="22"/>
          <w14:textFill>
            <w14:solidFill>
              <w14:schemeClr w14:val="tx1"/>
            </w14:solidFill>
          </w14:textFill>
        </w:rPr>
        <w:t>_____________</w:t>
      </w:r>
      <w:r>
        <w:rPr>
          <w:rFonts w:cs="Times New Roman" w:asciiTheme="minorEastAsia" w:hAnsiTheme="minorEastAsia" w:eastAsiaTheme="minorEastAsia"/>
          <w:color w:val="000000" w:themeColor="text1"/>
          <w:sz w:val="22"/>
          <w:szCs w:val="22"/>
          <w14:textFill>
            <w14:solidFill>
              <w14:schemeClr w14:val="tx1"/>
            </w14:solidFill>
          </w14:textFill>
        </w:rPr>
        <w:t>（以下简称发包人）与承包人</w:t>
      </w:r>
      <w:r>
        <w:rPr>
          <w:rFonts w:asciiTheme="minorEastAsia" w:hAnsiTheme="minorEastAsia" w:eastAsiaTheme="minorEastAsia"/>
          <w:color w:val="000000" w:themeColor="text1"/>
          <w:sz w:val="22"/>
          <w:szCs w:val="22"/>
          <w14:textFill>
            <w14:solidFill>
              <w14:schemeClr w14:val="tx1"/>
            </w14:solidFill>
          </w14:textFill>
        </w:rPr>
        <w:t>_____________</w:t>
      </w:r>
      <w:r>
        <w:rPr>
          <w:rFonts w:cs="Times New Roman" w:asciiTheme="minorEastAsia" w:hAnsiTheme="minorEastAsia" w:eastAsiaTheme="minorEastAsia"/>
          <w:color w:val="000000" w:themeColor="text1"/>
          <w:sz w:val="22"/>
          <w:szCs w:val="22"/>
          <w14:textFill>
            <w14:solidFill>
              <w14:schemeClr w14:val="tx1"/>
            </w14:solidFill>
          </w14:textFill>
        </w:rPr>
        <w:t>（以下简称承包人），特订立如下合同：</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第一条甲乙双方的权利和义务</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（一）严格遵守党和国家有关法律法规及建设部的有关规定。</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（二）严格执行</w:t>
      </w:r>
      <w:r>
        <w:rPr>
          <w:rFonts w:asciiTheme="minorEastAsia" w:hAnsiTheme="minorEastAsia" w:eastAsiaTheme="minorEastAsia"/>
          <w:color w:val="000000" w:themeColor="text1"/>
          <w:sz w:val="22"/>
          <w:szCs w:val="22"/>
          <w14:textFill>
            <w14:solidFill>
              <w14:schemeClr w14:val="tx1"/>
            </w14:solidFill>
          </w14:textFill>
        </w:rPr>
        <w:t>_____________________</w:t>
      </w:r>
      <w:r>
        <w:rPr>
          <w:rFonts w:cs="Times New Roman" w:asciiTheme="minorEastAsia" w:hAnsiTheme="minorEastAsia" w:eastAsiaTheme="minorEastAsia"/>
          <w:color w:val="000000" w:themeColor="text1"/>
          <w:sz w:val="22"/>
          <w:szCs w:val="22"/>
          <w14:textFill>
            <w14:solidFill>
              <w14:schemeClr w14:val="tx1"/>
            </w14:solidFill>
          </w14:textFill>
        </w:rPr>
        <w:t>工程施工合同文件，自觉按合同办事。</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（三）双方的业务活动坚持公开、公正、诚信、透明的原则（除法律认定的商业秘密和合同文件另有规定之外），不得损害国家和集体利益，违反工程建设管理规章制度。</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（四）建立健全廉政制度，开展廉政教育，设立廉政告示牌，公布举报电话，监督并认真查处违法违纪行为。</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（五）发现对方在业务活动中有违反廉政规定的行为，有及时提醒对方纠正的权利和义务</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（六）发现对方严重违反本合同义务条款的行为，有向其上级有关部门举报、建议给予处理并要求告知处理结果的权利。</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第二条发包人的义务</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（一）发包人及其工作人员不得索要或接受承包人的礼金、有价证券和贵重物品，不得在承包人报销任何应由发包人或个人支付的费用等。</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（二）发包人工作人员不得参加承包人安排的超标准宴请和娱乐活动，不得接受承包人提供的通讯工具、交通工具和高档办公用品等。</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（三）发包人及其工作人员不得要求或者接受承包人为其住房装修、婚丧嫁娶活动、配偶子女的工作安排以及出国出境、旅游等提供方便等。</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（四）发包人工作人员的配偶、子女不得从事与发包人工程有关的材料设备供应、工程分包、劳务等经济活动等。</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（五）发包人及其工作人员不得以任何理由向承包人推荐分包单位，不得要求承包人购买合同外的材料和设备。</w:t>
      </w:r>
    </w:p>
    <w:p>
      <w:pPr>
        <w:numPr>
          <w:ilvl w:val="0"/>
          <w:numId w:val="9"/>
        </w:numPr>
        <w:tabs>
          <w:tab w:val="left" w:pos="900"/>
          <w:tab w:val="left" w:pos="1620"/>
          <w:tab w:val="clear" w:pos="1440"/>
        </w:tabs>
        <w:spacing w:line="460" w:lineRule="exact"/>
        <w:ind w:left="0"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承包人义务</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（一）承包人不得以任何理由向发包人及其工作人员行贿或馈赠礼金，有价证券、贵重礼品。</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（二）承包人不得以任何名义为发包人及其工作人员报销应由发包人单位或个人支付的任何费用。</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（三）承包人不得以任何理由安排发包人工作人员参加超标准宴请及娱乐活动。</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（四）承包人不得为发包人单位和个人购置或提供通讯工具、交通工具和高档办公用品等。</w:t>
      </w:r>
    </w:p>
    <w:p>
      <w:pPr>
        <w:numPr>
          <w:ilvl w:val="0"/>
          <w:numId w:val="9"/>
        </w:numPr>
        <w:tabs>
          <w:tab w:val="left" w:pos="900"/>
          <w:tab w:val="clear" w:pos="1440"/>
        </w:tabs>
        <w:spacing w:line="460" w:lineRule="exact"/>
        <w:ind w:left="0"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违约责任</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（一）发包人及其工作人员违反本合同第一、二条，按管理权限，依据有关规定给予党纪、政纪或组织处理；涉嫌犯罪的，移交司法机关追究刑事责任；给承包人单位造成经济损失的，应予以赔偿。</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二）承包人及其工作人员违反本合同第一、三条，按管理权限，依据有关规定、给予党纪、政纪或组织处理；给发包人单位造成经济损失的，应予以赔偿；情节严重的，发包人建议工程建设主管部门给予承包人一至三年内不得进入其主管的工程建筑市场的处罚。</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第五条</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双方约定</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本合同由双方或双方上级单位的纪检监察机关负责监督。由发包人或发包人上级单位的纪检监察机关约请承包人或承包人上级单位纪检监察机关对本合同履行情况进行检查提出在本合同规定范围内的裁定意见。</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第六条</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本合同有效期为甲乙双方签署之日起至该工程项目竣工验收后止。</w:t>
      </w:r>
    </w:p>
    <w:p>
      <w:pPr>
        <w:numPr>
          <w:ilvl w:val="0"/>
          <w:numId w:val="10"/>
        </w:numPr>
        <w:spacing w:line="460" w:lineRule="exact"/>
        <w:ind w:left="0"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本合同作为</w:t>
      </w:r>
      <w:r>
        <w:rPr>
          <w:rFonts w:asciiTheme="minorEastAsia" w:hAnsiTheme="minorEastAsia" w:eastAsiaTheme="minorEastAsia"/>
          <w:color w:val="000000" w:themeColor="text1"/>
          <w:sz w:val="22"/>
          <w:szCs w:val="22"/>
          <w14:textFill>
            <w14:solidFill>
              <w14:schemeClr w14:val="tx1"/>
            </w14:solidFill>
          </w14:textFill>
        </w:rPr>
        <w:t>____________________</w:t>
      </w:r>
      <w:r>
        <w:rPr>
          <w:rFonts w:cs="Times New Roman" w:asciiTheme="minorEastAsia" w:hAnsiTheme="minorEastAsia" w:eastAsiaTheme="minorEastAsia"/>
          <w:color w:val="000000" w:themeColor="text1"/>
          <w:sz w:val="22"/>
          <w:szCs w:val="22"/>
          <w14:textFill>
            <w14:solidFill>
              <w14:schemeClr w14:val="tx1"/>
            </w14:solidFill>
          </w14:textFill>
        </w:rPr>
        <w:t>工程施工合同的附件，与工程施工合同具有同等的法律效力，经合同双方签署立即生效。</w:t>
      </w:r>
    </w:p>
    <w:p>
      <w:pPr>
        <w:numPr>
          <w:ilvl w:val="0"/>
          <w:numId w:val="10"/>
        </w:numPr>
        <w:spacing w:line="460" w:lineRule="exact"/>
        <w:ind w:left="0"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本合同甲乙双方各执一份，送交双方监督单位一份。</w:t>
      </w:r>
    </w:p>
    <w:p>
      <w:pPr>
        <w:spacing w:line="460" w:lineRule="exact"/>
        <w:ind w:firstLine="0" w:firstLineChars="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发包人单位：（盖章）</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承包人单位：（盖章）</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法定代表人：</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法定代表人：</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年</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月</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日</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年</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月</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日</w:t>
      </w: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p>
    <w:p>
      <w:pPr>
        <w:spacing w:line="460" w:lineRule="exact"/>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sectPr>
          <w:pgSz w:w="11906" w:h="16838"/>
          <w:pgMar w:top="1440" w:right="1800" w:bottom="1440" w:left="1417" w:header="851" w:footer="992" w:gutter="0"/>
          <w:cols w:space="0" w:num="1"/>
          <w:docGrid w:type="lines" w:linePitch="312" w:charSpace="0"/>
        </w:sectPr>
      </w:pPr>
      <w:r>
        <w:rPr>
          <w:rFonts w:cs="Times New Roman" w:asciiTheme="minorEastAsia" w:hAnsiTheme="minorEastAsia" w:eastAsiaTheme="minorEastAsia"/>
          <w:color w:val="000000" w:themeColor="text1"/>
          <w:sz w:val="22"/>
          <w:szCs w:val="22"/>
          <w14:textFill>
            <w14:solidFill>
              <w14:schemeClr w14:val="tx1"/>
            </w14:solidFill>
          </w14:textFill>
        </w:rPr>
        <w:t>发包人监督单位（盖章）</w:t>
      </w:r>
      <w:r>
        <w:rPr>
          <w:rFonts w:asciiTheme="minorEastAsia" w:hAnsiTheme="minorEastAsia" w:eastAsiaTheme="minorEastAsia"/>
          <w:color w:val="000000" w:themeColor="text1"/>
          <w:sz w:val="22"/>
          <w:szCs w:val="22"/>
          <w14:textFill>
            <w14:solidFill>
              <w14:schemeClr w14:val="tx1"/>
            </w14:solidFill>
          </w14:textFill>
        </w:rPr>
        <w:t xml:space="preserve">                 </w:t>
      </w:r>
      <w:r>
        <w:rPr>
          <w:rFonts w:cs="Times New Roman" w:asciiTheme="minorEastAsia" w:hAnsiTheme="minorEastAsia" w:eastAsiaTheme="minorEastAsia"/>
          <w:color w:val="000000" w:themeColor="text1"/>
          <w:sz w:val="22"/>
          <w:szCs w:val="22"/>
          <w14:textFill>
            <w14:solidFill>
              <w14:schemeClr w14:val="tx1"/>
            </w14:solidFill>
          </w14:textFill>
        </w:rPr>
        <w:t>承包人监督单位（盖章）</w:t>
      </w:r>
    </w:p>
    <w:p>
      <w:pPr>
        <w:spacing w:line="360" w:lineRule="exact"/>
        <w:ind w:firstLine="0" w:firstLineChars="0"/>
        <w:rPr>
          <w:rFonts w:hAnsi="Cambria" w:cs="Times New Roman"/>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附件六：</w:t>
      </w:r>
    </w:p>
    <w:p>
      <w:pPr>
        <w:spacing w:line="360" w:lineRule="exact"/>
        <w:ind w:firstLine="2957" w:firstLineChars="1052"/>
        <w:rPr>
          <w:rFonts w:hAnsi="Cambria" w:cs="Times New Roman"/>
          <w:b/>
          <w:bCs/>
          <w:color w:val="000000" w:themeColor="text1"/>
          <w:kern w:val="0"/>
          <w14:textFill>
            <w14:solidFill>
              <w14:schemeClr w14:val="tx1"/>
            </w14:solidFill>
          </w14:textFill>
        </w:rPr>
      </w:pPr>
      <w:r>
        <w:rPr>
          <w:rFonts w:hint="eastAsia" w:ascii="宋体" w:hAnsi="宋体" w:eastAsia="宋体" w:cs="宋体"/>
          <w:b/>
          <w:bCs/>
          <w:color w:val="000000" w:themeColor="text1"/>
          <w:kern w:val="0"/>
          <w14:textFill>
            <w14:solidFill>
              <w14:schemeClr w14:val="tx1"/>
            </w14:solidFill>
          </w14:textFill>
        </w:rPr>
        <w:t>施工现场安全生产责任书</w:t>
      </w:r>
    </w:p>
    <w:p>
      <w:pPr>
        <w:spacing w:line="360" w:lineRule="exact"/>
        <w:ind w:firstLine="840" w:firstLineChars="300"/>
        <w:rPr>
          <w:rFonts w:hAnsi="Cambria" w:cs="Times New Roman"/>
          <w:color w:val="000000" w:themeColor="text1"/>
          <w:kern w:val="0"/>
          <w14:textFill>
            <w14:solidFill>
              <w14:schemeClr w14:val="tx1"/>
            </w14:solidFill>
          </w14:textFill>
        </w:rPr>
      </w:pPr>
    </w:p>
    <w:tbl>
      <w:tblPr>
        <w:tblStyle w:val="45"/>
        <w:tblW w:w="9606" w:type="dxa"/>
        <w:tblInd w:w="2" w:type="dxa"/>
        <w:tblLayout w:type="fixed"/>
        <w:tblCellMar>
          <w:top w:w="0" w:type="dxa"/>
          <w:left w:w="108" w:type="dxa"/>
          <w:bottom w:w="0" w:type="dxa"/>
          <w:right w:w="108" w:type="dxa"/>
        </w:tblCellMar>
      </w:tblPr>
      <w:tblGrid>
        <w:gridCol w:w="4266"/>
        <w:gridCol w:w="889"/>
        <w:gridCol w:w="56"/>
        <w:gridCol w:w="1885"/>
        <w:gridCol w:w="2510"/>
      </w:tblGrid>
      <w:tr>
        <w:tblPrEx>
          <w:tblCellMar>
            <w:top w:w="0" w:type="dxa"/>
            <w:left w:w="108" w:type="dxa"/>
            <w:bottom w:w="0" w:type="dxa"/>
            <w:right w:w="108" w:type="dxa"/>
          </w:tblCellMar>
        </w:tblPrEx>
        <w:trPr>
          <w:trHeight w:val="595"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工程名称：</w:t>
            </w:r>
            <w:r>
              <w:rPr>
                <w:rFonts w:hAnsi="Cambria" w:cs="Times New Roman"/>
                <w:b/>
                <w:bCs/>
                <w:color w:val="000000" w:themeColor="text1"/>
                <w:kern w:val="0"/>
                <w:sz w:val="21"/>
                <w:szCs w:val="21"/>
                <w:u w:val="single"/>
                <w14:textFill>
                  <w14:solidFill>
                    <w14:schemeClr w14:val="tx1"/>
                  </w14:solidFill>
                </w14:textFill>
              </w:rPr>
              <w:t xml:space="preserve">                                      </w:t>
            </w:r>
            <w:r>
              <w:rPr>
                <w:rFonts w:hint="eastAsia" w:ascii="宋体" w:hAnsi="宋体" w:eastAsia="宋体" w:cs="宋体"/>
                <w:b/>
                <w:bCs/>
                <w:color w:val="000000" w:themeColor="text1"/>
                <w:kern w:val="0"/>
                <w:sz w:val="21"/>
                <w:szCs w:val="21"/>
                <w:u w:val="single"/>
                <w14:textFill>
                  <w14:solidFill>
                    <w14:schemeClr w14:val="tx1"/>
                  </w14:solidFill>
                </w14:textFill>
              </w:rPr>
              <w:t>工程</w:t>
            </w:r>
          </w:p>
        </w:tc>
      </w:tr>
      <w:tr>
        <w:tblPrEx>
          <w:tblCellMar>
            <w:top w:w="0" w:type="dxa"/>
            <w:left w:w="108" w:type="dxa"/>
            <w:bottom w:w="0" w:type="dxa"/>
            <w:right w:w="108" w:type="dxa"/>
          </w:tblCellMar>
        </w:tblPrEx>
        <w:trPr>
          <w:trHeight w:val="2153" w:hRule="atLeast"/>
        </w:trPr>
        <w:tc>
          <w:tcPr>
            <w:tcW w:w="5211"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施工单位（责任单位）：</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（公章）</w:t>
            </w:r>
          </w:p>
        </w:tc>
        <w:tc>
          <w:tcPr>
            <w:tcW w:w="4395" w:type="dxa"/>
            <w:gridSpan w:val="2"/>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监理单位（责任单位）：</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（公章）</w:t>
            </w:r>
          </w:p>
        </w:tc>
      </w:tr>
      <w:tr>
        <w:tblPrEx>
          <w:tblCellMar>
            <w:top w:w="0" w:type="dxa"/>
            <w:left w:w="108" w:type="dxa"/>
            <w:bottom w:w="0" w:type="dxa"/>
            <w:right w:w="108" w:type="dxa"/>
          </w:tblCellMar>
        </w:tblPrEx>
        <w:trPr>
          <w:trHeight w:val="1618" w:hRule="atLeast"/>
        </w:trPr>
        <w:tc>
          <w:tcPr>
            <w:tcW w:w="4266" w:type="dxa"/>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施工单位法人代表签名：</w:t>
            </w:r>
            <w:r>
              <w:rPr>
                <w:rFonts w:hAnsi="Cambria" w:cs="Times New Roman"/>
                <w:color w:val="000000" w:themeColor="text1"/>
                <w:kern w:val="0"/>
                <w:sz w:val="21"/>
                <w:szCs w:val="21"/>
                <w14:textFill>
                  <w14:solidFill>
                    <w14:schemeClr w14:val="tx1"/>
                  </w14:solidFill>
                </w14:textFill>
              </w:rPr>
              <w:t xml:space="preserve">  </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c>
          <w:tcPr>
            <w:tcW w:w="2830"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项目总负责人签名：</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c>
          <w:tcPr>
            <w:tcW w:w="2510" w:type="dxa"/>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安全员签名：</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r>
      <w:tr>
        <w:tblPrEx>
          <w:tblCellMar>
            <w:top w:w="0" w:type="dxa"/>
            <w:left w:w="108" w:type="dxa"/>
            <w:bottom w:w="0" w:type="dxa"/>
            <w:right w:w="108" w:type="dxa"/>
          </w:tblCellMar>
        </w:tblPrEx>
        <w:trPr>
          <w:trHeight w:val="1618" w:hRule="atLeast"/>
        </w:trPr>
        <w:tc>
          <w:tcPr>
            <w:tcW w:w="5155" w:type="dxa"/>
            <w:gridSpan w:val="2"/>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监理单位法人代表签名：</w:t>
            </w:r>
            <w:r>
              <w:rPr>
                <w:rFonts w:hAnsi="Cambria" w:cs="Times New Roman"/>
                <w:color w:val="000000" w:themeColor="text1"/>
                <w:kern w:val="0"/>
                <w:sz w:val="21"/>
                <w:szCs w:val="21"/>
                <w14:textFill>
                  <w14:solidFill>
                    <w14:schemeClr w14:val="tx1"/>
                  </w14:solidFill>
                </w14:textFill>
              </w:rPr>
              <w:t xml:space="preserve">  </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c>
          <w:tcPr>
            <w:tcW w:w="4451" w:type="dxa"/>
            <w:gridSpan w:val="3"/>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项目总监签名：</w:t>
            </w:r>
          </w:p>
          <w:p>
            <w:pPr>
              <w:spacing w:line="360" w:lineRule="exact"/>
              <w:ind w:firstLine="420"/>
              <w:rPr>
                <w:rFonts w:hAnsi="Cambria" w:cs="Times New Roman"/>
                <w:color w:val="000000" w:themeColor="text1"/>
                <w:kern w:val="0"/>
                <w:sz w:val="21"/>
                <w:szCs w:val="21"/>
                <w14:textFill>
                  <w14:solidFill>
                    <w14:schemeClr w14:val="tx1"/>
                  </w14:solidFill>
                </w14:textFill>
              </w:rPr>
            </w:pP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r>
      <w:tr>
        <w:tblPrEx>
          <w:tblCellMar>
            <w:top w:w="0" w:type="dxa"/>
            <w:left w:w="108" w:type="dxa"/>
            <w:bottom w:w="0" w:type="dxa"/>
            <w:right w:w="108" w:type="dxa"/>
          </w:tblCellMar>
        </w:tblPrEx>
        <w:trPr>
          <w:trHeight w:val="2651" w:hRule="atLeast"/>
        </w:trPr>
        <w:tc>
          <w:tcPr>
            <w:tcW w:w="9606" w:type="dxa"/>
            <w:gridSpan w:val="5"/>
            <w:tcBorders>
              <w:top w:val="single" w:color="000000" w:sz="4" w:space="0"/>
              <w:left w:val="single" w:color="000000" w:sz="4" w:space="0"/>
              <w:bottom w:val="single" w:color="000000" w:sz="4" w:space="0"/>
              <w:right w:val="single" w:color="000000" w:sz="4" w:space="0"/>
            </w:tcBorders>
          </w:tcPr>
          <w:p>
            <w:pPr>
              <w:spacing w:line="360" w:lineRule="exact"/>
              <w:ind w:firstLine="420"/>
              <w:rPr>
                <w:rFonts w:hAnsi="Cambria"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建设单位（监督检查单位）：</w:t>
            </w: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（公章）</w:t>
            </w:r>
          </w:p>
          <w:p>
            <w:pPr>
              <w:spacing w:line="360" w:lineRule="exact"/>
              <w:ind w:firstLine="420"/>
              <w:rPr>
                <w:rFonts w:hAnsi="Cambria" w:cs="Times New Roman"/>
                <w:color w:val="000000" w:themeColor="text1"/>
                <w:kern w:val="0"/>
                <w:sz w:val="21"/>
                <w:szCs w:val="21"/>
                <w14:textFill>
                  <w14:solidFill>
                    <w14:schemeClr w14:val="tx1"/>
                  </w14:solidFill>
                </w14:textFill>
              </w:rPr>
            </w:pP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年</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月</w:t>
            </w:r>
            <w:r>
              <w:rPr>
                <w:rFonts w:hAnsi="Cambria" w:cs="Times New Roman"/>
                <w:color w:val="000000" w:themeColor="text1"/>
                <w:kern w:val="0"/>
                <w:sz w:val="21"/>
                <w:szCs w:val="21"/>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日</w:t>
            </w:r>
          </w:p>
        </w:tc>
      </w:tr>
    </w:tbl>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为加强建筑工程的安全监督管理、维护建筑施工现场的正常秩序、确保施工安全和工程质量，根据《中华人民共和国建筑法》、《中华人民共和国安全生产法》和《建设工程安全生产管理条例》及《浙江省建筑业管理条例》等制定本安全质量责任书。要求施工单位与监理单位在工程施工过程中严格遵守，认真履行责任。</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本责任书具体要求如下：</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一、要认真贯彻</w:t>
      </w:r>
      <w:r>
        <w:rPr>
          <w:rFonts w:cs="Times New Roman" w:asciiTheme="minorEastAsia" w:hAnsiTheme="minorEastAsia" w:eastAsiaTheme="minorEastAsia"/>
          <w:color w:val="000000" w:themeColor="text1"/>
          <w:kern w:val="0"/>
          <w:sz w:val="22"/>
          <w:szCs w:val="22"/>
          <w14:textFill>
            <w14:solidFill>
              <w14:schemeClr w14:val="tx1"/>
            </w14:solidFill>
          </w14:textFill>
        </w:rPr>
        <w:t>“</w:t>
      </w:r>
      <w:r>
        <w:rPr>
          <w:rFonts w:hint="eastAsia" w:cs="宋体" w:asciiTheme="minorEastAsia" w:hAnsiTheme="minorEastAsia" w:eastAsiaTheme="minorEastAsia"/>
          <w:color w:val="000000" w:themeColor="text1"/>
          <w:kern w:val="0"/>
          <w:sz w:val="22"/>
          <w:szCs w:val="22"/>
          <w14:textFill>
            <w14:solidFill>
              <w14:schemeClr w14:val="tx1"/>
            </w14:solidFill>
          </w14:textFill>
        </w:rPr>
        <w:t>安全第一、预防为主</w:t>
      </w:r>
      <w:r>
        <w:rPr>
          <w:rFonts w:cs="Times New Roman" w:asciiTheme="minorEastAsia" w:hAnsiTheme="minorEastAsia" w:eastAsiaTheme="minorEastAsia"/>
          <w:color w:val="000000" w:themeColor="text1"/>
          <w:kern w:val="0"/>
          <w:sz w:val="22"/>
          <w:szCs w:val="22"/>
          <w14:textFill>
            <w14:solidFill>
              <w14:schemeClr w14:val="tx1"/>
            </w14:solidFill>
          </w14:textFill>
        </w:rPr>
        <w:t>”</w:t>
      </w:r>
      <w:r>
        <w:rPr>
          <w:rFonts w:hint="eastAsia" w:cs="宋体" w:asciiTheme="minorEastAsia" w:hAnsiTheme="minorEastAsia" w:eastAsiaTheme="minorEastAsia"/>
          <w:color w:val="000000" w:themeColor="text1"/>
          <w:kern w:val="0"/>
          <w:sz w:val="22"/>
          <w:szCs w:val="22"/>
          <w14:textFill>
            <w14:solidFill>
              <w14:schemeClr w14:val="tx1"/>
            </w14:solidFill>
          </w14:textFill>
        </w:rPr>
        <w:t>综合治理的方针，遵守《中华人民共和国安全生产法》、《建设工程安全生产管理条例》等相关法律法规，严格按照</w:t>
      </w:r>
      <w:r>
        <w:rPr>
          <w:rFonts w:cs="Times New Roman" w:asciiTheme="minorEastAsia" w:hAnsiTheme="minorEastAsia" w:eastAsiaTheme="minorEastAsia"/>
          <w:color w:val="000000" w:themeColor="text1"/>
          <w:kern w:val="0"/>
          <w:sz w:val="22"/>
          <w:szCs w:val="22"/>
          <w14:textFill>
            <w14:solidFill>
              <w14:schemeClr w14:val="tx1"/>
            </w14:solidFill>
          </w14:textFill>
        </w:rPr>
        <w:t>JGJ59—99</w:t>
      </w:r>
      <w:r>
        <w:rPr>
          <w:rFonts w:hint="eastAsia" w:cs="宋体" w:asciiTheme="minorEastAsia" w:hAnsiTheme="minorEastAsia" w:eastAsiaTheme="minorEastAsia"/>
          <w:color w:val="000000" w:themeColor="text1"/>
          <w:kern w:val="0"/>
          <w:sz w:val="22"/>
          <w:szCs w:val="22"/>
          <w14:textFill>
            <w14:solidFill>
              <w14:schemeClr w14:val="tx1"/>
            </w14:solidFill>
          </w14:textFill>
        </w:rPr>
        <w:t>《建筑施工安全检查标准》执行，明确以公司主要负责人为建筑施工现场安全生产第一责任人，建立健全生产管理责任制。逐级签定安全责任书、明确各自职责，并付诸实施，防止伤亡和其他安全事故的发生。</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二、施工单位必须做到以下安全生产管理工作：</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、施工单位负责落实安全生产责任制和各项安全生产规章制度，操作规程，建立健全工程项目的安全保证体系，做好安全台账。</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2</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、施工单位负责建立与承建工程相适应的现场安全管理机构，配备足够的专职安全管理人员；项目总负责人、安全员应经建设行政主管部门安全管理能力考核合格、持证上岗；</w:t>
      </w:r>
    </w:p>
    <w:p>
      <w:pPr>
        <w:spacing w:line="360" w:lineRule="auto"/>
        <w:ind w:firstLine="440"/>
        <w:contextualSpacing/>
        <w:outlineLvl w:val="0"/>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3</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、施工单位必须按照经审核批准的施工组织设计或专项施工方案组织施工；</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4</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、施工单位负责组织施工现场开展安全生产活动，按规定对在建工程进行定期和专项的安全检查，并对工人进行三级安全教育和安全技术交底。</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5</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、施工现场作业人员必须经培训合格上岗，且至少每年接受一次安全生产培训考核；特种作业人员持《特种作业操作证》上岗。</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6</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、施工单位在工程开工前应制定工程项目施工安全事故应急救援预案并报监理备案，发生事故后，应按规定向建设行政主管部门及其他有关部门报告；</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7</w:t>
      </w:r>
      <w:r>
        <w:rPr>
          <w:rFonts w:hint="eastAsia" w:cs="宋体" w:asciiTheme="minorEastAsia" w:hAnsiTheme="minorEastAsia" w:eastAsiaTheme="minorEastAsia"/>
          <w:color w:val="000000" w:themeColor="text1"/>
          <w:kern w:val="0"/>
          <w:sz w:val="22"/>
          <w:szCs w:val="22"/>
          <w14:textFill>
            <w14:solidFill>
              <w14:schemeClr w14:val="tx1"/>
            </w14:solidFill>
          </w14:textFill>
        </w:rPr>
        <w:t>、施工单位在工程开工前，须根据本项目的特点，针对施工过程中危险性较大的施工作业点、施工作业面确定施工安全的重大危险源，并制定监控办法。监控办法应经企业技术负责人审批后报监理单位、建设单位审核批准实施。</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8</w:t>
      </w:r>
      <w:r>
        <w:rPr>
          <w:rFonts w:hint="eastAsia" w:cs="宋体" w:asciiTheme="minorEastAsia" w:hAnsiTheme="minorEastAsia" w:eastAsiaTheme="minorEastAsia"/>
          <w:color w:val="000000" w:themeColor="text1"/>
          <w:kern w:val="0"/>
          <w:sz w:val="22"/>
          <w:szCs w:val="22"/>
          <w14:textFill>
            <w14:solidFill>
              <w14:schemeClr w14:val="tx1"/>
            </w14:solidFill>
          </w14:textFill>
        </w:rPr>
        <w:t>、凡是在建设工程施工现场使用的起重机械设备和整体提升脚手架、摸板等自升式架设设施应在法定检测机构检测合格后</w:t>
      </w:r>
      <w:r>
        <w:rPr>
          <w:rFonts w:cs="Times New Roman" w:asciiTheme="minorEastAsia" w:hAnsiTheme="minorEastAsia" w:eastAsiaTheme="minorEastAsia"/>
          <w:color w:val="000000" w:themeColor="text1"/>
          <w:kern w:val="0"/>
          <w:sz w:val="22"/>
          <w:szCs w:val="22"/>
          <w14:textFill>
            <w14:solidFill>
              <w14:schemeClr w14:val="tx1"/>
            </w14:solidFill>
          </w14:textFill>
        </w:rPr>
        <w:t>30</w:t>
      </w:r>
      <w:r>
        <w:rPr>
          <w:rFonts w:hint="eastAsia" w:cs="宋体" w:asciiTheme="minorEastAsia" w:hAnsiTheme="minorEastAsia" w:eastAsiaTheme="minorEastAsia"/>
          <w:color w:val="000000" w:themeColor="text1"/>
          <w:kern w:val="0"/>
          <w:sz w:val="22"/>
          <w:szCs w:val="22"/>
          <w14:textFill>
            <w14:solidFill>
              <w14:schemeClr w14:val="tx1"/>
            </w14:solidFill>
          </w14:textFill>
        </w:rPr>
        <w:t>日内，持有关资料到建设工程施工安全监督机构进行登记，并报监理备案。</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9</w:t>
      </w:r>
      <w:r>
        <w:rPr>
          <w:rFonts w:hint="eastAsia" w:cs="宋体" w:asciiTheme="minorEastAsia" w:hAnsiTheme="minorEastAsia" w:eastAsiaTheme="minorEastAsia"/>
          <w:color w:val="000000" w:themeColor="text1"/>
          <w:kern w:val="0"/>
          <w:sz w:val="22"/>
          <w:szCs w:val="22"/>
          <w14:textFill>
            <w14:solidFill>
              <w14:schemeClr w14:val="tx1"/>
            </w14:solidFill>
          </w14:textFill>
        </w:rPr>
        <w:t>、深基坑、大型钢结构吊装、地下暗挖、高大模板等危险性较大的工程的专项施工方案应按相关规定经专家论证、审查。并严格按经论证、审查合格后的专项施工方案组织实施，相关资料报监理备案。</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三、监理单位应当做到以下安全生产监督管理工作：</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1</w:t>
      </w:r>
      <w:r>
        <w:rPr>
          <w:rFonts w:hint="eastAsia" w:cs="宋体" w:asciiTheme="minorEastAsia" w:hAnsiTheme="minorEastAsia" w:eastAsiaTheme="minorEastAsia"/>
          <w:color w:val="000000" w:themeColor="text1"/>
          <w:kern w:val="0"/>
          <w:sz w:val="22"/>
          <w:szCs w:val="22"/>
          <w14:textFill>
            <w14:solidFill>
              <w14:schemeClr w14:val="tx1"/>
            </w14:solidFill>
          </w14:textFill>
        </w:rPr>
        <w:t>、工程监理单位应当审查施工组织中的安全技术措施或者专项施工方案是否符合工程建设强制性标准。对于不符合安全要求或存在隐患的，须及时函告施工单位，责令其整改。</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2</w:t>
      </w:r>
      <w:r>
        <w:rPr>
          <w:rFonts w:hint="eastAsia" w:cs="宋体" w:asciiTheme="minorEastAsia" w:hAnsiTheme="minorEastAsia" w:eastAsiaTheme="minorEastAsia"/>
          <w:color w:val="000000" w:themeColor="text1"/>
          <w:kern w:val="0"/>
          <w:sz w:val="22"/>
          <w:szCs w:val="22"/>
          <w14:textFill>
            <w14:solidFill>
              <w14:schemeClr w14:val="tx1"/>
            </w14:solidFill>
          </w14:textFill>
        </w:rPr>
        <w:t>、监理单位在实施监理过程中，发现存在安全事故隐患的，应当要求施工单位整改；情况严重的，应当要求施工单位暂时停止施工，并及时报告建设单位，施工单位拒不整改或者不停止施工的，监理单位应当及时向有关主管部门汇报。</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3</w:t>
      </w:r>
      <w:r>
        <w:rPr>
          <w:rFonts w:hint="eastAsia" w:cs="宋体" w:asciiTheme="minorEastAsia" w:hAnsiTheme="minorEastAsia" w:eastAsiaTheme="minorEastAsia"/>
          <w:color w:val="000000" w:themeColor="text1"/>
          <w:kern w:val="0"/>
          <w:sz w:val="22"/>
          <w:szCs w:val="22"/>
          <w14:textFill>
            <w14:solidFill>
              <w14:schemeClr w14:val="tx1"/>
            </w14:solidFill>
          </w14:textFill>
        </w:rPr>
        <w:t>、监理单位应当按照法律、法规和工程建设强制性标准实施监理，履行监理职责，监督施工单位做好安全管理工作，对是施工方上报的安全台账和各项安全专项方案等资料进行备案，对工程项目的安全生产承担监理责任。</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四、对违反本责任书所规定责任的，按国家相关法律，法规的规定予以处罚；构成犯罪的，依法追究刑事责任。</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该责任书从签字之日起生效，有效期至工程竣工验收之日结束。</w:t>
      </w:r>
    </w:p>
    <w:p>
      <w:pPr>
        <w:spacing w:line="360" w:lineRule="auto"/>
        <w:ind w:firstLine="440"/>
        <w:contextualSpacing/>
        <w:rPr>
          <w:rFonts w:cs="Times New Roman"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四、责任书份数</w:t>
      </w:r>
    </w:p>
    <w:p>
      <w:pPr>
        <w:spacing w:line="360" w:lineRule="auto"/>
        <w:ind w:firstLine="440"/>
        <w:contextualSpacing/>
        <w:rPr>
          <w:rFonts w:cs="宋体" w:asciiTheme="minorEastAsia" w:hAnsiTheme="minorEastAsia" w:eastAsiaTheme="minorEastAsia"/>
          <w:color w:val="000000" w:themeColor="text1"/>
          <w:kern w:val="0"/>
          <w:sz w:val="22"/>
          <w:szCs w:val="22"/>
          <w:u w:val="single"/>
          <w14:textFill>
            <w14:solidFill>
              <w14:schemeClr w14:val="tx1"/>
            </w14:solidFill>
          </w14:textFill>
        </w:rPr>
        <w:sectPr>
          <w:pgSz w:w="11906" w:h="16838"/>
          <w:pgMar w:top="1440" w:right="1800" w:bottom="1440" w:left="1417" w:header="851" w:footer="992" w:gutter="0"/>
          <w:cols w:space="0" w:num="1"/>
          <w:docGrid w:type="lines" w:linePitch="312" w:charSpace="0"/>
        </w:sectPr>
      </w:pPr>
      <w:r>
        <w:rPr>
          <w:rFonts w:hint="eastAsia" w:cs="宋体" w:asciiTheme="minorEastAsia" w:hAnsiTheme="minorEastAsia" w:eastAsiaTheme="minorEastAsia"/>
          <w:color w:val="000000" w:themeColor="text1"/>
          <w:kern w:val="0"/>
          <w:sz w:val="22"/>
          <w:szCs w:val="22"/>
          <w14:textFill>
            <w14:solidFill>
              <w14:schemeClr w14:val="tx1"/>
            </w14:solidFill>
          </w14:textFill>
        </w:rPr>
        <w:t>约定份数：</w:t>
      </w:r>
      <w:r>
        <w:rPr>
          <w:rFonts w:hint="eastAsia" w:cs="宋体" w:asciiTheme="minorEastAsia" w:hAnsiTheme="minorEastAsia" w:eastAsiaTheme="minorEastAsia"/>
          <w:color w:val="000000" w:themeColor="text1"/>
          <w:kern w:val="0"/>
          <w:sz w:val="22"/>
          <w:szCs w:val="22"/>
          <w:u w:val="single"/>
          <w14:textFill>
            <w14:solidFill>
              <w14:schemeClr w14:val="tx1"/>
            </w14:solidFill>
          </w14:textFill>
        </w:rPr>
        <w:t>一式拾贰份，建设执陆份、施工执叁份，监理执叁份。</w:t>
      </w:r>
    </w:p>
    <w:p>
      <w:pPr>
        <w:pStyle w:val="3"/>
        <w:ind w:firstLine="562"/>
        <w:jc w:val="center"/>
        <w:rPr>
          <w:rFonts w:hAnsi="Cambria" w:cs="Times New Roman"/>
          <w:color w:val="000000" w:themeColor="text1"/>
          <w:kern w:val="0"/>
          <w:sz w:val="28"/>
          <w:szCs w:val="28"/>
          <w14:textFill>
            <w14:solidFill>
              <w14:schemeClr w14:val="tx1"/>
            </w14:solidFill>
          </w14:textFill>
        </w:rPr>
      </w:pPr>
      <w:bookmarkStart w:id="150" w:name="_Toc247527819"/>
      <w:bookmarkStart w:id="151" w:name="_Toc247514232"/>
      <w:bookmarkStart w:id="152" w:name="_Toc519674475"/>
      <w:r>
        <w:rPr>
          <w:rFonts w:hint="eastAsia" w:ascii="宋体" w:hAnsi="宋体" w:eastAsia="宋体" w:cs="宋体"/>
          <w:color w:val="000000" w:themeColor="text1"/>
          <w:kern w:val="0"/>
          <w:sz w:val="28"/>
          <w:szCs w:val="28"/>
          <w14:textFill>
            <w14:solidFill>
              <w14:schemeClr w14:val="tx1"/>
            </w14:solidFill>
          </w14:textFill>
        </w:rPr>
        <w:t>第二卷</w:t>
      </w:r>
      <w:bookmarkEnd w:id="150"/>
      <w:bookmarkEnd w:id="151"/>
      <w:bookmarkEnd w:id="152"/>
    </w:p>
    <w:p>
      <w:pPr>
        <w:spacing w:line="440" w:lineRule="exact"/>
        <w:ind w:firstLine="420"/>
        <w:jc w:val="center"/>
        <w:rPr>
          <w:rFonts w:hAnsi="Cambria" w:cs="Times New Roman"/>
          <w:color w:val="000000" w:themeColor="text1"/>
          <w:sz w:val="21"/>
          <w:szCs w:val="21"/>
          <w14:textFill>
            <w14:solidFill>
              <w14:schemeClr w14:val="tx1"/>
            </w14:solidFill>
          </w14:textFill>
        </w:rPr>
      </w:pPr>
      <w:r>
        <w:rPr>
          <w:rFonts w:hAnsi="Cambria" w:cs="Times New Roman"/>
          <w:color w:val="000000" w:themeColor="text1"/>
          <w:sz w:val="21"/>
          <w:szCs w:val="21"/>
          <w14:textFill>
            <w14:solidFill>
              <w14:schemeClr w14:val="tx1"/>
            </w14:solidFill>
          </w14:textFill>
        </w:rPr>
        <w:br w:type="page"/>
      </w:r>
    </w:p>
    <w:p>
      <w:pPr>
        <w:pStyle w:val="106"/>
        <w:ind w:firstLine="640"/>
        <w:jc w:val="center"/>
        <w:rPr>
          <w:rFonts w:ascii="华文宋体" w:eastAsia="华文宋体" w:cs="华文宋体"/>
          <w:b/>
          <w:color w:val="000000" w:themeColor="text1"/>
          <w:sz w:val="32"/>
          <w:szCs w:val="32"/>
          <w14:textFill>
            <w14:solidFill>
              <w14:schemeClr w14:val="tx1"/>
            </w14:solidFill>
          </w14:textFill>
        </w:rPr>
      </w:pPr>
    </w:p>
    <w:p>
      <w:pPr>
        <w:pStyle w:val="106"/>
        <w:ind w:firstLine="640"/>
        <w:jc w:val="center"/>
        <w:rPr>
          <w:rFonts w:ascii="华文宋体" w:eastAsia="华文宋体" w:cs="华文宋体"/>
          <w:b/>
          <w:color w:val="000000" w:themeColor="text1"/>
          <w:sz w:val="32"/>
          <w:szCs w:val="32"/>
          <w14:textFill>
            <w14:solidFill>
              <w14:schemeClr w14:val="tx1"/>
            </w14:solidFill>
          </w14:textFill>
        </w:rPr>
      </w:pPr>
      <w:r>
        <w:rPr>
          <w:rFonts w:hint="eastAsia" w:ascii="华文宋体" w:eastAsia="华文宋体" w:cs="华文宋体"/>
          <w:b/>
          <w:color w:val="000000" w:themeColor="text1"/>
          <w:sz w:val="32"/>
          <w:szCs w:val="32"/>
          <w14:textFill>
            <w14:solidFill>
              <w14:schemeClr w14:val="tx1"/>
            </w14:solidFill>
          </w14:textFill>
        </w:rPr>
        <w:t>报价说明</w:t>
      </w:r>
    </w:p>
    <w:p>
      <w:pPr>
        <w:spacing w:line="360" w:lineRule="exact"/>
        <w:ind w:firstLine="560"/>
        <w:rPr>
          <w:rFonts w:hAnsi="Cambria"/>
          <w:color w:val="000000" w:themeColor="text1"/>
          <w:kern w:val="0"/>
          <w14:textFill>
            <w14:solidFill>
              <w14:schemeClr w14:val="tx1"/>
            </w14:solidFill>
          </w14:textFill>
        </w:rPr>
      </w:pPr>
    </w:p>
    <w:p>
      <w:pPr>
        <w:pStyle w:val="26"/>
        <w:spacing w:line="420" w:lineRule="exact"/>
        <w:ind w:firstLine="602"/>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参考《浙江省工程总承包计价规则（试行）》【2017】430号有关要求及格式</w:t>
      </w:r>
    </w:p>
    <w:p>
      <w:pPr>
        <w:ind w:firstLine="560"/>
        <w:rPr>
          <w:rFonts w:cs="Times New Roman"/>
          <w:color w:val="000000" w:themeColor="text1"/>
          <w14:textFill>
            <w14:solidFill>
              <w14:schemeClr w14:val="tx1"/>
            </w14:solidFill>
          </w14:textFill>
        </w:rPr>
        <w:sectPr>
          <w:pgSz w:w="11906" w:h="16838"/>
          <w:pgMar w:top="1440" w:right="1800" w:bottom="1440" w:left="1417" w:header="851" w:footer="992" w:gutter="0"/>
          <w:cols w:space="0" w:num="1"/>
          <w:docGrid w:type="lines" w:linePitch="312" w:charSpace="0"/>
        </w:sectPr>
      </w:pPr>
    </w:p>
    <w:p>
      <w:pPr>
        <w:ind w:firstLine="0" w:firstLineChars="0"/>
        <w:rPr>
          <w:rFonts w:ascii="Calibri" w:hAnsi="Calibri" w:eastAsia="宋体" w:cs="Times New Roman"/>
          <w:b/>
          <w:bCs/>
          <w:color w:val="000000" w:themeColor="text1"/>
          <w:sz w:val="72"/>
          <w:szCs w:val="72"/>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附件七</w:t>
      </w:r>
    </w:p>
    <w:p>
      <w:pPr>
        <w:ind w:firstLine="0" w:firstLineChars="0"/>
        <w:jc w:val="center"/>
        <w:rPr>
          <w:rFonts w:hAnsi="Cambria" w:eastAsia="宋体"/>
          <w:b/>
          <w:color w:val="000000" w:themeColor="text1"/>
          <w:sz w:val="20"/>
          <w14:textFill>
            <w14:solidFill>
              <w14:schemeClr w14:val="tx1"/>
            </w14:solidFill>
          </w14:textFill>
        </w:rPr>
      </w:pPr>
      <w:r>
        <w:rPr>
          <w:rFonts w:hint="eastAsia" w:hAnsi="Cambria" w:eastAsia="宋体"/>
          <w:b/>
          <w:color w:val="000000" w:themeColor="text1"/>
          <w:sz w:val="48"/>
          <w:szCs w:val="48"/>
          <w14:textFill>
            <w14:solidFill>
              <w14:schemeClr w14:val="tx1"/>
            </w14:solidFill>
          </w14:textFill>
        </w:rPr>
        <w:t>平阳县社会养老福利服务中心项目工程总承包</w:t>
      </w:r>
    </w:p>
    <w:p>
      <w:pPr>
        <w:ind w:firstLine="402"/>
        <w:rPr>
          <w:rFonts w:hAnsi="Cambria"/>
          <w:b/>
          <w:color w:val="000000" w:themeColor="text1"/>
          <w:sz w:val="20"/>
          <w14:textFill>
            <w14:solidFill>
              <w14:schemeClr w14:val="tx1"/>
            </w14:solidFill>
          </w14:textFill>
        </w:rPr>
      </w:pPr>
    </w:p>
    <w:p>
      <w:pPr>
        <w:ind w:firstLine="402"/>
        <w:rPr>
          <w:rFonts w:hAnsi="Cambria"/>
          <w:b/>
          <w:color w:val="000000" w:themeColor="text1"/>
          <w:sz w:val="20"/>
          <w14:textFill>
            <w14:solidFill>
              <w14:schemeClr w14:val="tx1"/>
            </w14:solidFill>
          </w14:textFill>
        </w:rPr>
      </w:pPr>
    </w:p>
    <w:p>
      <w:pPr>
        <w:ind w:firstLine="1044"/>
        <w:jc w:val="center"/>
        <w:rPr>
          <w:rFonts w:hAnsi="Cambria"/>
          <w:b/>
          <w:color w:val="000000" w:themeColor="text1"/>
          <w:sz w:val="52"/>
          <w:szCs w:val="52"/>
          <w14:textFill>
            <w14:solidFill>
              <w14:schemeClr w14:val="tx1"/>
            </w14:solidFill>
          </w14:textFill>
        </w:rPr>
      </w:pPr>
      <w:r>
        <w:rPr>
          <w:rFonts w:hint="eastAsia" w:hAnsi="Cambria"/>
          <w:b/>
          <w:color w:val="000000" w:themeColor="text1"/>
          <w:sz w:val="52"/>
          <w:szCs w:val="52"/>
          <w14:textFill>
            <w14:solidFill>
              <w14:schemeClr w14:val="tx1"/>
            </w14:solidFill>
          </w14:textFill>
        </w:rPr>
        <w:t>投  标  文  件</w:t>
      </w:r>
    </w:p>
    <w:p>
      <w:pPr>
        <w:ind w:firstLine="643"/>
        <w:jc w:val="center"/>
        <w:rPr>
          <w:rFonts w:hAnsi="Cambria"/>
          <w:b/>
          <w:color w:val="000000" w:themeColor="text1"/>
          <w:sz w:val="32"/>
          <w:szCs w:val="32"/>
          <w14:textFill>
            <w14:solidFill>
              <w14:schemeClr w14:val="tx1"/>
            </w14:solidFill>
          </w14:textFill>
        </w:rPr>
      </w:pPr>
      <w:r>
        <w:rPr>
          <w:rFonts w:hint="eastAsia" w:hAnsi="Cambria"/>
          <w:b/>
          <w:color w:val="000000" w:themeColor="text1"/>
          <w:sz w:val="32"/>
          <w:szCs w:val="32"/>
          <w14:textFill>
            <w14:solidFill>
              <w14:schemeClr w14:val="tx1"/>
            </w14:solidFill>
          </w14:textFill>
        </w:rPr>
        <w:t>（</w:t>
      </w:r>
      <w:r>
        <w:rPr>
          <w:rFonts w:hint="eastAsia" w:ascii="宋体" w:hAnsi="宋体" w:eastAsia="宋体" w:cs="宋体"/>
          <w:b/>
          <w:color w:val="000000" w:themeColor="text1"/>
          <w:sz w:val="32"/>
          <w:szCs w:val="32"/>
          <w14:textFill>
            <w14:solidFill>
              <w14:schemeClr w14:val="tx1"/>
            </w14:solidFill>
          </w14:textFill>
        </w:rPr>
        <w:t>商务</w:t>
      </w:r>
      <w:r>
        <w:rPr>
          <w:rFonts w:hint="eastAsia" w:hAnsi="Cambria"/>
          <w:b/>
          <w:color w:val="000000" w:themeColor="text1"/>
          <w:sz w:val="32"/>
          <w:szCs w:val="32"/>
          <w14:textFill>
            <w14:solidFill>
              <w14:schemeClr w14:val="tx1"/>
            </w14:solidFill>
          </w14:textFill>
        </w:rPr>
        <w:t>标）</w:t>
      </w: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2"/>
        <w:jc w:val="center"/>
        <w:rPr>
          <w:rFonts w:hAnsi="Cambria"/>
          <w:b/>
          <w:color w:val="000000" w:themeColor="text1"/>
          <w:u w:val="single"/>
          <w14:textFill>
            <w14:solidFill>
              <w14:schemeClr w14:val="tx1"/>
            </w14:solidFill>
          </w14:textFill>
        </w:rPr>
      </w:pPr>
      <w:r>
        <w:rPr>
          <w:rFonts w:hint="eastAsia" w:hAnsi="Cambria"/>
          <w:b/>
          <w:color w:val="000000" w:themeColor="text1"/>
          <w14:textFill>
            <w14:solidFill>
              <w14:schemeClr w14:val="tx1"/>
            </w14:solidFill>
          </w14:textFill>
        </w:rPr>
        <w:t>投标人：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（盖单位章）</w:t>
      </w:r>
    </w:p>
    <w:p>
      <w:pPr>
        <w:ind w:firstLine="562"/>
        <w:jc w:val="center"/>
        <w:rPr>
          <w:rFonts w:hAnsi="Cambria"/>
          <w:b/>
          <w:color w:val="000000" w:themeColor="text1"/>
          <w14:textFill>
            <w14:solidFill>
              <w14:schemeClr w14:val="tx1"/>
            </w14:solidFill>
          </w14:textFill>
        </w:rPr>
      </w:pPr>
      <w:r>
        <w:rPr>
          <w:rFonts w:hint="eastAsia" w:hAnsi="Cambria"/>
          <w:b/>
          <w:color w:val="000000" w:themeColor="text1"/>
          <w14:textFill>
            <w14:solidFill>
              <w14:schemeClr w14:val="tx1"/>
            </w14:solidFill>
          </w14:textFill>
        </w:rPr>
        <w:t>法定代表人（或委托代理人）：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（签字或盖章）</w:t>
      </w:r>
    </w:p>
    <w:p>
      <w:pPr>
        <w:ind w:firstLine="562"/>
        <w:jc w:val="center"/>
        <w:rPr>
          <w:rFonts w:hAnsi="Cambria"/>
          <w:b/>
          <w:color w:val="000000" w:themeColor="text1"/>
          <w14:textFill>
            <w14:solidFill>
              <w14:schemeClr w14:val="tx1"/>
            </w14:solidFill>
          </w14:textFill>
        </w:rPr>
      </w:pP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年</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月</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日</w:t>
      </w:r>
    </w:p>
    <w:p>
      <w:pPr>
        <w:pStyle w:val="4"/>
        <w:snapToGrid w:val="0"/>
        <w:spacing w:before="0" w:after="0" w:line="360" w:lineRule="auto"/>
        <w:ind w:firstLine="643"/>
        <w:jc w:val="center"/>
        <w:rPr>
          <w:rFonts w:ascii="Cambria" w:hAnsi="Cambria" w:eastAsia="Cambria"/>
          <w:color w:val="000000" w:themeColor="text1"/>
          <w:sz w:val="44"/>
          <w:szCs w:val="44"/>
          <w14:textFill>
            <w14:solidFill>
              <w14:schemeClr w14:val="tx1"/>
            </w14:solidFill>
          </w14:textFill>
        </w:rPr>
      </w:pPr>
      <w:r>
        <w:rPr>
          <w:rFonts w:ascii="Calibri" w:hAnsi="Calibri" w:eastAsia="宋体" w:cs="Times New Roman"/>
          <w:color w:val="000000" w:themeColor="text1"/>
          <w14:textFill>
            <w14:solidFill>
              <w14:schemeClr w14:val="tx1"/>
            </w14:solidFill>
          </w14:textFill>
        </w:rPr>
        <w:br w:type="page"/>
      </w:r>
      <w:r>
        <w:rPr>
          <w:rFonts w:hint="eastAsia" w:ascii="Cambria" w:hAnsi="Cambria" w:eastAsia="Cambria"/>
          <w:color w:val="000000" w:themeColor="text1"/>
          <w:sz w:val="44"/>
          <w:szCs w:val="44"/>
          <w14:textFill>
            <w14:solidFill>
              <w14:schemeClr w14:val="tx1"/>
            </w14:solidFill>
          </w14:textFill>
        </w:rPr>
        <w:t>目    录</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（1）投标函及投标函附录</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（2）法定代表人身份证明书</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（3）授权委托书</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（4）价格清单</w:t>
      </w:r>
    </w:p>
    <w:p>
      <w:pPr>
        <w:snapToGrid w:val="0"/>
        <w:spacing w:line="360" w:lineRule="auto"/>
        <w:ind w:firstLine="480"/>
        <w:rPr>
          <w:rFonts w:hAnsi="Cambria"/>
          <w:color w:val="000000" w:themeColor="text1"/>
          <w:sz w:val="24"/>
          <w:szCs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snapToGrid w:val="0"/>
        <w:spacing w:line="360" w:lineRule="auto"/>
        <w:ind w:firstLine="0" w:firstLineChars="0"/>
        <w:rPr>
          <w:rFonts w:hAnsi="Cambria"/>
          <w:color w:val="000000" w:themeColor="text1"/>
          <w:sz w:val="24"/>
          <w14:textFill>
            <w14:solidFill>
              <w14:schemeClr w14:val="tx1"/>
            </w14:solidFill>
          </w14:textFill>
        </w:rPr>
      </w:pPr>
    </w:p>
    <w:p>
      <w:pPr>
        <w:pStyle w:val="4"/>
        <w:snapToGrid w:val="0"/>
        <w:spacing w:before="0" w:after="0" w:line="360" w:lineRule="auto"/>
        <w:ind w:firstLine="0" w:firstLineChars="0"/>
        <w:jc w:val="center"/>
        <w:rPr>
          <w:rFonts w:ascii="Cambria" w:hAnsi="Cambria" w:eastAsia="Cambria"/>
          <w:color w:val="000000" w:themeColor="text1"/>
          <w14:textFill>
            <w14:solidFill>
              <w14:schemeClr w14:val="tx1"/>
            </w14:solidFill>
          </w14:textFill>
        </w:rPr>
      </w:pPr>
    </w:p>
    <w:p>
      <w:pPr>
        <w:pStyle w:val="4"/>
        <w:snapToGrid w:val="0"/>
        <w:spacing w:before="0" w:after="0" w:line="360" w:lineRule="auto"/>
        <w:ind w:firstLine="0" w:firstLineChars="0"/>
        <w:jc w:val="center"/>
        <w:rPr>
          <w:rFonts w:ascii="Cambria" w:hAnsi="Cambria" w:eastAsia="Cambria"/>
          <w:color w:val="000000" w:themeColor="text1"/>
          <w14:textFill>
            <w14:solidFill>
              <w14:schemeClr w14:val="tx1"/>
            </w14:solidFill>
          </w14:textFill>
        </w:rPr>
      </w:pPr>
    </w:p>
    <w:p>
      <w:pPr>
        <w:pStyle w:val="4"/>
        <w:snapToGrid w:val="0"/>
        <w:spacing w:before="0" w:after="0" w:line="360" w:lineRule="auto"/>
        <w:ind w:firstLine="0" w:firstLineChars="0"/>
        <w:rPr>
          <w:rFonts w:ascii="Cambria" w:hAnsi="Cambria" w:eastAsiaTheme="minorEastAsia"/>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4"/>
        <w:snapToGrid w:val="0"/>
        <w:spacing w:before="0" w:after="0" w:line="360" w:lineRule="auto"/>
        <w:ind w:firstLine="0" w:firstLineChars="0"/>
        <w:rPr>
          <w:rFonts w:ascii="Cambria" w:hAnsi="Cambria" w:eastAsia="Cambria"/>
          <w:color w:val="000000" w:themeColor="text1"/>
          <w14:textFill>
            <w14:solidFill>
              <w14:schemeClr w14:val="tx1"/>
            </w14:solidFill>
          </w14:textFill>
        </w:rPr>
      </w:pPr>
    </w:p>
    <w:p>
      <w:pPr>
        <w:pStyle w:val="4"/>
        <w:snapToGrid w:val="0"/>
        <w:spacing w:before="0" w:after="0" w:line="360" w:lineRule="auto"/>
        <w:ind w:firstLine="0" w:firstLineChars="0"/>
        <w:jc w:val="center"/>
        <w:rPr>
          <w:rFonts w:ascii="Cambria" w:hAnsi="Cambria" w:eastAsia="Cambria"/>
          <w:color w:val="000000" w:themeColor="text1"/>
          <w14:textFill>
            <w14:solidFill>
              <w14:schemeClr w14:val="tx1"/>
            </w14:solidFill>
          </w14:textFill>
        </w:rPr>
      </w:pPr>
    </w:p>
    <w:p>
      <w:pPr>
        <w:pStyle w:val="4"/>
        <w:snapToGrid w:val="0"/>
        <w:spacing w:before="0" w:after="0" w:line="360" w:lineRule="auto"/>
        <w:ind w:firstLine="0" w:firstLineChars="0"/>
        <w:jc w:val="center"/>
        <w:rPr>
          <w:rFonts w:ascii="Cambria" w:hAnsi="Cambria" w:eastAsia="Cambria"/>
          <w:color w:val="000000" w:themeColor="text1"/>
          <w14:textFill>
            <w14:solidFill>
              <w14:schemeClr w14:val="tx1"/>
            </w14:solidFill>
          </w14:textFill>
        </w:rPr>
      </w:pPr>
      <w:r>
        <w:rPr>
          <w:rFonts w:hint="eastAsia" w:ascii="Cambria" w:hAnsi="Cambria" w:eastAsia="Cambria"/>
          <w:color w:val="000000" w:themeColor="text1"/>
          <w14:textFill>
            <w14:solidFill>
              <w14:schemeClr w14:val="tx1"/>
            </w14:solidFill>
          </w14:textFill>
        </w:rPr>
        <w:t>一、投标函及投标函附录</w:t>
      </w:r>
    </w:p>
    <w:p>
      <w:pPr>
        <w:snapToGrid w:val="0"/>
        <w:spacing w:line="360" w:lineRule="auto"/>
        <w:ind w:firstLine="480"/>
        <w:rPr>
          <w:rFonts w:hAnsi="Cambria"/>
          <w:color w:val="000000" w:themeColor="text1"/>
          <w:sz w:val="24"/>
          <w14:textFill>
            <w14:solidFill>
              <w14:schemeClr w14:val="tx1"/>
            </w14:solidFill>
          </w14:textFill>
        </w:rPr>
      </w:pPr>
    </w:p>
    <w:p>
      <w:pPr>
        <w:snapToGrid w:val="0"/>
        <w:spacing w:line="360" w:lineRule="auto"/>
        <w:ind w:firstLine="602"/>
        <w:jc w:val="center"/>
        <w:rPr>
          <w:rFonts w:hAnsi="Cambria"/>
          <w:color w:val="000000" w:themeColor="text1"/>
          <w:sz w:val="24"/>
          <w14:textFill>
            <w14:solidFill>
              <w14:schemeClr w14:val="tx1"/>
            </w14:solidFill>
          </w14:textFill>
        </w:rPr>
      </w:pPr>
      <w:r>
        <w:rPr>
          <w:rFonts w:hint="eastAsia" w:hAnsi="Cambria"/>
          <w:b/>
          <w:color w:val="000000" w:themeColor="text1"/>
          <w:sz w:val="30"/>
          <w:szCs w:val="30"/>
          <w14:textFill>
            <w14:solidFill>
              <w14:schemeClr w14:val="tx1"/>
            </w14:solidFill>
          </w14:textFill>
        </w:rPr>
        <w:t>（一）投标函</w:t>
      </w:r>
    </w:p>
    <w:p>
      <w:pPr>
        <w:numPr>
          <w:ilvl w:val="0"/>
          <w:numId w:val="11"/>
        </w:numPr>
        <w:tabs>
          <w:tab w:val="left" w:pos="360"/>
          <w:tab w:val="left" w:pos="900"/>
        </w:tabs>
        <w:spacing w:line="400" w:lineRule="exact"/>
        <w:ind w:left="0" w:firstLine="539" w:firstLineChars="257"/>
        <w:rPr>
          <w:color w:val="000000" w:themeColor="text1"/>
          <w:sz w:val="21"/>
          <w:szCs w:val="21"/>
          <w:u w:val="single"/>
          <w14:textFill>
            <w14:solidFill>
              <w14:schemeClr w14:val="tx1"/>
            </w14:solidFill>
          </w14:textFill>
        </w:rPr>
      </w:pPr>
      <w:r>
        <w:rPr>
          <w:rFonts w:hint="eastAsia"/>
          <w:color w:val="000000" w:themeColor="text1"/>
          <w:sz w:val="21"/>
          <w:szCs w:val="21"/>
          <w14:textFill>
            <w14:solidFill>
              <w14:schemeClr w14:val="tx1"/>
            </w14:solidFill>
          </w14:textFill>
        </w:rPr>
        <w:t>根据已收到贵方的招标编号为</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的</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工程总承包的招标文件，遵照《中华人民共和国招标投标法》等有关规定，我单位经考察现场和研究上述招标文件的投标须知、合同条款、技术规范其他有关文件后，我方愿按以下总费用进行投标报价：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rFonts w:hint="eastAsia" w:eastAsia="宋体"/>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其中</w:t>
      </w:r>
      <w:r>
        <w:rPr>
          <w:rFonts w:hint="eastAsia" w:ascii="宋体" w:hAnsi="宋体" w:eastAsia="宋体" w:cs="宋体"/>
          <w:color w:val="000000" w:themeColor="text1"/>
          <w:sz w:val="21"/>
          <w:szCs w:val="21"/>
          <w14:textFill>
            <w14:solidFill>
              <w14:schemeClr w14:val="tx1"/>
            </w14:solidFill>
          </w14:textFill>
        </w:rPr>
        <w:t>勘察设计费</w:t>
      </w:r>
      <w:r>
        <w:rPr>
          <w:rFonts w:hint="eastAsia"/>
          <w:color w:val="000000" w:themeColor="text1"/>
          <w:sz w:val="21"/>
          <w:szCs w:val="21"/>
          <w14:textFill>
            <w14:solidFill>
              <w14:schemeClr w14:val="tx1"/>
            </w14:solidFill>
          </w14:textFill>
        </w:rPr>
        <w:t>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万元（小写：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），设备购置费报价：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万元（小写：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建筑安装</w:t>
      </w:r>
      <w:r>
        <w:rPr>
          <w:rFonts w:hint="eastAsia"/>
          <w:color w:val="000000" w:themeColor="text1"/>
          <w:sz w:val="21"/>
          <w:szCs w:val="21"/>
          <w14:textFill>
            <w14:solidFill>
              <w14:schemeClr w14:val="tx1"/>
            </w14:solidFill>
          </w14:textFill>
        </w:rPr>
        <w:t>工程费报价：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万元（小写：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rFonts w:hint="eastAsia" w:eastAsia="宋体"/>
          <w:color w:val="000000" w:themeColor="text1"/>
          <w:sz w:val="21"/>
          <w:szCs w:val="21"/>
          <w14:textFill>
            <w14:solidFill>
              <w14:schemeClr w14:val="tx1"/>
            </w14:solidFill>
          </w14:textFill>
        </w:rPr>
        <w:t>，招标代理费报价：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二次装修初步设计编制费</w:t>
      </w:r>
      <w:r>
        <w:rPr>
          <w:rFonts w:hint="eastAsia" w:eastAsia="宋体"/>
          <w:color w:val="000000" w:themeColor="text1"/>
          <w:sz w:val="21"/>
          <w:szCs w:val="21"/>
          <w14:textFill>
            <w14:solidFill>
              <w14:schemeClr w14:val="tx1"/>
            </w14:solidFill>
          </w14:textFill>
        </w:rPr>
        <w:t>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，室外工程初步设计编制费</w:t>
      </w:r>
      <w:r>
        <w:rPr>
          <w:rFonts w:hint="eastAsia" w:eastAsia="宋体"/>
          <w:color w:val="000000" w:themeColor="text1"/>
          <w:sz w:val="21"/>
          <w:szCs w:val="21"/>
          <w14:textFill>
            <w14:solidFill>
              <w14:schemeClr w14:val="tx1"/>
            </w14:solidFill>
          </w14:textFill>
        </w:rPr>
        <w:t>报价：</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元（小写：</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w:t>
      </w:r>
    </w:p>
    <w:p>
      <w:pPr>
        <w:tabs>
          <w:tab w:val="left" w:pos="900"/>
        </w:tabs>
        <w:spacing w:line="400" w:lineRule="exact"/>
        <w:ind w:firstLine="42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并按上述合同条款、技术规范的要求完成上述工程的总承包工作，并承担任何质量缺陷所引起的责任。</w:t>
      </w:r>
    </w:p>
    <w:p>
      <w:pPr>
        <w:numPr>
          <w:ilvl w:val="0"/>
          <w:numId w:val="11"/>
        </w:numPr>
        <w:spacing w:line="400" w:lineRule="exact"/>
        <w:ind w:left="0" w:firstLine="567" w:firstLineChars="27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我方已详细审核全部招标文件，包括修改文件（如果有的话），及有关附件，我方完全知道必须放弃提出含糊不清或误解的权力。</w:t>
      </w:r>
    </w:p>
    <w:p>
      <w:pPr>
        <w:numPr>
          <w:ilvl w:val="0"/>
          <w:numId w:val="11"/>
        </w:numPr>
        <w:spacing w:line="400" w:lineRule="exact"/>
        <w:ind w:left="0"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一旦我方中标，我方保证在合同协议书中规定的开工日期开始总承包工作，并按合同协议书中规定的竣工日期和交付日期完成竣工和交付。</w:t>
      </w:r>
    </w:p>
    <w:p>
      <w:pPr>
        <w:numPr>
          <w:ilvl w:val="0"/>
          <w:numId w:val="11"/>
        </w:numPr>
        <w:spacing w:line="400" w:lineRule="exact"/>
        <w:ind w:left="0"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如果我方中标，我方将按照规定提交合同金额</w:t>
      </w:r>
      <w:r>
        <w:rPr>
          <w:rFonts w:hint="eastAsia" w:eastAsia="宋体"/>
          <w:color w:val="000000" w:themeColor="text1"/>
          <w:sz w:val="21"/>
          <w:szCs w:val="21"/>
          <w14:textFill>
            <w14:solidFill>
              <w14:schemeClr w14:val="tx1"/>
            </w14:solidFill>
          </w14:textFill>
        </w:rPr>
        <w:t>2</w:t>
      </w:r>
      <w:r>
        <w:rPr>
          <w:rFonts w:hint="eastAsia"/>
          <w:color w:val="000000" w:themeColor="text1"/>
          <w:sz w:val="21"/>
          <w:szCs w:val="21"/>
          <w14:textFill>
            <w14:solidFill>
              <w14:schemeClr w14:val="tx1"/>
            </w14:solidFill>
          </w14:textFill>
        </w:rPr>
        <w:t>% 的银行保函作为履约担保。</w:t>
      </w:r>
    </w:p>
    <w:p>
      <w:pPr>
        <w:numPr>
          <w:ilvl w:val="0"/>
          <w:numId w:val="11"/>
        </w:numPr>
        <w:tabs>
          <w:tab w:val="left" w:pos="360"/>
          <w:tab w:val="left" w:pos="900"/>
        </w:tabs>
        <w:spacing w:line="400" w:lineRule="exact"/>
        <w:ind w:left="0" w:firstLine="472" w:firstLineChars="225"/>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我方同意所递交的投标文件在“投标须知”规定的投标有效期内有效，在此期间内我方的投标有可能中标，我方将受此约束。如果在投标有效期内撤回投标，投标保证金将全部被没收。</w:t>
      </w:r>
    </w:p>
    <w:p>
      <w:pPr>
        <w:numPr>
          <w:ilvl w:val="0"/>
          <w:numId w:val="11"/>
        </w:numPr>
        <w:tabs>
          <w:tab w:val="left" w:pos="360"/>
          <w:tab w:val="left" w:pos="900"/>
        </w:tabs>
        <w:spacing w:line="400" w:lineRule="exact"/>
        <w:ind w:left="0" w:firstLine="472" w:firstLineChars="225"/>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除非另外达成协议并生效，贵方的中标通知书和本投标文件将成为约束我们双方的合同文件组成部分。</w:t>
      </w:r>
    </w:p>
    <w:p>
      <w:pPr>
        <w:numPr>
          <w:ilvl w:val="0"/>
          <w:numId w:val="11"/>
        </w:numPr>
        <w:tabs>
          <w:tab w:val="left" w:pos="360"/>
          <w:tab w:val="left" w:pos="900"/>
        </w:tabs>
        <w:spacing w:line="400" w:lineRule="exact"/>
        <w:ind w:left="0" w:firstLine="42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我方理解贵方将不受必须接受你们所收到的最低标价或其它任何投标的约束。</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投标人：（盖章）单位地址：</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法定代表人或其委托代理人：（签章或盖章）</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邮政编码：</w:t>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电话：</w:t>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传真：</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开户银行名称：</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开户银行帐户：</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开户银行地址：</w:t>
      </w:r>
    </w:p>
    <w:p>
      <w:pPr>
        <w:spacing w:line="400" w:lineRule="exact"/>
        <w:ind w:firstLine="539" w:firstLineChars="257"/>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开户银行电话：</w:t>
      </w:r>
    </w:p>
    <w:p>
      <w:pPr>
        <w:spacing w:line="400" w:lineRule="exact"/>
        <w:ind w:firstLine="539" w:firstLineChars="257"/>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                     日期：</w:t>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年</w:t>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 xml:space="preserve">  月</w:t>
      </w:r>
      <w:r>
        <w:rPr>
          <w:rFonts w:hint="eastAsia"/>
          <w:color w:val="000000" w:themeColor="text1"/>
          <w:sz w:val="21"/>
          <w:szCs w:val="21"/>
          <w14:textFill>
            <w14:solidFill>
              <w14:schemeClr w14:val="tx1"/>
            </w14:solidFill>
          </w14:textFill>
        </w:rPr>
        <w:tab/>
      </w:r>
      <w:r>
        <w:rPr>
          <w:rFonts w:hint="eastAsia"/>
          <w:color w:val="000000" w:themeColor="text1"/>
          <w:sz w:val="21"/>
          <w:szCs w:val="21"/>
          <w14:textFill>
            <w14:solidFill>
              <w14:schemeClr w14:val="tx1"/>
            </w14:solidFill>
          </w14:textFill>
        </w:rPr>
        <w:t xml:space="preserve">    日</w:t>
      </w:r>
    </w:p>
    <w:p>
      <w:pPr>
        <w:snapToGrid w:val="0"/>
        <w:spacing w:line="360" w:lineRule="auto"/>
        <w:ind w:firstLine="643"/>
        <w:jc w:val="center"/>
        <w:rPr>
          <w:rFonts w:hAnsi="Cambria"/>
          <w:b/>
          <w:color w:val="000000" w:themeColor="text1"/>
          <w:sz w:val="30"/>
          <w:szCs w:val="30"/>
          <w14:textFill>
            <w14:solidFill>
              <w14:schemeClr w14:val="tx1"/>
            </w14:solidFill>
          </w14:textFill>
        </w:rPr>
      </w:pPr>
      <w:r>
        <w:rPr>
          <w:rFonts w:hint="eastAsia"/>
          <w:b/>
          <w:bCs/>
          <w:color w:val="000000" w:themeColor="text1"/>
          <w:sz w:val="32"/>
          <w14:textFill>
            <w14:solidFill>
              <w14:schemeClr w14:val="tx1"/>
            </w14:solidFill>
          </w14:textFill>
        </w:rPr>
        <w:br w:type="page"/>
      </w:r>
      <w:r>
        <w:rPr>
          <w:rFonts w:hint="eastAsia" w:hAnsi="Cambria"/>
          <w:b/>
          <w:color w:val="000000" w:themeColor="text1"/>
          <w:sz w:val="30"/>
          <w:szCs w:val="30"/>
          <w14:textFill>
            <w14:solidFill>
              <w14:schemeClr w14:val="tx1"/>
            </w14:solidFill>
          </w14:textFill>
        </w:rPr>
        <w:t>（二）投标函附录</w:t>
      </w:r>
    </w:p>
    <w:tbl>
      <w:tblPr>
        <w:tblStyle w:val="45"/>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985"/>
        <w:gridCol w:w="3443"/>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序号</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条款名称</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约定内容</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1</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eastAsia="宋体"/>
                <w:color w:val="000000" w:themeColor="text1"/>
                <w:sz w:val="24"/>
                <w:szCs w:val="24"/>
                <w14:textFill>
                  <w14:solidFill>
                    <w14:schemeClr w14:val="tx1"/>
                  </w14:solidFill>
                </w14:textFill>
              </w:rPr>
            </w:pPr>
            <w:r>
              <w:rPr>
                <w:rFonts w:hint="eastAsia" w:hAnsi="Cambria" w:eastAsia="宋体"/>
                <w:color w:val="000000" w:themeColor="text1"/>
                <w:sz w:val="24"/>
                <w:szCs w:val="24"/>
                <w14:textFill>
                  <w14:solidFill>
                    <w14:schemeClr w14:val="tx1"/>
                  </w14:solidFill>
                </w14:textFill>
              </w:rPr>
              <w:t>项目总负责人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2</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设计负责人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3</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施工负责人</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姓名：</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4</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质量标准</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合格或按招标文件要求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5</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合同工期（天）</w:t>
            </w:r>
          </w:p>
        </w:tc>
        <w:tc>
          <w:tcPr>
            <w:tcW w:w="3443"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contextualSpacing/>
              <w:rPr>
                <w:rFonts w:hAnsi="Cambr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kern w:val="0"/>
                <w:sz w:val="22"/>
                <w:szCs w:val="22"/>
                <w14:textFill>
                  <w14:solidFill>
                    <w14:schemeClr w14:val="tx1"/>
                  </w14:solidFill>
                </w14:textFill>
              </w:rPr>
              <w:t>总工期</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 xml:space="preserve">     </w:t>
            </w:r>
            <w:r>
              <w:rPr>
                <w:rFonts w:cs="Times New Roman" w:asciiTheme="minorEastAsia" w:hAnsiTheme="minorEastAsia" w:eastAsiaTheme="minorEastAsia"/>
                <w:color w:val="000000" w:themeColor="text1"/>
                <w:kern w:val="0"/>
                <w:sz w:val="22"/>
                <w:szCs w:val="22"/>
                <w14:textFill>
                  <w14:solidFill>
                    <w14:schemeClr w14:val="tx1"/>
                  </w14:solidFill>
                </w14:textFill>
              </w:rPr>
              <w:t>日历天</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其中建设工期：</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 xml:space="preserve">     </w:t>
            </w:r>
            <w:r>
              <w:rPr>
                <w:rFonts w:cs="Times New Roman" w:asciiTheme="minorEastAsia" w:hAnsiTheme="minorEastAsia" w:eastAsiaTheme="minorEastAsia"/>
                <w:color w:val="000000" w:themeColor="text1"/>
                <w:kern w:val="0"/>
                <w:sz w:val="22"/>
                <w:szCs w:val="22"/>
                <w14:textFill>
                  <w14:solidFill>
                    <w14:schemeClr w14:val="tx1"/>
                  </w14:solidFill>
                </w14:textFill>
              </w:rPr>
              <w:t>日历天）</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设计</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工期</w:t>
            </w:r>
            <w:r>
              <w:rPr>
                <w:rFonts w:cs="Times New Roman" w:asciiTheme="minorEastAsia" w:hAnsiTheme="minorEastAsia" w:eastAsiaTheme="minorEastAsia"/>
                <w:color w:val="000000" w:themeColor="text1"/>
                <w:kern w:val="0"/>
                <w:sz w:val="22"/>
                <w:szCs w:val="22"/>
                <w14:textFill>
                  <w14:solidFill>
                    <w14:schemeClr w14:val="tx1"/>
                  </w14:solidFill>
                </w14:textFill>
              </w:rPr>
              <w:t xml:space="preserve">   日历天</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820" w:firstLineChars="342"/>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6</w:t>
            </w:r>
          </w:p>
        </w:tc>
        <w:tc>
          <w:tcPr>
            <w:tcW w:w="1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31" w:firstLineChars="13"/>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缺陷责任期</w:t>
            </w:r>
          </w:p>
        </w:tc>
        <w:tc>
          <w:tcPr>
            <w:tcW w:w="34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199" w:firstLineChars="83"/>
              <w:jc w:val="center"/>
              <w:rPr>
                <w:rFonts w:hAnsi="Cambria"/>
                <w:color w:val="000000" w:themeColor="text1"/>
                <w:sz w:val="24"/>
                <w:szCs w:val="24"/>
                <w14:textFill>
                  <w14:solidFill>
                    <w14:schemeClr w14:val="tx1"/>
                  </w14:solidFill>
                </w14:textFill>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7</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是否同意招标文件其它内容</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p>
        </w:tc>
        <w:tc>
          <w:tcPr>
            <w:tcW w:w="2346"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要求作出“同意”承诺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8</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是否同意合同协议条款</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p>
        </w:tc>
        <w:tc>
          <w:tcPr>
            <w:tcW w:w="2346"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要求作出“同意”承诺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9</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履约担保</w:t>
            </w: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r>
              <w:rPr>
                <w:rFonts w:hint="eastAsia" w:hAnsi="Cambria"/>
                <w:color w:val="000000" w:themeColor="text1"/>
                <w:sz w:val="24"/>
                <w:szCs w:val="24"/>
                <w14:textFill>
                  <w14:solidFill>
                    <w14:schemeClr w14:val="tx1"/>
                  </w14:solidFill>
                </w14:textFill>
              </w:rPr>
              <w:t>中标价的</w:t>
            </w:r>
            <w:r>
              <w:rPr>
                <w:rFonts w:hint="eastAsia" w:hAnsi="Cambria" w:eastAsia="宋体"/>
                <w:color w:val="000000" w:themeColor="text1"/>
                <w:sz w:val="24"/>
                <w:szCs w:val="24"/>
                <w14:textFill>
                  <w14:solidFill>
                    <w14:schemeClr w14:val="tx1"/>
                  </w14:solidFill>
                </w14:textFill>
              </w:rPr>
              <w:t>2</w:t>
            </w:r>
            <w:r>
              <w:rPr>
                <w:rFonts w:hint="eastAsia" w:hAnsi="Cambria"/>
                <w:color w:val="000000" w:themeColor="text1"/>
                <w:sz w:val="24"/>
                <w:szCs w:val="24"/>
                <w14:textFill>
                  <w14:solidFill>
                    <w14:schemeClr w14:val="tx1"/>
                  </w14:solidFill>
                </w14:textFill>
              </w:rPr>
              <w:t>%</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39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r>
              <w:rPr>
                <w:rFonts w:hAnsi="Cambria"/>
                <w:color w:val="000000" w:themeColor="text1"/>
                <w:sz w:val="24"/>
                <w:szCs w:val="24"/>
                <w14:textFill>
                  <w14:solidFill>
                    <w14:schemeClr w14:val="tx1"/>
                  </w14:solidFill>
                </w14:textFill>
              </w:rPr>
              <w:t>…</w:t>
            </w:r>
          </w:p>
        </w:tc>
        <w:tc>
          <w:tcPr>
            <w:tcW w:w="198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p>
        </w:tc>
        <w:tc>
          <w:tcPr>
            <w:tcW w:w="3443"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color w:val="000000" w:themeColor="text1"/>
                <w:sz w:val="24"/>
                <w:szCs w:val="24"/>
                <w14:textFill>
                  <w14:solidFill>
                    <w14:schemeClr w14:val="tx1"/>
                  </w14:solidFill>
                </w14:textFill>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80"/>
              <w:jc w:val="center"/>
              <w:rPr>
                <w:rFonts w:hAnsi="Cambria"/>
                <w:color w:val="000000" w:themeColor="text1"/>
                <w:sz w:val="24"/>
                <w:szCs w:val="24"/>
                <w14:textFill>
                  <w14:solidFill>
                    <w14:schemeClr w14:val="tx1"/>
                  </w14:solidFill>
                </w14:textFill>
              </w:rPr>
            </w:pPr>
          </w:p>
        </w:tc>
      </w:tr>
    </w:tbl>
    <w:p>
      <w:pPr>
        <w:snapToGrid w:val="0"/>
        <w:spacing w:line="360" w:lineRule="auto"/>
        <w:ind w:firstLine="480"/>
        <w:rPr>
          <w:rFonts w:hAnsi="Cambria"/>
          <w:color w:val="000000" w:themeColor="text1"/>
          <w:sz w:val="24"/>
          <w14:textFill>
            <w14:solidFill>
              <w14:schemeClr w14:val="tx1"/>
            </w14:solidFill>
          </w14:textFill>
        </w:rPr>
      </w:pPr>
    </w:p>
    <w:p>
      <w:pPr>
        <w:pStyle w:val="4"/>
        <w:snapToGrid w:val="0"/>
        <w:spacing w:before="0" w:after="0" w:line="360" w:lineRule="auto"/>
        <w:ind w:firstLine="640"/>
        <w:jc w:val="center"/>
        <w:rPr>
          <w:rFonts w:ascii="Cambria" w:hAnsi="Cambria" w:eastAsia="Cambria"/>
          <w:color w:val="000000" w:themeColor="text1"/>
          <w14:textFill>
            <w14:solidFill>
              <w14:schemeClr w14:val="tx1"/>
            </w14:solidFill>
          </w14:textFill>
        </w:rPr>
      </w:pPr>
      <w:r>
        <w:rPr>
          <w:b w:val="0"/>
          <w:bCs w:val="0"/>
          <w:color w:val="000000" w:themeColor="text1"/>
          <w14:textFill>
            <w14:solidFill>
              <w14:schemeClr w14:val="tx1"/>
            </w14:solidFill>
          </w14:textFill>
        </w:rPr>
        <w:br w:type="page"/>
      </w:r>
      <w:r>
        <w:rPr>
          <w:rFonts w:hint="eastAsia" w:ascii="Cambria" w:hAnsi="Cambria" w:eastAsia="Cambria"/>
          <w:color w:val="000000" w:themeColor="text1"/>
          <w14:textFill>
            <w14:solidFill>
              <w14:schemeClr w14:val="tx1"/>
            </w14:solidFill>
          </w14:textFill>
        </w:rPr>
        <w:t>二、法定代表人身份证明</w:t>
      </w:r>
    </w:p>
    <w:p>
      <w:pPr>
        <w:snapToGrid w:val="0"/>
        <w:spacing w:line="360" w:lineRule="auto"/>
        <w:ind w:firstLine="480"/>
        <w:rPr>
          <w:rFonts w:hAnsi="Cambria"/>
          <w:color w:val="000000" w:themeColor="text1"/>
          <w:sz w:val="24"/>
          <w14:textFill>
            <w14:solidFill>
              <w14:schemeClr w14:val="tx1"/>
            </w14:solidFill>
          </w14:textFill>
        </w:rPr>
      </w:pPr>
    </w:p>
    <w:p>
      <w:pPr>
        <w:snapToGrid w:val="0"/>
        <w:spacing w:line="360" w:lineRule="auto"/>
        <w:ind w:firstLine="480"/>
        <w:rPr>
          <w:rFonts w:hAnsi="Cambria"/>
          <w:color w:val="000000" w:themeColor="text1"/>
          <w:sz w:val="24"/>
          <w14:textFill>
            <w14:solidFill>
              <w14:schemeClr w14:val="tx1"/>
            </w14:solidFill>
          </w14:textFill>
        </w:rPr>
      </w:pP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投标人名称：</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单位性质：</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地址：</w:t>
      </w:r>
      <w:r>
        <w:rPr>
          <w:rFonts w:hint="eastAsia" w:hAnsi="Cambria"/>
          <w:color w:val="000000" w:themeColor="text1"/>
          <w:sz w:val="24"/>
          <w:u w:val="single"/>
          <w14:textFill>
            <w14:solidFill>
              <w14:schemeClr w14:val="tx1"/>
            </w14:solidFill>
          </w14:textFill>
        </w:rPr>
        <w:t xml:space="preserve">                                   </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成立时间：</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年</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月</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日</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经营期限：</w:t>
      </w:r>
      <w:r>
        <w:rPr>
          <w:rFonts w:hint="eastAsia" w:hAnsi="Cambria"/>
          <w:color w:val="000000" w:themeColor="text1"/>
          <w:sz w:val="24"/>
          <w:u w:val="single"/>
          <w14:textFill>
            <w14:solidFill>
              <w14:schemeClr w14:val="tx1"/>
            </w14:solidFill>
          </w14:textFill>
        </w:rPr>
        <w:t xml:space="preserve">                               </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姓名：</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性别：</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年龄：</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职务：</w:t>
      </w:r>
      <w:r>
        <w:rPr>
          <w:rFonts w:hint="eastAsia" w:hAnsi="Cambria"/>
          <w:color w:val="000000" w:themeColor="text1"/>
          <w:sz w:val="24"/>
          <w:u w:val="single"/>
          <w14:textFill>
            <w14:solidFill>
              <w14:schemeClr w14:val="tx1"/>
            </w14:solidFill>
          </w14:textFill>
        </w:rPr>
        <w:t xml:space="preserve">             </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系</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（投标人名称）的法定代表人。</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特此证明。</w:t>
      </w:r>
    </w:p>
    <w:p>
      <w:pPr>
        <w:snapToGrid w:val="0"/>
        <w:spacing w:line="360" w:lineRule="auto"/>
        <w:ind w:firstLine="480"/>
        <w:rPr>
          <w:rFonts w:hAnsi="Cambria"/>
          <w:color w:val="000000" w:themeColor="text1"/>
          <w:sz w:val="24"/>
          <w14:textFill>
            <w14:solidFill>
              <w14:schemeClr w14:val="tx1"/>
            </w14:solidFill>
          </w14:textFill>
        </w:rPr>
      </w:pPr>
    </w:p>
    <w:p>
      <w:pPr>
        <w:snapToGrid w:val="0"/>
        <w:spacing w:line="360" w:lineRule="auto"/>
        <w:ind w:firstLine="480"/>
        <w:rPr>
          <w:rFonts w:hAnsi="Cambria"/>
          <w:color w:val="000000" w:themeColor="text1"/>
          <w:sz w:val="24"/>
          <w14:textFill>
            <w14:solidFill>
              <w14:schemeClr w14:val="tx1"/>
            </w14:solidFill>
          </w14:textFill>
        </w:rPr>
      </w:pP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投标人：</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（盖单位章）</w:t>
      </w: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年</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月</w:t>
      </w:r>
      <w:r>
        <w:rPr>
          <w:rFonts w:hint="eastAsia" w:hAnsi="Cambria"/>
          <w:color w:val="000000" w:themeColor="text1"/>
          <w:sz w:val="24"/>
          <w:u w:val="single"/>
          <w14:textFill>
            <w14:solidFill>
              <w14:schemeClr w14:val="tx1"/>
            </w14:solidFill>
          </w14:textFill>
        </w:rPr>
        <w:t xml:space="preserve">   </w:t>
      </w:r>
      <w:r>
        <w:rPr>
          <w:rFonts w:hint="eastAsia" w:hAnsi="Cambria"/>
          <w:color w:val="000000" w:themeColor="text1"/>
          <w:sz w:val="24"/>
          <w14:textFill>
            <w14:solidFill>
              <w14:schemeClr w14:val="tx1"/>
            </w14:solidFill>
          </w14:textFill>
        </w:rPr>
        <w:t xml:space="preserve"> 日           </w:t>
      </w:r>
    </w:p>
    <w:p>
      <w:pPr>
        <w:ind w:firstLine="480"/>
        <w:jc w:val="center"/>
        <w:rPr>
          <w:rFonts w:hAnsi="Cambria"/>
          <w:color w:val="000000" w:themeColor="text1"/>
          <w:sz w:val="24"/>
          <w14:textFill>
            <w14:solidFill>
              <w14:schemeClr w14:val="tx1"/>
            </w14:solidFill>
          </w14:textFill>
        </w:rPr>
      </w:pPr>
    </w:p>
    <w:p>
      <w:pPr>
        <w:ind w:firstLine="480"/>
        <w:jc w:val="center"/>
        <w:rPr>
          <w:rFonts w:hAnsi="Cambria"/>
          <w:color w:val="000000" w:themeColor="text1"/>
          <w:sz w:val="24"/>
          <w14:textFill>
            <w14:solidFill>
              <w14:schemeClr w14:val="tx1"/>
            </w14:solidFill>
          </w14:textFill>
        </w:rPr>
      </w:pPr>
    </w:p>
    <w:p>
      <w:pPr>
        <w:ind w:firstLine="480"/>
        <w:jc w:val="center"/>
        <w:rPr>
          <w:rFonts w:hAnsi="Cambria"/>
          <w:color w:val="000000" w:themeColor="text1"/>
          <w:sz w:val="24"/>
          <w14:textFill>
            <w14:solidFill>
              <w14:schemeClr w14:val="tx1"/>
            </w14:solidFill>
          </w14:textFill>
        </w:rPr>
      </w:pPr>
    </w:p>
    <w:p>
      <w:pPr>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附：法定代表人身份证复印件。</w:t>
      </w:r>
    </w:p>
    <w:p>
      <w:pPr>
        <w:ind w:firstLine="480"/>
        <w:jc w:val="center"/>
        <w:rPr>
          <w:rFonts w:ascii="PMingLiU" w:eastAsia="PMingLiU"/>
          <w:b/>
          <w:color w:val="000000" w:themeColor="text1"/>
          <w14:textFill>
            <w14:solidFill>
              <w14:schemeClr w14:val="tx1"/>
            </w14:solidFill>
          </w14:textFill>
        </w:rPr>
      </w:pPr>
      <w:r>
        <w:rPr>
          <w:rFonts w:hint="eastAsia" w:hAnsi="Cambria"/>
          <w:color w:val="000000" w:themeColor="text1"/>
          <w:sz w:val="24"/>
          <w14:textFill>
            <w14:solidFill>
              <w14:schemeClr w14:val="tx1"/>
            </w14:solidFill>
          </w14:textFill>
        </w:rPr>
        <w:br w:type="page"/>
      </w:r>
      <w:r>
        <w:rPr>
          <w:rFonts w:hint="eastAsia" w:hAnsi="Cambria"/>
          <w:b/>
          <w:bCs/>
          <w:color w:val="000000" w:themeColor="text1"/>
          <w14:textFill>
            <w14:solidFill>
              <w14:schemeClr w14:val="tx1"/>
            </w14:solidFill>
          </w14:textFill>
        </w:rPr>
        <w:t>三、</w:t>
      </w:r>
      <w:r>
        <w:rPr>
          <w:rFonts w:hint="eastAsia" w:ascii="PMingLiU" w:eastAsia="PMingLiU"/>
          <w:b/>
          <w:color w:val="000000" w:themeColor="text1"/>
          <w14:textFill>
            <w14:solidFill>
              <w14:schemeClr w14:val="tx1"/>
            </w14:solidFill>
          </w14:textFill>
        </w:rPr>
        <w:t>授权委托书</w:t>
      </w:r>
    </w:p>
    <w:p>
      <w:pPr>
        <w:spacing w:line="500" w:lineRule="exact"/>
        <w:ind w:firstLine="413" w:firstLineChars="197"/>
        <w:rPr>
          <w:rFonts w:ascii="宋体" w:hAnsi="宋体" w:eastAsia="宋体" w:cs="宋体"/>
          <w:color w:val="000000" w:themeColor="text1"/>
          <w:sz w:val="21"/>
          <w:szCs w:val="21"/>
          <w:u w:val="single"/>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本授权委托书声明：我</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（姓名）系</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（投标单位名称）的法定代表人，现授权委托</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（姓名）在</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日至</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日（代理时限）为我公司代理人，以本公司的名义参加 </w:t>
      </w:r>
      <w:r>
        <w:rPr>
          <w:rFonts w:hint="eastAsia" w:ascii="宋体" w:hAnsi="宋体" w:eastAsia="宋体" w:cs="宋体"/>
          <w:color w:val="000000" w:themeColor="text1"/>
          <w:sz w:val="21"/>
          <w:szCs w:val="21"/>
          <w:u w:val="single"/>
          <w14:textFill>
            <w14:solidFill>
              <w14:schemeClr w14:val="tx1"/>
            </w14:solidFill>
          </w14:textFill>
        </w:rPr>
        <w:t xml:space="preserve">                               </w:t>
      </w:r>
    </w:p>
    <w:p>
      <w:pPr>
        <w:spacing w:line="500" w:lineRule="exact"/>
        <w:ind w:firstLine="205" w:firstLineChars="98"/>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工程的投标活动，代理人在代理时间内参加投标、开标、合同谈判过程中所签署的一切文件和处理与之相关的一切事务，本人均予以承认。</w:t>
      </w:r>
    </w:p>
    <w:p>
      <w:pPr>
        <w:spacing w:line="500" w:lineRule="exact"/>
        <w:ind w:firstLine="205" w:firstLineChars="98"/>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代理人无权委托，特此委托。</w:t>
      </w:r>
    </w:p>
    <w:p>
      <w:pPr>
        <w:spacing w:line="500" w:lineRule="exact"/>
        <w:ind w:firstLine="440"/>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附</w:t>
      </w:r>
    </w:p>
    <w:tbl>
      <w:tblPr>
        <w:tblStyle w:val="45"/>
        <w:tblW w:w="852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8522" w:type="dxa"/>
          </w:tcPr>
          <w:p>
            <w:pPr>
              <w:spacing w:line="500" w:lineRule="exact"/>
              <w:ind w:firstLine="0" w:firstLineChars="0"/>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pacing w:val="90"/>
                <w:sz w:val="22"/>
                <w:szCs w:val="18"/>
                <w14:textFill>
                  <w14:solidFill>
                    <w14:schemeClr w14:val="tx1"/>
                  </w14:solidFill>
                </w14:textFill>
              </w:rPr>
              <w:t>代理人</w:t>
            </w:r>
            <w:r>
              <w:rPr>
                <w:rFonts w:hint="eastAsia" w:ascii="宋体" w:hAnsi="宋体" w:eastAsia="宋体" w:cs="宋体"/>
                <w:color w:val="000000" w:themeColor="text1"/>
                <w:sz w:val="22"/>
                <w:szCs w:val="18"/>
                <w14:textFill>
                  <w14:solidFill>
                    <w14:schemeClr w14:val="tx1"/>
                  </w14:solidFill>
                </w14:textFill>
              </w:rPr>
              <w:t>：            性别：          出生年月：   年    月</w:t>
            </w:r>
          </w:p>
          <w:p>
            <w:pPr>
              <w:spacing w:line="500" w:lineRule="exact"/>
              <w:ind w:firstLine="440"/>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身份证号码：</w:t>
            </w:r>
          </w:p>
          <w:p>
            <w:pPr>
              <w:spacing w:line="500" w:lineRule="exact"/>
              <w:ind w:firstLine="440"/>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单      位：</w:t>
            </w:r>
          </w:p>
          <w:p>
            <w:pPr>
              <w:spacing w:line="500" w:lineRule="exact"/>
              <w:ind w:firstLine="440"/>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部      门：</w:t>
            </w:r>
          </w:p>
          <w:p>
            <w:pPr>
              <w:spacing w:line="500" w:lineRule="exact"/>
              <w:ind w:firstLine="568"/>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pacing w:val="32"/>
                <w:sz w:val="22"/>
                <w:szCs w:val="18"/>
                <w14:textFill>
                  <w14:solidFill>
                    <w14:schemeClr w14:val="tx1"/>
                  </w14:solidFill>
                </w14:textFill>
              </w:rPr>
              <w:t>代理时限</w:t>
            </w:r>
            <w:r>
              <w:rPr>
                <w:rFonts w:hint="eastAsia" w:ascii="宋体" w:hAnsi="宋体" w:eastAsia="宋体" w:cs="宋体"/>
                <w:color w:val="000000" w:themeColor="text1"/>
                <w:sz w:val="22"/>
                <w:szCs w:val="18"/>
                <w14:textFill>
                  <w14:solidFill>
                    <w14:schemeClr w14:val="tx1"/>
                  </w14:solidFill>
                </w14:textFill>
              </w:rPr>
              <w:t>：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委托代理人身份证复印件粘贴处</w:t>
            </w: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（第二代身份证需复印正反两面）</w:t>
            </w: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p>
          <w:p>
            <w:pPr>
              <w:spacing w:line="500" w:lineRule="exact"/>
              <w:ind w:firstLine="440"/>
              <w:jc w:val="center"/>
              <w:rPr>
                <w:rFonts w:ascii="宋体" w:hAnsi="宋体" w:eastAsia="宋体" w:cs="宋体"/>
                <w:color w:val="000000" w:themeColor="text1"/>
                <w:sz w:val="22"/>
                <w:szCs w:val="18"/>
                <w14:textFill>
                  <w14:solidFill>
                    <w14:schemeClr w14:val="tx1"/>
                  </w14:solidFill>
                </w14:textFill>
              </w:rPr>
            </w:pPr>
          </w:p>
        </w:tc>
      </w:tr>
    </w:tbl>
    <w:p>
      <w:pPr>
        <w:spacing w:line="500" w:lineRule="exact"/>
        <w:ind w:left="260" w:hanging="259" w:hangingChars="118"/>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法定代表人（签字或盖章）：</w:t>
      </w:r>
    </w:p>
    <w:p>
      <w:pPr>
        <w:spacing w:line="500" w:lineRule="exact"/>
        <w:ind w:left="260" w:hanging="259" w:hangingChars="118"/>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委托代理人（签字或盖章）：</w:t>
      </w:r>
    </w:p>
    <w:p>
      <w:pPr>
        <w:spacing w:line="500" w:lineRule="exact"/>
        <w:ind w:left="260" w:hanging="259" w:hangingChars="118"/>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授权单位（盖章）：</w:t>
      </w:r>
    </w:p>
    <w:p>
      <w:pPr>
        <w:spacing w:line="500" w:lineRule="exact"/>
        <w:ind w:left="260" w:hanging="259" w:hangingChars="118"/>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注：开标时代理人需携带身份证原件和此委托书参加会议。</w:t>
      </w:r>
    </w:p>
    <w:p>
      <w:pPr>
        <w:ind w:left="260" w:hanging="259" w:hangingChars="118"/>
        <w:jc w:val="right"/>
        <w:rPr>
          <w:rFonts w:ascii="宋体" w:hAnsi="宋体" w:eastAsia="宋体" w:cs="宋体"/>
          <w:color w:val="000000" w:themeColor="text1"/>
          <w:sz w:val="22"/>
          <w:szCs w:val="18"/>
          <w14:textFill>
            <w14:solidFill>
              <w14:schemeClr w14:val="tx1"/>
            </w14:solidFill>
          </w14:textFill>
        </w:rPr>
      </w:pPr>
      <w:r>
        <w:rPr>
          <w:rFonts w:hint="eastAsia" w:ascii="宋体" w:hAnsi="宋体" w:eastAsia="宋体" w:cs="宋体"/>
          <w:color w:val="000000" w:themeColor="text1"/>
          <w:sz w:val="22"/>
          <w:szCs w:val="18"/>
          <w14:textFill>
            <w14:solidFill>
              <w14:schemeClr w14:val="tx1"/>
            </w14:solidFill>
          </w14:textFill>
        </w:rPr>
        <w:t xml:space="preserve">  年    月    日 </w:t>
      </w:r>
    </w:p>
    <w:p>
      <w:pPr>
        <w:pStyle w:val="19"/>
        <w:ind w:firstLine="210"/>
        <w:rPr>
          <w:color w:val="000000" w:themeColor="text1"/>
          <w14:textFill>
            <w14:solidFill>
              <w14:schemeClr w14:val="tx1"/>
            </w14:solidFill>
          </w14:textFill>
        </w:rPr>
      </w:pPr>
    </w:p>
    <w:p>
      <w:pPr>
        <w:pStyle w:val="5"/>
        <w:spacing w:line="240" w:lineRule="auto"/>
        <w:ind w:firstLine="0" w:firstLineChars="0"/>
        <w:jc w:val="center"/>
        <w:rPr>
          <w:color w:val="000000" w:themeColor="text1"/>
          <w14:textFill>
            <w14:solidFill>
              <w14:schemeClr w14:val="tx1"/>
            </w14:solidFill>
          </w14:textFill>
        </w:rPr>
      </w:pPr>
      <w:bookmarkStart w:id="153" w:name="_Toc1648"/>
      <w:bookmarkStart w:id="154" w:name="_Toc9863571"/>
      <w:bookmarkStart w:id="155" w:name="_Toc514770565"/>
      <w:bookmarkStart w:id="156" w:name="_Toc300835220"/>
      <w:bookmarkStart w:id="157" w:name="_Toc514770808"/>
      <w:bookmarkStart w:id="158" w:name="_Toc518653627"/>
      <w:bookmarkStart w:id="159" w:name="_Toc144974876"/>
      <w:bookmarkStart w:id="160" w:name="_Toc300835224"/>
      <w:bookmarkStart w:id="161" w:name="_Toc247527848"/>
      <w:bookmarkStart w:id="162" w:name="_Toc152045808"/>
      <w:bookmarkStart w:id="163" w:name="_Toc247514300"/>
      <w:bookmarkStart w:id="164" w:name="_Toc152042597"/>
      <w:r>
        <w:rPr>
          <w:rFonts w:hint="eastAsia"/>
          <w:color w:val="000000" w:themeColor="text1"/>
          <w14:textFill>
            <w14:solidFill>
              <w14:schemeClr w14:val="tx1"/>
            </w14:solidFill>
          </w14:textFill>
        </w:rPr>
        <w:t>四、价格清单</w:t>
      </w:r>
      <w:bookmarkEnd w:id="153"/>
      <w:bookmarkEnd w:id="154"/>
      <w:bookmarkEnd w:id="155"/>
      <w:bookmarkEnd w:id="156"/>
      <w:bookmarkEnd w:id="157"/>
      <w:bookmarkEnd w:id="158"/>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1.</w:t>
      </w:r>
      <w:r>
        <w:rPr>
          <w:rFonts w:hAnsi="Cambria"/>
          <w:b/>
          <w:color w:val="000000" w:themeColor="text1"/>
          <w:sz w:val="24"/>
          <w14:textFill>
            <w14:solidFill>
              <w14:schemeClr w14:val="tx1"/>
            </w14:solidFill>
          </w14:textFill>
        </w:rPr>
        <w:t>1</w:t>
      </w:r>
      <w:r>
        <w:rPr>
          <w:rFonts w:hint="eastAsia" w:hAnsi="Cambria"/>
          <w:b/>
          <w:color w:val="000000" w:themeColor="text1"/>
          <w:sz w:val="24"/>
          <w14:textFill>
            <w14:solidFill>
              <w14:schemeClr w14:val="tx1"/>
            </w14:solidFill>
          </w14:textFill>
        </w:rPr>
        <w:t>价格清单列出的任何数量，不视为要求承包人实施的工程的实际或准确的工作量。在价格清单中列出的任何工作量和价格数据应仅限用于合同约定的变更和支付的参考资料，而不能用于其他目的。</w:t>
      </w:r>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1.</w:t>
      </w:r>
      <w:r>
        <w:rPr>
          <w:rFonts w:hAnsi="Cambria"/>
          <w:b/>
          <w:color w:val="000000" w:themeColor="text1"/>
          <w:sz w:val="24"/>
          <w14:textFill>
            <w14:solidFill>
              <w14:schemeClr w14:val="tx1"/>
            </w14:solidFill>
          </w14:textFill>
        </w:rPr>
        <w:t>2</w:t>
      </w:r>
      <w:r>
        <w:rPr>
          <w:rFonts w:hint="eastAsia" w:hAnsi="Cambria"/>
          <w:b/>
          <w:color w:val="000000" w:themeColor="text1"/>
          <w:sz w:val="24"/>
          <w14:textFill>
            <w14:solidFill>
              <w14:schemeClr w14:val="tx1"/>
            </w14:solidFill>
          </w14:textFill>
        </w:rPr>
        <w:t>本价格清单应与</w:t>
      </w:r>
      <w:r>
        <w:rPr>
          <w:rFonts w:hAnsi="Cambria"/>
          <w:b/>
          <w:color w:val="000000" w:themeColor="text1"/>
          <w:sz w:val="24"/>
          <w14:textFill>
            <w14:solidFill>
              <w14:schemeClr w14:val="tx1"/>
            </w14:solidFill>
          </w14:textFill>
        </w:rPr>
        <w:t>招标文件中投标人须知、</w:t>
      </w:r>
      <w:r>
        <w:rPr>
          <w:rFonts w:hint="eastAsia" w:hAnsi="Cambria"/>
          <w:b/>
          <w:color w:val="000000" w:themeColor="text1"/>
          <w:sz w:val="24"/>
          <w14:textFill>
            <w14:solidFill>
              <w14:schemeClr w14:val="tx1"/>
            </w14:solidFill>
          </w14:textFill>
        </w:rPr>
        <w:t>专用</w:t>
      </w:r>
      <w:r>
        <w:rPr>
          <w:rFonts w:hAnsi="Cambria"/>
          <w:b/>
          <w:color w:val="000000" w:themeColor="text1"/>
          <w:sz w:val="24"/>
          <w14:textFill>
            <w14:solidFill>
              <w14:schemeClr w14:val="tx1"/>
            </w14:solidFill>
          </w14:textFill>
        </w:rPr>
        <w:t>合同条款、</w:t>
      </w:r>
      <w:r>
        <w:rPr>
          <w:rFonts w:hint="eastAsia" w:hAnsi="Cambria"/>
          <w:b/>
          <w:color w:val="000000" w:themeColor="text1"/>
          <w:sz w:val="24"/>
          <w14:textFill>
            <w14:solidFill>
              <w14:schemeClr w14:val="tx1"/>
            </w14:solidFill>
          </w14:textFill>
        </w:rPr>
        <w:t>通用合同条款、发包人要求等一起阅读和理解。</w:t>
      </w:r>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 xml:space="preserve">1.3 </w:t>
      </w:r>
      <w:r>
        <w:rPr>
          <w:rFonts w:hint="eastAsia" w:ascii="宋体" w:hAnsi="宋体" w:eastAsia="宋体" w:cs="宋体"/>
          <w:b/>
          <w:color w:val="000000" w:themeColor="text1"/>
          <w:sz w:val="24"/>
          <w14:textFill>
            <w14:solidFill>
              <w14:schemeClr w14:val="tx1"/>
            </w14:solidFill>
          </w14:textFill>
        </w:rPr>
        <w:t>勘察设计费</w:t>
      </w:r>
      <w:r>
        <w:rPr>
          <w:rFonts w:hint="eastAsia" w:hAnsi="Cambria"/>
          <w:b/>
          <w:color w:val="000000" w:themeColor="text1"/>
          <w:sz w:val="24"/>
          <w14:textFill>
            <w14:solidFill>
              <w14:schemeClr w14:val="tx1"/>
            </w14:solidFill>
          </w14:textFill>
        </w:rPr>
        <w:t>的说明：。</w:t>
      </w:r>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1.4 设备</w:t>
      </w:r>
      <w:r>
        <w:rPr>
          <w:rFonts w:hAnsi="Cambria"/>
          <w:b/>
          <w:color w:val="000000" w:themeColor="text1"/>
          <w:sz w:val="24"/>
          <w14:textFill>
            <w14:solidFill>
              <w14:schemeClr w14:val="tx1"/>
            </w14:solidFill>
          </w14:textFill>
        </w:rPr>
        <w:t>购置</w:t>
      </w:r>
      <w:r>
        <w:rPr>
          <w:rFonts w:hint="eastAsia" w:hAnsi="Cambria"/>
          <w:b/>
          <w:color w:val="000000" w:themeColor="text1"/>
          <w:sz w:val="24"/>
          <w14:textFill>
            <w14:solidFill>
              <w14:schemeClr w14:val="tx1"/>
            </w14:solidFill>
          </w14:textFill>
        </w:rPr>
        <w:t>费的说明：。</w:t>
      </w:r>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1.5 建筑</w:t>
      </w:r>
      <w:r>
        <w:rPr>
          <w:rFonts w:hAnsi="Cambria"/>
          <w:b/>
          <w:color w:val="000000" w:themeColor="text1"/>
          <w:sz w:val="24"/>
          <w14:textFill>
            <w14:solidFill>
              <w14:schemeClr w14:val="tx1"/>
            </w14:solidFill>
          </w14:textFill>
        </w:rPr>
        <w:t>安装工程费</w:t>
      </w:r>
      <w:r>
        <w:rPr>
          <w:rFonts w:hint="eastAsia" w:hAnsi="Cambria"/>
          <w:b/>
          <w:color w:val="000000" w:themeColor="text1"/>
          <w:sz w:val="24"/>
          <w14:textFill>
            <w14:solidFill>
              <w14:schemeClr w14:val="tx1"/>
            </w14:solidFill>
          </w14:textFill>
        </w:rPr>
        <w:t>的说明：。</w:t>
      </w:r>
    </w:p>
    <w:p>
      <w:pPr>
        <w:spacing w:line="440" w:lineRule="exact"/>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 xml:space="preserve">1.6 </w:t>
      </w:r>
      <w:r>
        <w:rPr>
          <w:rFonts w:hAnsi="Cambria"/>
          <w:b/>
          <w:color w:val="000000" w:themeColor="text1"/>
          <w:sz w:val="24"/>
          <w14:textFill>
            <w14:solidFill>
              <w14:schemeClr w14:val="tx1"/>
            </w14:solidFill>
          </w14:textFill>
        </w:rPr>
        <w:t>其它</w:t>
      </w:r>
      <w:r>
        <w:rPr>
          <w:rFonts w:hint="eastAsia" w:hAnsi="Cambria"/>
          <w:b/>
          <w:color w:val="000000" w:themeColor="text1"/>
          <w:sz w:val="24"/>
          <w14:textFill>
            <w14:solidFill>
              <w14:schemeClr w14:val="tx1"/>
            </w14:solidFill>
          </w14:textFill>
        </w:rPr>
        <w:t>说明</w:t>
      </w: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w:t>
      </w: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eastAsiaTheme="minorEastAsia"/>
          <w:b/>
          <w:color w:val="000000" w:themeColor="text1"/>
          <w:sz w:val="24"/>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spacing w:line="440" w:lineRule="exact"/>
        <w:ind w:firstLine="482"/>
        <w:rPr>
          <w:rFonts w:hAnsi="Cambria"/>
          <w:b/>
          <w:color w:val="000000" w:themeColor="text1"/>
          <w:sz w:val="24"/>
          <w14:textFill>
            <w14:solidFill>
              <w14:schemeClr w14:val="tx1"/>
            </w14:solidFill>
          </w14:textFill>
        </w:rPr>
      </w:pPr>
    </w:p>
    <w:p>
      <w:pPr>
        <w:ind w:firstLine="0" w:firstLineChars="0"/>
        <w:rPr>
          <w:color w:val="000000" w:themeColor="text1"/>
          <w14:textFill>
            <w14:solidFill>
              <w14:schemeClr w14:val="tx1"/>
            </w14:solidFill>
          </w14:textFill>
        </w:rPr>
      </w:pPr>
    </w:p>
    <w:p>
      <w:pPr>
        <w:spacing w:line="360" w:lineRule="auto"/>
        <w:ind w:firstLine="482"/>
        <w:jc w:val="center"/>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工程总承包项目报价表</w:t>
      </w:r>
    </w:p>
    <w:p>
      <w:pPr>
        <w:spacing w:line="360" w:lineRule="auto"/>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一、工程总承包费用汇总表</w:t>
      </w:r>
    </w:p>
    <w:tbl>
      <w:tblPr>
        <w:tblStyle w:val="45"/>
        <w:tblW w:w="937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 w:type="dxa"/>
          <w:bottom w:w="0" w:type="dxa"/>
          <w:right w:w="10" w:type="dxa"/>
        </w:tblCellMar>
      </w:tblPr>
      <w:tblGrid>
        <w:gridCol w:w="810"/>
        <w:gridCol w:w="2653"/>
        <w:gridCol w:w="1943"/>
        <w:gridCol w:w="1943"/>
        <w:gridCol w:w="202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845"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序号</w:t>
            </w:r>
          </w:p>
        </w:tc>
        <w:tc>
          <w:tcPr>
            <w:tcW w:w="2653"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项目名称</w:t>
            </w:r>
          </w:p>
        </w:tc>
        <w:tc>
          <w:tcPr>
            <w:tcW w:w="1943" w:type="dxa"/>
            <w:tcMar>
              <w:top w:w="0" w:type="dxa"/>
              <w:left w:w="108" w:type="dxa"/>
              <w:bottom w:w="0" w:type="dxa"/>
              <w:right w:w="108" w:type="dxa"/>
            </w:tcMar>
            <w:vAlign w:val="center"/>
          </w:tcPr>
          <w:p>
            <w:pPr>
              <w:widowControl/>
              <w:ind w:firstLine="0" w:firstLineChars="0"/>
              <w:rPr>
                <w:rFonts w:hAnsi="Cambria" w:eastAsia="宋体"/>
                <w:b/>
                <w:color w:val="000000" w:themeColor="text1"/>
                <w:sz w:val="24"/>
                <w14:textFill>
                  <w14:solidFill>
                    <w14:schemeClr w14:val="tx1"/>
                  </w14:solidFill>
                </w14:textFill>
              </w:rPr>
            </w:pPr>
            <w:r>
              <w:rPr>
                <w:rFonts w:hint="eastAsia" w:hAnsi="Cambria" w:eastAsia="宋体"/>
                <w:b/>
                <w:color w:val="000000" w:themeColor="text1"/>
                <w:sz w:val="24"/>
                <w14:textFill>
                  <w14:solidFill>
                    <w14:schemeClr w14:val="tx1"/>
                  </w14:solidFill>
                </w14:textFill>
              </w:rPr>
              <w:t>工期（日历天）</w:t>
            </w:r>
          </w:p>
        </w:tc>
        <w:tc>
          <w:tcPr>
            <w:tcW w:w="1943"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金额（元）</w:t>
            </w:r>
          </w:p>
        </w:tc>
        <w:tc>
          <w:tcPr>
            <w:tcW w:w="2029"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备注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697"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一</w:t>
            </w:r>
          </w:p>
        </w:tc>
        <w:tc>
          <w:tcPr>
            <w:tcW w:w="2653"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勘察设计费</w:t>
            </w: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664"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二</w:t>
            </w:r>
          </w:p>
        </w:tc>
        <w:tc>
          <w:tcPr>
            <w:tcW w:w="2653"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设备购置费</w:t>
            </w: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1320"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三</w:t>
            </w:r>
          </w:p>
        </w:tc>
        <w:tc>
          <w:tcPr>
            <w:tcW w:w="2653"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建筑安装工程费</w:t>
            </w: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spacing w:line="240" w:lineRule="exact"/>
              <w:ind w:firstLine="0" w:firstLineChars="0"/>
              <w:contextualSpacing/>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1320"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sz w:val="24"/>
                <w14:textFill>
                  <w14:solidFill>
                    <w14:schemeClr w14:val="tx1"/>
                  </w14:solidFill>
                </w14:textFill>
              </w:rPr>
            </w:pPr>
          </w:p>
        </w:tc>
        <w:tc>
          <w:tcPr>
            <w:tcW w:w="2653" w:type="dxa"/>
            <w:tcMar>
              <w:top w:w="0" w:type="dxa"/>
              <w:left w:w="108" w:type="dxa"/>
              <w:bottom w:w="0" w:type="dxa"/>
              <w:right w:w="108" w:type="dxa"/>
            </w:tcMar>
            <w:vAlign w:val="center"/>
          </w:tcPr>
          <w:p>
            <w:pPr>
              <w:widowControl/>
              <w:ind w:firstLine="482"/>
              <w:jc w:val="left"/>
              <w:rPr>
                <w:rFonts w:hAnsi="Cambria" w:eastAsia="宋体"/>
                <w:b/>
                <w:color w:val="000000" w:themeColor="text1"/>
                <w:sz w:val="24"/>
                <w14:textFill>
                  <w14:solidFill>
                    <w14:schemeClr w14:val="tx1"/>
                  </w14:solidFill>
                </w14:textFill>
              </w:rPr>
            </w:pPr>
            <w:r>
              <w:rPr>
                <w:rFonts w:hint="eastAsia" w:hAnsi="Cambria" w:eastAsia="宋体"/>
                <w:b/>
                <w:color w:val="000000" w:themeColor="text1"/>
                <w:sz w:val="24"/>
                <w14:textFill>
                  <w14:solidFill>
                    <w14:schemeClr w14:val="tx1"/>
                  </w14:solidFill>
                </w14:textFill>
              </w:rPr>
              <w:t>...</w:t>
            </w: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spacing w:line="240" w:lineRule="exact"/>
              <w:ind w:firstLine="0" w:firstLineChars="0"/>
              <w:contextualSpacing/>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1320"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sz w:val="24"/>
                <w14:textFill>
                  <w14:solidFill>
                    <w14:schemeClr w14:val="tx1"/>
                  </w14:solidFill>
                </w14:textFill>
              </w:rPr>
            </w:pPr>
          </w:p>
        </w:tc>
        <w:tc>
          <w:tcPr>
            <w:tcW w:w="2653" w:type="dxa"/>
            <w:tcMar>
              <w:top w:w="0" w:type="dxa"/>
              <w:left w:w="108" w:type="dxa"/>
              <w:bottom w:w="0" w:type="dxa"/>
              <w:right w:w="108" w:type="dxa"/>
            </w:tcMar>
            <w:vAlign w:val="center"/>
          </w:tcPr>
          <w:p>
            <w:pPr>
              <w:widowControl/>
              <w:ind w:firstLine="482"/>
              <w:jc w:val="left"/>
              <w:rPr>
                <w:rFonts w:hAnsi="Cambria"/>
                <w:b/>
                <w:color w:val="000000" w:themeColor="text1"/>
                <w:sz w:val="24"/>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spacing w:line="240" w:lineRule="exact"/>
              <w:ind w:firstLine="0" w:firstLineChars="0"/>
              <w:contextualSpacing/>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1320" w:hRule="atLeast"/>
          <w:jc w:val="center"/>
        </w:trPr>
        <w:tc>
          <w:tcPr>
            <w:tcW w:w="810" w:type="dxa"/>
            <w:tcMar>
              <w:top w:w="0" w:type="dxa"/>
              <w:left w:w="108" w:type="dxa"/>
              <w:bottom w:w="0" w:type="dxa"/>
              <w:right w:w="108" w:type="dxa"/>
            </w:tcMar>
            <w:vAlign w:val="center"/>
          </w:tcPr>
          <w:p>
            <w:pPr>
              <w:widowControl/>
              <w:ind w:firstLine="0" w:firstLineChars="0"/>
              <w:rPr>
                <w:rFonts w:hAnsi="Cambria"/>
                <w:b/>
                <w:color w:val="000000" w:themeColor="text1"/>
                <w:sz w:val="24"/>
                <w14:textFill>
                  <w14:solidFill>
                    <w14:schemeClr w14:val="tx1"/>
                  </w14:solidFill>
                </w14:textFill>
              </w:rPr>
            </w:pPr>
          </w:p>
        </w:tc>
        <w:tc>
          <w:tcPr>
            <w:tcW w:w="2653" w:type="dxa"/>
            <w:tcMar>
              <w:top w:w="0" w:type="dxa"/>
              <w:left w:w="108" w:type="dxa"/>
              <w:bottom w:w="0" w:type="dxa"/>
              <w:right w:w="108" w:type="dxa"/>
            </w:tcMar>
            <w:vAlign w:val="center"/>
          </w:tcPr>
          <w:p>
            <w:pPr>
              <w:widowControl/>
              <w:ind w:firstLine="482"/>
              <w:jc w:val="left"/>
              <w:rPr>
                <w:rFonts w:hAnsi="Cambria"/>
                <w:b/>
                <w:color w:val="000000" w:themeColor="text1"/>
                <w:sz w:val="24"/>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943"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2029" w:type="dxa"/>
            <w:tcMar>
              <w:top w:w="0" w:type="dxa"/>
              <w:left w:w="108" w:type="dxa"/>
              <w:bottom w:w="0" w:type="dxa"/>
              <w:right w:w="108" w:type="dxa"/>
            </w:tcMar>
            <w:vAlign w:val="center"/>
          </w:tcPr>
          <w:p>
            <w:pPr>
              <w:widowControl/>
              <w:spacing w:line="240" w:lineRule="exact"/>
              <w:ind w:firstLine="0" w:firstLineChars="0"/>
              <w:contextualSpacing/>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753" w:hRule="atLeast"/>
          <w:jc w:val="center"/>
        </w:trPr>
        <w:tc>
          <w:tcPr>
            <w:tcW w:w="3463" w:type="dxa"/>
            <w:gridSpan w:val="2"/>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合计总价</w:t>
            </w:r>
          </w:p>
        </w:tc>
        <w:tc>
          <w:tcPr>
            <w:tcW w:w="1943"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3972" w:type="dxa"/>
            <w:gridSpan w:val="2"/>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r>
    </w:tbl>
    <w:p>
      <w:pPr>
        <w:spacing w:line="360" w:lineRule="auto"/>
        <w:ind w:firstLine="480"/>
        <w:rPr>
          <w:rFonts w:hAnsi="Cambria"/>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0" w:firstLineChars="0"/>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二、设计费</w:t>
      </w:r>
    </w:p>
    <w:tbl>
      <w:tblPr>
        <w:tblStyle w:val="45"/>
        <w:tblW w:w="964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 w:type="dxa"/>
          <w:bottom w:w="0" w:type="dxa"/>
          <w:right w:w="10" w:type="dxa"/>
        </w:tblCellMar>
      </w:tblPr>
      <w:tblGrid>
        <w:gridCol w:w="1058"/>
        <w:gridCol w:w="2177"/>
        <w:gridCol w:w="3015"/>
        <w:gridCol w:w="1532"/>
        <w:gridCol w:w="1862"/>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序号</w:t>
            </w: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项目名称</w:t>
            </w:r>
          </w:p>
        </w:tc>
        <w:tc>
          <w:tcPr>
            <w:tcW w:w="3015" w:type="dxa"/>
            <w:tcBorders>
              <w:right w:val="single" w:color="auto" w:sz="4" w:space="0"/>
            </w:tcBorders>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工作内容</w:t>
            </w:r>
          </w:p>
        </w:tc>
        <w:tc>
          <w:tcPr>
            <w:tcW w:w="1532" w:type="dxa"/>
            <w:tcBorders>
              <w:left w:val="single" w:color="auto" w:sz="4" w:space="0"/>
            </w:tcBorders>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金额（元）</w:t>
            </w:r>
          </w:p>
        </w:tc>
        <w:tc>
          <w:tcPr>
            <w:tcW w:w="1862" w:type="dxa"/>
            <w:tcMar>
              <w:top w:w="0" w:type="dxa"/>
              <w:left w:w="108" w:type="dxa"/>
              <w:bottom w:w="0" w:type="dxa"/>
              <w:right w:w="108" w:type="dxa"/>
            </w:tcMar>
            <w:vAlign w:val="center"/>
          </w:tcPr>
          <w:p>
            <w:pPr>
              <w:widowControl/>
              <w:ind w:firstLine="482"/>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备注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工程设计费</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1</w:t>
            </w:r>
          </w:p>
        </w:tc>
        <w:tc>
          <w:tcPr>
            <w:tcW w:w="2177"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int="eastAsia" w:hAnsi="Cambria" w:eastAsia="宋体"/>
                <w:b/>
                <w:color w:val="000000" w:themeColor="text1"/>
                <w:sz w:val="24"/>
                <w14:textFill>
                  <w14:solidFill>
                    <w14:schemeClr w14:val="tx1"/>
                  </w14:solidFill>
                </w14:textFill>
              </w:rPr>
              <w:t>初步设计</w:t>
            </w:r>
            <w:r>
              <w:rPr>
                <w:rFonts w:hAnsi="Cambria"/>
                <w:b/>
                <w:color w:val="000000" w:themeColor="text1"/>
                <w:sz w:val="24"/>
                <w14:textFill>
                  <w14:solidFill>
                    <w14:schemeClr w14:val="tx1"/>
                  </w14:solidFill>
                </w14:textFill>
              </w:rPr>
              <w:t>深化费</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pStyle w:val="19"/>
              <w:spacing w:after="0" w:line="240" w:lineRule="exact"/>
              <w:ind w:firstLine="0" w:firstLineChars="0"/>
              <w:contextualSpacing/>
              <w:rPr>
                <w:rFonts w:hAnsi="Cambria"/>
                <w:color w:val="000000" w:themeColor="text1"/>
                <w14:textFill>
                  <w14:solidFill>
                    <w14:schemeClr w14:val="tx1"/>
                  </w14:solidFill>
                </w14:textFill>
              </w:rPr>
            </w:pPr>
            <w:r>
              <w:rPr>
                <w:rFonts w:hint="eastAsia" w:hAnsi="Cambria"/>
                <w:color w:val="000000" w:themeColor="text1"/>
                <w14:textFill>
                  <w14:solidFill>
                    <w14:schemeClr w14:val="tx1"/>
                  </w14:solidFill>
                </w14:textFill>
              </w:rPr>
              <w:t>（如有）</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2</w:t>
            </w: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施工图设计费</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0" w:firstLineChars="0"/>
              <w:rPr>
                <w:rFonts w:hAnsi="Cambria"/>
                <w:color w:val="000000" w:themeColor="text1"/>
                <w:sz w:val="21"/>
                <w:szCs w:val="2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3</w:t>
            </w: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技术设计费</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4</w:t>
            </w: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其他设计费</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0" w:firstLineChars="0"/>
              <w:rPr>
                <w:rFonts w:hAnsi="Cambria" w:eastAsia="宋体"/>
                <w:b/>
                <w:color w:val="000000" w:themeColor="text1"/>
                <w14:textFill>
                  <w14:solidFill>
                    <w14:schemeClr w14:val="tx1"/>
                  </w14:solidFill>
                </w14:textFill>
              </w:rPr>
            </w:pPr>
            <w:r>
              <w:rPr>
                <w:rFonts w:hint="eastAsia" w:hAnsi="Cambria" w:eastAsia="宋体"/>
                <w:b/>
                <w:color w:val="000000" w:themeColor="text1"/>
                <w14:textFill>
                  <w14:solidFill>
                    <w14:schemeClr w14:val="tx1"/>
                  </w14:solidFill>
                </w14:textFill>
              </w:rPr>
              <w:t>5.</w:t>
            </w:r>
          </w:p>
        </w:tc>
        <w:tc>
          <w:tcPr>
            <w:tcW w:w="2177"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int="eastAsia" w:hAnsi="Cambria"/>
                <w:b/>
                <w:color w:val="000000" w:themeColor="text1"/>
                <w:sz w:val="24"/>
                <w14:textFill>
                  <w14:solidFill>
                    <w14:schemeClr w14:val="tx1"/>
                  </w14:solidFill>
                </w14:textFill>
              </w:rPr>
              <w:t>设计费暂估价</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1058"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2177" w:type="dxa"/>
            <w:tcMar>
              <w:top w:w="0" w:type="dxa"/>
              <w:left w:w="108" w:type="dxa"/>
              <w:bottom w:w="0" w:type="dxa"/>
              <w:right w:w="108" w:type="dxa"/>
            </w:tcMar>
            <w:vAlign w:val="center"/>
          </w:tcPr>
          <w:p>
            <w:pPr>
              <w:widowControl/>
              <w:ind w:firstLine="562"/>
              <w:jc w:val="center"/>
              <w:rPr>
                <w:rFonts w:hAnsi="Cambria"/>
                <w:b/>
                <w:color w:val="000000" w:themeColor="text1"/>
                <w14:textFill>
                  <w14:solidFill>
                    <w14:schemeClr w14:val="tx1"/>
                  </w14:solidFill>
                </w14:textFill>
              </w:rPr>
            </w:pP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39" w:hRule="atLeast"/>
          <w:jc w:val="center"/>
        </w:trPr>
        <w:tc>
          <w:tcPr>
            <w:tcW w:w="3235" w:type="dxa"/>
            <w:gridSpan w:val="2"/>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合计费用</w:t>
            </w:r>
          </w:p>
        </w:tc>
        <w:tc>
          <w:tcPr>
            <w:tcW w:w="3015"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3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862"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bl>
    <w:p>
      <w:pPr>
        <w:spacing w:line="360" w:lineRule="auto"/>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br w:type="page"/>
      </w:r>
      <w:r>
        <w:rPr>
          <w:rFonts w:hint="eastAsia" w:hAnsi="Cambria"/>
          <w:b/>
          <w:color w:val="000000" w:themeColor="text1"/>
          <w:sz w:val="24"/>
          <w14:textFill>
            <w14:solidFill>
              <w14:schemeClr w14:val="tx1"/>
            </w14:solidFill>
          </w14:textFill>
        </w:rPr>
        <w:t>三、设备购置费</w:t>
      </w:r>
    </w:p>
    <w:tbl>
      <w:tblPr>
        <w:tblStyle w:val="45"/>
        <w:tblW w:w="9876"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 w:type="dxa"/>
          <w:bottom w:w="0" w:type="dxa"/>
          <w:right w:w="10" w:type="dxa"/>
        </w:tblCellMar>
      </w:tblPr>
      <w:tblGrid>
        <w:gridCol w:w="988"/>
        <w:gridCol w:w="2998"/>
        <w:gridCol w:w="1518"/>
        <w:gridCol w:w="1134"/>
        <w:gridCol w:w="1520"/>
        <w:gridCol w:w="171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序号</w:t>
            </w:r>
          </w:p>
        </w:tc>
        <w:tc>
          <w:tcPr>
            <w:tcW w:w="2998"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设备名称</w:t>
            </w:r>
          </w:p>
        </w:tc>
        <w:tc>
          <w:tcPr>
            <w:tcW w:w="151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规格、型号</w:t>
            </w:r>
          </w:p>
        </w:tc>
        <w:tc>
          <w:tcPr>
            <w:tcW w:w="1134" w:type="dxa"/>
            <w:tcMar>
              <w:top w:w="0" w:type="dxa"/>
              <w:left w:w="108" w:type="dxa"/>
              <w:bottom w:w="0" w:type="dxa"/>
              <w:right w:w="108" w:type="dxa"/>
            </w:tcMar>
            <w:vAlign w:val="center"/>
          </w:tcPr>
          <w:p>
            <w:pPr>
              <w:widowControl/>
              <w:ind w:firstLine="240" w:firstLineChars="10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数量</w:t>
            </w:r>
          </w:p>
        </w:tc>
        <w:tc>
          <w:tcPr>
            <w:tcW w:w="1520"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单价（元）</w:t>
            </w:r>
          </w:p>
        </w:tc>
        <w:tc>
          <w:tcPr>
            <w:tcW w:w="171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合价（元）</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一</w:t>
            </w:r>
            <w:r>
              <w:rPr>
                <w:rFonts w:hAnsi="Cambria"/>
                <w:b/>
                <w:color w:val="000000" w:themeColor="text1"/>
                <w:sz w:val="24"/>
                <w14:textFill>
                  <w14:solidFill>
                    <w14:schemeClr w14:val="tx1"/>
                  </w14:solidFill>
                </w14:textFill>
              </w:rPr>
              <w:t>)</w:t>
            </w:r>
          </w:p>
        </w:tc>
        <w:tc>
          <w:tcPr>
            <w:tcW w:w="2998"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工程设备费</w:t>
            </w: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left"/>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left"/>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二</w:t>
            </w:r>
            <w:r>
              <w:rPr>
                <w:rFonts w:hAnsi="Cambria"/>
                <w:b/>
                <w:color w:val="000000" w:themeColor="text1"/>
                <w:sz w:val="24"/>
                <w14:textFill>
                  <w14:solidFill>
                    <w14:schemeClr w14:val="tx1"/>
                  </w14:solidFill>
                </w14:textFill>
              </w:rPr>
              <w:t>)</w:t>
            </w:r>
          </w:p>
        </w:tc>
        <w:tc>
          <w:tcPr>
            <w:tcW w:w="2998"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必备的备品备件费</w:t>
            </w: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left"/>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left"/>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int="eastAsia" w:hAnsi="Cambria"/>
                <w:b/>
                <w:color w:val="000000" w:themeColor="text1"/>
                <w:sz w:val="24"/>
                <w14:textFill>
                  <w14:solidFill>
                    <w14:schemeClr w14:val="tx1"/>
                  </w14:solidFill>
                </w14:textFill>
              </w:rPr>
              <w:t>（三）</w:t>
            </w:r>
          </w:p>
        </w:tc>
        <w:tc>
          <w:tcPr>
            <w:tcW w:w="2998" w:type="dxa"/>
            <w:tcMar>
              <w:top w:w="0" w:type="dxa"/>
              <w:left w:w="108" w:type="dxa"/>
              <w:bottom w:w="0" w:type="dxa"/>
              <w:right w:w="108" w:type="dxa"/>
            </w:tcMar>
            <w:vAlign w:val="center"/>
          </w:tcPr>
          <w:p>
            <w:pPr>
              <w:widowControl/>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设备费暂估价</w:t>
            </w: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98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299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83" w:hRule="atLeast"/>
          <w:jc w:val="center"/>
        </w:trPr>
        <w:tc>
          <w:tcPr>
            <w:tcW w:w="3986" w:type="dxa"/>
            <w:gridSpan w:val="2"/>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合计费用</w:t>
            </w:r>
          </w:p>
        </w:tc>
        <w:tc>
          <w:tcPr>
            <w:tcW w:w="1518"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134" w:type="dxa"/>
            <w:tcMar>
              <w:top w:w="0" w:type="dxa"/>
              <w:left w:w="108" w:type="dxa"/>
              <w:bottom w:w="0" w:type="dxa"/>
              <w:right w:w="108" w:type="dxa"/>
            </w:tcMar>
            <w:vAlign w:val="center"/>
          </w:tcPr>
          <w:p>
            <w:pPr>
              <w:widowControl/>
              <w:ind w:firstLine="560"/>
              <w:jc w:val="center"/>
              <w:rPr>
                <w:rFonts w:hAnsi="Cambria"/>
                <w:color w:val="000000" w:themeColor="text1"/>
                <w14:textFill>
                  <w14:solidFill>
                    <w14:schemeClr w14:val="tx1"/>
                  </w14:solidFill>
                </w14:textFill>
              </w:rPr>
            </w:pPr>
          </w:p>
        </w:tc>
        <w:tc>
          <w:tcPr>
            <w:tcW w:w="1520"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c>
          <w:tcPr>
            <w:tcW w:w="1718" w:type="dxa"/>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bl>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0" w:firstLineChars="0"/>
        <w:rPr>
          <w:rFonts w:hAnsi="Cambria"/>
          <w:b/>
          <w:color w:val="000000" w:themeColor="text1"/>
          <w:sz w:val="24"/>
          <w14:textFill>
            <w14:solidFill>
              <w14:schemeClr w14:val="tx1"/>
            </w14:solidFill>
          </w14:textFill>
        </w:rPr>
      </w:pPr>
    </w:p>
    <w:p>
      <w:pPr>
        <w:pStyle w:val="19"/>
        <w:ind w:firstLine="210"/>
        <w:rPr>
          <w:color w:val="000000" w:themeColor="text1"/>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p>
    <w:p>
      <w:pPr>
        <w:spacing w:line="360" w:lineRule="auto"/>
        <w:ind w:firstLine="482"/>
        <w:rPr>
          <w:rFonts w:hAnsi="Cambria"/>
          <w:b/>
          <w:color w:val="000000" w:themeColor="text1"/>
          <w:sz w:val="24"/>
          <w14:textFill>
            <w14:solidFill>
              <w14:schemeClr w14:val="tx1"/>
            </w14:solidFill>
          </w14:textFill>
        </w:rPr>
      </w:pPr>
      <w:r>
        <w:rPr>
          <w:rFonts w:hint="eastAsia" w:hAnsi="Cambria"/>
          <w:b/>
          <w:color w:val="000000" w:themeColor="text1"/>
          <w:sz w:val="24"/>
          <w14:textFill>
            <w14:solidFill>
              <w14:schemeClr w14:val="tx1"/>
            </w14:solidFill>
          </w14:textFill>
        </w:rPr>
        <w:t>四、建筑安装工程费</w:t>
      </w:r>
    </w:p>
    <w:tbl>
      <w:tblPr>
        <w:tblStyle w:val="45"/>
        <w:tblW w:w="970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 w:type="dxa"/>
          <w:bottom w:w="0" w:type="dxa"/>
          <w:right w:w="10" w:type="dxa"/>
        </w:tblCellMar>
      </w:tblPr>
      <w:tblGrid>
        <w:gridCol w:w="876"/>
        <w:gridCol w:w="3380"/>
        <w:gridCol w:w="1559"/>
        <w:gridCol w:w="851"/>
        <w:gridCol w:w="895"/>
        <w:gridCol w:w="939"/>
        <w:gridCol w:w="120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18" w:hRule="atLeast"/>
          <w:jc w:val="center"/>
        </w:trPr>
        <w:tc>
          <w:tcPr>
            <w:tcW w:w="876"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序号</w:t>
            </w:r>
          </w:p>
        </w:tc>
        <w:tc>
          <w:tcPr>
            <w:tcW w:w="3380" w:type="dxa"/>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项目名称</w:t>
            </w:r>
          </w:p>
        </w:tc>
        <w:tc>
          <w:tcPr>
            <w:tcW w:w="1559"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工作内容</w:t>
            </w:r>
          </w:p>
        </w:tc>
        <w:tc>
          <w:tcPr>
            <w:tcW w:w="851"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单位</w:t>
            </w:r>
          </w:p>
        </w:tc>
        <w:tc>
          <w:tcPr>
            <w:tcW w:w="895" w:type="dxa"/>
            <w:tcMar>
              <w:top w:w="0" w:type="dxa"/>
              <w:left w:w="108" w:type="dxa"/>
              <w:bottom w:w="0" w:type="dxa"/>
              <w:right w:w="108" w:type="dxa"/>
            </w:tcMar>
            <w:vAlign w:val="center"/>
          </w:tcPr>
          <w:p>
            <w:pPr>
              <w:widowControl/>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数量</w:t>
            </w:r>
          </w:p>
        </w:tc>
        <w:tc>
          <w:tcPr>
            <w:tcW w:w="939" w:type="dxa"/>
            <w:tcMar>
              <w:top w:w="0" w:type="dxa"/>
              <w:left w:w="108" w:type="dxa"/>
              <w:bottom w:w="0" w:type="dxa"/>
              <w:right w:w="108" w:type="dxa"/>
            </w:tcMar>
            <w:vAlign w:val="center"/>
          </w:tcPr>
          <w:p>
            <w:pPr>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单价（元）</w:t>
            </w:r>
          </w:p>
        </w:tc>
        <w:tc>
          <w:tcPr>
            <w:tcW w:w="1208" w:type="dxa"/>
            <w:tcMar>
              <w:top w:w="0" w:type="dxa"/>
              <w:left w:w="108" w:type="dxa"/>
              <w:bottom w:w="0" w:type="dxa"/>
              <w:right w:w="108" w:type="dxa"/>
            </w:tcMar>
            <w:vAlign w:val="center"/>
          </w:tcPr>
          <w:p>
            <w:pPr>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合价（元）</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56" w:hRule="atLeast"/>
          <w:jc w:val="center"/>
        </w:trPr>
        <w:tc>
          <w:tcPr>
            <w:tcW w:w="876" w:type="dxa"/>
            <w:tcMar>
              <w:top w:w="0" w:type="dxa"/>
              <w:left w:w="108" w:type="dxa"/>
              <w:bottom w:w="0" w:type="dxa"/>
              <w:right w:w="108" w:type="dxa"/>
            </w:tcMar>
            <w:vAlign w:val="center"/>
          </w:tcPr>
          <w:p>
            <w:pPr>
              <w:widowControl/>
              <w:spacing w:line="360" w:lineRule="auto"/>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一</w:t>
            </w:r>
            <w:r>
              <w:rPr>
                <w:rFonts w:hAnsi="Cambria"/>
                <w:b/>
                <w:color w:val="000000" w:themeColor="text1"/>
                <w:sz w:val="24"/>
                <w14:textFill>
                  <w14:solidFill>
                    <w14:schemeClr w14:val="tx1"/>
                  </w14:solidFill>
                </w14:textFill>
              </w:rPr>
              <w:t>)</w:t>
            </w:r>
          </w:p>
        </w:tc>
        <w:tc>
          <w:tcPr>
            <w:tcW w:w="3380" w:type="dxa"/>
            <w:tcMar>
              <w:top w:w="0" w:type="dxa"/>
              <w:left w:w="108" w:type="dxa"/>
              <w:bottom w:w="0" w:type="dxa"/>
              <w:right w:w="108" w:type="dxa"/>
            </w:tcMar>
            <w:vAlign w:val="center"/>
          </w:tcPr>
          <w:p>
            <w:pPr>
              <w:spacing w:line="360" w:lineRule="auto"/>
              <w:ind w:firstLine="482"/>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主要工程项目费</w:t>
            </w: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56" w:hRule="atLeast"/>
          <w:jc w:val="center"/>
        </w:trPr>
        <w:tc>
          <w:tcPr>
            <w:tcW w:w="876" w:type="dxa"/>
            <w:tcMar>
              <w:top w:w="0" w:type="dxa"/>
              <w:left w:w="108" w:type="dxa"/>
              <w:bottom w:w="0" w:type="dxa"/>
              <w:right w:w="108" w:type="dxa"/>
            </w:tcMar>
            <w:vAlign w:val="center"/>
          </w:tcPr>
          <w:p>
            <w:pPr>
              <w:widowControl/>
              <w:spacing w:line="360" w:lineRule="auto"/>
              <w:ind w:firstLine="562"/>
              <w:jc w:val="center"/>
              <w:rPr>
                <w:rFonts w:hAnsi="Cambria"/>
                <w:b/>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spacing w:line="360" w:lineRule="auto"/>
              <w:ind w:firstLine="562"/>
              <w:rPr>
                <w:rFonts w:hAnsi="Cambria"/>
                <w:b/>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18"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18"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418" w:hRule="atLeast"/>
          <w:jc w:val="center"/>
        </w:trPr>
        <w:tc>
          <w:tcPr>
            <w:tcW w:w="876" w:type="dxa"/>
            <w:tcMar>
              <w:top w:w="0" w:type="dxa"/>
              <w:left w:w="108" w:type="dxa"/>
              <w:bottom w:w="0" w:type="dxa"/>
              <w:right w:w="108" w:type="dxa"/>
            </w:tcMar>
            <w:vAlign w:val="center"/>
          </w:tcPr>
          <w:p>
            <w:pPr>
              <w:widowControl/>
              <w:spacing w:line="360" w:lineRule="auto"/>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二</w:t>
            </w:r>
            <w:r>
              <w:rPr>
                <w:rFonts w:hAnsi="Cambria"/>
                <w:b/>
                <w:color w:val="000000" w:themeColor="text1"/>
                <w:sz w:val="24"/>
                <w14:textFill>
                  <w14:solidFill>
                    <w14:schemeClr w14:val="tx1"/>
                  </w14:solidFill>
                </w14:textFill>
              </w:rPr>
              <w:t>)</w:t>
            </w:r>
          </w:p>
        </w:tc>
        <w:tc>
          <w:tcPr>
            <w:tcW w:w="3380" w:type="dxa"/>
            <w:tcMar>
              <w:top w:w="0" w:type="dxa"/>
              <w:left w:w="108" w:type="dxa"/>
              <w:bottom w:w="0" w:type="dxa"/>
              <w:right w:w="108" w:type="dxa"/>
            </w:tcMar>
            <w:vAlign w:val="center"/>
          </w:tcPr>
          <w:p>
            <w:pPr>
              <w:widowControl/>
              <w:spacing w:line="360" w:lineRule="auto"/>
              <w:ind w:firstLine="0" w:firstLineChars="0"/>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辅助和服务性的工程项目费</w:t>
            </w: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三</w:t>
            </w:r>
            <w:r>
              <w:rPr>
                <w:rFonts w:hAnsi="Cambria"/>
                <w:b/>
                <w:color w:val="000000" w:themeColor="text1"/>
                <w:sz w:val="24"/>
                <w14:textFill>
                  <w14:solidFill>
                    <w14:schemeClr w14:val="tx1"/>
                  </w14:solidFill>
                </w14:textFill>
              </w:rPr>
              <w:t>)</w:t>
            </w:r>
          </w:p>
        </w:tc>
        <w:tc>
          <w:tcPr>
            <w:tcW w:w="3380" w:type="dxa"/>
            <w:tcMar>
              <w:top w:w="0" w:type="dxa"/>
              <w:left w:w="108" w:type="dxa"/>
              <w:bottom w:w="0" w:type="dxa"/>
              <w:right w:w="108" w:type="dxa"/>
            </w:tcMar>
            <w:vAlign w:val="center"/>
          </w:tcPr>
          <w:p>
            <w:pPr>
              <w:widowControl/>
              <w:spacing w:line="360" w:lineRule="auto"/>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室外工程项目费</w:t>
            </w: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0" w:firstLineChars="0"/>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w:t>
            </w:r>
            <w:r>
              <w:rPr>
                <w:rFonts w:hint="eastAsia" w:hAnsi="Cambria"/>
                <w:b/>
                <w:color w:val="000000" w:themeColor="text1"/>
                <w:sz w:val="24"/>
                <w14:textFill>
                  <w14:solidFill>
                    <w14:schemeClr w14:val="tx1"/>
                  </w14:solidFill>
                </w14:textFill>
              </w:rPr>
              <w:t>四</w:t>
            </w:r>
            <w:r>
              <w:rPr>
                <w:rFonts w:hAnsi="Cambria"/>
                <w:b/>
                <w:color w:val="000000" w:themeColor="text1"/>
                <w:sz w:val="24"/>
                <w14:textFill>
                  <w14:solidFill>
                    <w14:schemeClr w14:val="tx1"/>
                  </w14:solidFill>
                </w14:textFill>
              </w:rPr>
              <w:t>)</w:t>
            </w:r>
          </w:p>
        </w:tc>
        <w:tc>
          <w:tcPr>
            <w:tcW w:w="3380" w:type="dxa"/>
            <w:tcMar>
              <w:top w:w="0" w:type="dxa"/>
              <w:left w:w="108" w:type="dxa"/>
              <w:bottom w:w="0" w:type="dxa"/>
              <w:right w:w="108" w:type="dxa"/>
            </w:tcMar>
            <w:vAlign w:val="center"/>
          </w:tcPr>
          <w:p>
            <w:pPr>
              <w:widowControl/>
              <w:spacing w:line="360" w:lineRule="auto"/>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场外工程项目费</w:t>
            </w: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2"/>
              <w:jc w:val="center"/>
              <w:rPr>
                <w:rFonts w:hAnsi="Cambria"/>
                <w:b/>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2"/>
              <w:jc w:val="left"/>
              <w:rPr>
                <w:rFonts w:hAnsi="Cambria"/>
                <w:b/>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2"/>
              <w:jc w:val="center"/>
              <w:rPr>
                <w:rFonts w:hAnsi="Cambria"/>
                <w:b/>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2"/>
              <w:jc w:val="left"/>
              <w:rPr>
                <w:rFonts w:hAnsi="Cambria"/>
                <w:b/>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2"/>
              <w:jc w:val="center"/>
              <w:rPr>
                <w:rFonts w:hAnsi="Cambria"/>
                <w:b/>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2"/>
              <w:jc w:val="left"/>
              <w:rPr>
                <w:rFonts w:hAnsi="Cambria"/>
                <w:b/>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left="-63" w:firstLine="0" w:firstLineChars="0"/>
              <w:rPr>
                <w:rFonts w:hAnsi="Cambria"/>
                <w:b/>
                <w:color w:val="000000" w:themeColor="text1"/>
                <w14:textFill>
                  <w14:solidFill>
                    <w14:schemeClr w14:val="tx1"/>
                  </w14:solidFill>
                </w14:textFill>
              </w:rPr>
            </w:pPr>
            <w:r>
              <w:rPr>
                <w:rFonts w:hint="eastAsia" w:hAnsi="Cambria"/>
                <w:b/>
                <w:color w:val="000000" w:themeColor="text1"/>
                <w:sz w:val="24"/>
                <w14:textFill>
                  <w14:solidFill>
                    <w14:schemeClr w14:val="tx1"/>
                  </w14:solidFill>
                </w14:textFill>
              </w:rPr>
              <w:t>（五）</w:t>
            </w:r>
          </w:p>
        </w:tc>
        <w:tc>
          <w:tcPr>
            <w:tcW w:w="3380" w:type="dxa"/>
            <w:tcMar>
              <w:top w:w="0" w:type="dxa"/>
              <w:left w:w="108" w:type="dxa"/>
              <w:bottom w:w="0" w:type="dxa"/>
              <w:right w:w="108" w:type="dxa"/>
            </w:tcMar>
            <w:vAlign w:val="center"/>
          </w:tcPr>
          <w:p>
            <w:pPr>
              <w:widowControl/>
              <w:spacing w:line="360" w:lineRule="auto"/>
              <w:ind w:firstLine="482"/>
              <w:jc w:val="left"/>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建安费暂估价</w:t>
            </w: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wordWrap w:val="0"/>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wordWrap w:val="0"/>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396" w:hRule="atLeast"/>
          <w:jc w:val="center"/>
        </w:trPr>
        <w:tc>
          <w:tcPr>
            <w:tcW w:w="876"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3380" w:type="dxa"/>
            <w:tcMar>
              <w:top w:w="0" w:type="dxa"/>
              <w:left w:w="108" w:type="dxa"/>
              <w:bottom w:w="0" w:type="dxa"/>
              <w:right w:w="108" w:type="dxa"/>
            </w:tcMar>
            <w:vAlign w:val="center"/>
          </w:tcPr>
          <w:p>
            <w:pPr>
              <w:widowControl/>
              <w:spacing w:line="360" w:lineRule="auto"/>
              <w:ind w:firstLine="560"/>
              <w:jc w:val="left"/>
              <w:rPr>
                <w:rFonts w:hAnsi="Cambria"/>
                <w:color w:val="000000" w:themeColor="text1"/>
                <w14:textFill>
                  <w14:solidFill>
                    <w14:schemeClr w14:val="tx1"/>
                  </w14:solidFill>
                </w14:textFill>
              </w:rPr>
            </w:pPr>
          </w:p>
        </w:tc>
        <w:tc>
          <w:tcPr>
            <w:tcW w:w="155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51"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895"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939" w:type="dxa"/>
            <w:tcMar>
              <w:top w:w="0" w:type="dxa"/>
              <w:left w:w="108" w:type="dxa"/>
              <w:bottom w:w="0" w:type="dxa"/>
              <w:right w:w="108" w:type="dxa"/>
            </w:tcMar>
            <w:vAlign w:val="center"/>
          </w:tcPr>
          <w:p>
            <w:pPr>
              <w:widowControl/>
              <w:spacing w:line="360" w:lineRule="auto"/>
              <w:ind w:firstLine="560"/>
              <w:jc w:val="center"/>
              <w:rPr>
                <w:rFonts w:hAnsi="Cambria"/>
                <w:color w:val="000000" w:themeColor="text1"/>
                <w14:textFill>
                  <w14:solidFill>
                    <w14:schemeClr w14:val="tx1"/>
                  </w14:solidFill>
                </w14:textFill>
              </w:rPr>
            </w:pPr>
          </w:p>
        </w:tc>
        <w:tc>
          <w:tcPr>
            <w:tcW w:w="1208" w:type="dxa"/>
            <w:tcMar>
              <w:top w:w="0" w:type="dxa"/>
              <w:left w:w="108" w:type="dxa"/>
              <w:bottom w:w="0" w:type="dxa"/>
              <w:right w:w="108" w:type="dxa"/>
            </w:tcMar>
            <w:vAlign w:val="center"/>
          </w:tcPr>
          <w:p>
            <w:pPr>
              <w:widowControl/>
              <w:spacing w:line="360" w:lineRule="auto"/>
              <w:ind w:firstLine="560"/>
              <w:jc w:val="right"/>
              <w:rPr>
                <w:rFonts w:hAnsi="Cambria"/>
                <w:color w:val="000000" w:themeColor="text1"/>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 w:type="dxa"/>
            <w:bottom w:w="0" w:type="dxa"/>
            <w:right w:w="10" w:type="dxa"/>
          </w:tblCellMar>
        </w:tblPrEx>
        <w:trPr>
          <w:trHeight w:val="641" w:hRule="atLeast"/>
          <w:jc w:val="center"/>
        </w:trPr>
        <w:tc>
          <w:tcPr>
            <w:tcW w:w="4256" w:type="dxa"/>
            <w:gridSpan w:val="2"/>
            <w:tcMar>
              <w:top w:w="0" w:type="dxa"/>
              <w:left w:w="108" w:type="dxa"/>
              <w:bottom w:w="0" w:type="dxa"/>
              <w:right w:w="108" w:type="dxa"/>
            </w:tcMar>
            <w:vAlign w:val="center"/>
          </w:tcPr>
          <w:p>
            <w:pPr>
              <w:widowControl/>
              <w:ind w:firstLine="482"/>
              <w:jc w:val="center"/>
              <w:rPr>
                <w:rFonts w:hAnsi="Cambria"/>
                <w:b/>
                <w:color w:val="000000" w:themeColor="text1"/>
                <w14:textFill>
                  <w14:solidFill>
                    <w14:schemeClr w14:val="tx1"/>
                  </w14:solidFill>
                </w14:textFill>
              </w:rPr>
            </w:pPr>
            <w:r>
              <w:rPr>
                <w:rFonts w:hAnsi="Cambria"/>
                <w:b/>
                <w:color w:val="000000" w:themeColor="text1"/>
                <w:sz w:val="24"/>
                <w14:textFill>
                  <w14:solidFill>
                    <w14:schemeClr w14:val="tx1"/>
                  </w14:solidFill>
                </w14:textFill>
              </w:rPr>
              <w:t>合计费用</w:t>
            </w:r>
          </w:p>
        </w:tc>
        <w:tc>
          <w:tcPr>
            <w:tcW w:w="5452" w:type="dxa"/>
            <w:gridSpan w:val="5"/>
            <w:tcMar>
              <w:top w:w="0" w:type="dxa"/>
              <w:left w:w="108" w:type="dxa"/>
              <w:bottom w:w="0" w:type="dxa"/>
              <w:right w:w="108" w:type="dxa"/>
            </w:tcMar>
            <w:vAlign w:val="center"/>
          </w:tcPr>
          <w:p>
            <w:pPr>
              <w:widowControl/>
              <w:ind w:firstLine="560"/>
              <w:jc w:val="right"/>
              <w:rPr>
                <w:rFonts w:hAnsi="Cambria"/>
                <w:color w:val="000000" w:themeColor="text1"/>
                <w14:textFill>
                  <w14:solidFill>
                    <w14:schemeClr w14:val="tx1"/>
                  </w14:solidFill>
                </w14:textFill>
              </w:rPr>
            </w:pPr>
          </w:p>
        </w:tc>
      </w:tr>
    </w:tbl>
    <w:p>
      <w:pPr>
        <w:ind w:firstLine="402"/>
        <w:rPr>
          <w:rFonts w:hAnsi="Cambria"/>
          <w:b/>
          <w:color w:val="000000" w:themeColor="text1"/>
          <w:sz w:val="20"/>
          <w:szCs w:val="21"/>
          <w:u w:val="single"/>
          <w14:textFill>
            <w14:solidFill>
              <w14:schemeClr w14:val="tx1"/>
            </w14:solidFill>
          </w14:textFill>
        </w:rPr>
      </w:pPr>
      <w:r>
        <w:rPr>
          <w:rFonts w:hAnsi="Cambria"/>
          <w:b/>
          <w:color w:val="000000" w:themeColor="text1"/>
          <w:sz w:val="20"/>
          <w:szCs w:val="21"/>
          <w14:textFill>
            <w14:solidFill>
              <w14:schemeClr w14:val="tx1"/>
            </w14:solidFill>
          </w14:textFill>
        </w:rPr>
        <w:t>备注：</w:t>
      </w:r>
      <w:r>
        <w:rPr>
          <w:rFonts w:hint="eastAsia" w:hAnsi="Cambria"/>
          <w:b/>
          <w:color w:val="000000" w:themeColor="text1"/>
          <w:sz w:val="20"/>
          <w:szCs w:val="21"/>
          <w14:textFill>
            <w14:solidFill>
              <w14:schemeClr w14:val="tx1"/>
            </w14:solidFill>
          </w14:textFill>
        </w:rPr>
        <w:t>1、</w:t>
      </w:r>
      <w:r>
        <w:rPr>
          <w:rFonts w:hint="eastAsia" w:hAnsi="Cambria"/>
          <w:b/>
          <w:color w:val="000000" w:themeColor="text1"/>
          <w:sz w:val="20"/>
          <w:szCs w:val="21"/>
          <w:u w:val="single"/>
          <w14:textFill>
            <w14:solidFill>
              <w14:schemeClr w14:val="tx1"/>
            </w14:solidFill>
          </w14:textFill>
        </w:rPr>
        <w:t>建安费暂估价金额未按列明的金额填报的，否决其投标。</w:t>
      </w:r>
    </w:p>
    <w:p>
      <w:pPr>
        <w:ind w:firstLine="402"/>
        <w:rPr>
          <w:rFonts w:hAnsi="Cambria"/>
          <w:b/>
          <w:color w:val="000000" w:themeColor="text1"/>
          <w:sz w:val="22"/>
          <w:szCs w:val="24"/>
          <w:u w:val="single"/>
          <w14:textFill>
            <w14:solidFill>
              <w14:schemeClr w14:val="tx1"/>
            </w14:solidFill>
          </w14:textFill>
        </w:rPr>
      </w:pPr>
      <w:r>
        <w:rPr>
          <w:rFonts w:hint="eastAsia" w:hAnsi="Cambria"/>
          <w:b/>
          <w:color w:val="000000" w:themeColor="text1"/>
          <w:sz w:val="20"/>
          <w:szCs w:val="21"/>
          <w:highlight w:val="yellow"/>
          <w:u w:val="single"/>
          <w14:textFill>
            <w14:solidFill>
              <w14:schemeClr w14:val="tx1"/>
            </w14:solidFill>
          </w14:textFill>
        </w:rPr>
        <w:t>2、总承包管理及试运行费统一包含在建筑安装工程费中，由投标人按照《浙江省工程总承包计价规则（试行）》【</w:t>
      </w:r>
      <w:r>
        <w:rPr>
          <w:rFonts w:hAnsi="Cambria"/>
          <w:b/>
          <w:color w:val="000000" w:themeColor="text1"/>
          <w:sz w:val="20"/>
          <w:szCs w:val="21"/>
          <w:highlight w:val="yellow"/>
          <w:u w:val="single"/>
          <w14:textFill>
            <w14:solidFill>
              <w14:schemeClr w14:val="tx1"/>
            </w14:solidFill>
          </w14:textFill>
        </w:rPr>
        <w:t>2017】430号有关要求</w:t>
      </w:r>
      <w:r>
        <w:rPr>
          <w:rFonts w:hint="eastAsia" w:hAnsi="Cambria"/>
          <w:b/>
          <w:color w:val="000000" w:themeColor="text1"/>
          <w:sz w:val="20"/>
          <w:szCs w:val="21"/>
          <w:highlight w:val="yellow"/>
          <w:u w:val="single"/>
          <w14:textFill>
            <w14:solidFill>
              <w14:schemeClr w14:val="tx1"/>
            </w14:solidFill>
          </w14:textFill>
        </w:rPr>
        <w:t>进行报价。</w:t>
      </w:r>
    </w:p>
    <w:p>
      <w:pPr>
        <w:ind w:firstLine="0" w:firstLineChars="0"/>
        <w:jc w:val="center"/>
        <w:rPr>
          <w:rFonts w:hAnsi="Cambria" w:eastAsia="宋体"/>
          <w:b/>
          <w:color w:val="000000" w:themeColor="text1"/>
          <w:sz w:val="48"/>
          <w:szCs w:val="48"/>
          <w14:textFill>
            <w14:solidFill>
              <w14:schemeClr w14:val="tx1"/>
            </w14:solidFill>
          </w14:textFill>
        </w:rPr>
      </w:pPr>
    </w:p>
    <w:p>
      <w:pPr>
        <w:ind w:firstLine="0" w:firstLineChars="0"/>
        <w:jc w:val="center"/>
        <w:rPr>
          <w:rFonts w:hAnsi="Cambria" w:eastAsia="宋体"/>
          <w:b/>
          <w:color w:val="000000" w:themeColor="text1"/>
          <w:sz w:val="20"/>
          <w14:textFill>
            <w14:solidFill>
              <w14:schemeClr w14:val="tx1"/>
            </w14:solidFill>
          </w14:textFill>
        </w:rPr>
      </w:pPr>
      <w:r>
        <w:rPr>
          <w:rFonts w:hint="eastAsia" w:hAnsi="Cambria" w:eastAsia="宋体"/>
          <w:b/>
          <w:color w:val="000000" w:themeColor="text1"/>
          <w:sz w:val="48"/>
          <w:szCs w:val="48"/>
          <w14:textFill>
            <w14:solidFill>
              <w14:schemeClr w14:val="tx1"/>
            </w14:solidFill>
          </w14:textFill>
        </w:rPr>
        <w:t>平阳县社会养老福利服务中心项目工程总承包</w:t>
      </w:r>
    </w:p>
    <w:p>
      <w:pPr>
        <w:ind w:firstLine="402"/>
        <w:rPr>
          <w:rFonts w:hAnsi="Cambria"/>
          <w:b/>
          <w:color w:val="000000" w:themeColor="text1"/>
          <w:sz w:val="20"/>
          <w14:textFill>
            <w14:solidFill>
              <w14:schemeClr w14:val="tx1"/>
            </w14:solidFill>
          </w14:textFill>
        </w:rPr>
      </w:pPr>
    </w:p>
    <w:p>
      <w:pPr>
        <w:ind w:firstLine="402"/>
        <w:rPr>
          <w:rFonts w:hAnsi="Cambria"/>
          <w:b/>
          <w:color w:val="000000" w:themeColor="text1"/>
          <w:sz w:val="20"/>
          <w14:textFill>
            <w14:solidFill>
              <w14:schemeClr w14:val="tx1"/>
            </w14:solidFill>
          </w14:textFill>
        </w:rPr>
      </w:pPr>
    </w:p>
    <w:p>
      <w:pPr>
        <w:ind w:firstLine="1044"/>
        <w:jc w:val="center"/>
        <w:rPr>
          <w:rFonts w:hAnsi="Cambria"/>
          <w:b/>
          <w:color w:val="000000" w:themeColor="text1"/>
          <w:sz w:val="52"/>
          <w:szCs w:val="52"/>
          <w14:textFill>
            <w14:solidFill>
              <w14:schemeClr w14:val="tx1"/>
            </w14:solidFill>
          </w14:textFill>
        </w:rPr>
      </w:pPr>
      <w:r>
        <w:rPr>
          <w:rFonts w:hint="eastAsia" w:hAnsi="Cambria"/>
          <w:b/>
          <w:color w:val="000000" w:themeColor="text1"/>
          <w:sz w:val="52"/>
          <w:szCs w:val="52"/>
          <w14:textFill>
            <w14:solidFill>
              <w14:schemeClr w14:val="tx1"/>
            </w14:solidFill>
          </w14:textFill>
        </w:rPr>
        <w:t>投  标  文  件</w:t>
      </w:r>
    </w:p>
    <w:p>
      <w:pPr>
        <w:ind w:firstLine="643"/>
        <w:jc w:val="center"/>
        <w:rPr>
          <w:rFonts w:hAnsi="Cambria"/>
          <w:b/>
          <w:color w:val="000000" w:themeColor="text1"/>
          <w:sz w:val="32"/>
          <w:szCs w:val="32"/>
          <w14:textFill>
            <w14:solidFill>
              <w14:schemeClr w14:val="tx1"/>
            </w14:solidFill>
          </w14:textFill>
        </w:rPr>
      </w:pPr>
      <w:r>
        <w:rPr>
          <w:rFonts w:hint="eastAsia" w:hAnsi="Cambria"/>
          <w:b/>
          <w:color w:val="000000" w:themeColor="text1"/>
          <w:sz w:val="32"/>
          <w:szCs w:val="32"/>
          <w14:textFill>
            <w14:solidFill>
              <w14:schemeClr w14:val="tx1"/>
            </w14:solidFill>
          </w14:textFill>
        </w:rPr>
        <w:t>（</w:t>
      </w:r>
      <w:r>
        <w:rPr>
          <w:rFonts w:hint="eastAsia" w:ascii="宋体" w:hAnsi="宋体" w:eastAsia="宋体" w:cs="宋体"/>
          <w:b/>
          <w:color w:val="000000" w:themeColor="text1"/>
          <w:sz w:val="32"/>
          <w:szCs w:val="32"/>
          <w14:textFill>
            <w14:solidFill>
              <w14:schemeClr w14:val="tx1"/>
            </w14:solidFill>
          </w14:textFill>
        </w:rPr>
        <w:t>资信标</w:t>
      </w:r>
      <w:r>
        <w:rPr>
          <w:rFonts w:hint="eastAsia" w:hAnsi="Cambria"/>
          <w:b/>
          <w:color w:val="000000" w:themeColor="text1"/>
          <w:sz w:val="32"/>
          <w:szCs w:val="32"/>
          <w14:textFill>
            <w14:solidFill>
              <w14:schemeClr w14:val="tx1"/>
            </w14:solidFill>
          </w14:textFill>
        </w:rPr>
        <w:t>）</w:t>
      </w: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2"/>
        <w:jc w:val="center"/>
        <w:rPr>
          <w:rFonts w:hAnsi="Cambria"/>
          <w:b/>
          <w:color w:val="000000" w:themeColor="text1"/>
          <w:u w:val="single"/>
          <w14:textFill>
            <w14:solidFill>
              <w14:schemeClr w14:val="tx1"/>
            </w14:solidFill>
          </w14:textFill>
        </w:rPr>
      </w:pPr>
      <w:r>
        <w:rPr>
          <w:rFonts w:hint="eastAsia" w:hAnsi="Cambria"/>
          <w:b/>
          <w:color w:val="000000" w:themeColor="text1"/>
          <w14:textFill>
            <w14:solidFill>
              <w14:schemeClr w14:val="tx1"/>
            </w14:solidFill>
          </w14:textFill>
        </w:rPr>
        <w:t>投标人：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（盖单位章）</w:t>
      </w:r>
    </w:p>
    <w:p>
      <w:pPr>
        <w:ind w:firstLine="562"/>
        <w:jc w:val="center"/>
        <w:rPr>
          <w:rFonts w:hAnsi="Cambria"/>
          <w:b/>
          <w:color w:val="000000" w:themeColor="text1"/>
          <w14:textFill>
            <w14:solidFill>
              <w14:schemeClr w14:val="tx1"/>
            </w14:solidFill>
          </w14:textFill>
        </w:rPr>
      </w:pPr>
      <w:r>
        <w:rPr>
          <w:rFonts w:hint="eastAsia" w:hAnsi="Cambria"/>
          <w:b/>
          <w:color w:val="000000" w:themeColor="text1"/>
          <w14:textFill>
            <w14:solidFill>
              <w14:schemeClr w14:val="tx1"/>
            </w14:solidFill>
          </w14:textFill>
        </w:rPr>
        <w:t>法定代表人（或委托代理人）：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（签字或盖章）</w:t>
      </w:r>
    </w:p>
    <w:p>
      <w:pPr>
        <w:ind w:firstLine="562"/>
        <w:jc w:val="center"/>
        <w:rPr>
          <w:rFonts w:hAnsi="Cambria"/>
          <w:b/>
          <w:color w:val="000000" w:themeColor="text1"/>
          <w14:textFill>
            <w14:solidFill>
              <w14:schemeClr w14:val="tx1"/>
            </w14:solidFill>
          </w14:textFill>
        </w:rPr>
      </w:pP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年</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月</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日</w:t>
      </w: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spacing w:line="440" w:lineRule="exact"/>
        <w:ind w:firstLine="0" w:firstLineChars="0"/>
        <w:rPr>
          <w:rFonts w:ascii="宋体" w:hAnsi="宋体" w:eastAsia="宋体"/>
          <w:b/>
          <w:color w:val="000000" w:themeColor="text1"/>
          <w:sz w:val="32"/>
          <w:szCs w:val="32"/>
          <w14:textFill>
            <w14:solidFill>
              <w14:schemeClr w14:val="tx1"/>
            </w14:solidFill>
          </w14:textFill>
        </w:rPr>
      </w:pPr>
    </w:p>
    <w:p>
      <w:pPr>
        <w:pStyle w:val="4"/>
        <w:snapToGrid w:val="0"/>
        <w:spacing w:before="0" w:after="0" w:line="360" w:lineRule="auto"/>
        <w:ind w:firstLine="883"/>
        <w:jc w:val="center"/>
        <w:rPr>
          <w:rFonts w:ascii="Cambria" w:hAnsi="Cambria" w:eastAsia="Cambria"/>
          <w:color w:val="000000" w:themeColor="text1"/>
          <w:sz w:val="44"/>
          <w:szCs w:val="44"/>
          <w14:textFill>
            <w14:solidFill>
              <w14:schemeClr w14:val="tx1"/>
            </w14:solidFill>
          </w14:textFill>
        </w:rPr>
      </w:pPr>
      <w:r>
        <w:rPr>
          <w:rFonts w:hint="eastAsia" w:ascii="Cambria" w:hAnsi="Cambria" w:eastAsia="Cambria"/>
          <w:color w:val="000000" w:themeColor="text1"/>
          <w:sz w:val="44"/>
          <w:szCs w:val="44"/>
          <w14:textFill>
            <w14:solidFill>
              <w14:schemeClr w14:val="tx1"/>
            </w14:solidFill>
          </w14:textFill>
        </w:rPr>
        <w:t>目    录</w:t>
      </w:r>
    </w:p>
    <w:p>
      <w:pPr>
        <w:pStyle w:val="26"/>
        <w:tabs>
          <w:tab w:val="left" w:pos="426"/>
        </w:tabs>
        <w:adjustRightInd w:val="0"/>
        <w:snapToGrid w:val="0"/>
        <w:spacing w:line="400" w:lineRule="exact"/>
        <w:ind w:firstLine="440"/>
        <w:rPr>
          <w:rFonts w:hAnsi="Cambria" w:eastAsiaTheme="minorEastAsia"/>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（1）投标人基本情况表</w:t>
      </w:r>
      <w:r>
        <w:rPr>
          <w:rFonts w:cs="Times New Roman" w:asciiTheme="minorEastAsia" w:hAnsiTheme="minorEastAsia" w:eastAsiaTheme="minorEastAsia"/>
          <w:color w:val="000000" w:themeColor="text1"/>
          <w:sz w:val="22"/>
          <w:szCs w:val="22"/>
          <w14:textFill>
            <w14:solidFill>
              <w14:schemeClr w14:val="tx1"/>
            </w14:solidFill>
          </w14:textFill>
        </w:rPr>
        <w:t>（若为联合体投标，则联合体各方均需提供）</w:t>
      </w:r>
      <w:r>
        <w:rPr>
          <w:rFonts w:hint="eastAsia" w:cs="Times New Roman" w:asciiTheme="minorEastAsia" w:hAnsiTheme="minorEastAsia" w:eastAsiaTheme="minorEastAsia"/>
          <w:color w:val="000000" w:themeColor="text1"/>
          <w:sz w:val="22"/>
          <w:szCs w:val="22"/>
          <w14:textFill>
            <w14:solidFill>
              <w14:schemeClr w14:val="tx1"/>
            </w14:solidFill>
          </w14:textFill>
        </w:rPr>
        <w:t>；</w:t>
      </w:r>
    </w:p>
    <w:p>
      <w:pPr>
        <w:pStyle w:val="26"/>
        <w:tabs>
          <w:tab w:val="left" w:pos="426"/>
        </w:tabs>
        <w:adjustRightInd w:val="0"/>
        <w:snapToGrid w:val="0"/>
        <w:spacing w:line="400" w:lineRule="exact"/>
        <w:ind w:firstLine="440"/>
        <w:rPr>
          <w:rFonts w:hAnsi="Cambria"/>
          <w:color w:val="000000" w:themeColor="text1"/>
          <w:sz w:val="22"/>
          <w:szCs w:val="22"/>
          <w14:textFill>
            <w14:solidFill>
              <w14:schemeClr w14:val="tx1"/>
            </w14:solidFill>
          </w14:textFill>
        </w:rPr>
      </w:pPr>
      <w:r>
        <w:rPr>
          <w:rFonts w:hint="eastAsia" w:hAnsi="Cambria"/>
          <w:color w:val="000000" w:themeColor="text1"/>
          <w:sz w:val="22"/>
          <w:szCs w:val="22"/>
          <w14:textFill>
            <w14:solidFill>
              <w14:schemeClr w14:val="tx1"/>
            </w14:solidFill>
          </w14:textFill>
        </w:rPr>
        <w:t>（</w:t>
      </w:r>
      <w:r>
        <w:rPr>
          <w:rFonts w:hint="eastAsia" w:hAnsi="Cambria" w:eastAsia="宋体"/>
          <w:color w:val="000000" w:themeColor="text1"/>
          <w:sz w:val="22"/>
          <w:szCs w:val="22"/>
          <w14:textFill>
            <w14:solidFill>
              <w14:schemeClr w14:val="tx1"/>
            </w14:solidFill>
          </w14:textFill>
        </w:rPr>
        <w:t>2</w:t>
      </w:r>
      <w:r>
        <w:rPr>
          <w:rFonts w:hint="eastAsia" w:hAnsi="Cambria"/>
          <w:color w:val="000000" w:themeColor="text1"/>
          <w:sz w:val="22"/>
          <w:szCs w:val="22"/>
          <w14:textFill>
            <w14:solidFill>
              <w14:schemeClr w14:val="tx1"/>
            </w14:solidFill>
          </w14:textFill>
        </w:rPr>
        <w:t>）投标人承接类似工程情况汇总表</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（3）项目组人员配备</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（4）联合体协议书（如为联合体投标，则提供）；</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（5）承诺函；</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（6）投标人获奖情况（如有则提供）；</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r>
        <w:rPr>
          <w:rFonts w:hint="eastAsia" w:hAnsi="Cambria" w:eastAsia="宋体"/>
          <w:color w:val="000000" w:themeColor="text1"/>
          <w:sz w:val="22"/>
          <w:szCs w:val="22"/>
          <w14:textFill>
            <w14:solidFill>
              <w14:schemeClr w14:val="tx1"/>
            </w14:solidFill>
          </w14:textFill>
        </w:rPr>
        <w:t>（7）投标人需要提交的其他资料（如有，格式自拟）。</w:t>
      </w:r>
    </w:p>
    <w:p>
      <w:pPr>
        <w:pStyle w:val="26"/>
        <w:tabs>
          <w:tab w:val="left" w:pos="426"/>
        </w:tabs>
        <w:adjustRightInd w:val="0"/>
        <w:snapToGrid w:val="0"/>
        <w:spacing w:line="400" w:lineRule="exact"/>
        <w:ind w:firstLine="440"/>
        <w:rPr>
          <w:rFonts w:hAnsi="Cambria" w:eastAsia="宋体"/>
          <w:color w:val="000000" w:themeColor="text1"/>
          <w:sz w:val="22"/>
          <w:szCs w:val="22"/>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723"/>
        <w:jc w:val="center"/>
        <w:rPr>
          <w:rFonts w:ascii="宋体" w:hAnsi="宋体"/>
          <w:b/>
          <w:color w:val="000000" w:themeColor="text1"/>
          <w:sz w:val="36"/>
          <w:szCs w:val="36"/>
          <w14:textFill>
            <w14:solidFill>
              <w14:schemeClr w14:val="tx1"/>
            </w14:solidFill>
          </w14:textFill>
        </w:rPr>
      </w:pPr>
    </w:p>
    <w:p>
      <w:pPr>
        <w:spacing w:line="440" w:lineRule="exact"/>
        <w:ind w:firstLine="0" w:firstLineChars="0"/>
        <w:rPr>
          <w:rFonts w:ascii="宋体" w:hAnsi="宋体" w:eastAsia="宋体"/>
          <w:b/>
          <w:color w:val="000000" w:themeColor="text1"/>
          <w:sz w:val="36"/>
          <w:szCs w:val="36"/>
          <w14:textFill>
            <w14:solidFill>
              <w14:schemeClr w14:val="tx1"/>
            </w14:solidFill>
          </w14:textFill>
        </w:rPr>
      </w:pPr>
      <w:r>
        <w:rPr>
          <w:rFonts w:hint="eastAsia" w:ascii="宋体" w:hAnsi="宋体" w:eastAsia="宋体"/>
          <w:b/>
          <w:color w:val="000000" w:themeColor="text1"/>
          <w:sz w:val="36"/>
          <w:szCs w:val="36"/>
          <w14:textFill>
            <w14:solidFill>
              <w14:schemeClr w14:val="tx1"/>
            </w14:solidFill>
          </w14:textFill>
        </w:rPr>
        <w:t>1、投标人基本情况</w:t>
      </w:r>
    </w:p>
    <w:p>
      <w:pPr>
        <w:spacing w:line="440" w:lineRule="exact"/>
        <w:ind w:firstLine="723"/>
        <w:jc w:val="center"/>
        <w:rPr>
          <w:rFonts w:ascii="宋体" w:hAnsi="宋体"/>
          <w:b/>
          <w:color w:val="000000" w:themeColor="text1"/>
          <w:sz w:val="36"/>
          <w:szCs w:val="36"/>
          <w14:textFill>
            <w14:solidFill>
              <w14:schemeClr w14:val="tx1"/>
            </w14:solidFill>
          </w14:textFill>
        </w:rPr>
      </w:pPr>
      <w:r>
        <w:rPr>
          <w:rFonts w:ascii="宋体" w:hAnsi="宋体"/>
          <w:b/>
          <w:color w:val="000000" w:themeColor="text1"/>
          <w:sz w:val="36"/>
          <w:szCs w:val="36"/>
          <w14:textFill>
            <w14:solidFill>
              <w14:schemeClr w14:val="tx1"/>
            </w14:solidFill>
          </w14:textFill>
        </w:rPr>
        <w:t>投标人一般</w:t>
      </w:r>
      <w:r>
        <w:rPr>
          <w:rFonts w:hint="eastAsia" w:ascii="宋体" w:hAnsi="宋体"/>
          <w:b/>
          <w:color w:val="000000" w:themeColor="text1"/>
          <w:sz w:val="36"/>
          <w:szCs w:val="36"/>
          <w14:textFill>
            <w14:solidFill>
              <w14:schemeClr w14:val="tx1"/>
            </w14:solidFill>
          </w14:textFill>
        </w:rPr>
        <w:t>情况</w:t>
      </w:r>
    </w:p>
    <w:p>
      <w:pPr>
        <w:spacing w:line="440" w:lineRule="exact"/>
        <w:ind w:firstLine="698" w:firstLineChars="218"/>
        <w:jc w:val="center"/>
        <w:rPr>
          <w:rFonts w:ascii="宋体" w:hAnsi="宋体"/>
          <w:b/>
          <w:color w:val="000000" w:themeColor="text1"/>
          <w:sz w:val="32"/>
          <w:szCs w:val="32"/>
          <w14:textFill>
            <w14:solidFill>
              <w14:schemeClr w14:val="tx1"/>
            </w14:solidFill>
          </w14:textFill>
        </w:rPr>
      </w:pPr>
    </w:p>
    <w:tbl>
      <w:tblPr>
        <w:tblStyle w:val="45"/>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4543"/>
        <w:gridCol w:w="4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1</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2</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3</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4</w:t>
            </w:r>
          </w:p>
        </w:tc>
        <w:tc>
          <w:tcPr>
            <w:tcW w:w="4543" w:type="dxa"/>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电话</w:t>
            </w:r>
          </w:p>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传真</w:t>
            </w:r>
          </w:p>
        </w:tc>
        <w:tc>
          <w:tcPr>
            <w:tcW w:w="4122" w:type="dxa"/>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5</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注册地、注册年份</w:t>
            </w:r>
          </w:p>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并附上营业执照复印件（另外准备原件核对）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6</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主营范围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654" w:type="dxa"/>
            <w:vAlign w:val="center"/>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7</w:t>
            </w:r>
          </w:p>
        </w:tc>
        <w:tc>
          <w:tcPr>
            <w:tcW w:w="8665" w:type="dxa"/>
            <w:gridSpan w:val="2"/>
            <w:vAlign w:val="center"/>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公司资质等级证书</w:t>
            </w:r>
          </w:p>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并附上资质等级证书复印件（另外准备原件核对）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1" w:hRule="atLeast"/>
        </w:trPr>
        <w:tc>
          <w:tcPr>
            <w:tcW w:w="654" w:type="dxa"/>
          </w:tcPr>
          <w:p>
            <w:pPr>
              <w:spacing w:line="440" w:lineRule="exact"/>
              <w:ind w:firstLine="0" w:firstLineChars="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8</w:t>
            </w:r>
          </w:p>
        </w:tc>
        <w:tc>
          <w:tcPr>
            <w:tcW w:w="8665" w:type="dxa"/>
            <w:gridSpan w:val="2"/>
          </w:tcPr>
          <w:p>
            <w:pPr>
              <w:spacing w:line="440" w:lineRule="exact"/>
              <w:ind w:firstLine="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其他需要说明的情况</w:t>
            </w:r>
          </w:p>
          <w:p>
            <w:pPr>
              <w:ind w:firstLine="480"/>
              <w:rPr>
                <w:rFonts w:ascii="宋体" w:hAnsi="宋体"/>
                <w:color w:val="000000" w:themeColor="text1"/>
                <w:sz w:val="24"/>
                <w14:textFill>
                  <w14:solidFill>
                    <w14:schemeClr w14:val="tx1"/>
                  </w14:solidFill>
                </w14:textFill>
              </w:rPr>
            </w:pPr>
          </w:p>
          <w:p>
            <w:pPr>
              <w:ind w:firstLine="480"/>
              <w:rPr>
                <w:rFonts w:ascii="宋体" w:hAnsi="宋体"/>
                <w:color w:val="000000" w:themeColor="text1"/>
                <w:sz w:val="24"/>
                <w14:textFill>
                  <w14:solidFill>
                    <w14:schemeClr w14:val="tx1"/>
                  </w14:solidFill>
                </w14:textFill>
              </w:rPr>
            </w:pPr>
          </w:p>
          <w:p>
            <w:pPr>
              <w:tabs>
                <w:tab w:val="left" w:pos="1935"/>
              </w:tabs>
              <w:ind w:firstLine="480"/>
              <w:rPr>
                <w:rFonts w:ascii="宋体" w:hAnsi="宋体"/>
                <w:color w:val="000000" w:themeColor="text1"/>
                <w:sz w:val="24"/>
                <w14:textFill>
                  <w14:solidFill>
                    <w14:schemeClr w14:val="tx1"/>
                  </w14:solidFill>
                </w14:textFill>
              </w:rPr>
            </w:pPr>
          </w:p>
          <w:p>
            <w:pPr>
              <w:tabs>
                <w:tab w:val="left" w:pos="1935"/>
              </w:tabs>
              <w:ind w:firstLine="480"/>
              <w:rPr>
                <w:rFonts w:ascii="宋体" w:hAnsi="宋体"/>
                <w:color w:val="000000" w:themeColor="text1"/>
                <w:sz w:val="24"/>
                <w14:textFill>
                  <w14:solidFill>
                    <w14:schemeClr w14:val="tx1"/>
                  </w14:solidFill>
                </w14:textFill>
              </w:rPr>
            </w:pPr>
          </w:p>
          <w:p>
            <w:pPr>
              <w:tabs>
                <w:tab w:val="left" w:pos="1935"/>
              </w:tabs>
              <w:ind w:firstLine="480"/>
              <w:rPr>
                <w:rFonts w:ascii="宋体" w:hAnsi="宋体"/>
                <w:color w:val="000000" w:themeColor="text1"/>
                <w:sz w:val="24"/>
                <w14:textFill>
                  <w14:solidFill>
                    <w14:schemeClr w14:val="tx1"/>
                  </w14:solidFill>
                </w14:textFill>
              </w:rPr>
            </w:pPr>
          </w:p>
        </w:tc>
      </w:tr>
    </w:tbl>
    <w:p>
      <w:pPr>
        <w:spacing w:line="440" w:lineRule="exact"/>
        <w:ind w:firstLine="482"/>
        <w:rPr>
          <w:rFonts w:ascii="宋体" w:hAnsi="宋体" w:eastAsia="宋体"/>
          <w:b/>
          <w:color w:val="000000" w:themeColor="text1"/>
          <w:sz w:val="24"/>
          <w:szCs w:val="20"/>
          <w14:textFill>
            <w14:solidFill>
              <w14:schemeClr w14:val="tx1"/>
            </w14:solidFill>
          </w14:textFill>
        </w:rPr>
      </w:pPr>
      <w:r>
        <w:rPr>
          <w:rFonts w:ascii="宋体" w:hAnsi="宋体"/>
          <w:b/>
          <w:color w:val="000000" w:themeColor="text1"/>
          <w:sz w:val="24"/>
          <w:szCs w:val="20"/>
          <w14:textFill>
            <w14:solidFill>
              <w14:schemeClr w14:val="tx1"/>
            </w14:solidFill>
          </w14:textFill>
        </w:rPr>
        <w:t>注：1、所有投标申请人都须填写此表</w:t>
      </w:r>
      <w:r>
        <w:rPr>
          <w:rFonts w:hint="eastAsia" w:ascii="宋体" w:hAnsi="宋体" w:eastAsia="宋体"/>
          <w:b/>
          <w:color w:val="000000" w:themeColor="text1"/>
          <w:sz w:val="24"/>
          <w:szCs w:val="20"/>
          <w14:textFill>
            <w14:solidFill>
              <w14:schemeClr w14:val="tx1"/>
            </w14:solidFill>
          </w14:textFill>
        </w:rPr>
        <w:t>（如为联合体投标，则联合体成员均须提供。）</w:t>
      </w:r>
    </w:p>
    <w:p>
      <w:pPr>
        <w:spacing w:line="440" w:lineRule="exact"/>
        <w:ind w:firstLine="471" w:firstLineChars="196"/>
        <w:rPr>
          <w:rFonts w:ascii="宋体" w:hAnsi="宋体"/>
          <w:b/>
          <w:color w:val="000000" w:themeColor="text1"/>
          <w:szCs w:val="21"/>
          <w14:textFill>
            <w14:solidFill>
              <w14:schemeClr w14:val="tx1"/>
            </w14:solidFill>
          </w14:textFill>
        </w:rPr>
      </w:pPr>
      <w:r>
        <w:rPr>
          <w:rFonts w:ascii="宋体" w:hAnsi="宋体"/>
          <w:b/>
          <w:color w:val="000000" w:themeColor="text1"/>
          <w:sz w:val="24"/>
          <w:szCs w:val="20"/>
          <w14:textFill>
            <w14:solidFill>
              <w14:schemeClr w14:val="tx1"/>
            </w14:solidFill>
          </w14:textFill>
        </w:rPr>
        <w:t>2、主体工程和关键部分不得分包，如果投标人拟分包，则这些专业分包人或劳务分包人也须填写此表。</w:t>
      </w:r>
    </w:p>
    <w:p>
      <w:pPr>
        <w:spacing w:line="440" w:lineRule="exact"/>
        <w:ind w:firstLine="883"/>
        <w:rPr>
          <w:rFonts w:eastAsia="宋体"/>
          <w:b/>
          <w:color w:val="000000" w:themeColor="text1"/>
          <w:sz w:val="30"/>
          <w:szCs w:val="30"/>
          <w14:textFill>
            <w14:solidFill>
              <w14:schemeClr w14:val="tx1"/>
            </w14:solidFill>
          </w14:textFill>
        </w:rPr>
      </w:pPr>
      <w:r>
        <w:rPr>
          <w:rFonts w:ascii="宋体" w:hAnsi="宋体"/>
          <w:b/>
          <w:color w:val="000000" w:themeColor="text1"/>
          <w:sz w:val="44"/>
          <w:szCs w:val="44"/>
          <w14:textFill>
            <w14:solidFill>
              <w14:schemeClr w14:val="tx1"/>
            </w14:solidFill>
          </w14:textFill>
        </w:rPr>
        <w:br w:type="page"/>
      </w:r>
    </w:p>
    <w:p>
      <w:pPr>
        <w:topLinePunct/>
        <w:snapToGrid w:val="0"/>
        <w:spacing w:line="360" w:lineRule="auto"/>
        <w:ind w:firstLine="602"/>
        <w:jc w:val="center"/>
        <w:rPr>
          <w:b/>
          <w:color w:val="000000" w:themeColor="text1"/>
          <w:sz w:val="30"/>
          <w:szCs w:val="30"/>
          <w14:textFill>
            <w14:solidFill>
              <w14:schemeClr w14:val="tx1"/>
            </w14:solidFill>
          </w14:textFill>
        </w:rPr>
      </w:pPr>
      <w:r>
        <w:rPr>
          <w:rFonts w:hint="eastAsia" w:eastAsia="宋体"/>
          <w:b/>
          <w:color w:val="000000" w:themeColor="text1"/>
          <w:sz w:val="30"/>
          <w:szCs w:val="30"/>
          <w14:textFill>
            <w14:solidFill>
              <w14:schemeClr w14:val="tx1"/>
            </w14:solidFill>
          </w14:textFill>
        </w:rPr>
        <w:t>2</w:t>
      </w:r>
      <w:r>
        <w:rPr>
          <w:rFonts w:hint="eastAsia"/>
          <w:b/>
          <w:color w:val="000000" w:themeColor="text1"/>
          <w:sz w:val="30"/>
          <w:szCs w:val="30"/>
          <w14:textFill>
            <w14:solidFill>
              <w14:schemeClr w14:val="tx1"/>
            </w14:solidFill>
          </w14:textFill>
        </w:rPr>
        <w:t>、投标人承接类似工程情况汇总表</w:t>
      </w:r>
    </w:p>
    <w:tbl>
      <w:tblPr>
        <w:tblStyle w:val="45"/>
        <w:tblW w:w="9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843"/>
        <w:gridCol w:w="1983"/>
        <w:gridCol w:w="1701"/>
        <w:gridCol w:w="1967"/>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0" w:firstLineChars="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序号</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合同名称</w:t>
            </w: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项目描述</w:t>
            </w: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合同金额</w:t>
            </w: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0" w:firstLineChars="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合同开工日期</w:t>
            </w: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1</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2</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3</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4</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w:t>
            </w: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w:t>
            </w: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18" w:type="dxa"/>
            <w:tcBorders>
              <w:top w:val="single" w:color="auto" w:sz="4" w:space="0"/>
              <w:left w:val="single" w:color="auto" w:sz="4" w:space="0"/>
              <w:bottom w:val="single" w:color="auto" w:sz="4" w:space="0"/>
              <w:right w:val="single" w:color="auto" w:sz="4" w:space="0"/>
            </w:tcBorders>
            <w:vAlign w:val="center"/>
          </w:tcPr>
          <w:p>
            <w:pPr>
              <w:topLinePunct/>
              <w:snapToGrid w:val="0"/>
              <w:spacing w:line="360" w:lineRule="auto"/>
              <w:ind w:firstLine="480"/>
              <w:jc w:val="center"/>
              <w:rPr>
                <w:rFonts w:hAnsi="Cambria"/>
                <w:color w:val="000000" w:themeColor="text1"/>
                <w:sz w:val="24"/>
                <w14:textFill>
                  <w14:solidFill>
                    <w14:schemeClr w14:val="tx1"/>
                  </w14:solidFill>
                </w14:textFill>
              </w:rPr>
            </w:pPr>
            <w:r>
              <w:rPr>
                <w:rFonts w:hint="eastAsia" w:hAnsi="Cambria"/>
                <w:color w:val="000000" w:themeColor="text1"/>
                <w:sz w:val="24"/>
                <w14:textFill>
                  <w14:solidFill>
                    <w14:schemeClr w14:val="tx1"/>
                  </w14:solidFill>
                </w14:textFill>
              </w:rPr>
              <w:t xml:space="preserve"> </w:t>
            </w:r>
          </w:p>
        </w:tc>
        <w:tc>
          <w:tcPr>
            <w:tcW w:w="184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83"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701"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967"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c>
          <w:tcPr>
            <w:tcW w:w="1428" w:type="dxa"/>
            <w:tcBorders>
              <w:top w:val="single" w:color="auto" w:sz="4" w:space="0"/>
              <w:left w:val="single" w:color="auto" w:sz="4" w:space="0"/>
              <w:bottom w:val="single" w:color="auto" w:sz="4" w:space="0"/>
              <w:right w:val="single" w:color="auto" w:sz="4" w:space="0"/>
            </w:tcBorders>
          </w:tcPr>
          <w:p>
            <w:pPr>
              <w:topLinePunct/>
              <w:snapToGrid w:val="0"/>
              <w:spacing w:line="360" w:lineRule="auto"/>
              <w:ind w:firstLine="480"/>
              <w:rPr>
                <w:rFonts w:hAnsi="Cambria"/>
                <w:color w:val="000000" w:themeColor="text1"/>
                <w:sz w:val="24"/>
                <w14:textFill>
                  <w14:solidFill>
                    <w14:schemeClr w14:val="tx1"/>
                  </w14:solidFill>
                </w14:textFill>
              </w:rPr>
            </w:pPr>
          </w:p>
        </w:tc>
      </w:tr>
    </w:tbl>
    <w:p>
      <w:pPr>
        <w:spacing w:line="360" w:lineRule="auto"/>
        <w:ind w:right="512" w:rightChars="183" w:firstLine="420"/>
        <w:outlineLvl w:val="0"/>
        <w:rPr>
          <w:rFonts w:hAnsi="Cambria"/>
          <w:color w:val="000000" w:themeColor="text1"/>
          <w:sz w:val="24"/>
          <w14:textFill>
            <w14:solidFill>
              <w14:schemeClr w14:val="tx1"/>
            </w14:solidFill>
          </w14:textFill>
        </w:rPr>
        <w:sectPr>
          <w:headerReference r:id="rId11" w:type="first"/>
          <w:footerReference r:id="rId14" w:type="first"/>
          <w:headerReference r:id="rId9" w:type="default"/>
          <w:footerReference r:id="rId12" w:type="default"/>
          <w:headerReference r:id="rId10" w:type="even"/>
          <w:footerReference r:id="rId13" w:type="even"/>
          <w:pgSz w:w="11906" w:h="16838"/>
          <w:pgMar w:top="1191" w:right="1191" w:bottom="1191" w:left="1191" w:header="851" w:footer="992" w:gutter="0"/>
          <w:cols w:space="720" w:num="1"/>
          <w:docGrid w:type="lines" w:linePitch="381" w:charSpace="0"/>
        </w:sectPr>
      </w:pPr>
      <w:r>
        <w:rPr>
          <w:rFonts w:hint="eastAsia" w:hAnsi="Cambria"/>
          <w:color w:val="000000" w:themeColor="text1"/>
          <w:sz w:val="21"/>
          <w:szCs w:val="21"/>
          <w14:textFill>
            <w14:solidFill>
              <w14:schemeClr w14:val="tx1"/>
            </w14:solidFill>
          </w14:textFill>
        </w:rPr>
        <w:t>附：投标单位业绩合同文件复印</w:t>
      </w:r>
    </w:p>
    <w:p>
      <w:pPr>
        <w:spacing w:line="360" w:lineRule="auto"/>
        <w:ind w:right="-14" w:rightChars="-5" w:firstLine="0" w:firstLineChars="0"/>
        <w:rPr>
          <w:rFonts w:hAnsi="Cambria"/>
          <w:color w:val="000000" w:themeColor="text1"/>
          <w:sz w:val="21"/>
          <w:szCs w:val="21"/>
          <w14:textFill>
            <w14:solidFill>
              <w14:schemeClr w14:val="tx1"/>
            </w14:solidFill>
          </w14:textFill>
        </w:rPr>
      </w:pPr>
    </w:p>
    <w:p>
      <w:pPr>
        <w:topLinePunct/>
        <w:snapToGrid w:val="0"/>
        <w:spacing w:line="360" w:lineRule="auto"/>
        <w:ind w:firstLine="602"/>
        <w:jc w:val="center"/>
        <w:rPr>
          <w:b/>
          <w:color w:val="000000" w:themeColor="text1"/>
          <w:sz w:val="30"/>
          <w:szCs w:val="30"/>
          <w14:textFill>
            <w14:solidFill>
              <w14:schemeClr w14:val="tx1"/>
            </w14:solidFill>
          </w14:textFill>
        </w:rPr>
      </w:pPr>
      <w:r>
        <w:rPr>
          <w:rFonts w:hint="eastAsia" w:eastAsia="宋体"/>
          <w:b/>
          <w:color w:val="000000" w:themeColor="text1"/>
          <w:sz w:val="30"/>
          <w:szCs w:val="30"/>
          <w14:textFill>
            <w14:solidFill>
              <w14:schemeClr w14:val="tx1"/>
            </w14:solidFill>
          </w14:textFill>
        </w:rPr>
        <w:t>3</w:t>
      </w:r>
      <w:r>
        <w:rPr>
          <w:rFonts w:hint="eastAsia"/>
          <w:b/>
          <w:color w:val="000000" w:themeColor="text1"/>
          <w:sz w:val="30"/>
          <w:szCs w:val="30"/>
          <w14:textFill>
            <w14:solidFill>
              <w14:schemeClr w14:val="tx1"/>
            </w14:solidFill>
          </w14:textFill>
        </w:rPr>
        <w:t>、项目组人员配备</w:t>
      </w:r>
    </w:p>
    <w:p>
      <w:pPr>
        <w:keepNext/>
        <w:keepLines/>
        <w:widowControl/>
        <w:tabs>
          <w:tab w:val="left" w:pos="1440"/>
        </w:tabs>
        <w:ind w:firstLine="0" w:firstLineChars="0"/>
        <w:jc w:val="center"/>
        <w:outlineLvl w:val="5"/>
        <w:rPr>
          <w:rFonts w:hAnsi="Cambria"/>
          <w:b/>
          <w:bCs/>
          <w:color w:val="000000" w:themeColor="text1"/>
          <w:kern w:val="0"/>
          <w14:textFill>
            <w14:solidFill>
              <w14:schemeClr w14:val="tx1"/>
            </w14:solidFill>
          </w14:textFill>
        </w:rPr>
      </w:pPr>
      <w:r>
        <w:rPr>
          <w:rFonts w:hint="eastAsia" w:hAnsi="Cambria"/>
          <w:b/>
          <w:bCs/>
          <w:color w:val="000000" w:themeColor="text1"/>
          <w:kern w:val="0"/>
          <w14:textFill>
            <w14:solidFill>
              <w14:schemeClr w14:val="tx1"/>
            </w14:solidFill>
          </w14:textFill>
        </w:rPr>
        <w:t>项目组人员组成表</w:t>
      </w:r>
    </w:p>
    <w:tbl>
      <w:tblPr>
        <w:tblStyle w:val="45"/>
        <w:tblW w:w="91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0"/>
        <w:gridCol w:w="1122"/>
        <w:gridCol w:w="868"/>
        <w:gridCol w:w="1048"/>
        <w:gridCol w:w="1153"/>
        <w:gridCol w:w="1153"/>
        <w:gridCol w:w="1153"/>
        <w:gridCol w:w="1153"/>
        <w:gridCol w:w="80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660" w:type="dxa"/>
            <w:vMerge w:val="restart"/>
            <w:tcBorders>
              <w:top w:val="single" w:color="auto" w:sz="4" w:space="0"/>
              <w:left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序号</w:t>
            </w:r>
          </w:p>
        </w:tc>
        <w:tc>
          <w:tcPr>
            <w:tcW w:w="1122"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职务</w:t>
            </w:r>
          </w:p>
        </w:tc>
        <w:tc>
          <w:tcPr>
            <w:tcW w:w="868"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姓名</w:t>
            </w:r>
          </w:p>
        </w:tc>
        <w:tc>
          <w:tcPr>
            <w:tcW w:w="1048"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职称</w:t>
            </w:r>
          </w:p>
        </w:tc>
        <w:tc>
          <w:tcPr>
            <w:tcW w:w="4612" w:type="dxa"/>
            <w:gridSpan w:val="4"/>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执业或职业资格证明</w:t>
            </w:r>
          </w:p>
        </w:tc>
        <w:tc>
          <w:tcPr>
            <w:tcW w:w="807" w:type="dxa"/>
            <w:tcBorders>
              <w:top w:val="single" w:color="auto" w:sz="4" w:space="0"/>
              <w:left w:val="single" w:color="auto" w:sz="4" w:space="0"/>
              <w:bottom w:val="single" w:color="auto" w:sz="4" w:space="0"/>
              <w:right w:val="single" w:color="auto" w:sz="4" w:space="0"/>
            </w:tcBorders>
            <w:vAlign w:val="center"/>
          </w:tcPr>
          <w:p>
            <w:pPr>
              <w:spacing w:line="0" w:lineRule="atLeast"/>
              <w:ind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660" w:type="dxa"/>
            <w:vMerge w:val="continue"/>
            <w:tcBorders>
              <w:left w:val="single" w:color="auto" w:sz="4" w:space="0"/>
              <w:bottom w:val="single" w:color="auto" w:sz="4" w:space="0"/>
              <w:right w:val="single" w:color="auto" w:sz="4" w:space="0"/>
            </w:tcBorders>
          </w:tcPr>
          <w:p>
            <w:pPr>
              <w:widowControl/>
              <w:ind w:firstLine="0" w:firstLineChars="0"/>
              <w:jc w:val="left"/>
              <w:rPr>
                <w:rFonts w:hAnsi="Cambria"/>
                <w:bCs/>
                <w:color w:val="000000" w:themeColor="text1"/>
                <w:sz w:val="22"/>
                <w:szCs w:val="22"/>
                <w14:textFill>
                  <w14:solidFill>
                    <w14:schemeClr w14:val="tx1"/>
                  </w14:solidFill>
                </w14:textFill>
              </w:rPr>
            </w:pPr>
          </w:p>
        </w:tc>
        <w:tc>
          <w:tcPr>
            <w:tcW w:w="1122"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bCs/>
                <w:color w:val="000000" w:themeColor="text1"/>
                <w:sz w:val="22"/>
                <w:szCs w:val="22"/>
                <w14:textFill>
                  <w14:solidFill>
                    <w14:schemeClr w14:val="tx1"/>
                  </w14:solidFill>
                </w14:textFill>
              </w:rPr>
            </w:pPr>
          </w:p>
        </w:tc>
        <w:tc>
          <w:tcPr>
            <w:tcW w:w="868"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bCs/>
                <w:color w:val="000000" w:themeColor="text1"/>
                <w:sz w:val="22"/>
                <w:szCs w:val="22"/>
                <w14:textFill>
                  <w14:solidFill>
                    <w14:schemeClr w14:val="tx1"/>
                  </w14:solidFill>
                </w14:textFill>
              </w:rPr>
            </w:pPr>
          </w:p>
        </w:tc>
        <w:tc>
          <w:tcPr>
            <w:tcW w:w="1048" w:type="dxa"/>
            <w:vMerge w:val="continue"/>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bCs/>
                <w:color w:val="000000" w:themeColor="text1"/>
                <w:sz w:val="22"/>
                <w:szCs w:val="22"/>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证书</w:t>
            </w:r>
          </w:p>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名称</w:t>
            </w: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级别</w:t>
            </w: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证号</w:t>
            </w: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专业</w:t>
            </w:r>
          </w:p>
        </w:tc>
        <w:tc>
          <w:tcPr>
            <w:tcW w:w="807" w:type="dxa"/>
            <w:tcBorders>
              <w:top w:val="nil"/>
              <w:left w:val="single" w:color="auto" w:sz="4" w:space="0"/>
              <w:bottom w:val="single" w:color="auto" w:sz="4" w:space="0"/>
              <w:right w:val="single" w:color="auto" w:sz="4" w:space="0"/>
            </w:tcBorders>
            <w:vAlign w:val="center"/>
          </w:tcPr>
          <w:p>
            <w:pPr>
              <w:spacing w:line="0" w:lineRule="atLeast"/>
              <w:ind w:right="-28" w:rightChars="-10" w:firstLine="0" w:firstLineChars="0"/>
              <w:jc w:val="center"/>
              <w:rPr>
                <w:rFonts w:hAnsi="Cambria"/>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660" w:type="dxa"/>
            <w:tcBorders>
              <w:left w:val="single" w:color="auto" w:sz="4" w:space="0"/>
              <w:bottom w:val="single" w:color="auto" w:sz="4" w:space="0"/>
              <w:right w:val="single" w:color="auto" w:sz="4" w:space="0"/>
            </w:tcBorders>
          </w:tcPr>
          <w:p>
            <w:pPr>
              <w:widowControl/>
              <w:ind w:firstLine="0" w:firstLineChars="0"/>
              <w:jc w:val="left"/>
              <w:rPr>
                <w:rFonts w:hAnsi="Cambria"/>
                <w:bCs/>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eastAsia="宋体"/>
                <w:bCs/>
                <w:color w:val="000000" w:themeColor="text1"/>
                <w:sz w:val="22"/>
                <w:szCs w:val="22"/>
                <w14:textFill>
                  <w14:solidFill>
                    <w14:schemeClr w14:val="tx1"/>
                  </w14:solidFill>
                </w14:textFill>
              </w:rPr>
            </w:pPr>
            <w:r>
              <w:rPr>
                <w:rFonts w:hint="eastAsia" w:hAnsi="Cambria" w:eastAsia="宋体"/>
                <w:bCs/>
                <w:color w:val="000000" w:themeColor="text1"/>
                <w:sz w:val="22"/>
                <w:szCs w:val="22"/>
                <w14:textFill>
                  <w14:solidFill>
                    <w14:schemeClr w14:val="tx1"/>
                  </w14:solidFill>
                </w14:textFill>
              </w:rPr>
              <w:t>项目总负责人</w:t>
            </w:r>
          </w:p>
        </w:tc>
        <w:tc>
          <w:tcPr>
            <w:tcW w:w="868"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bCs/>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left"/>
              <w:rPr>
                <w:rFonts w:hAnsi="Cambria"/>
                <w:bCs/>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14:textFill>
                  <w14:solidFill>
                    <w14:schemeClr w14:val="tx1"/>
                  </w14:solidFill>
                </w14:textFill>
              </w:rPr>
            </w:pPr>
          </w:p>
        </w:tc>
        <w:tc>
          <w:tcPr>
            <w:tcW w:w="807" w:type="dxa"/>
            <w:tcBorders>
              <w:top w:val="nil"/>
              <w:left w:val="single" w:color="auto" w:sz="4" w:space="0"/>
              <w:bottom w:val="single" w:color="auto" w:sz="4" w:space="0"/>
              <w:right w:val="single" w:color="auto" w:sz="4" w:space="0"/>
            </w:tcBorders>
            <w:vAlign w:val="center"/>
          </w:tcPr>
          <w:p>
            <w:pPr>
              <w:spacing w:line="0" w:lineRule="atLeast"/>
              <w:ind w:right="-28" w:rightChars="-10" w:firstLine="0" w:firstLineChars="0"/>
              <w:jc w:val="center"/>
              <w:rPr>
                <w:rFonts w:hAnsi="Cambria"/>
                <w:bCs/>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设计项目组成员</w:t>
            </w: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w:t>
            </w: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spacing w:line="0" w:lineRule="atLeast"/>
              <w:ind w:left="-28" w:leftChars="-10" w:right="-28" w:rightChars="-10"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施工项目组成员</w:t>
            </w: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Cs/>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Cs/>
                <w:color w:val="000000" w:themeColor="text1"/>
                <w14:textFill>
                  <w14:solidFill>
                    <w14:schemeClr w14:val="tx1"/>
                  </w14:solidFill>
                </w14:textFill>
              </w:rPr>
            </w:pPr>
            <w:r>
              <w:rPr>
                <w:rFonts w:hint="eastAsia" w:hAnsi="Cambria"/>
                <w:bCs/>
                <w:color w:val="000000" w:themeColor="text1"/>
                <w14:textFill>
                  <w14:solidFill>
                    <w14:schemeClr w14:val="tx1"/>
                  </w14:solidFill>
                </w14:textFill>
              </w:rPr>
              <w:t>……</w:t>
            </w: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Cs/>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660"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22"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hAnsi="Cambria"/>
                <w:b/>
                <w:color w:val="000000" w:themeColor="text1"/>
                <w14:textFill>
                  <w14:solidFill>
                    <w14:schemeClr w14:val="tx1"/>
                  </w14:solidFill>
                </w14:textFill>
              </w:rPr>
            </w:pPr>
          </w:p>
        </w:tc>
        <w:tc>
          <w:tcPr>
            <w:tcW w:w="86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048"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1153"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c>
          <w:tcPr>
            <w:tcW w:w="807" w:type="dxa"/>
            <w:tcBorders>
              <w:top w:val="single" w:color="auto" w:sz="4" w:space="0"/>
              <w:left w:val="single" w:color="auto" w:sz="4" w:space="0"/>
              <w:bottom w:val="single" w:color="auto" w:sz="4" w:space="0"/>
              <w:right w:val="single" w:color="auto" w:sz="4" w:space="0"/>
            </w:tcBorders>
          </w:tcPr>
          <w:p>
            <w:pPr>
              <w:ind w:firstLine="0" w:firstLineChars="0"/>
              <w:jc w:val="center"/>
              <w:rPr>
                <w:rFonts w:hAnsi="Cambria"/>
                <w:b/>
                <w:color w:val="000000" w:themeColor="text1"/>
                <w14:textFill>
                  <w14:solidFill>
                    <w14:schemeClr w14:val="tx1"/>
                  </w14:solidFill>
                </w14:textFill>
              </w:rPr>
            </w:pPr>
          </w:p>
        </w:tc>
      </w:tr>
    </w:tbl>
    <w:p>
      <w:pPr>
        <w:ind w:firstLine="440"/>
        <w:rPr>
          <w:rFonts w:hAnsi="Cambria"/>
          <w:color w:val="000000" w:themeColor="text1"/>
          <w:sz w:val="22"/>
          <w:szCs w:val="18"/>
          <w14:textFill>
            <w14:solidFill>
              <w14:schemeClr w14:val="tx1"/>
            </w14:solidFill>
          </w14:textFill>
        </w:rPr>
      </w:pPr>
      <w:r>
        <w:rPr>
          <w:rFonts w:hint="eastAsia" w:hAnsi="Cambria"/>
          <w:color w:val="000000" w:themeColor="text1"/>
          <w:sz w:val="22"/>
          <w:szCs w:val="18"/>
          <w14:textFill>
            <w14:solidFill>
              <w14:schemeClr w14:val="tx1"/>
            </w14:solidFill>
          </w14:textFill>
        </w:rPr>
        <w:t>后附相关证明材料的复印件。</w:t>
      </w:r>
    </w:p>
    <w:p>
      <w:pPr>
        <w:widowControl/>
        <w:ind w:firstLine="0" w:firstLineChars="0"/>
        <w:jc w:val="left"/>
        <w:rPr>
          <w:color w:val="000000" w:themeColor="text1"/>
          <w:sz w:val="24"/>
          <w14:textFill>
            <w14:solidFill>
              <w14:schemeClr w14:val="tx1"/>
            </w14:solidFill>
          </w14:textFill>
        </w:rPr>
        <w:sectPr>
          <w:pgSz w:w="11906" w:h="16838"/>
          <w:pgMar w:top="1191" w:right="1191" w:bottom="1191" w:left="1191" w:header="851" w:footer="992" w:gutter="0"/>
          <w:cols w:space="720" w:num="1"/>
          <w:docGrid w:type="lines" w:linePitch="312" w:charSpace="0"/>
        </w:sectPr>
      </w:pPr>
    </w:p>
    <w:bookmarkEnd w:id="159"/>
    <w:bookmarkEnd w:id="160"/>
    <w:bookmarkEnd w:id="161"/>
    <w:bookmarkEnd w:id="162"/>
    <w:bookmarkEnd w:id="163"/>
    <w:bookmarkEnd w:id="164"/>
    <w:p>
      <w:pPr>
        <w:pStyle w:val="4"/>
        <w:spacing w:line="240" w:lineRule="auto"/>
        <w:ind w:firstLine="640"/>
        <w:jc w:val="center"/>
        <w:rPr>
          <w:b w:val="0"/>
          <w:bCs w:val="0"/>
          <w:color w:val="000000" w:themeColor="text1"/>
          <w14:textFill>
            <w14:solidFill>
              <w14:schemeClr w14:val="tx1"/>
            </w14:solidFill>
          </w14:textFill>
        </w:rPr>
      </w:pPr>
      <w:bookmarkStart w:id="165" w:name="_Toc9863567"/>
      <w:r>
        <w:rPr>
          <w:rFonts w:hint="eastAsia"/>
          <w:b w:val="0"/>
          <w:bCs w:val="0"/>
          <w:color w:val="000000" w:themeColor="text1"/>
          <w14:textFill>
            <w14:solidFill>
              <w14:schemeClr w14:val="tx1"/>
            </w14:solidFill>
          </w14:textFill>
        </w:rPr>
        <w:t>4、</w:t>
      </w:r>
      <w:bookmarkStart w:id="166" w:name="_Hlk17473530"/>
      <w:r>
        <w:rPr>
          <w:rFonts w:hint="eastAsia"/>
          <w:b w:val="0"/>
          <w:bCs w:val="0"/>
          <w:color w:val="000000" w:themeColor="text1"/>
          <w14:textFill>
            <w14:solidFill>
              <w14:schemeClr w14:val="tx1"/>
            </w14:solidFill>
          </w14:textFill>
        </w:rPr>
        <w:t>联合体协议书</w:t>
      </w:r>
      <w:bookmarkEnd w:id="165"/>
      <w:r>
        <w:rPr>
          <w:rFonts w:hint="eastAsia"/>
          <w:b w:val="0"/>
          <w:bCs w:val="0"/>
          <w:color w:val="000000" w:themeColor="text1"/>
          <w14:textFill>
            <w14:solidFill>
              <w14:schemeClr w14:val="tx1"/>
            </w14:solidFill>
          </w14:textFill>
        </w:rPr>
        <w:t>（如为联合体投标则须提供）</w:t>
      </w:r>
    </w:p>
    <w:p>
      <w:pPr>
        <w:topLinePunct/>
        <w:spacing w:line="440" w:lineRule="exact"/>
        <w:ind w:firstLine="440"/>
        <w:rPr>
          <w:color w:val="000000" w:themeColor="text1"/>
          <w:sz w:val="22"/>
          <w:szCs w:val="22"/>
          <w:u w:val="single"/>
          <w14:textFill>
            <w14:solidFill>
              <w14:schemeClr w14:val="tx1"/>
            </w14:solidFill>
          </w14:textFill>
        </w:rPr>
      </w:pPr>
      <w:r>
        <w:rPr>
          <w:color w:val="000000" w:themeColor="text1"/>
          <w:sz w:val="22"/>
          <w:szCs w:val="22"/>
          <w14:textFill>
            <w14:solidFill>
              <w14:schemeClr w14:val="tx1"/>
            </w14:solidFill>
          </w14:textFill>
        </w:rPr>
        <w:t>（所有成员单位名称）自愿组成（联合体名称）</w:t>
      </w:r>
      <w:r>
        <w:rPr>
          <w:rFonts w:hint="eastAsia"/>
          <w:color w:val="000000" w:themeColor="text1"/>
          <w:sz w:val="22"/>
          <w:szCs w:val="22"/>
          <w14:textFill>
            <w14:solidFill>
              <w14:schemeClr w14:val="tx1"/>
            </w14:solidFill>
          </w14:textFill>
        </w:rPr>
        <w:t>联合体</w:t>
      </w:r>
      <w:r>
        <w:rPr>
          <w:color w:val="000000" w:themeColor="text1"/>
          <w:sz w:val="22"/>
          <w:szCs w:val="22"/>
          <w14:textFill>
            <w14:solidFill>
              <w14:schemeClr w14:val="tx1"/>
            </w14:solidFill>
          </w14:textFill>
        </w:rPr>
        <w:t>，共同参加</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（项目名称）</w:t>
      </w:r>
      <w:r>
        <w:rPr>
          <w:rFonts w:hint="eastAsia" w:eastAsiaTheme="minorEastAsia"/>
          <w:color w:val="000000" w:themeColor="text1"/>
          <w:sz w:val="22"/>
          <w:szCs w:val="22"/>
          <w14:textFill>
            <w14:solidFill>
              <w14:schemeClr w14:val="tx1"/>
            </w14:solidFill>
          </w14:textFill>
        </w:rPr>
        <w:t>工程</w:t>
      </w:r>
      <w:r>
        <w:rPr>
          <w:rFonts w:hint="eastAsia"/>
          <w:color w:val="000000" w:themeColor="text1"/>
          <w:sz w:val="22"/>
          <w:szCs w:val="22"/>
          <w14:textFill>
            <w14:solidFill>
              <w14:schemeClr w14:val="tx1"/>
            </w14:solidFill>
          </w14:textFill>
        </w:rPr>
        <w:t>总承包</w:t>
      </w:r>
      <w:r>
        <w:rPr>
          <w:color w:val="000000" w:themeColor="text1"/>
          <w:sz w:val="22"/>
          <w:szCs w:val="22"/>
          <w14:textFill>
            <w14:solidFill>
              <w14:schemeClr w14:val="tx1"/>
            </w14:solidFill>
          </w14:textFill>
        </w:rPr>
        <w:t>投标。现就联合体投标事宜订立如下协议。</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（某成员单位名称）为（联合体名称）牵头人。</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2、联合体牵头人</w:t>
      </w:r>
      <w:r>
        <w:rPr>
          <w:rFonts w:hint="eastAsia"/>
          <w:color w:val="000000" w:themeColor="text1"/>
          <w:sz w:val="22"/>
          <w:szCs w:val="22"/>
          <w14:textFill>
            <w14:solidFill>
              <w14:schemeClr w14:val="tx1"/>
            </w14:solidFill>
          </w14:textFill>
        </w:rPr>
        <w:t>合法代表联合体各成员负责本招标项目投标文件编制和合同谈判活动，并代表联合体提交和接收相关的资料、信息及指示，并处理与之有关的一切事务，</w:t>
      </w:r>
      <w:r>
        <w:rPr>
          <w:color w:val="000000" w:themeColor="text1"/>
          <w:sz w:val="22"/>
          <w:szCs w:val="22"/>
          <w14:textFill>
            <w14:solidFill>
              <w14:schemeClr w14:val="tx1"/>
            </w14:solidFill>
          </w14:textFill>
        </w:rPr>
        <w:t>负责合同实施阶段的主办、组织和协调工作。</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3、联合体将严格按照招标文件的各项要求，递交投标文件，履行合同，并对外承担连带责任。</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4、联合体各成员单位内部的职责分工如下：。</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5、本协议书自签署之日起生效，合同履行完毕后自动失效。</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6、本协议书一式份，联合体成员和招标人各执一份。</w:t>
      </w:r>
    </w:p>
    <w:p>
      <w:pPr>
        <w:topLinePunct/>
        <w:spacing w:line="440" w:lineRule="exact"/>
        <w:ind w:firstLine="440"/>
        <w:rPr>
          <w:color w:val="000000" w:themeColor="text1"/>
          <w:sz w:val="22"/>
          <w:szCs w:val="22"/>
          <w14:textFill>
            <w14:solidFill>
              <w14:schemeClr w14:val="tx1"/>
            </w14:solidFill>
          </w14:textFill>
        </w:rPr>
      </w:pPr>
    </w:p>
    <w:p>
      <w:pPr>
        <w:topLinePunct/>
        <w:spacing w:line="440" w:lineRule="exact"/>
        <w:ind w:firstLine="44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注：本协议书由委托代理人签字的，应附法定代表人签字的授权委托书。</w:t>
      </w:r>
    </w:p>
    <w:p>
      <w:pPr>
        <w:topLinePunct/>
        <w:spacing w:line="440" w:lineRule="exact"/>
        <w:ind w:firstLine="440"/>
        <w:rPr>
          <w:color w:val="000000" w:themeColor="text1"/>
          <w:sz w:val="22"/>
          <w:szCs w:val="22"/>
          <w14:textFill>
            <w14:solidFill>
              <w14:schemeClr w14:val="tx1"/>
            </w14:solidFill>
          </w14:textFill>
        </w:rPr>
      </w:pP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牵头人名称：（盖单位章）</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法定代表人或其委托代理人：（签字）</w:t>
      </w:r>
    </w:p>
    <w:p>
      <w:pPr>
        <w:topLinePunct/>
        <w:spacing w:line="440" w:lineRule="exact"/>
        <w:ind w:firstLine="440"/>
        <w:rPr>
          <w:color w:val="000000" w:themeColor="text1"/>
          <w:sz w:val="22"/>
          <w:szCs w:val="22"/>
          <w14:textFill>
            <w14:solidFill>
              <w14:schemeClr w14:val="tx1"/>
            </w14:solidFill>
          </w14:textFill>
        </w:rPr>
      </w:pP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成员一名称：（盖单位章）</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法定代表人或其委托代理人：（签字）</w:t>
      </w:r>
    </w:p>
    <w:p>
      <w:pPr>
        <w:topLinePunct/>
        <w:spacing w:line="440" w:lineRule="exact"/>
        <w:ind w:firstLine="440"/>
        <w:rPr>
          <w:color w:val="000000" w:themeColor="text1"/>
          <w:sz w:val="22"/>
          <w:szCs w:val="22"/>
          <w14:textFill>
            <w14:solidFill>
              <w14:schemeClr w14:val="tx1"/>
            </w14:solidFill>
          </w14:textFill>
        </w:rPr>
      </w:pP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成员二名称：（盖单位章）</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法定代表人或其委托代理人：（签字）</w:t>
      </w:r>
    </w:p>
    <w:p>
      <w:pPr>
        <w:topLinePunct/>
        <w:spacing w:line="440" w:lineRule="exact"/>
        <w:ind w:firstLine="44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 </w:t>
      </w:r>
    </w:p>
    <w:p>
      <w:pPr>
        <w:topLinePunct/>
        <w:spacing w:line="440" w:lineRule="exact"/>
        <w:ind w:firstLine="440"/>
        <w:rPr>
          <w:color w:val="000000" w:themeColor="text1"/>
          <w:sz w:val="22"/>
          <w:szCs w:val="22"/>
          <w14:textFill>
            <w14:solidFill>
              <w14:schemeClr w14:val="tx1"/>
            </w14:solidFill>
          </w14:textFill>
        </w:rPr>
      </w:pPr>
    </w:p>
    <w:p>
      <w:pPr>
        <w:ind w:firstLine="3236" w:firstLineChars="147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年</w:t>
      </w:r>
      <w:r>
        <w:rPr>
          <w:rFonts w:hint="eastAsia" w:eastAsia="宋体"/>
          <w:color w:val="000000" w:themeColor="text1"/>
          <w:sz w:val="22"/>
          <w:szCs w:val="22"/>
          <w14:textFill>
            <w14:solidFill>
              <w14:schemeClr w14:val="tx1"/>
            </w14:solidFill>
          </w14:textFill>
        </w:rPr>
        <w:t xml:space="preserve">    </w:t>
      </w:r>
      <w:r>
        <w:rPr>
          <w:color w:val="000000" w:themeColor="text1"/>
          <w:sz w:val="22"/>
          <w:szCs w:val="22"/>
          <w14:textFill>
            <w14:solidFill>
              <w14:schemeClr w14:val="tx1"/>
            </w14:solidFill>
          </w14:textFill>
        </w:rPr>
        <w:t>月</w:t>
      </w:r>
      <w:r>
        <w:rPr>
          <w:rFonts w:hint="eastAsia" w:eastAsia="宋体"/>
          <w:color w:val="000000" w:themeColor="text1"/>
          <w:sz w:val="22"/>
          <w:szCs w:val="22"/>
          <w14:textFill>
            <w14:solidFill>
              <w14:schemeClr w14:val="tx1"/>
            </w14:solidFill>
          </w14:textFill>
        </w:rPr>
        <w:t xml:space="preserve">    </w:t>
      </w:r>
      <w:r>
        <w:rPr>
          <w:color w:val="000000" w:themeColor="text1"/>
          <w:sz w:val="22"/>
          <w:szCs w:val="22"/>
          <w14:textFill>
            <w14:solidFill>
              <w14:schemeClr w14:val="tx1"/>
            </w14:solidFill>
          </w14:textFill>
        </w:rPr>
        <w:t>日</w:t>
      </w:r>
      <w:bookmarkEnd w:id="166"/>
      <w:bookmarkStart w:id="167" w:name="_Toc9863568"/>
      <w:bookmarkStart w:id="168" w:name="_Toc518653624"/>
      <w:bookmarkStart w:id="169" w:name="_Toc247527834"/>
      <w:bookmarkStart w:id="170" w:name="_Toc144974862"/>
      <w:bookmarkStart w:id="171" w:name="_Toc152045794"/>
      <w:bookmarkStart w:id="172" w:name="_Toc16549"/>
      <w:bookmarkStart w:id="173" w:name="_Toc152042583"/>
      <w:bookmarkStart w:id="174" w:name="_Toc514770562"/>
      <w:bookmarkStart w:id="175" w:name="_Toc247514286"/>
      <w:bookmarkStart w:id="176" w:name="_Toc29156"/>
      <w:bookmarkStart w:id="177" w:name="_Toc514770805"/>
    </w:p>
    <w:p>
      <w:pPr>
        <w:ind w:firstLine="3530" w:firstLineChars="1471"/>
        <w:rPr>
          <w:color w:val="000000" w:themeColor="text1"/>
          <w:sz w:val="24"/>
          <w:szCs w:val="24"/>
          <w14:textFill>
            <w14:solidFill>
              <w14:schemeClr w14:val="tx1"/>
            </w14:solidFill>
          </w14:textFill>
        </w:rPr>
      </w:pPr>
    </w:p>
    <w:p>
      <w:pPr>
        <w:ind w:firstLine="3530" w:firstLineChars="1471"/>
        <w:rPr>
          <w:color w:val="000000" w:themeColor="text1"/>
          <w:sz w:val="24"/>
          <w:szCs w:val="24"/>
          <w14:textFill>
            <w14:solidFill>
              <w14:schemeClr w14:val="tx1"/>
            </w14:solidFill>
          </w14:textFill>
        </w:rPr>
      </w:pPr>
    </w:p>
    <w:p>
      <w:pPr>
        <w:ind w:firstLine="3530" w:firstLineChars="1471"/>
        <w:rPr>
          <w:color w:val="000000" w:themeColor="text1"/>
          <w:sz w:val="24"/>
          <w:szCs w:val="24"/>
          <w14:textFill>
            <w14:solidFill>
              <w14:schemeClr w14:val="tx1"/>
            </w14:solidFill>
          </w14:textFill>
        </w:rPr>
      </w:pPr>
    </w:p>
    <w:p>
      <w:pPr>
        <w:ind w:firstLine="3530" w:firstLineChars="1471"/>
        <w:rPr>
          <w:rFonts w:eastAsiaTheme="minorEastAsia"/>
          <w:color w:val="000000" w:themeColor="text1"/>
          <w:sz w:val="24"/>
          <w:szCs w:val="24"/>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0" w:firstLineChars="0"/>
        <w:rPr>
          <w:rFonts w:ascii="宋体" w:hAnsi="宋体"/>
          <w:color w:val="000000" w:themeColor="text1"/>
          <w14:textFill>
            <w14:solidFill>
              <w14:schemeClr w14:val="tx1"/>
            </w14:solidFill>
          </w14:textFill>
        </w:rPr>
      </w:pPr>
    </w:p>
    <w:p>
      <w:pPr>
        <w:spacing w:line="360" w:lineRule="auto"/>
        <w:ind w:firstLine="0" w:firstLineChars="0"/>
        <w:jc w:val="center"/>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5、承诺函</w:t>
      </w:r>
    </w:p>
    <w:p>
      <w:pPr>
        <w:spacing w:line="360" w:lineRule="auto"/>
        <w:ind w:firstLine="0" w:firstLineChars="0"/>
        <w:jc w:val="center"/>
        <w:rPr>
          <w:rFonts w:eastAsia="宋体"/>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拟派项目负责人无在其他工程项目中担任项目负责人的承诺</w:t>
      </w:r>
      <w:r>
        <w:rPr>
          <w:rFonts w:hint="eastAsia" w:eastAsia="宋体"/>
          <w:color w:val="000000" w:themeColor="text1"/>
          <w:sz w:val="30"/>
          <w:szCs w:val="30"/>
          <w14:textFill>
            <w14:solidFill>
              <w14:schemeClr w14:val="tx1"/>
            </w14:solidFill>
          </w14:textFill>
        </w:rPr>
        <w:t>函</w:t>
      </w:r>
    </w:p>
    <w:p>
      <w:pPr>
        <w:spacing w:line="360" w:lineRule="auto"/>
        <w:ind w:firstLine="640"/>
        <w:rPr>
          <w:rFonts w:ascii="仿宋" w:hAnsi="仿宋" w:eastAsia="仿宋"/>
          <w:color w:val="000000" w:themeColor="text1"/>
          <w:sz w:val="32"/>
          <w:szCs w:val="32"/>
          <w:u w:val="single"/>
          <w14:textFill>
            <w14:solidFill>
              <w14:schemeClr w14:val="tx1"/>
            </w14:solidFill>
          </w14:textFill>
        </w:rPr>
      </w:pPr>
    </w:p>
    <w:p>
      <w:pPr>
        <w:spacing w:line="360" w:lineRule="auto"/>
        <w:ind w:firstLine="56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u w:val="single"/>
          <w14:textFill>
            <w14:solidFill>
              <w14:schemeClr w14:val="tx1"/>
            </w14:solidFill>
          </w14:textFill>
        </w:rPr>
        <w:t xml:space="preserve">                                </w:t>
      </w:r>
      <w:r>
        <w:rPr>
          <w:rFonts w:hint="eastAsia" w:ascii="仿宋" w:hAnsi="仿宋" w:eastAsia="仿宋"/>
          <w:color w:val="000000" w:themeColor="text1"/>
          <w:szCs w:val="21"/>
          <w14:textFill>
            <w14:solidFill>
              <w14:schemeClr w14:val="tx1"/>
            </w14:solidFill>
          </w14:textFill>
        </w:rPr>
        <w:t>：</w:t>
      </w:r>
    </w:p>
    <w:p>
      <w:pPr>
        <w:spacing w:line="360" w:lineRule="auto"/>
        <w:ind w:firstLine="56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我公司及拟派项目施工负责人承诺，拟派参加</w:t>
      </w:r>
      <w:r>
        <w:rPr>
          <w:rFonts w:hint="eastAsia" w:ascii="仿宋" w:hAnsi="仿宋" w:eastAsia="仿宋"/>
          <w:color w:val="000000" w:themeColor="text1"/>
          <w:szCs w:val="21"/>
          <w:u w:val="single"/>
          <w14:textFill>
            <w14:solidFill>
              <w14:schemeClr w14:val="tx1"/>
            </w14:solidFill>
          </w14:textFill>
        </w:rPr>
        <w:t xml:space="preserve">         </w:t>
      </w:r>
      <w:r>
        <w:rPr>
          <w:rFonts w:hint="eastAsia" w:ascii="仿宋" w:hAnsi="仿宋" w:eastAsia="仿宋"/>
          <w:color w:val="000000" w:themeColor="text1"/>
          <w:szCs w:val="21"/>
          <w14:textFill>
            <w14:solidFill>
              <w14:schemeClr w14:val="tx1"/>
            </w14:solidFill>
          </w14:textFill>
        </w:rPr>
        <w:t>项目</w:t>
      </w:r>
      <w:r>
        <w:rPr>
          <w:rFonts w:hint="eastAsia" w:ascii="仿宋" w:hAnsi="仿宋" w:eastAsia="仿宋"/>
          <w:color w:val="000000" w:themeColor="text1"/>
          <w:szCs w:val="21"/>
          <w:u w:val="single"/>
          <w14:textFill>
            <w14:solidFill>
              <w14:schemeClr w14:val="tx1"/>
            </w14:solidFill>
          </w14:textFill>
        </w:rPr>
        <w:t xml:space="preserve">                 </w:t>
      </w:r>
      <w:r>
        <w:rPr>
          <w:rFonts w:hint="eastAsia" w:ascii="仿宋" w:hAnsi="仿宋" w:eastAsia="仿宋"/>
          <w:color w:val="000000" w:themeColor="text1"/>
          <w:szCs w:val="21"/>
          <w14:textFill>
            <w14:solidFill>
              <w14:schemeClr w14:val="tx1"/>
            </w14:solidFill>
          </w14:textFill>
        </w:rPr>
        <w:t>标段投标中的项目施工负责人至</w:t>
      </w:r>
      <w:r>
        <w:rPr>
          <w:rFonts w:ascii="仿宋" w:hAnsi="仿宋" w:eastAsia="仿宋"/>
          <w:color w:val="000000" w:themeColor="text1"/>
          <w:szCs w:val="21"/>
          <w14:textFill>
            <w14:solidFill>
              <w14:schemeClr w14:val="tx1"/>
            </w14:solidFill>
          </w14:textFill>
        </w:rPr>
        <w:t>投标截止时间</w:t>
      </w:r>
      <w:r>
        <w:rPr>
          <w:rFonts w:hint="eastAsia" w:ascii="仿宋" w:hAnsi="仿宋" w:eastAsia="仿宋"/>
          <w:color w:val="000000" w:themeColor="text1"/>
          <w:szCs w:val="21"/>
          <w14:textFill>
            <w14:solidFill>
              <w14:schemeClr w14:val="tx1"/>
            </w14:solidFill>
          </w14:textFill>
        </w:rPr>
        <w:t>，没有“</w:t>
      </w:r>
      <w:r>
        <w:rPr>
          <w:rFonts w:ascii="仿宋" w:hAnsi="仿宋" w:eastAsia="仿宋"/>
          <w:color w:val="000000" w:themeColor="text1"/>
          <w:szCs w:val="21"/>
          <w14:textFill>
            <w14:solidFill>
              <w14:schemeClr w14:val="tx1"/>
            </w14:solidFill>
          </w14:textFill>
        </w:rPr>
        <w:t>承担过其他工程项目</w:t>
      </w:r>
      <w:r>
        <w:rPr>
          <w:rFonts w:hint="eastAsia" w:ascii="仿宋" w:hAnsi="仿宋" w:eastAsia="仿宋"/>
          <w:color w:val="000000" w:themeColor="text1"/>
          <w:szCs w:val="21"/>
          <w14:textFill>
            <w14:solidFill>
              <w14:schemeClr w14:val="tx1"/>
            </w14:solidFill>
          </w14:textFill>
        </w:rPr>
        <w:t>负责人</w:t>
      </w:r>
      <w:r>
        <w:rPr>
          <w:rFonts w:ascii="仿宋" w:hAnsi="仿宋" w:eastAsia="仿宋"/>
          <w:color w:val="000000" w:themeColor="text1"/>
          <w:szCs w:val="21"/>
          <w14:textFill>
            <w14:solidFill>
              <w14:schemeClr w14:val="tx1"/>
            </w14:solidFill>
          </w14:textFill>
        </w:rPr>
        <w:t>职务</w:t>
      </w:r>
      <w:r>
        <w:rPr>
          <w:rFonts w:hint="eastAsia" w:ascii="仿宋" w:hAnsi="仿宋" w:eastAsia="仿宋"/>
          <w:color w:val="000000" w:themeColor="text1"/>
          <w:szCs w:val="21"/>
          <w14:textFill>
            <w14:solidFill>
              <w14:schemeClr w14:val="tx1"/>
            </w14:solidFill>
          </w14:textFill>
        </w:rPr>
        <w:t>（无论是否办理过变更）的项目</w:t>
      </w:r>
      <w:r>
        <w:rPr>
          <w:rFonts w:ascii="仿宋" w:hAnsi="仿宋" w:eastAsia="仿宋"/>
          <w:color w:val="000000" w:themeColor="text1"/>
          <w:szCs w:val="21"/>
          <w14:textFill>
            <w14:solidFill>
              <w14:schemeClr w14:val="tx1"/>
            </w14:solidFill>
          </w14:textFill>
        </w:rPr>
        <w:t>合同工程未通过验收</w:t>
      </w:r>
      <w:r>
        <w:rPr>
          <w:rFonts w:hint="eastAsia" w:ascii="仿宋" w:hAnsi="仿宋" w:eastAsia="仿宋"/>
          <w:color w:val="000000" w:themeColor="text1"/>
          <w:szCs w:val="21"/>
          <w14:textFill>
            <w14:solidFill>
              <w14:schemeClr w14:val="tx1"/>
            </w14:solidFill>
          </w14:textFill>
        </w:rPr>
        <w:t>”的情形。</w:t>
      </w:r>
      <w:r>
        <w:rPr>
          <w:rFonts w:ascii="仿宋" w:hAnsi="仿宋" w:eastAsia="仿宋"/>
          <w:color w:val="000000" w:themeColor="text1"/>
          <w:szCs w:val="21"/>
          <w14:textFill>
            <w14:solidFill>
              <w14:schemeClr w14:val="tx1"/>
            </w14:solidFill>
          </w14:textFill>
        </w:rPr>
        <w:t>其他工程项目包括：在中华人民共和国境内所有建设工程，不受地域、行业和投资性质的限制，时间界定为自中标通知书发出之日（</w:t>
      </w:r>
      <w:r>
        <w:rPr>
          <w:rFonts w:hint="eastAsia" w:ascii="仿宋" w:hAnsi="仿宋" w:eastAsia="仿宋"/>
          <w:color w:val="000000" w:themeColor="text1"/>
          <w:szCs w:val="21"/>
          <w14:textFill>
            <w14:solidFill>
              <w14:schemeClr w14:val="tx1"/>
            </w14:solidFill>
          </w14:textFill>
        </w:rPr>
        <w:t>以非招标方式承包工程</w:t>
      </w:r>
      <w:r>
        <w:rPr>
          <w:rFonts w:ascii="仿宋" w:hAnsi="仿宋" w:eastAsia="仿宋"/>
          <w:color w:val="000000" w:themeColor="text1"/>
          <w:szCs w:val="21"/>
          <w14:textFill>
            <w14:solidFill>
              <w14:schemeClr w14:val="tx1"/>
            </w14:solidFill>
          </w14:textFill>
        </w:rPr>
        <w:t>的以合同生效之日）起至合同工程验收通过之日止</w:t>
      </w:r>
      <w:r>
        <w:rPr>
          <w:rFonts w:hint="eastAsia" w:ascii="仿宋" w:hAnsi="仿宋" w:eastAsia="仿宋"/>
          <w:color w:val="000000" w:themeColor="text1"/>
          <w:szCs w:val="21"/>
          <w14:textFill>
            <w14:solidFill>
              <w14:schemeClr w14:val="tx1"/>
            </w14:solidFill>
          </w14:textFill>
        </w:rPr>
        <w:t>。</w:t>
      </w:r>
    </w:p>
    <w:p>
      <w:pPr>
        <w:spacing w:line="360" w:lineRule="auto"/>
        <w:ind w:firstLine="56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以上承诺如有虚假，愿意依法承担赔偿责任并由招标人没收我单位投标保证金。如已中标，同意招标人取消我公司中标资格的处理。</w:t>
      </w:r>
    </w:p>
    <w:p>
      <w:pPr>
        <w:spacing w:line="360" w:lineRule="auto"/>
        <w:ind w:firstLine="420" w:firstLineChars="150"/>
        <w:rPr>
          <w:rFonts w:ascii="仿宋" w:hAnsi="仿宋" w:eastAsia="仿宋"/>
          <w:color w:val="000000" w:themeColor="text1"/>
          <w:szCs w:val="21"/>
          <w14:textFill>
            <w14:solidFill>
              <w14:schemeClr w14:val="tx1"/>
            </w14:solidFill>
          </w14:textFill>
        </w:rPr>
      </w:pPr>
    </w:p>
    <w:p>
      <w:pPr>
        <w:spacing w:line="360" w:lineRule="auto"/>
        <w:ind w:firstLine="0" w:firstLineChars="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 xml:space="preserve">投标人(单位盖章)：                  法定代表人 (签字或盖章)：           </w:t>
      </w:r>
    </w:p>
    <w:p>
      <w:pPr>
        <w:spacing w:line="360" w:lineRule="auto"/>
        <w:ind w:firstLine="0" w:firstLineChars="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拟派项目施工负责人：（签字）        建造师执业章编码：</w:t>
      </w:r>
    </w:p>
    <w:p>
      <w:pPr>
        <w:spacing w:line="360" w:lineRule="auto"/>
        <w:ind w:firstLine="56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 xml:space="preserve">              </w:t>
      </w:r>
    </w:p>
    <w:p>
      <w:pPr>
        <w:spacing w:line="360" w:lineRule="auto"/>
        <w:ind w:firstLine="560"/>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 xml:space="preserve">                                            年   月   日</w:t>
      </w:r>
    </w:p>
    <w:p>
      <w:pPr>
        <w:spacing w:line="480" w:lineRule="auto"/>
        <w:ind w:firstLine="4200" w:firstLineChars="1750"/>
        <w:rPr>
          <w:rFonts w:ascii="宋体" w:hAnsi="宋体"/>
          <w:color w:val="000000" w:themeColor="text1"/>
          <w:sz w:val="24"/>
          <w14:textFill>
            <w14:solidFill>
              <w14:schemeClr w14:val="tx1"/>
            </w14:solidFill>
          </w14:textFill>
        </w:rPr>
      </w:pPr>
    </w:p>
    <w:p>
      <w:pPr>
        <w:ind w:firstLine="3558" w:firstLineChars="1271"/>
        <w:rPr>
          <w:color w:val="000000" w:themeColor="text1"/>
          <w14:textFill>
            <w14:solidFill>
              <w14:schemeClr w14:val="tx1"/>
            </w14:solidFill>
          </w14:textFill>
        </w:rPr>
      </w:pPr>
    </w:p>
    <w:p>
      <w:pPr>
        <w:ind w:firstLine="3558" w:firstLineChars="1271"/>
        <w:rPr>
          <w:color w:val="000000" w:themeColor="text1"/>
          <w14:textFill>
            <w14:solidFill>
              <w14:schemeClr w14:val="tx1"/>
            </w14:solidFill>
          </w14:textFill>
        </w:rPr>
      </w:pPr>
    </w:p>
    <w:p>
      <w:pPr>
        <w:ind w:firstLine="3558" w:firstLineChars="1271"/>
        <w:rPr>
          <w:color w:val="000000" w:themeColor="text1"/>
          <w14:textFill>
            <w14:solidFill>
              <w14:schemeClr w14:val="tx1"/>
            </w14:solidFill>
          </w14:textFill>
        </w:rPr>
      </w:pPr>
    </w:p>
    <w:p>
      <w:pPr>
        <w:ind w:firstLine="3558" w:firstLineChars="1271"/>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bookmarkEnd w:id="167"/>
    <w:bookmarkEnd w:id="168"/>
    <w:bookmarkEnd w:id="169"/>
    <w:bookmarkEnd w:id="170"/>
    <w:bookmarkEnd w:id="171"/>
    <w:bookmarkEnd w:id="172"/>
    <w:bookmarkEnd w:id="173"/>
    <w:bookmarkEnd w:id="174"/>
    <w:bookmarkEnd w:id="175"/>
    <w:bookmarkEnd w:id="176"/>
    <w:bookmarkEnd w:id="177"/>
    <w:p>
      <w:pPr>
        <w:pStyle w:val="20"/>
        <w:rPr>
          <w:color w:val="000000" w:themeColor="text1"/>
          <w14:textFill>
            <w14:solidFill>
              <w14:schemeClr w14:val="tx1"/>
            </w14:solidFill>
          </w14:textFill>
        </w:rPr>
      </w:pPr>
    </w:p>
    <w:p>
      <w:pPr>
        <w:ind w:firstLine="0" w:firstLineChars="0"/>
        <w:jc w:val="center"/>
        <w:rPr>
          <w:rFonts w:hAnsi="Cambria" w:eastAsia="宋体"/>
          <w:b/>
          <w:color w:val="000000" w:themeColor="text1"/>
          <w:sz w:val="20"/>
          <w14:textFill>
            <w14:solidFill>
              <w14:schemeClr w14:val="tx1"/>
            </w14:solidFill>
          </w14:textFill>
        </w:rPr>
      </w:pPr>
      <w:r>
        <w:rPr>
          <w:rFonts w:hint="eastAsia" w:hAnsi="Cambria" w:eastAsia="宋体"/>
          <w:b/>
          <w:color w:val="000000" w:themeColor="text1"/>
          <w:sz w:val="48"/>
          <w:szCs w:val="48"/>
          <w14:textFill>
            <w14:solidFill>
              <w14:schemeClr w14:val="tx1"/>
            </w14:solidFill>
          </w14:textFill>
        </w:rPr>
        <w:t>平阳县社会养老福利服务中心项目工程总承包</w:t>
      </w:r>
    </w:p>
    <w:p>
      <w:pPr>
        <w:ind w:firstLine="402"/>
        <w:rPr>
          <w:rFonts w:hAnsi="Cambria"/>
          <w:b/>
          <w:color w:val="000000" w:themeColor="text1"/>
          <w:sz w:val="20"/>
          <w14:textFill>
            <w14:solidFill>
              <w14:schemeClr w14:val="tx1"/>
            </w14:solidFill>
          </w14:textFill>
        </w:rPr>
      </w:pPr>
    </w:p>
    <w:p>
      <w:pPr>
        <w:ind w:firstLine="402"/>
        <w:rPr>
          <w:rFonts w:hAnsi="Cambria"/>
          <w:b/>
          <w:color w:val="000000" w:themeColor="text1"/>
          <w:sz w:val="20"/>
          <w14:textFill>
            <w14:solidFill>
              <w14:schemeClr w14:val="tx1"/>
            </w14:solidFill>
          </w14:textFill>
        </w:rPr>
      </w:pPr>
    </w:p>
    <w:p>
      <w:pPr>
        <w:ind w:firstLine="1044"/>
        <w:jc w:val="center"/>
        <w:rPr>
          <w:rFonts w:hAnsi="Cambria"/>
          <w:b/>
          <w:color w:val="000000" w:themeColor="text1"/>
          <w:sz w:val="52"/>
          <w:szCs w:val="52"/>
          <w14:textFill>
            <w14:solidFill>
              <w14:schemeClr w14:val="tx1"/>
            </w14:solidFill>
          </w14:textFill>
        </w:rPr>
      </w:pPr>
      <w:r>
        <w:rPr>
          <w:rFonts w:hint="eastAsia" w:hAnsi="Cambria"/>
          <w:b/>
          <w:color w:val="000000" w:themeColor="text1"/>
          <w:sz w:val="52"/>
          <w:szCs w:val="52"/>
          <w14:textFill>
            <w14:solidFill>
              <w14:schemeClr w14:val="tx1"/>
            </w14:solidFill>
          </w14:textFill>
        </w:rPr>
        <w:t>投  标  文  件</w:t>
      </w:r>
    </w:p>
    <w:p>
      <w:pPr>
        <w:ind w:firstLine="643"/>
        <w:jc w:val="center"/>
        <w:rPr>
          <w:rFonts w:hAnsi="Cambria"/>
          <w:b/>
          <w:color w:val="000000" w:themeColor="text1"/>
          <w:sz w:val="32"/>
          <w:szCs w:val="32"/>
          <w14:textFill>
            <w14:solidFill>
              <w14:schemeClr w14:val="tx1"/>
            </w14:solidFill>
          </w14:textFill>
        </w:rPr>
      </w:pPr>
      <w:r>
        <w:rPr>
          <w:rFonts w:hint="eastAsia" w:hAnsi="Cambria"/>
          <w:b/>
          <w:color w:val="000000" w:themeColor="text1"/>
          <w:sz w:val="32"/>
          <w:szCs w:val="32"/>
          <w14:textFill>
            <w14:solidFill>
              <w14:schemeClr w14:val="tx1"/>
            </w14:solidFill>
          </w14:textFill>
        </w:rPr>
        <w:t>（</w:t>
      </w:r>
      <w:r>
        <w:rPr>
          <w:rFonts w:hint="eastAsia" w:ascii="宋体" w:hAnsi="宋体" w:eastAsia="宋体" w:cs="宋体"/>
          <w:b/>
          <w:color w:val="000000" w:themeColor="text1"/>
          <w:sz w:val="32"/>
          <w:szCs w:val="32"/>
          <w14:textFill>
            <w14:solidFill>
              <w14:schemeClr w14:val="tx1"/>
            </w14:solidFill>
          </w14:textFill>
        </w:rPr>
        <w:t>技术</w:t>
      </w:r>
      <w:r>
        <w:rPr>
          <w:rFonts w:hint="eastAsia" w:hAnsi="Cambria"/>
          <w:b/>
          <w:color w:val="000000" w:themeColor="text1"/>
          <w:sz w:val="32"/>
          <w:szCs w:val="32"/>
          <w14:textFill>
            <w14:solidFill>
              <w14:schemeClr w14:val="tx1"/>
            </w14:solidFill>
          </w14:textFill>
        </w:rPr>
        <w:t>标）</w:t>
      </w: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0"/>
        <w:rPr>
          <w:rFonts w:hAnsi="Cambria"/>
          <w:color w:val="000000" w:themeColor="text1"/>
          <w14:textFill>
            <w14:solidFill>
              <w14:schemeClr w14:val="tx1"/>
            </w14:solidFill>
          </w14:textFill>
        </w:rPr>
      </w:pPr>
    </w:p>
    <w:p>
      <w:pPr>
        <w:ind w:firstLine="562"/>
        <w:jc w:val="center"/>
        <w:rPr>
          <w:rFonts w:hAnsi="Cambria"/>
          <w:b/>
          <w:color w:val="000000" w:themeColor="text1"/>
          <w:u w:val="single"/>
          <w14:textFill>
            <w14:solidFill>
              <w14:schemeClr w14:val="tx1"/>
            </w14:solidFill>
          </w14:textFill>
        </w:rPr>
      </w:pPr>
      <w:r>
        <w:rPr>
          <w:rFonts w:hint="eastAsia" w:hAnsi="Cambria"/>
          <w:b/>
          <w:color w:val="000000" w:themeColor="text1"/>
          <w14:textFill>
            <w14:solidFill>
              <w14:schemeClr w14:val="tx1"/>
            </w14:solidFill>
          </w14:textFill>
        </w:rPr>
        <w:t>投标人：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（盖单位章）</w:t>
      </w:r>
    </w:p>
    <w:p>
      <w:pPr>
        <w:ind w:left="1961" w:leftChars="200" w:hanging="1401" w:hangingChars="500"/>
        <w:rPr>
          <w:rFonts w:hAnsi="Cambria"/>
          <w:b/>
          <w:color w:val="000000" w:themeColor="text1"/>
          <w14:textFill>
            <w14:solidFill>
              <w14:schemeClr w14:val="tx1"/>
            </w14:solidFill>
          </w14:textFill>
        </w:rPr>
      </w:pPr>
      <w:r>
        <w:rPr>
          <w:rFonts w:hint="eastAsia" w:hAnsi="Cambria"/>
          <w:b/>
          <w:color w:val="000000" w:themeColor="text1"/>
          <w14:textFill>
            <w14:solidFill>
              <w14:schemeClr w14:val="tx1"/>
            </w14:solidFill>
          </w14:textFill>
        </w:rPr>
        <w:t>法定代表人（或委托代理人）：</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（签字或盖章）</w:t>
      </w:r>
    </w:p>
    <w:p>
      <w:pPr>
        <w:ind w:firstLine="562"/>
        <w:jc w:val="center"/>
        <w:rPr>
          <w:rFonts w:hAnsi="Cambria"/>
          <w:b/>
          <w:color w:val="000000" w:themeColor="text1"/>
          <w14:textFill>
            <w14:solidFill>
              <w14:schemeClr w14:val="tx1"/>
            </w14:solidFill>
          </w14:textFill>
        </w:rPr>
      </w:pP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年</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月</w:t>
      </w:r>
      <w:r>
        <w:rPr>
          <w:rFonts w:hint="eastAsia" w:hAnsi="Cambria"/>
          <w:b/>
          <w:color w:val="000000" w:themeColor="text1"/>
          <w:u w:val="single"/>
          <w14:textFill>
            <w14:solidFill>
              <w14:schemeClr w14:val="tx1"/>
            </w14:solidFill>
          </w14:textFill>
        </w:rPr>
        <w:t xml:space="preserve">         </w:t>
      </w:r>
      <w:r>
        <w:rPr>
          <w:rFonts w:hint="eastAsia" w:hAnsi="Cambria"/>
          <w:b/>
          <w:color w:val="000000" w:themeColor="text1"/>
          <w14:textFill>
            <w14:solidFill>
              <w14:schemeClr w14:val="tx1"/>
            </w14:solidFill>
          </w14:textFill>
        </w:rPr>
        <w:t>日</w:t>
      </w: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（注：A3格式。本格式供参考）</w:t>
      </w: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ind w:firstLine="560"/>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目录</w:t>
      </w:r>
    </w:p>
    <w:p>
      <w:pPr>
        <w:pStyle w:val="19"/>
        <w:ind w:firstLine="210"/>
        <w:rPr>
          <w:color w:val="000000" w:themeColor="text1"/>
          <w14:textFill>
            <w14:solidFill>
              <w14:schemeClr w14:val="tx1"/>
            </w14:solidFill>
          </w14:textFill>
        </w:rPr>
      </w:pPr>
      <w:r>
        <w:rPr>
          <w:rFonts w:hint="eastAsia"/>
          <w:color w:val="000000" w:themeColor="text1"/>
          <w14:textFill>
            <w14:solidFill>
              <w14:schemeClr w14:val="tx1"/>
            </w14:solidFill>
          </w14:textFill>
        </w:rPr>
        <w:t>1、图纸</w:t>
      </w:r>
      <w:r>
        <w:rPr>
          <w:color w:val="000000" w:themeColor="text1"/>
          <w14:textFill>
            <w14:solidFill>
              <w14:schemeClr w14:val="tx1"/>
            </w14:solidFill>
          </w14:textFill>
        </w:rPr>
        <w:t>设计方案</w:t>
      </w:r>
    </w:p>
    <w:p>
      <w:pPr>
        <w:pStyle w:val="19"/>
        <w:ind w:firstLine="21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总承包管理方案</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施工及现场管理实施方案</w:t>
      </w: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ind w:firstLine="560"/>
        <w:rPr>
          <w:rFonts w:eastAsia="宋体"/>
          <w:color w:val="000000" w:themeColor="text1"/>
          <w14:textFill>
            <w14:solidFill>
              <w14:schemeClr w14:val="tx1"/>
            </w14:solidFill>
          </w14:textFill>
        </w:rPr>
      </w:pPr>
      <w:bookmarkStart w:id="178" w:name="_Toc519674476"/>
    </w:p>
    <w:p>
      <w:pPr>
        <w:pStyle w:val="19"/>
        <w:ind w:firstLine="210"/>
        <w:rPr>
          <w:color w:val="000000" w:themeColor="text1"/>
          <w14:textFill>
            <w14:solidFill>
              <w14:schemeClr w14:val="tx1"/>
            </w14:solidFill>
          </w14:textFill>
        </w:rPr>
      </w:pPr>
    </w:p>
    <w:p>
      <w:pPr>
        <w:pStyle w:val="20"/>
        <w:rPr>
          <w:color w:val="000000" w:themeColor="text1"/>
          <w14:textFill>
            <w14:solidFill>
              <w14:schemeClr w14:val="tx1"/>
            </w14:solidFill>
          </w14:textFill>
        </w:rPr>
      </w:pPr>
    </w:p>
    <w:p>
      <w:pPr>
        <w:pStyle w:val="3"/>
        <w:ind w:firstLine="562"/>
        <w:jc w:val="center"/>
        <w:rPr>
          <w:rFonts w:hAnsi="Cambria" w:cs="Times New Roman"/>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发包人要求</w:t>
      </w:r>
      <w:bookmarkEnd w:id="178"/>
    </w:p>
    <w:p>
      <w:pPr>
        <w:spacing w:line="360" w:lineRule="auto"/>
        <w:ind w:firstLine="0" w:firstLineChars="0"/>
        <w:jc w:val="left"/>
        <w:rPr>
          <w:rFonts w:hAnsi="Cambria" w:cs="STZhongsong"/>
          <w:bCs/>
          <w:color w:val="000000" w:themeColor="text1"/>
          <w:sz w:val="22"/>
          <w:szCs w:val="22"/>
          <w14:textFill>
            <w14:solidFill>
              <w14:schemeClr w14:val="tx1"/>
            </w14:solidFill>
          </w14:textFill>
        </w:rPr>
      </w:pPr>
      <w:r>
        <w:rPr>
          <w:rFonts w:hint="eastAsia" w:hAnsi="Cambria" w:cs="STZhongsong"/>
          <w:bCs/>
          <w:color w:val="000000" w:themeColor="text1"/>
          <w:sz w:val="22"/>
          <w:szCs w:val="22"/>
          <w14:textFill>
            <w14:solidFill>
              <w14:schemeClr w14:val="tx1"/>
            </w14:solidFill>
          </w14:textFill>
        </w:rPr>
        <w:t>注意：本章发包人要求</w:t>
      </w:r>
      <w:r>
        <w:rPr>
          <w:rFonts w:hint="eastAsia" w:ascii="宋体" w:hAnsi="宋体" w:eastAsia="宋体" w:cs="宋体"/>
          <w:bCs/>
          <w:color w:val="000000" w:themeColor="text1"/>
          <w:sz w:val="22"/>
          <w:szCs w:val="22"/>
          <w14:textFill>
            <w14:solidFill>
              <w14:schemeClr w14:val="tx1"/>
            </w14:solidFill>
          </w14:textFill>
        </w:rPr>
        <w:t>（含附件）</w:t>
      </w:r>
      <w:r>
        <w:rPr>
          <w:rFonts w:hint="eastAsia" w:hAnsi="Cambria" w:cs="STZhongsong"/>
          <w:bCs/>
          <w:color w:val="000000" w:themeColor="text1"/>
          <w:sz w:val="22"/>
          <w:szCs w:val="22"/>
          <w14:textFill>
            <w14:solidFill>
              <w14:schemeClr w14:val="tx1"/>
            </w14:solidFill>
          </w14:textFill>
        </w:rPr>
        <w:t>中加</w:t>
      </w:r>
      <w:r>
        <w:rPr>
          <w:rFonts w:hint="eastAsia" w:hAnsi="Cambria" w:cs="STZhongsong"/>
          <w:bCs/>
          <w:color w:val="000000" w:themeColor="text1"/>
          <w:sz w:val="22"/>
          <w:szCs w:val="22"/>
          <w:u w:val="single"/>
          <w14:textFill>
            <w14:solidFill>
              <w14:schemeClr w14:val="tx1"/>
            </w14:solidFill>
          </w14:textFill>
        </w:rPr>
        <w:t>“★”及下划线</w:t>
      </w:r>
      <w:r>
        <w:rPr>
          <w:rFonts w:hint="eastAsia" w:hAnsi="Cambria" w:cs="STZhongsong"/>
          <w:bCs/>
          <w:color w:val="000000" w:themeColor="text1"/>
          <w:sz w:val="22"/>
          <w:szCs w:val="22"/>
          <w14:textFill>
            <w14:solidFill>
              <w14:schemeClr w14:val="tx1"/>
            </w14:solidFill>
          </w14:textFill>
        </w:rPr>
        <w:t>的条款，不得偏离，否则</w:t>
      </w:r>
      <w:r>
        <w:rPr>
          <w:rFonts w:hint="eastAsia" w:ascii="宋体" w:hAnsi="宋体" w:eastAsia="宋体" w:cs="宋体"/>
          <w:bCs/>
          <w:color w:val="000000" w:themeColor="text1"/>
          <w:sz w:val="22"/>
          <w:szCs w:val="22"/>
          <w14:textFill>
            <w14:solidFill>
              <w14:schemeClr w14:val="tx1"/>
            </w14:solidFill>
          </w14:textFill>
        </w:rPr>
        <w:t>经评委确认后统一</w:t>
      </w:r>
      <w:r>
        <w:rPr>
          <w:rFonts w:hint="eastAsia" w:hAnsi="Cambria" w:cs="STZhongsong"/>
          <w:bCs/>
          <w:color w:val="000000" w:themeColor="text1"/>
          <w:sz w:val="22"/>
          <w:szCs w:val="22"/>
          <w14:textFill>
            <w14:solidFill>
              <w14:schemeClr w14:val="tx1"/>
            </w14:solidFill>
          </w14:textFill>
        </w:rPr>
        <w:t>否决其投标。</w:t>
      </w:r>
    </w:p>
    <w:p>
      <w:pPr>
        <w:numPr>
          <w:ilvl w:val="0"/>
          <w:numId w:val="12"/>
        </w:numPr>
        <w:spacing w:line="440" w:lineRule="exact"/>
        <w:ind w:firstLine="0" w:firstLineChars="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总述</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（一）项目概况</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1、建筑工程名称：</w:t>
      </w:r>
      <w:r>
        <w:rPr>
          <w:rFonts w:hint="eastAsia" w:hAnsi="Cambria" w:eastAsia="宋体"/>
          <w:bCs/>
          <w:color w:val="000000" w:themeColor="text1"/>
          <w:sz w:val="22"/>
          <w:szCs w:val="22"/>
          <w14:textFill>
            <w14:solidFill>
              <w14:schemeClr w14:val="tx1"/>
            </w14:solidFill>
          </w14:textFill>
        </w:rPr>
        <w:t>平阳县社会养老福利服务中心项目工程总承包</w:t>
      </w:r>
      <w:r>
        <w:rPr>
          <w:rFonts w:hint="eastAsia" w:hAnsi="Cambria"/>
          <w:bCs/>
          <w:color w:val="000000" w:themeColor="text1"/>
          <w:sz w:val="22"/>
          <w:szCs w:val="22"/>
          <w14:textFill>
            <w14:solidFill>
              <w14:schemeClr w14:val="tx1"/>
            </w14:solidFill>
          </w14:textFill>
        </w:rPr>
        <w:t>。</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2、项目地点：</w:t>
      </w:r>
      <w:r>
        <w:rPr>
          <w:rFonts w:hint="eastAsia" w:ascii="宋体" w:hAnsi="宋体" w:eastAsia="宋体" w:cs="宋体"/>
          <w:bCs/>
          <w:color w:val="000000" w:themeColor="text1"/>
          <w:sz w:val="22"/>
          <w:szCs w:val="22"/>
          <w14:textFill>
            <w14:solidFill>
              <w14:schemeClr w14:val="tx1"/>
            </w14:solidFill>
          </w14:textFill>
        </w:rPr>
        <w:t>本项目选址于平阳县昆阳镇坡南片，具体位于昆阳镇坡南片控制性详细规划的上山河与</w:t>
      </w:r>
      <w:r>
        <w:rPr>
          <w:rFonts w:hAnsi="Cambria"/>
          <w:bCs/>
          <w:color w:val="000000" w:themeColor="text1"/>
          <w:sz w:val="22"/>
          <w:szCs w:val="22"/>
          <w14:textFill>
            <w14:solidFill>
              <w14:schemeClr w14:val="tx1"/>
            </w14:solidFill>
          </w14:textFill>
        </w:rPr>
        <w:t>B-6</w:t>
      </w:r>
      <w:r>
        <w:rPr>
          <w:rFonts w:hint="eastAsia" w:ascii="宋体" w:hAnsi="宋体" w:eastAsia="宋体" w:cs="宋体"/>
          <w:bCs/>
          <w:color w:val="000000" w:themeColor="text1"/>
          <w:sz w:val="22"/>
          <w:szCs w:val="22"/>
          <w14:textFill>
            <w14:solidFill>
              <w14:schemeClr w14:val="tx1"/>
            </w14:solidFill>
          </w14:textFill>
        </w:rPr>
        <w:t>路交叉口西北侧地块。</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（二）项目背景介绍</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1、区位：</w:t>
      </w:r>
      <w:r>
        <w:rPr>
          <w:rFonts w:hint="eastAsia" w:ascii="宋体" w:hAnsi="宋体" w:eastAsia="宋体" w:cs="宋体"/>
          <w:bCs/>
          <w:color w:val="000000" w:themeColor="text1"/>
          <w:sz w:val="22"/>
          <w:szCs w:val="22"/>
          <w14:textFill>
            <w14:solidFill>
              <w14:schemeClr w14:val="tx1"/>
            </w14:solidFill>
          </w14:textFill>
        </w:rPr>
        <w:t>本项目选址于平阳县昆阳镇坡南片，具体位于昆阳镇坡南片控制性详细规划的上山河与</w:t>
      </w:r>
      <w:r>
        <w:rPr>
          <w:rFonts w:hAnsi="Cambria"/>
          <w:bCs/>
          <w:color w:val="000000" w:themeColor="text1"/>
          <w:sz w:val="22"/>
          <w:szCs w:val="22"/>
          <w14:textFill>
            <w14:solidFill>
              <w14:schemeClr w14:val="tx1"/>
            </w14:solidFill>
          </w14:textFill>
        </w:rPr>
        <w:t>B-6</w:t>
      </w:r>
      <w:r>
        <w:rPr>
          <w:rFonts w:hint="eastAsia" w:ascii="宋体" w:hAnsi="宋体" w:eastAsia="宋体" w:cs="宋体"/>
          <w:bCs/>
          <w:color w:val="000000" w:themeColor="text1"/>
          <w:sz w:val="22"/>
          <w:szCs w:val="22"/>
          <w14:textFill>
            <w14:solidFill>
              <w14:schemeClr w14:val="tx1"/>
            </w14:solidFill>
          </w14:textFill>
        </w:rPr>
        <w:t>路交叉口西北侧地块。</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2、定位：</w:t>
      </w:r>
      <w:r>
        <w:rPr>
          <w:rFonts w:hint="eastAsia" w:ascii="宋体" w:hAnsi="宋体" w:eastAsia="宋体" w:cs="宋体"/>
          <w:bCs/>
          <w:color w:val="000000" w:themeColor="text1"/>
          <w:sz w:val="22"/>
          <w:szCs w:val="22"/>
          <w:u w:val="single"/>
          <w14:textFill>
            <w14:solidFill>
              <w14:schemeClr w14:val="tx1"/>
            </w14:solidFill>
          </w14:textFill>
        </w:rPr>
        <w:t>养老福利服务设施</w:t>
      </w:r>
      <w:r>
        <w:rPr>
          <w:rFonts w:hint="eastAsia" w:hAnsi="Cambria"/>
          <w:bCs/>
          <w:color w:val="000000" w:themeColor="text1"/>
          <w:sz w:val="22"/>
          <w:szCs w:val="22"/>
          <w14:textFill>
            <w14:solidFill>
              <w14:schemeClr w14:val="tx1"/>
            </w14:solidFill>
          </w14:textFill>
        </w:rPr>
        <w:t>。</w:t>
      </w:r>
    </w:p>
    <w:p>
      <w:pPr>
        <w:numPr>
          <w:ilvl w:val="0"/>
          <w:numId w:val="13"/>
        </w:numPr>
        <w:spacing w:line="440" w:lineRule="exact"/>
        <w:ind w:firstLineChars="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主要指标控制及有关法规和标准要求</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highlight w:val="yellow"/>
          <w:u w:val="single"/>
          <w14:textFill>
            <w14:solidFill>
              <w14:schemeClr w14:val="tx1"/>
            </w14:solidFill>
          </w14:textFill>
        </w:rPr>
        <w:t>1、</w:t>
      </w:r>
      <w:r>
        <w:rPr>
          <w:rFonts w:hint="eastAsia" w:ascii="宋体" w:hAnsi="宋体" w:eastAsia="宋体" w:cs="宋体"/>
          <w:bCs/>
          <w:color w:val="000000" w:themeColor="text1"/>
          <w:sz w:val="22"/>
          <w:szCs w:val="22"/>
          <w:u w:val="single"/>
          <w14:textFill>
            <w14:solidFill>
              <w14:schemeClr w14:val="tx1"/>
            </w14:solidFill>
          </w14:textFill>
        </w:rPr>
        <w:t>《</w:t>
      </w:r>
      <w:r>
        <w:rPr>
          <w:rFonts w:hAnsi="Cambria"/>
          <w:bCs/>
          <w:color w:val="000000" w:themeColor="text1"/>
          <w:sz w:val="22"/>
          <w:szCs w:val="22"/>
          <w:u w:val="single"/>
          <w14:textFill>
            <w14:solidFill>
              <w14:schemeClr w14:val="tx1"/>
            </w14:solidFill>
          </w14:textFill>
        </w:rPr>
        <w:t>“</w:t>
      </w:r>
      <w:r>
        <w:rPr>
          <w:rFonts w:hint="eastAsia" w:ascii="宋体" w:hAnsi="宋体" w:eastAsia="宋体" w:cs="宋体"/>
          <w:bCs/>
          <w:color w:val="000000" w:themeColor="text1"/>
          <w:sz w:val="22"/>
          <w:szCs w:val="22"/>
          <w:u w:val="single"/>
          <w14:textFill>
            <w14:solidFill>
              <w14:schemeClr w14:val="tx1"/>
            </w14:solidFill>
          </w14:textFill>
        </w:rPr>
        <w:t>十三五</w:t>
      </w:r>
      <w:r>
        <w:rPr>
          <w:rFonts w:hAnsi="Cambria"/>
          <w:bCs/>
          <w:color w:val="000000" w:themeColor="text1"/>
          <w:sz w:val="22"/>
          <w:szCs w:val="22"/>
          <w:u w:val="single"/>
          <w14:textFill>
            <w14:solidFill>
              <w14:schemeClr w14:val="tx1"/>
            </w14:solidFill>
          </w14:textFill>
        </w:rPr>
        <w:t>”</w:t>
      </w:r>
      <w:r>
        <w:rPr>
          <w:rFonts w:hint="eastAsia" w:ascii="宋体" w:hAnsi="宋体" w:eastAsia="宋体" w:cs="宋体"/>
          <w:bCs/>
          <w:color w:val="000000" w:themeColor="text1"/>
          <w:sz w:val="22"/>
          <w:szCs w:val="22"/>
          <w:u w:val="single"/>
          <w14:textFill>
            <w14:solidFill>
              <w14:schemeClr w14:val="tx1"/>
            </w14:solidFill>
          </w14:textFill>
        </w:rPr>
        <w:t>国家老龄事业发展和养老体系建设规划》；</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2、</w:t>
      </w:r>
      <w:r>
        <w:rPr>
          <w:rFonts w:hint="eastAsia" w:ascii="宋体" w:hAnsi="宋体" w:eastAsia="宋体" w:cs="宋体"/>
          <w:bCs/>
          <w:color w:val="000000" w:themeColor="text1"/>
          <w:sz w:val="22"/>
          <w:szCs w:val="22"/>
          <w:u w:val="single"/>
          <w14:textFill>
            <w14:solidFill>
              <w14:schemeClr w14:val="tx1"/>
            </w14:solidFill>
          </w14:textFill>
        </w:rPr>
        <w:t>《浙江省老龄事业发展</w:t>
      </w:r>
      <w:r>
        <w:rPr>
          <w:rFonts w:hAnsi="Cambria"/>
          <w:bCs/>
          <w:color w:val="000000" w:themeColor="text1"/>
          <w:sz w:val="22"/>
          <w:szCs w:val="22"/>
          <w:u w:val="single"/>
          <w14:textFill>
            <w14:solidFill>
              <w14:schemeClr w14:val="tx1"/>
            </w14:solidFill>
          </w14:textFill>
        </w:rPr>
        <w:t>“</w:t>
      </w:r>
      <w:r>
        <w:rPr>
          <w:rFonts w:hint="eastAsia" w:ascii="宋体" w:hAnsi="宋体" w:eastAsia="宋体" w:cs="宋体"/>
          <w:bCs/>
          <w:color w:val="000000" w:themeColor="text1"/>
          <w:sz w:val="22"/>
          <w:szCs w:val="22"/>
          <w:u w:val="single"/>
          <w14:textFill>
            <w14:solidFill>
              <w14:schemeClr w14:val="tx1"/>
            </w14:solidFill>
          </w14:textFill>
        </w:rPr>
        <w:t>十三五</w:t>
      </w:r>
      <w:r>
        <w:rPr>
          <w:rFonts w:hAnsi="Cambria"/>
          <w:bCs/>
          <w:color w:val="000000" w:themeColor="text1"/>
          <w:sz w:val="22"/>
          <w:szCs w:val="22"/>
          <w:u w:val="single"/>
          <w14:textFill>
            <w14:solidFill>
              <w14:schemeClr w14:val="tx1"/>
            </w14:solidFill>
          </w14:textFill>
        </w:rPr>
        <w:t>”</w:t>
      </w:r>
      <w:r>
        <w:rPr>
          <w:rFonts w:hint="eastAsia" w:ascii="宋体" w:hAnsi="宋体" w:eastAsia="宋体" w:cs="宋体"/>
          <w:bCs/>
          <w:color w:val="000000" w:themeColor="text1"/>
          <w:sz w:val="22"/>
          <w:szCs w:val="22"/>
          <w:u w:val="single"/>
          <w14:textFill>
            <w14:solidFill>
              <w14:schemeClr w14:val="tx1"/>
            </w14:solidFill>
          </w14:textFill>
        </w:rPr>
        <w:t>规划》；</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3、《建筑设计防火规范》 （GB50016-2014（2018年版））</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4、《无障碍设计规范》 （GB50763-2012）</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5、《汽车库，修车库，停车场设计防火规范》 （GB50067-97）</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6、浙江省工程建设标准《城市建筑工程停车场（库）设置规则和配置标准》（DB33/1021-2013）</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7、</w:t>
      </w:r>
      <w:r>
        <w:rPr>
          <w:rFonts w:hint="eastAsia" w:ascii="宋体" w:hAnsi="宋体" w:eastAsia="宋体" w:cs="宋体"/>
          <w:bCs/>
          <w:color w:val="000000" w:themeColor="text1"/>
          <w:sz w:val="22"/>
          <w:szCs w:val="22"/>
          <w:u w:val="single"/>
          <w14:textFill>
            <w14:solidFill>
              <w14:schemeClr w14:val="tx1"/>
            </w14:solidFill>
          </w14:textFill>
        </w:rPr>
        <w:t>《老年人照料设施建筑设计标准》（</w:t>
      </w:r>
      <w:r>
        <w:rPr>
          <w:rFonts w:hAnsi="Cambria"/>
          <w:bCs/>
          <w:color w:val="000000" w:themeColor="text1"/>
          <w:sz w:val="22"/>
          <w:szCs w:val="22"/>
          <w:u w:val="single"/>
          <w14:textFill>
            <w14:solidFill>
              <w14:schemeClr w14:val="tx1"/>
            </w14:solidFill>
          </w14:textFill>
        </w:rPr>
        <w:t>JGJ450-2018</w:t>
      </w:r>
      <w:r>
        <w:rPr>
          <w:rFonts w:hint="eastAsia" w:ascii="宋体" w:hAnsi="宋体" w:eastAsia="宋体" w:cs="宋体"/>
          <w:bCs/>
          <w:color w:val="000000" w:themeColor="text1"/>
          <w:sz w:val="22"/>
          <w:szCs w:val="22"/>
          <w:u w:val="single"/>
          <w14:textFill>
            <w14:solidFill>
              <w14:schemeClr w14:val="tx1"/>
            </w14:solidFill>
          </w14:textFill>
        </w:rPr>
        <w:t>）；</w:t>
      </w:r>
      <w:r>
        <w:rPr>
          <w:rFonts w:hAnsi="Cambria"/>
          <w:bCs/>
          <w:color w:val="000000" w:themeColor="text1"/>
          <w:sz w:val="22"/>
          <w:szCs w:val="22"/>
          <w:u w:val="single"/>
          <w14:textFill>
            <w14:solidFill>
              <w14:schemeClr w14:val="tx1"/>
            </w14:solidFill>
          </w14:textFill>
        </w:rPr>
        <w:t xml:space="preserve"> </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8、浙江省工程建设标准《建筑工程建筑面积计算和竣工综合测量技术规程》（DB33/T1152-2018）</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9、</w:t>
      </w:r>
      <w:r>
        <w:rPr>
          <w:rFonts w:hint="eastAsia" w:ascii="宋体" w:hAnsi="宋体" w:eastAsia="宋体" w:cs="宋体"/>
          <w:bCs/>
          <w:color w:val="000000" w:themeColor="text1"/>
          <w:sz w:val="22"/>
          <w:szCs w:val="22"/>
          <w:u w:val="single"/>
          <w14:textFill>
            <w14:solidFill>
              <w14:schemeClr w14:val="tx1"/>
            </w14:solidFill>
          </w14:textFill>
        </w:rPr>
        <w:t>《老年人社会福利机构基本规范》（</w:t>
      </w:r>
      <w:r>
        <w:rPr>
          <w:rFonts w:hAnsi="Cambria"/>
          <w:bCs/>
          <w:color w:val="000000" w:themeColor="text1"/>
          <w:sz w:val="22"/>
          <w:szCs w:val="22"/>
          <w:u w:val="single"/>
          <w14:textFill>
            <w14:solidFill>
              <w14:schemeClr w14:val="tx1"/>
            </w14:solidFill>
          </w14:textFill>
        </w:rPr>
        <w:t>MZ008-2001</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10、《城市道路和建筑物无障碍设计规范》（JGJ50-2001、J114-2001）</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11、</w:t>
      </w:r>
      <w:r>
        <w:rPr>
          <w:rFonts w:hint="eastAsia" w:ascii="宋体" w:hAnsi="宋体" w:eastAsia="宋体" w:cs="宋体"/>
          <w:bCs/>
          <w:color w:val="000000" w:themeColor="text1"/>
          <w:sz w:val="22"/>
          <w:szCs w:val="22"/>
          <w:u w:val="single"/>
          <w14:textFill>
            <w14:solidFill>
              <w14:schemeClr w14:val="tx1"/>
            </w14:solidFill>
          </w14:textFill>
        </w:rPr>
        <w:t>《医院洁净手术部建筑技术规范》</w:t>
      </w:r>
      <w:r>
        <w:rPr>
          <w:rFonts w:hAnsi="Cambria"/>
          <w:bCs/>
          <w:color w:val="000000" w:themeColor="text1"/>
          <w:sz w:val="22"/>
          <w:szCs w:val="22"/>
          <w:u w:val="single"/>
          <w14:textFill>
            <w14:solidFill>
              <w14:schemeClr w14:val="tx1"/>
            </w14:solidFill>
          </w14:textFill>
        </w:rPr>
        <w:t>GB 50333-2013</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12、《汽车库，修车库，停车场设计防火规范》 （GB50067-97）</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13、《道路交通标志和标线》GB5768-2009</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14、《道路交通标志和标线设置规范》DB33/T818-2010</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15、浙江省消防技术规范难点问题操作技术指南 2018</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u w:val="single"/>
          <w14:textFill>
            <w14:solidFill>
              <w14:schemeClr w14:val="tx1"/>
            </w14:solidFill>
          </w14:textFill>
        </w:rPr>
        <w:t>16、</w:t>
      </w:r>
      <w:r>
        <w:rPr>
          <w:rFonts w:hint="eastAsia" w:ascii="宋体" w:hAnsi="宋体" w:eastAsia="宋体" w:cs="宋体"/>
          <w:bCs/>
          <w:color w:val="000000" w:themeColor="text1"/>
          <w:sz w:val="22"/>
          <w:szCs w:val="22"/>
          <w:u w:val="single"/>
          <w14:textFill>
            <w14:solidFill>
              <w14:schemeClr w14:val="tx1"/>
            </w14:solidFill>
          </w14:textFill>
        </w:rPr>
        <w:t>《老年养护院建设标准》（建标</w:t>
      </w:r>
      <w:r>
        <w:rPr>
          <w:rFonts w:hAnsi="Cambria"/>
          <w:bCs/>
          <w:color w:val="000000" w:themeColor="text1"/>
          <w:sz w:val="22"/>
          <w:szCs w:val="22"/>
          <w:u w:val="single"/>
          <w14:textFill>
            <w14:solidFill>
              <w14:schemeClr w14:val="tx1"/>
            </w14:solidFill>
          </w14:textFill>
        </w:rPr>
        <w:t>144-2010</w:t>
      </w:r>
      <w:r>
        <w:rPr>
          <w:rFonts w:hint="eastAsia" w:ascii="宋体" w:hAnsi="宋体" w:eastAsia="宋体" w:cs="宋体"/>
          <w:bCs/>
          <w:color w:val="000000" w:themeColor="text1"/>
          <w:sz w:val="22"/>
          <w:szCs w:val="22"/>
          <w:u w:val="single"/>
          <w14:textFill>
            <w14:solidFill>
              <w14:schemeClr w14:val="tx1"/>
            </w14:solidFill>
          </w14:textFill>
        </w:rPr>
        <w:t>）；</w:t>
      </w:r>
    </w:p>
    <w:p>
      <w:pPr>
        <w:spacing w:line="440" w:lineRule="exact"/>
        <w:ind w:left="422" w:firstLine="440"/>
        <w:rPr>
          <w:color w:val="000000" w:themeColor="text1"/>
          <w14:textFill>
            <w14:solidFill>
              <w14:schemeClr w14:val="tx1"/>
            </w14:solidFill>
          </w14:textFill>
        </w:rPr>
      </w:pPr>
      <w:r>
        <w:rPr>
          <w:rFonts w:hint="eastAsia" w:hAnsi="Cambria"/>
          <w:bCs/>
          <w:color w:val="000000" w:themeColor="text1"/>
          <w:sz w:val="22"/>
          <w:szCs w:val="22"/>
          <w:highlight w:val="yellow"/>
          <w:u w:val="single"/>
          <w14:textFill>
            <w14:solidFill>
              <w14:schemeClr w14:val="tx1"/>
            </w14:solidFill>
          </w14:textFill>
        </w:rPr>
        <w:t>17</w:t>
      </w:r>
      <w:r>
        <w:rPr>
          <w:rFonts w:hint="eastAsia" w:ascii="宋体" w:hAnsi="宋体" w:eastAsia="宋体" w:cs="宋体"/>
          <w:bCs/>
          <w:color w:val="000000" w:themeColor="text1"/>
          <w:sz w:val="22"/>
          <w:szCs w:val="22"/>
          <w:highlight w:val="yellow"/>
          <w:u w:val="single"/>
          <w14:textFill>
            <w14:solidFill>
              <w14:schemeClr w14:val="tx1"/>
            </w14:solidFill>
          </w14:textFill>
        </w:rPr>
        <w:t>、国家及省市有关规范、规定（如有最新的，则执行最新规定，余同）</w:t>
      </w:r>
    </w:p>
    <w:p>
      <w:pPr>
        <w:spacing w:line="44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二、工程范围</w:t>
      </w:r>
    </w:p>
    <w:p>
      <w:pPr>
        <w:spacing w:line="40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（一）概述</w:t>
      </w:r>
    </w:p>
    <w:p>
      <w:pPr>
        <w:widowControl/>
        <w:spacing w:line="360" w:lineRule="auto"/>
        <w:ind w:firstLine="440"/>
        <w:contextualSpacing/>
        <w:rPr>
          <w:rFonts w:ascii="宋体" w:hAnsi="宋体" w:eastAsia="宋体" w:cs="宋体"/>
          <w:bCs/>
          <w:color w:val="000000" w:themeColor="text1"/>
          <w:sz w:val="22"/>
          <w:szCs w:val="22"/>
          <w14:textFill>
            <w14:solidFill>
              <w14:schemeClr w14:val="tx1"/>
            </w14:solidFill>
          </w14:textFill>
        </w:rPr>
      </w:pPr>
      <w:r>
        <w:rPr>
          <w:rFonts w:ascii="宋体" w:hAnsi="宋体" w:eastAsia="宋体" w:cs="宋体"/>
          <w:bCs/>
          <w:color w:val="000000" w:themeColor="text1"/>
          <w:sz w:val="22"/>
          <w:szCs w:val="22"/>
          <w14:textFill>
            <w14:solidFill>
              <w14:schemeClr w14:val="tx1"/>
            </w14:solidFill>
          </w14:textFill>
        </w:rPr>
        <w:t>本招标项目选址于平阳县昆阳镇坡南片，具体位于昆阳镇坡南片控制性详细规划的上山河与B-6路交叉口西北侧地块，总用地面积8795.37平方米（约13.2亩）。</w:t>
      </w:r>
    </w:p>
    <w:p>
      <w:pPr>
        <w:widowControl/>
        <w:spacing w:line="360" w:lineRule="auto"/>
        <w:ind w:firstLine="440"/>
        <w:contextualSpacing/>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建设内容</w:t>
      </w:r>
      <w:r>
        <w:rPr>
          <w:rFonts w:ascii="宋体" w:hAnsi="宋体" w:eastAsia="宋体" w:cs="宋体"/>
          <w:bCs/>
          <w:color w:val="000000" w:themeColor="text1"/>
          <w:sz w:val="22"/>
          <w:szCs w:val="22"/>
          <w14:textFill>
            <w14:solidFill>
              <w14:schemeClr w14:val="tx1"/>
            </w14:solidFill>
          </w14:textFill>
        </w:rPr>
        <w:t>主要包含养老中心、儿童福利院、流浪乞讨人员救助管理站等</w:t>
      </w:r>
      <w:r>
        <w:rPr>
          <w:rFonts w:hint="eastAsia" w:ascii="宋体" w:hAnsi="宋体" w:eastAsia="宋体" w:cs="宋体"/>
          <w:bCs/>
          <w:color w:val="000000" w:themeColor="text1"/>
          <w:sz w:val="22"/>
          <w:szCs w:val="22"/>
          <w14:textFill>
            <w14:solidFill>
              <w14:schemeClr w14:val="tx1"/>
            </w14:solidFill>
          </w14:textFill>
        </w:rPr>
        <w:t>，</w:t>
      </w:r>
      <w:r>
        <w:rPr>
          <w:rFonts w:ascii="宋体" w:hAnsi="宋体" w:eastAsia="宋体" w:cs="宋体"/>
          <w:bCs/>
          <w:color w:val="000000" w:themeColor="text1"/>
          <w:sz w:val="22"/>
          <w:szCs w:val="22"/>
          <w14:textFill>
            <w14:solidFill>
              <w14:schemeClr w14:val="tx1"/>
            </w14:solidFill>
          </w14:textFill>
        </w:rPr>
        <w:t>主体建筑设计为地上6层，建筑一层层高4.2米，二层层高3.3米，三层至七层层高3.2米，建筑檐口高度23.9米。</w:t>
      </w:r>
    </w:p>
    <w:p>
      <w:pPr>
        <w:widowControl/>
        <w:spacing w:line="360" w:lineRule="auto"/>
        <w:ind w:firstLine="440"/>
        <w:contextualSpacing/>
        <w:rPr>
          <w:rFonts w:cs="Times New Roman" w:asciiTheme="minorEastAsia" w:hAnsiTheme="minorEastAsia" w:eastAsiaTheme="minorEastAsia"/>
          <w:color w:val="000000" w:themeColor="text1"/>
          <w:sz w:val="22"/>
          <w:szCs w:val="22"/>
          <w14:textFill>
            <w14:solidFill>
              <w14:schemeClr w14:val="tx1"/>
            </w14:solidFill>
          </w14:textFill>
        </w:rPr>
      </w:pPr>
      <w:r>
        <w:rPr>
          <w:rFonts w:ascii="宋体" w:hAnsi="宋体" w:eastAsia="宋体" w:cs="宋体"/>
          <w:bCs/>
          <w:color w:val="000000" w:themeColor="text1"/>
          <w:sz w:val="22"/>
          <w:szCs w:val="22"/>
          <w14:textFill>
            <w14:solidFill>
              <w14:schemeClr w14:val="tx1"/>
            </w14:solidFill>
          </w14:textFill>
        </w:rPr>
        <w:t>建设规模</w:t>
      </w:r>
      <w:r>
        <w:rPr>
          <w:rFonts w:hint="eastAsia" w:ascii="宋体" w:hAnsi="宋体" w:eastAsia="宋体" w:cs="宋体"/>
          <w:bCs/>
          <w:color w:val="000000" w:themeColor="text1"/>
          <w:sz w:val="22"/>
          <w:szCs w:val="22"/>
          <w14:textFill>
            <w14:solidFill>
              <w14:schemeClr w14:val="tx1"/>
            </w14:solidFill>
          </w14:textFill>
        </w:rPr>
        <w:t>为</w:t>
      </w:r>
      <w:r>
        <w:rPr>
          <w:rFonts w:ascii="宋体" w:hAnsi="宋体" w:eastAsia="宋体" w:cs="宋体"/>
          <w:bCs/>
          <w:color w:val="000000" w:themeColor="text1"/>
          <w:sz w:val="22"/>
          <w:szCs w:val="22"/>
          <w14:textFill>
            <w14:solidFill>
              <w14:schemeClr w14:val="tx1"/>
            </w14:solidFill>
          </w14:textFill>
        </w:rPr>
        <w:t>总建筑面积19020平方米，地上建筑面积15683平方米、地下建筑面积3337平方米。总投资</w:t>
      </w:r>
      <w:r>
        <w:rPr>
          <w:rFonts w:hint="eastAsia" w:ascii="宋体" w:hAnsi="宋体" w:eastAsia="宋体" w:cs="宋体"/>
          <w:bCs/>
          <w:color w:val="000000" w:themeColor="text1"/>
          <w:sz w:val="22"/>
          <w:szCs w:val="22"/>
          <w14:textFill>
            <w14:solidFill>
              <w14:schemeClr w14:val="tx1"/>
            </w14:solidFill>
          </w14:textFill>
        </w:rPr>
        <w:t>为</w:t>
      </w:r>
      <w:r>
        <w:rPr>
          <w:rFonts w:ascii="宋体" w:hAnsi="宋体" w:eastAsia="宋体" w:cs="宋体"/>
          <w:bCs/>
          <w:color w:val="000000" w:themeColor="text1"/>
          <w:sz w:val="22"/>
          <w:szCs w:val="22"/>
          <w14:textFill>
            <w14:solidFill>
              <w14:schemeClr w14:val="tx1"/>
            </w14:solidFill>
          </w14:textFill>
        </w:rPr>
        <w:t>9467.36万元</w:t>
      </w:r>
      <w:r>
        <w:rPr>
          <w:rFonts w:hint="eastAsia" w:ascii="宋体" w:hAnsi="宋体" w:eastAsia="宋体" w:cs="宋体"/>
          <w:bCs/>
          <w:color w:val="000000" w:themeColor="text1"/>
          <w:sz w:val="22"/>
          <w:szCs w:val="22"/>
          <w14:textFill>
            <w14:solidFill>
              <w14:schemeClr w14:val="tx1"/>
            </w14:solidFill>
          </w14:textFill>
        </w:rPr>
        <w:t>。</w:t>
      </w:r>
    </w:p>
    <w:p>
      <w:pPr>
        <w:spacing w:line="44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（二）包括的工作</w:t>
      </w:r>
    </w:p>
    <w:p>
      <w:pPr>
        <w:spacing w:line="440" w:lineRule="exact"/>
        <w:ind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xml:space="preserve">1. </w:t>
      </w:r>
      <w:r>
        <w:rPr>
          <w:rFonts w:cs="Times New Roman" w:asciiTheme="minorEastAsia" w:hAnsiTheme="minorEastAsia" w:eastAsiaTheme="minorEastAsia"/>
          <w:color w:val="000000" w:themeColor="text1"/>
          <w:kern w:val="0"/>
          <w:sz w:val="22"/>
          <w:szCs w:val="22"/>
          <w14:textFill>
            <w14:solidFill>
              <w14:schemeClr w14:val="tx1"/>
            </w14:solidFill>
          </w14:textFill>
        </w:rPr>
        <w:t>本项目为</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平阳县社会养老福利服务中心项目</w:t>
      </w:r>
      <w:r>
        <w:rPr>
          <w:rFonts w:cs="Times New Roman" w:asciiTheme="minorEastAsia" w:hAnsiTheme="minorEastAsia" w:eastAsiaTheme="minorEastAsia"/>
          <w:color w:val="000000" w:themeColor="text1"/>
          <w:kern w:val="0"/>
          <w:sz w:val="22"/>
          <w:szCs w:val="22"/>
          <w14:textFill>
            <w14:solidFill>
              <w14:schemeClr w14:val="tx1"/>
            </w14:solidFill>
          </w14:textFill>
        </w:rPr>
        <w:t>。工作内容包括但不限于工程规划范围内的施工图设计和专项设计等；本工程所有工程材料、设备的采购</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（不含变配电设备、分体式空调设备和生活家具）</w:t>
      </w:r>
      <w:r>
        <w:rPr>
          <w:rFonts w:cs="Times New Roman" w:asciiTheme="minorEastAsia" w:hAnsiTheme="minorEastAsia" w:eastAsiaTheme="minorEastAsia"/>
          <w:color w:val="000000" w:themeColor="text1"/>
          <w:kern w:val="0"/>
          <w:sz w:val="22"/>
          <w:szCs w:val="22"/>
          <w14:textFill>
            <w14:solidFill>
              <w14:schemeClr w14:val="tx1"/>
            </w14:solidFill>
          </w14:textFill>
        </w:rPr>
        <w:t>；工程施工、验收、移交、备案</w:t>
      </w:r>
      <w:r>
        <w:rPr>
          <w:rFonts w:hint="eastAsia"/>
          <w:color w:val="000000" w:themeColor="text1"/>
          <w:kern w:val="0"/>
          <w:sz w:val="22"/>
          <w:szCs w:val="22"/>
          <w14:textFill>
            <w14:solidFill>
              <w14:schemeClr w14:val="tx1"/>
            </w14:solidFill>
          </w14:textFill>
        </w:rPr>
        <w:t>（指验收资料归档备案、项目试运行结束正式移交前向有关部门的备案等，余同）</w:t>
      </w:r>
      <w:r>
        <w:rPr>
          <w:rFonts w:cs="Times New Roman" w:asciiTheme="minorEastAsia" w:hAnsiTheme="minorEastAsia" w:eastAsiaTheme="minorEastAsia"/>
          <w:color w:val="000000" w:themeColor="text1"/>
          <w:kern w:val="0"/>
          <w:sz w:val="22"/>
          <w:szCs w:val="22"/>
          <w14:textFill>
            <w14:solidFill>
              <w14:schemeClr w14:val="tx1"/>
            </w14:solidFill>
          </w14:textFill>
        </w:rPr>
        <w:t>和保修服务等。专项设计包括基坑支护专项设计、建筑智能化设计、消防工程设计、暖通工程设计、景观绿化设计及室外配套等涉及本项目所有的专项设计</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（含</w:t>
      </w:r>
      <w:r>
        <w:rPr>
          <w:rFonts w:cs="Times New Roman" w:asciiTheme="minorEastAsia" w:hAnsiTheme="minorEastAsia" w:eastAsiaTheme="minorEastAsia"/>
          <w:color w:val="000000" w:themeColor="text1"/>
          <w:kern w:val="0"/>
          <w:sz w:val="22"/>
          <w:szCs w:val="22"/>
          <w14:textFill>
            <w14:solidFill>
              <w14:schemeClr w14:val="tx1"/>
            </w14:solidFill>
          </w14:textFill>
        </w:rPr>
        <w:t>机电设备、通讯网络</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充电桩</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、电梯、二次装修，不含</w:t>
      </w:r>
      <w:r>
        <w:rPr>
          <w:rFonts w:cs="Times New Roman" w:asciiTheme="minorEastAsia" w:hAnsiTheme="minorEastAsia" w:eastAsiaTheme="minorEastAsia"/>
          <w:color w:val="000000" w:themeColor="text1"/>
          <w:kern w:val="0"/>
          <w:sz w:val="22"/>
          <w:szCs w:val="22"/>
          <w14:textFill>
            <w14:solidFill>
              <w14:schemeClr w14:val="tx1"/>
            </w14:solidFill>
          </w14:textFill>
        </w:rPr>
        <w:t>变配电设</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计；余同）</w:t>
      </w:r>
      <w:r>
        <w:rPr>
          <w:rFonts w:cs="Times New Roman" w:asciiTheme="minorEastAsia" w:hAnsiTheme="minorEastAsia" w:eastAsiaTheme="minorEastAsia"/>
          <w:color w:val="000000" w:themeColor="text1"/>
          <w:kern w:val="0"/>
          <w:sz w:val="22"/>
          <w:szCs w:val="22"/>
          <w14:textFill>
            <w14:solidFill>
              <w14:schemeClr w14:val="tx1"/>
            </w14:solidFill>
          </w14:textFill>
        </w:rPr>
        <w:t>以及相关的深化设计</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（其中项目</w:t>
      </w:r>
      <w:r>
        <w:rPr>
          <w:rFonts w:hint="eastAsia" w:ascii="宋体" w:hAnsi="宋体" w:eastAsia="宋体" w:cs="宋体"/>
          <w:color w:val="000000" w:themeColor="text1"/>
          <w:sz w:val="21"/>
          <w:szCs w:val="21"/>
          <w14:textFill>
            <w14:solidFill>
              <w14:schemeClr w14:val="tx1"/>
            </w14:solidFill>
          </w14:textFill>
        </w:rPr>
        <w:t>二次装修及室外工程初步设计成果将以补充文件形式另行发布</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w:t>
      </w:r>
      <w:r>
        <w:rPr>
          <w:rFonts w:cs="Times New Roman" w:asciiTheme="minorEastAsia" w:hAnsiTheme="minorEastAsia" w:eastAsiaTheme="minorEastAsia"/>
          <w:color w:val="000000" w:themeColor="text1"/>
          <w:kern w:val="0"/>
          <w:sz w:val="22"/>
          <w:szCs w:val="22"/>
          <w14:textFill>
            <w14:solidFill>
              <w14:schemeClr w14:val="tx1"/>
            </w14:solidFill>
          </w14:textFill>
        </w:rPr>
        <w:t>。本工程施工包含工程设计范围内建筑</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（含</w:t>
      </w:r>
      <w:r>
        <w:rPr>
          <w:rFonts w:cs="Times New Roman" w:asciiTheme="minorEastAsia" w:hAnsiTheme="minorEastAsia" w:eastAsiaTheme="minorEastAsia"/>
          <w:color w:val="000000" w:themeColor="text1"/>
          <w:kern w:val="0"/>
          <w:sz w:val="22"/>
          <w:szCs w:val="22"/>
          <w14:textFill>
            <w14:solidFill>
              <w14:schemeClr w14:val="tx1"/>
            </w14:solidFill>
          </w14:textFill>
        </w:rPr>
        <w:t>基坑</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围护，余同）</w:t>
      </w:r>
      <w:r>
        <w:rPr>
          <w:rFonts w:cs="Times New Roman" w:asciiTheme="minorEastAsia" w:hAnsiTheme="minorEastAsia" w:eastAsiaTheme="minorEastAsia"/>
          <w:color w:val="000000" w:themeColor="text1"/>
          <w:kern w:val="0"/>
          <w:sz w:val="22"/>
          <w:szCs w:val="22"/>
          <w14:textFill>
            <w14:solidFill>
              <w14:schemeClr w14:val="tx1"/>
            </w14:solidFill>
          </w14:textFill>
        </w:rPr>
        <w:t>、结构、电气、给排水、建筑智能化、消防、景观绿化、室外附属施工及机电抗震等涉及的</w:t>
      </w:r>
      <w:r>
        <w:rPr>
          <w:rFonts w:cs="Times New Roman" w:asciiTheme="minorEastAsia" w:hAnsiTheme="minorEastAsia" w:eastAsiaTheme="minorEastAsia"/>
          <w:color w:val="000000" w:themeColor="text1"/>
          <w:kern w:val="0"/>
          <w:sz w:val="22"/>
          <w:szCs w:val="22"/>
          <w14:textFill>
            <w14:solidFill>
              <w14:schemeClr w14:val="tx1"/>
            </w14:solidFill>
          </w14:textFill>
        </w:rPr>
        <w:t>所有主体工程</w:t>
      </w:r>
      <w:r>
        <w:rPr>
          <w:rFonts w:hint="eastAsia" w:cs="Times New Roman" w:asciiTheme="minorEastAsia" w:hAnsiTheme="minorEastAsia" w:eastAsiaTheme="minorEastAsia"/>
          <w:color w:val="000000" w:themeColor="text1"/>
          <w:kern w:val="0"/>
          <w:sz w:val="22"/>
          <w:szCs w:val="22"/>
          <w14:textFill>
            <w14:solidFill>
              <w14:schemeClr w14:val="tx1"/>
            </w14:solidFill>
          </w14:textFill>
        </w:rPr>
        <w:t>（不含变配电工程施工）</w:t>
      </w:r>
      <w:r>
        <w:rPr>
          <w:rFonts w:cs="Times New Roman" w:asciiTheme="minorEastAsia" w:hAnsiTheme="minorEastAsia" w:eastAsiaTheme="minorEastAsia"/>
          <w:color w:val="000000" w:themeColor="text1"/>
          <w:kern w:val="0"/>
          <w:sz w:val="22"/>
          <w:szCs w:val="22"/>
          <w14:textFill>
            <w14:solidFill>
              <w14:schemeClr w14:val="tx1"/>
            </w14:solidFill>
          </w14:textFill>
        </w:rPr>
        <w:t>。设备采购包括电梯、充电桩等涉及本项目所有的采购</w:t>
      </w:r>
      <w:r>
        <w:rPr>
          <w:rFonts w:hint="eastAsia" w:cs="Times New Roman" w:asciiTheme="minorEastAsia" w:hAnsiTheme="minorEastAsia" w:eastAsiaTheme="minorEastAsia"/>
          <w:color w:val="000000" w:themeColor="text1"/>
          <w:kern w:val="0"/>
          <w:sz w:val="22"/>
          <w:szCs w:val="22"/>
          <w:highlight w:val="yellow"/>
          <w14:textFill>
            <w14:solidFill>
              <w14:schemeClr w14:val="tx1"/>
            </w14:solidFill>
          </w14:textFill>
        </w:rPr>
        <w:t>（不含变配电设备、分体式空调设备和生活家具）</w:t>
      </w:r>
      <w:r>
        <w:rPr>
          <w:rFonts w:cs="Times New Roman" w:asciiTheme="minorEastAsia" w:hAnsiTheme="minorEastAsia" w:eastAsiaTheme="minorEastAsia"/>
          <w:color w:val="000000" w:themeColor="text1"/>
          <w:kern w:val="0"/>
          <w:sz w:val="22"/>
          <w:szCs w:val="22"/>
          <w14:textFill>
            <w14:solidFill>
              <w14:schemeClr w14:val="tx1"/>
            </w14:solidFill>
          </w14:textFill>
        </w:rPr>
        <w:t>。</w:t>
      </w:r>
    </w:p>
    <w:p>
      <w:pPr>
        <w:spacing w:line="440" w:lineRule="exact"/>
        <w:ind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 临时工程的设计与施工范围：由投标人自行考虑。</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3.竣工验收工作范围：所有中标人完成的工作，包括完成各类文件及管理部门要求的评估及评价。</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 技术服务工作范围：</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（1）配合建设单位做好工程报建备案工作、图纸审查、施工许可证申领等工程前期工作；</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（2）配合发包人做好部分建筑材料、设备的确定工作；</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（3）参加由建设单位主持的需设计单位参加的相关工程会议；</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（4）设计、采购和施工范围内应由承包人完成的其他技术服务工作；</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（5）合同规定的应由承包人完成的其他技术服务工作及办理证件或批件等工作。</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（6）其它所有纳入招标范围的工作。</w:t>
      </w:r>
    </w:p>
    <w:p>
      <w:pPr>
        <w:spacing w:line="440" w:lineRule="exact"/>
        <w:ind w:firstLine="440"/>
        <w:rPr>
          <w:rFonts w:hAnsi="Cambria"/>
          <w:bCs/>
          <w:color w:val="000000" w:themeColor="text1"/>
          <w:sz w:val="24"/>
          <w:szCs w:val="24"/>
          <w14:textFill>
            <w14:solidFill>
              <w14:schemeClr w14:val="tx1"/>
            </w14:solidFill>
          </w14:textFill>
        </w:rPr>
      </w:pPr>
      <w:r>
        <w:rPr>
          <w:rFonts w:hint="eastAsia" w:hAnsi="Cambria"/>
          <w:bCs/>
          <w:color w:val="000000" w:themeColor="text1"/>
          <w:sz w:val="22"/>
          <w:szCs w:val="22"/>
          <w14:textFill>
            <w14:solidFill>
              <w14:schemeClr w14:val="tx1"/>
            </w14:solidFill>
          </w14:textFill>
        </w:rPr>
        <w:t>5.培训工作范围：交付的所</w:t>
      </w:r>
      <w:r>
        <w:rPr>
          <w:rFonts w:hint="eastAsia" w:hAnsi="Cambria"/>
          <w:bCs/>
          <w:color w:val="000000" w:themeColor="text1"/>
          <w:sz w:val="24"/>
          <w:szCs w:val="24"/>
          <w14:textFill>
            <w14:solidFill>
              <w14:schemeClr w14:val="tx1"/>
            </w14:solidFill>
          </w14:textFill>
        </w:rPr>
        <w:t>有设备（如电梯、充电桩、电气控制设备、智能化设备等）的运行使用与操作要求。</w:t>
      </w:r>
    </w:p>
    <w:p>
      <w:pPr>
        <w:spacing w:line="440" w:lineRule="exact"/>
        <w:ind w:firstLine="480"/>
        <w:rPr>
          <w:rFonts w:hAnsi="Cambria"/>
          <w:bCs/>
          <w:color w:val="000000" w:themeColor="text1"/>
          <w:sz w:val="24"/>
          <w:szCs w:val="24"/>
          <w14:textFill>
            <w14:solidFill>
              <w14:schemeClr w14:val="tx1"/>
            </w14:solidFill>
          </w14:textFill>
        </w:rPr>
      </w:pPr>
      <w:r>
        <w:rPr>
          <w:rFonts w:hint="eastAsia" w:hAnsi="Cambria"/>
          <w:bCs/>
          <w:color w:val="000000" w:themeColor="text1"/>
          <w:sz w:val="24"/>
          <w:szCs w:val="24"/>
          <w14:textFill>
            <w14:solidFill>
              <w14:schemeClr w14:val="tx1"/>
            </w14:solidFill>
          </w14:textFill>
        </w:rPr>
        <w:t>6. 保修工作范围：所有纳入招标范围的施工工作（含设备）。</w:t>
      </w:r>
    </w:p>
    <w:p>
      <w:pPr>
        <w:spacing w:line="440" w:lineRule="exact"/>
        <w:ind w:firstLine="480"/>
        <w:rPr>
          <w:rFonts w:hAnsi="Cambria"/>
          <w:bCs/>
          <w:color w:val="000000" w:themeColor="text1"/>
          <w:sz w:val="24"/>
          <w:szCs w:val="24"/>
          <w14:textFill>
            <w14:solidFill>
              <w14:schemeClr w14:val="tx1"/>
            </w14:solidFill>
          </w14:textFill>
        </w:rPr>
      </w:pPr>
      <w:r>
        <w:rPr>
          <w:rFonts w:hint="eastAsia" w:hAnsi="Cambria"/>
          <w:bCs/>
          <w:color w:val="000000" w:themeColor="text1"/>
          <w:sz w:val="24"/>
          <w:szCs w:val="24"/>
          <w14:textFill>
            <w14:solidFill>
              <w14:schemeClr w14:val="tx1"/>
            </w14:solidFill>
          </w14:textFill>
        </w:rPr>
        <w:t>（三）工作界区</w:t>
      </w:r>
    </w:p>
    <w:p>
      <w:pPr>
        <w:spacing w:line="440" w:lineRule="exact"/>
        <w:ind w:firstLine="660" w:firstLineChars="30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平阳县社会养老福利服务中心项目</w:t>
      </w:r>
      <w:r>
        <w:rPr>
          <w:rFonts w:hint="eastAsia" w:hAnsi="Cambria"/>
          <w:bCs/>
          <w:color w:val="000000" w:themeColor="text1"/>
          <w:sz w:val="22"/>
          <w:szCs w:val="22"/>
          <w14:textFill>
            <w14:solidFill>
              <w14:schemeClr w14:val="tx1"/>
            </w14:solidFill>
          </w14:textFill>
        </w:rPr>
        <w:t>工程用地红线范围。</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（四）发包人提供的现场条件</w:t>
      </w:r>
    </w:p>
    <w:p>
      <w:pPr>
        <w:spacing w:line="440" w:lineRule="exact"/>
        <w:ind w:firstLine="660" w:firstLineChars="3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1.施工用电：施工进场前施工用电报装临时变压器及线路，由承包人自行解决（包含费用）。</w:t>
      </w:r>
    </w:p>
    <w:p>
      <w:pPr>
        <w:spacing w:line="440" w:lineRule="exact"/>
        <w:ind w:firstLine="660" w:firstLineChars="3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 施工用水：施工用水报装由承包人自行解决（包含费用）。</w:t>
      </w:r>
    </w:p>
    <w:p>
      <w:pPr>
        <w:spacing w:line="440" w:lineRule="exact"/>
        <w:ind w:firstLine="660" w:firstLineChars="3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3.施工排水：施工排水由承包人自行解决（包含费用），尤其是大门口需要设置清洗池等。</w:t>
      </w:r>
    </w:p>
    <w:p>
      <w:pPr>
        <w:spacing w:line="440" w:lineRule="exact"/>
        <w:ind w:firstLine="660" w:firstLineChars="3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说明：本项目三通一平及原地坪现状标高、周边市政道路标高、现状围墙，由投标人现场踏勘后在包含在投标报价中，发包人今后不再另行支付；土方及地下障碍物处理等费用包含在投标报价中，发包人今后不再另行支付；施工完成后，施工用电报装临时变压器及线路等设备归发包人所有。</w:t>
      </w:r>
    </w:p>
    <w:p>
      <w:pPr>
        <w:spacing w:line="400" w:lineRule="exact"/>
        <w:ind w:firstLine="440"/>
        <w:rPr>
          <w:rFonts w:hAnsi="Cambria" w:eastAsia="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（五）发包人提供的技术文件</w:t>
      </w:r>
    </w:p>
    <w:p>
      <w:pPr>
        <w:spacing w:line="440" w:lineRule="exact"/>
        <w:ind w:firstLine="220" w:firstLineChars="10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14:textFill>
            <w14:solidFill>
              <w14:schemeClr w14:val="tx1"/>
            </w14:solidFill>
          </w14:textFill>
        </w:rPr>
        <w:t>除另有批准外，承包人的工作需要遵照发包人的下列技术文件，如出现不一致的情况，</w:t>
      </w:r>
      <w:r>
        <w:rPr>
          <w:rFonts w:hint="eastAsia" w:hAnsi="Cambria"/>
          <w:bCs/>
          <w:color w:val="000000" w:themeColor="text1"/>
          <w:sz w:val="22"/>
          <w:szCs w:val="22"/>
          <w:u w:val="single"/>
          <w14:textFill>
            <w14:solidFill>
              <w14:schemeClr w14:val="tx1"/>
            </w14:solidFill>
          </w14:textFill>
        </w:rPr>
        <w:t>优先顺序为:</w:t>
      </w:r>
    </w:p>
    <w:p>
      <w:pPr>
        <w:spacing w:line="440" w:lineRule="exact"/>
        <w:ind w:firstLine="442"/>
        <w:rPr>
          <w:rFonts w:hAnsi="Cambria"/>
          <w:b/>
          <w:color w:val="000000" w:themeColor="text1"/>
          <w:sz w:val="22"/>
          <w:szCs w:val="22"/>
          <w:u w:val="single"/>
          <w14:textFill>
            <w14:solidFill>
              <w14:schemeClr w14:val="tx1"/>
            </w14:solidFill>
          </w14:textFill>
        </w:rPr>
      </w:pPr>
      <w:r>
        <w:rPr>
          <w:rFonts w:hint="eastAsia" w:hAnsi="Cambria"/>
          <w:b/>
          <w:color w:val="000000" w:themeColor="text1"/>
          <w:sz w:val="22"/>
          <w:szCs w:val="22"/>
          <w:u w:val="single"/>
          <w14:textFill>
            <w14:solidFill>
              <w14:schemeClr w14:val="tx1"/>
            </w14:solidFill>
          </w14:textFill>
        </w:rPr>
        <w:t>1. 《发包人要求》；</w:t>
      </w:r>
    </w:p>
    <w:p>
      <w:pPr>
        <w:spacing w:line="440" w:lineRule="exact"/>
        <w:ind w:firstLine="442"/>
        <w:rPr>
          <w:rFonts w:hAnsi="Cambria"/>
          <w:b/>
          <w:color w:val="000000" w:themeColor="text1"/>
          <w:sz w:val="22"/>
          <w:szCs w:val="22"/>
          <w:u w:val="single"/>
          <w14:textFill>
            <w14:solidFill>
              <w14:schemeClr w14:val="tx1"/>
            </w14:solidFill>
          </w14:textFill>
        </w:rPr>
      </w:pPr>
      <w:r>
        <w:rPr>
          <w:rFonts w:hint="eastAsia" w:hAnsi="Cambria" w:eastAsia="宋体"/>
          <w:b/>
          <w:color w:val="000000" w:themeColor="text1"/>
          <w:sz w:val="22"/>
          <w:szCs w:val="22"/>
          <w:u w:val="single"/>
          <w14:textFill>
            <w14:solidFill>
              <w14:schemeClr w14:val="tx1"/>
            </w14:solidFill>
          </w14:textFill>
        </w:rPr>
        <w:t>2.</w:t>
      </w:r>
      <w:r>
        <w:rPr>
          <w:rFonts w:hint="eastAsia" w:hAnsi="Cambria"/>
          <w:b/>
          <w:color w:val="000000" w:themeColor="text1"/>
          <w:sz w:val="22"/>
          <w:szCs w:val="22"/>
          <w:u w:val="single"/>
          <w14:textFill>
            <w14:solidFill>
              <w14:schemeClr w14:val="tx1"/>
            </w14:solidFill>
          </w14:textFill>
        </w:rPr>
        <w:t>立项文件（见招标文件附件）；</w:t>
      </w:r>
    </w:p>
    <w:p>
      <w:pPr>
        <w:spacing w:line="440" w:lineRule="exact"/>
        <w:ind w:firstLine="442"/>
        <w:rPr>
          <w:rFonts w:hAnsi="Cambria" w:eastAsia="宋体"/>
          <w:b/>
          <w:color w:val="000000" w:themeColor="text1"/>
          <w:sz w:val="22"/>
          <w:szCs w:val="22"/>
          <w:u w:val="single"/>
          <w14:textFill>
            <w14:solidFill>
              <w14:schemeClr w14:val="tx1"/>
            </w14:solidFill>
          </w14:textFill>
        </w:rPr>
      </w:pPr>
      <w:r>
        <w:rPr>
          <w:rFonts w:hint="eastAsia" w:hAnsi="Cambria" w:eastAsia="宋体"/>
          <w:b/>
          <w:color w:val="000000" w:themeColor="text1"/>
          <w:sz w:val="22"/>
          <w:szCs w:val="22"/>
          <w:u w:val="single"/>
          <w14:textFill>
            <w14:solidFill>
              <w14:schemeClr w14:val="tx1"/>
            </w14:solidFill>
          </w14:textFill>
        </w:rPr>
        <w:t>3.</w:t>
      </w:r>
      <w:r>
        <w:rPr>
          <w:rFonts w:hint="eastAsia" w:hAnsi="Cambria"/>
          <w:b/>
          <w:color w:val="000000" w:themeColor="text1"/>
          <w:sz w:val="22"/>
          <w:szCs w:val="22"/>
          <w:u w:val="single"/>
          <w14:textFill>
            <w14:solidFill>
              <w14:schemeClr w14:val="tx1"/>
            </w14:solidFill>
          </w14:textFill>
        </w:rPr>
        <w:t>平阳县规划局提供的规划条件（见招标文件附件）</w:t>
      </w:r>
      <w:r>
        <w:rPr>
          <w:rFonts w:hint="eastAsia" w:hAnsi="Cambria" w:eastAsia="宋体"/>
          <w:b/>
          <w:color w:val="000000" w:themeColor="text1"/>
          <w:sz w:val="22"/>
          <w:szCs w:val="22"/>
          <w:u w:val="single"/>
          <w14:textFill>
            <w14:solidFill>
              <w14:schemeClr w14:val="tx1"/>
            </w14:solidFill>
          </w14:textFill>
        </w:rPr>
        <w:t>；</w:t>
      </w:r>
    </w:p>
    <w:p>
      <w:pPr>
        <w:spacing w:line="440" w:lineRule="exact"/>
        <w:ind w:firstLine="442"/>
        <w:rPr>
          <w:color w:val="000000" w:themeColor="text1"/>
          <w14:textFill>
            <w14:solidFill>
              <w14:schemeClr w14:val="tx1"/>
            </w14:solidFill>
          </w14:textFill>
        </w:rPr>
      </w:pPr>
      <w:r>
        <w:rPr>
          <w:rFonts w:hint="eastAsia" w:hAnsi="Cambria"/>
          <w:b/>
          <w:color w:val="000000" w:themeColor="text1"/>
          <w:sz w:val="22"/>
          <w:szCs w:val="22"/>
          <w:u w:val="single"/>
          <w14:textFill>
            <w14:solidFill>
              <w14:schemeClr w14:val="tx1"/>
            </w14:solidFill>
          </w14:textFill>
        </w:rPr>
        <w:t>4.</w:t>
      </w:r>
      <w:r>
        <w:rPr>
          <w:rFonts w:hint="eastAsia" w:ascii="宋体" w:hAnsi="宋体" w:eastAsia="宋体" w:cs="宋体"/>
          <w:b/>
          <w:color w:val="000000" w:themeColor="text1"/>
          <w:sz w:val="22"/>
          <w:szCs w:val="22"/>
          <w:u w:val="single"/>
          <w14:textFill>
            <w14:solidFill>
              <w14:schemeClr w14:val="tx1"/>
            </w14:solidFill>
          </w14:textFill>
        </w:rPr>
        <w:t>红线图（见招标文件附件）。</w:t>
      </w:r>
    </w:p>
    <w:p>
      <w:pPr>
        <w:spacing w:line="44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三、设计及相关要求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（一）总的设计内容</w:t>
      </w:r>
    </w:p>
    <w:p>
      <w:pPr>
        <w:spacing w:line="400" w:lineRule="exact"/>
        <w:ind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w:t>
      </w:r>
      <w:r>
        <w:rPr>
          <w:rFonts w:hAnsi="Cambria"/>
          <w:bCs/>
          <w:color w:val="000000" w:themeColor="text1"/>
          <w:sz w:val="22"/>
          <w:szCs w:val="22"/>
          <w14:textFill>
            <w14:solidFill>
              <w14:schemeClr w14:val="tx1"/>
            </w14:solidFill>
          </w14:textFill>
        </w:rPr>
        <w:t>本工程设计包括建设用地规划许可证范围内的</w:t>
      </w:r>
      <w:r>
        <w:rPr>
          <w:rFonts w:hint="eastAsia" w:hAnsi="Cambria"/>
          <w:bCs/>
          <w:color w:val="000000" w:themeColor="text1"/>
          <w:sz w:val="22"/>
          <w:szCs w:val="22"/>
          <w14:textFill>
            <w14:solidFill>
              <w14:schemeClr w14:val="tx1"/>
            </w14:solidFill>
          </w14:textFill>
        </w:rPr>
        <w:t>本工程施工包含工程设计范围内建筑、</w:t>
      </w:r>
      <w:r>
        <w:rPr>
          <w:rFonts w:hint="eastAsia" w:hAnsi="Cambria"/>
          <w:bCs/>
          <w:color w:val="000000" w:themeColor="text1"/>
          <w:sz w:val="22"/>
          <w:szCs w:val="22"/>
          <w14:textFill>
            <w14:solidFill>
              <w14:schemeClr w14:val="tx1"/>
            </w14:solidFill>
          </w14:textFill>
        </w:rPr>
        <w:t>结构、电气、给排水、建筑智能化、消防、景观绿化、室外附属施工及机电抗震等涉及的所有主体工程</w:t>
      </w:r>
      <w:r>
        <w:rPr>
          <w:rFonts w:hint="eastAsia" w:ascii="宋体" w:hAnsi="宋体" w:eastAsia="宋体" w:cs="宋体"/>
          <w:bCs/>
          <w:color w:val="000000" w:themeColor="text1"/>
          <w:sz w:val="22"/>
          <w:szCs w:val="22"/>
          <w14:textFill>
            <w14:solidFill>
              <w14:schemeClr w14:val="tx1"/>
            </w14:solidFill>
          </w14:textFill>
        </w:rPr>
        <w:t>（不含变配电工程施工）。</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以及所包含的相关专业的设计内容（总平面布置、竖向设计、</w:t>
      </w:r>
      <w:r>
        <w:rPr>
          <w:rFonts w:hint="eastAsia" w:hAnsi="Cambria"/>
          <w:bCs/>
          <w:color w:val="000000" w:themeColor="text1"/>
          <w:sz w:val="22"/>
          <w:szCs w:val="22"/>
          <w14:textFill>
            <w14:solidFill>
              <w14:schemeClr w14:val="tx1"/>
            </w14:solidFill>
          </w14:textFill>
        </w:rPr>
        <w:t>建筑智能化设计、消防工程设计、暖通工程设计、景观绿化设计及室外配套等涉及本项目所有的专项设计以及相关的深化设计</w:t>
      </w: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2、总平设计要求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xml:space="preserve">2.1 </w:t>
      </w:r>
      <w:r>
        <w:rPr>
          <w:rFonts w:hint="eastAsia" w:ascii="宋体" w:hAnsi="宋体" w:eastAsia="宋体" w:cs="宋体"/>
          <w:bCs/>
          <w:color w:val="000000" w:themeColor="text1"/>
          <w:sz w:val="22"/>
          <w:szCs w:val="22"/>
          <w14:textFill>
            <w14:solidFill>
              <w14:schemeClr w14:val="tx1"/>
            </w14:solidFill>
          </w14:textFill>
        </w:rPr>
        <w:t>总体布局</w:t>
      </w:r>
    </w:p>
    <w:p>
      <w:pPr>
        <w:spacing w:line="400" w:lineRule="exact"/>
        <w:ind w:firstLine="440"/>
        <w:rPr>
          <w:rFonts w:ascii="宋体" w:hAnsi="宋体" w:eastAsia="宋体" w:cs="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项目用地地块为L形，由东南至西北依次布置救助站和儿童福利院、养老服务中心、配套服务用房、养老服务中心等四幢单体建筑。救助站布置主入口处主要是最大限度降低流浪乞讨人员对养老服务人员、儿童福利院等的影响，配套服务中心布置在地块中心便于其对各功能用房的服务距离最短、服务响应最为及时。建筑物接近南北朝向布置，各功能用房之间设置风雨连廊。配套用房东部区域设置中心广场，配以雕像、小品、绿化等景观，集中展示平阳地域特色文化。</w:t>
      </w:r>
    </w:p>
    <w:p>
      <w:pPr>
        <w:spacing w:line="400" w:lineRule="exact"/>
        <w:ind w:firstLine="440"/>
        <w:rPr>
          <w:rFonts w:eastAsia="黑体"/>
          <w:color w:val="000000" w:themeColor="text1"/>
          <w14:textFill>
            <w14:solidFill>
              <w14:schemeClr w14:val="tx1"/>
            </w14:solidFill>
          </w14:textFill>
        </w:rPr>
      </w:pPr>
      <w:r>
        <w:rPr>
          <w:rFonts w:hint="eastAsia" w:hAnsi="Cambria"/>
          <w:bCs/>
          <w:color w:val="000000" w:themeColor="text1"/>
          <w:sz w:val="22"/>
          <w:szCs w:val="22"/>
          <w14:textFill>
            <w14:solidFill>
              <w14:schemeClr w14:val="tx1"/>
            </w14:solidFill>
          </w14:textFill>
        </w:rPr>
        <w:t>各项主要技术经济指标表参考如下</w:t>
      </w:r>
    </w:p>
    <w:p>
      <w:pPr>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504815" cy="4203700"/>
            <wp:effectExtent l="0" t="0" r="63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504815" cy="4203700"/>
                    </a:xfrm>
                    <a:prstGeom prst="rect">
                      <a:avLst/>
                    </a:prstGeom>
                    <a:noFill/>
                    <a:ln>
                      <a:noFill/>
                    </a:ln>
                  </pic:spPr>
                </pic:pic>
              </a:graphicData>
            </a:graphic>
          </wp:inline>
        </w:drawing>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1</w:t>
      </w:r>
      <w:r>
        <w:rPr>
          <w:rFonts w:hint="eastAsia" w:ascii="宋体" w:hAnsi="宋体" w:eastAsia="宋体" w:cs="宋体"/>
          <w:bCs/>
          <w:color w:val="000000" w:themeColor="text1"/>
          <w:sz w:val="22"/>
          <w:szCs w:val="22"/>
          <w14:textFill>
            <w14:solidFill>
              <w14:schemeClr w14:val="tx1"/>
            </w14:solidFill>
          </w14:textFill>
        </w:rPr>
        <w:t>）以构建社会主义和谐社会，全面建设小康社会为目标，坚持以人为本，牢固树立全面、协调、可持续发展的科学发展观。</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）坚持勤俭节约，讲求实效。合理确定建设规模、建设标准、设施功能，厉行节约、勤俭办事，严禁铺张浪费，务求实效。</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3</w:t>
      </w:r>
      <w:r>
        <w:rPr>
          <w:rFonts w:hint="eastAsia" w:ascii="宋体" w:hAnsi="宋体" w:eastAsia="宋体" w:cs="宋体"/>
          <w:bCs/>
          <w:color w:val="000000" w:themeColor="text1"/>
          <w:sz w:val="22"/>
          <w:szCs w:val="22"/>
          <w14:textFill>
            <w14:solidFill>
              <w14:schemeClr w14:val="tx1"/>
            </w14:solidFill>
          </w14:textFill>
        </w:rPr>
        <w:t>）注重生态，提倡环保理念。通过中心水面和花坛的建设，营造好以水系、绿化为重点要素的生态环境，保证局部区域人与自然和谐共生。在注重生态效益的同时倡导环保理念。</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4</w:t>
      </w:r>
      <w:r>
        <w:rPr>
          <w:rFonts w:hint="eastAsia" w:ascii="宋体" w:hAnsi="宋体" w:eastAsia="宋体" w:cs="宋体"/>
          <w:bCs/>
          <w:color w:val="000000" w:themeColor="text1"/>
          <w:sz w:val="22"/>
          <w:szCs w:val="22"/>
          <w14:textFill>
            <w14:solidFill>
              <w14:schemeClr w14:val="tx1"/>
            </w14:solidFill>
          </w14:textFill>
        </w:rPr>
        <w:t>）认真执行国家和行业规范、规定。功能健全，功能分区明确，流线顺畅，布展灵活，技术设施先进，充分考虑有利于项目持续发展、有利于社会效益、有利于养老服务项目自身生存与发展。</w:t>
      </w:r>
    </w:p>
    <w:p>
      <w:pPr>
        <w:pStyle w:val="19"/>
        <w:ind w:firstLine="440" w:firstLineChars="2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w:t>
      </w:r>
      <w:r>
        <w:rPr>
          <w:rFonts w:hAnsi="Cambria"/>
          <w:bCs/>
          <w:color w:val="000000" w:themeColor="text1"/>
          <w:sz w:val="22"/>
          <w:szCs w:val="22"/>
          <w14:textFill>
            <w14:solidFill>
              <w14:schemeClr w14:val="tx1"/>
            </w14:solidFill>
          </w14:textFill>
        </w:rPr>
        <w:t>2</w:t>
      </w:r>
      <w:r>
        <w:rPr>
          <w:rFonts w:hint="eastAsia" w:hAnsi="Cambria"/>
          <w:bCs/>
          <w:color w:val="000000" w:themeColor="text1"/>
          <w:sz w:val="22"/>
          <w:szCs w:val="22"/>
          <w14:textFill>
            <w14:solidFill>
              <w14:schemeClr w14:val="tx1"/>
            </w14:solidFill>
          </w14:textFill>
        </w:rPr>
        <w:t>交通组织与剖面设置</w:t>
      </w:r>
    </w:p>
    <w:p>
      <w:pPr>
        <w:spacing w:line="400" w:lineRule="exact"/>
        <w:ind w:firstLine="440"/>
        <w:rPr>
          <w:rFonts w:ascii="宋体" w:hAnsi="宋体" w:eastAsia="宋体" w:cs="宋体"/>
          <w:bCs/>
          <w:color w:val="000000" w:themeColor="text1"/>
          <w:sz w:val="22"/>
          <w:szCs w:val="22"/>
          <w14:textFill>
            <w14:solidFill>
              <w14:schemeClr w14:val="tx1"/>
            </w14:solidFill>
          </w14:textFill>
        </w:rPr>
      </w:pPr>
      <w:r>
        <w:rPr>
          <w:rFonts w:ascii="宋体" w:hAnsi="宋体" w:eastAsia="宋体" w:cs="宋体"/>
          <w:bCs/>
          <w:color w:val="000000" w:themeColor="text1"/>
          <w:sz w:val="22"/>
          <w:szCs w:val="22"/>
          <w14:textFill>
            <w14:solidFill>
              <w14:schemeClr w14:val="tx1"/>
            </w14:solidFill>
          </w14:textFill>
        </w:rPr>
        <w:t>考虑到本项目只有东侧毗邻同步建设的B-6路市政道路，故本项目主出入口和消防应急出入口自北向南分别布置的东侧的B-6路。机动车泊位采用地下停车和地面停车相结合的方式，其中以地下停车为主、地面停车位沿着内部区间入口主路北侧。地下车库主入口布置在主入口处北侧，第一时间把进入福利中心的车辆引导到地下室，实现人车分流。用地红线内设置5米宽的环形消防通道。</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主体建筑剖面设计为地上</w:t>
      </w:r>
      <w:r>
        <w:rPr>
          <w:rFonts w:hAnsi="Cambria"/>
          <w:bCs/>
          <w:color w:val="000000" w:themeColor="text1"/>
          <w:sz w:val="22"/>
          <w:szCs w:val="22"/>
          <w14:textFill>
            <w14:solidFill>
              <w14:schemeClr w14:val="tx1"/>
            </w14:solidFill>
          </w14:textFill>
        </w:rPr>
        <w:t>6</w:t>
      </w:r>
      <w:r>
        <w:rPr>
          <w:rFonts w:hint="eastAsia" w:ascii="宋体" w:hAnsi="宋体" w:eastAsia="宋体" w:cs="宋体"/>
          <w:bCs/>
          <w:color w:val="000000" w:themeColor="text1"/>
          <w:sz w:val="22"/>
          <w:szCs w:val="22"/>
          <w14:textFill>
            <w14:solidFill>
              <w14:schemeClr w14:val="tx1"/>
            </w14:solidFill>
          </w14:textFill>
        </w:rPr>
        <w:t>层，建筑一层层高</w:t>
      </w:r>
      <w:r>
        <w:rPr>
          <w:rFonts w:hAnsi="Cambria"/>
          <w:bCs/>
          <w:color w:val="000000" w:themeColor="text1"/>
          <w:sz w:val="22"/>
          <w:szCs w:val="22"/>
          <w14:textFill>
            <w14:solidFill>
              <w14:schemeClr w14:val="tx1"/>
            </w14:solidFill>
          </w14:textFill>
        </w:rPr>
        <w:t>4.2</w:t>
      </w:r>
      <w:r>
        <w:rPr>
          <w:rFonts w:hint="eastAsia" w:ascii="宋体" w:hAnsi="宋体" w:eastAsia="宋体" w:cs="宋体"/>
          <w:bCs/>
          <w:color w:val="000000" w:themeColor="text1"/>
          <w:sz w:val="22"/>
          <w:szCs w:val="22"/>
          <w14:textFill>
            <w14:solidFill>
              <w14:schemeClr w14:val="tx1"/>
            </w14:solidFill>
          </w14:textFill>
        </w:rPr>
        <w:t>米，二层层高</w:t>
      </w:r>
      <w:r>
        <w:rPr>
          <w:rFonts w:hAnsi="Cambria"/>
          <w:bCs/>
          <w:color w:val="000000" w:themeColor="text1"/>
          <w:sz w:val="22"/>
          <w:szCs w:val="22"/>
          <w14:textFill>
            <w14:solidFill>
              <w14:schemeClr w14:val="tx1"/>
            </w14:solidFill>
          </w14:textFill>
        </w:rPr>
        <w:t>3.3</w:t>
      </w:r>
      <w:r>
        <w:rPr>
          <w:rFonts w:hint="eastAsia" w:ascii="宋体" w:hAnsi="宋体" w:eastAsia="宋体" w:cs="宋体"/>
          <w:bCs/>
          <w:color w:val="000000" w:themeColor="text1"/>
          <w:sz w:val="22"/>
          <w:szCs w:val="22"/>
          <w14:textFill>
            <w14:solidFill>
              <w14:schemeClr w14:val="tx1"/>
            </w14:solidFill>
          </w14:textFill>
        </w:rPr>
        <w:t>米，三层至七层层高</w:t>
      </w:r>
      <w:r>
        <w:rPr>
          <w:rFonts w:hAnsi="Cambria"/>
          <w:bCs/>
          <w:color w:val="000000" w:themeColor="text1"/>
          <w:sz w:val="22"/>
          <w:szCs w:val="22"/>
          <w14:textFill>
            <w14:solidFill>
              <w14:schemeClr w14:val="tx1"/>
            </w14:solidFill>
          </w14:textFill>
        </w:rPr>
        <w:t>3.2</w:t>
      </w:r>
      <w:r>
        <w:rPr>
          <w:rFonts w:hint="eastAsia" w:ascii="宋体" w:hAnsi="宋体" w:eastAsia="宋体" w:cs="宋体"/>
          <w:bCs/>
          <w:color w:val="000000" w:themeColor="text1"/>
          <w:sz w:val="22"/>
          <w:szCs w:val="22"/>
          <w14:textFill>
            <w14:solidFill>
              <w14:schemeClr w14:val="tx1"/>
            </w14:solidFill>
          </w14:textFill>
        </w:rPr>
        <w:t>米，建筑檐口高度</w:t>
      </w:r>
      <w:r>
        <w:rPr>
          <w:rFonts w:hAnsi="Cambria"/>
          <w:bCs/>
          <w:color w:val="000000" w:themeColor="text1"/>
          <w:sz w:val="22"/>
          <w:szCs w:val="22"/>
          <w14:textFill>
            <w14:solidFill>
              <w14:schemeClr w14:val="tx1"/>
            </w14:solidFill>
          </w14:textFill>
        </w:rPr>
        <w:t>23.9</w:t>
      </w:r>
      <w:r>
        <w:rPr>
          <w:rFonts w:hint="eastAsia" w:ascii="宋体" w:hAnsi="宋体" w:eastAsia="宋体" w:cs="宋体"/>
          <w:bCs/>
          <w:color w:val="000000" w:themeColor="text1"/>
          <w:sz w:val="22"/>
          <w:szCs w:val="22"/>
          <w14:textFill>
            <w14:solidFill>
              <w14:schemeClr w14:val="tx1"/>
            </w14:solidFill>
          </w14:textFill>
        </w:rPr>
        <w:t>米。</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建筑物竖向交通以电梯为主，建筑物设楼梯间，作为垂直交通和消防疏散通道。楼层功能分配：相关功能同层设置，就近联系，缩短距离，并考虑功能分区连系方便，根据轻重缓急。</w:t>
      </w:r>
    </w:p>
    <w:p>
      <w:pPr>
        <w:pStyle w:val="19"/>
        <w:ind w:firstLine="440" w:firstLineChars="20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w:t>
      </w: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道路广场、绿化</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项目建设环形道路和中心广场，广场内内设置小品、景观，营造温馨的生活环境。环境设计布局上采用传统的自然风景是造园与规整的整形式园林相结合，营造出优美、温馨的环境。在楼前后基本以现代造园为主，绿化采用几何式、规整式的布局，在园林中引入直线与曲线，让自然与规整相融合。入口区设置太湖石景，以此为中心，采用铺底、草坪、雕塑小品等造园手法，创造一个宜人的室外环境。在场址大门及建筑物之间设置健康元素的雕塑、景观。沿建筑物和道路种草、植树。</w:t>
      </w:r>
    </w:p>
    <w:p>
      <w:pPr>
        <w:spacing w:line="400" w:lineRule="exact"/>
        <w:ind w:firstLine="440"/>
        <w:rPr>
          <w:rFonts w:hAnsi="Cambria"/>
          <w:bCs/>
          <w:color w:val="000000" w:themeColor="text1"/>
          <w:sz w:val="22"/>
          <w:szCs w:val="22"/>
          <w14:textFill>
            <w14:solidFill>
              <w14:schemeClr w14:val="tx1"/>
            </w14:solidFill>
          </w14:textFill>
        </w:rPr>
      </w:pPr>
      <w:bookmarkStart w:id="179" w:name="_Hlk54164665"/>
      <w:r>
        <w:rPr>
          <w:rFonts w:hint="eastAsia" w:hAnsi="Cambria"/>
          <w:bCs/>
          <w:color w:val="000000" w:themeColor="text1"/>
          <w:sz w:val="22"/>
          <w:szCs w:val="22"/>
          <w14:textFill>
            <w14:solidFill>
              <w14:schemeClr w14:val="tx1"/>
            </w14:solidFill>
          </w14:textFill>
        </w:rPr>
        <w:t>（二）建筑方案</w:t>
      </w:r>
    </w:p>
    <w:bookmarkEnd w:id="179"/>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1、总体设计思想</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1</w:t>
      </w:r>
      <w:r>
        <w:rPr>
          <w:rFonts w:hint="eastAsia" w:ascii="宋体" w:hAnsi="宋体" w:eastAsia="宋体" w:cs="宋体"/>
          <w:bCs/>
          <w:color w:val="000000" w:themeColor="text1"/>
          <w:sz w:val="22"/>
          <w:szCs w:val="22"/>
          <w14:textFill>
            <w14:solidFill>
              <w14:schemeClr w14:val="tx1"/>
            </w14:solidFill>
          </w14:textFill>
        </w:rPr>
        <w:t>）以国家现行的相关规范、规定和标准作为设计依据并结合场址自然条件、施工条件、地方建筑材料和习惯土建工程做法，制定统一工艺技术措施。</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）在满足使用功能的前提下，尽量做到经济适用、布局合理、美观大方。</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3</w:t>
      </w:r>
      <w:r>
        <w:rPr>
          <w:rFonts w:hint="eastAsia" w:ascii="宋体" w:hAnsi="宋体" w:eastAsia="宋体" w:cs="宋体"/>
          <w:bCs/>
          <w:color w:val="000000" w:themeColor="text1"/>
          <w:sz w:val="22"/>
          <w:szCs w:val="22"/>
          <w14:textFill>
            <w14:solidFill>
              <w14:schemeClr w14:val="tx1"/>
            </w14:solidFill>
          </w14:textFill>
        </w:rPr>
        <w:t>）应符合防火、防震、防雷、防冻等安全要求。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4</w:t>
      </w:r>
      <w:r>
        <w:rPr>
          <w:rFonts w:hint="eastAsia" w:ascii="宋体" w:hAnsi="宋体" w:eastAsia="宋体" w:cs="宋体"/>
          <w:bCs/>
          <w:color w:val="000000" w:themeColor="text1"/>
          <w:sz w:val="22"/>
          <w:szCs w:val="22"/>
          <w14:textFill>
            <w14:solidFill>
              <w14:schemeClr w14:val="tx1"/>
            </w14:solidFill>
          </w14:textFill>
        </w:rPr>
        <w:t>）建筑形式、设施设备布置应力求外形美观、布局合理、充分利用空间、节约用地。</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5</w:t>
      </w:r>
      <w:r>
        <w:rPr>
          <w:rFonts w:hint="eastAsia" w:ascii="宋体" w:hAnsi="宋体" w:eastAsia="宋体" w:cs="宋体"/>
          <w:bCs/>
          <w:color w:val="000000" w:themeColor="text1"/>
          <w:sz w:val="22"/>
          <w:szCs w:val="22"/>
          <w14:textFill>
            <w14:solidFill>
              <w14:schemeClr w14:val="tx1"/>
            </w14:solidFill>
          </w14:textFill>
        </w:rPr>
        <w:t>）应满足通风、采光、减排、降耗要求，创造良好的卫生条件。</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6</w:t>
      </w:r>
      <w:r>
        <w:rPr>
          <w:rFonts w:hint="eastAsia" w:ascii="宋体" w:hAnsi="宋体" w:eastAsia="宋体" w:cs="宋体"/>
          <w:bCs/>
          <w:color w:val="000000" w:themeColor="text1"/>
          <w:sz w:val="22"/>
          <w:szCs w:val="22"/>
          <w14:textFill>
            <w14:solidFill>
              <w14:schemeClr w14:val="tx1"/>
            </w14:solidFill>
          </w14:textFill>
        </w:rPr>
        <w:t>）结构选型要保证建筑物有足够的强度、稳定性和耐久性，优先选用结构传力明确、构造简单的结构形式。</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7</w:t>
      </w:r>
      <w:r>
        <w:rPr>
          <w:rFonts w:hint="eastAsia" w:ascii="宋体" w:hAnsi="宋体" w:eastAsia="宋体" w:cs="宋体"/>
          <w:bCs/>
          <w:color w:val="000000" w:themeColor="text1"/>
          <w:sz w:val="22"/>
          <w:szCs w:val="22"/>
          <w14:textFill>
            <w14:solidFill>
              <w14:schemeClr w14:val="tx1"/>
            </w14:solidFill>
          </w14:textFill>
        </w:rPr>
        <w:t>）基础埋置深度应考虑建筑物场地的地质与水文地质条件，基础荷重的大小及性质等。</w:t>
      </w:r>
    </w:p>
    <w:p>
      <w:pPr>
        <w:spacing w:line="400" w:lineRule="exact"/>
        <w:ind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8</w:t>
      </w:r>
      <w:r>
        <w:rPr>
          <w:rFonts w:hint="eastAsia" w:ascii="宋体" w:hAnsi="宋体" w:eastAsia="宋体" w:cs="宋体"/>
          <w:bCs/>
          <w:color w:val="000000" w:themeColor="text1"/>
          <w:sz w:val="22"/>
          <w:szCs w:val="22"/>
          <w14:textFill>
            <w14:solidFill>
              <w14:schemeClr w14:val="tx1"/>
            </w14:solidFill>
          </w14:textFill>
        </w:rPr>
        <w:t>）消防等级、建筑疏散等均按养老标准设计</w:t>
      </w:r>
      <w:r>
        <w:rPr>
          <w:rFonts w:hint="eastAsia" w:hAnsi="Cambria"/>
          <w:bCs/>
          <w:color w:val="000000" w:themeColor="text1"/>
          <w:sz w:val="22"/>
          <w:szCs w:val="22"/>
          <w14:textFill>
            <w14:solidFill>
              <w14:schemeClr w14:val="tx1"/>
            </w14:solidFill>
          </w14:textFill>
        </w:rPr>
        <w:t>。</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、建筑平面设计</w:t>
      </w:r>
    </w:p>
    <w:p>
      <w:pPr>
        <w:pStyle w:val="19"/>
        <w:ind w:firstLine="220"/>
        <w:rPr>
          <w:rFonts w:ascii="Cambria" w:hAnsi="Cambria" w:eastAsia="Times New Roman" w:cs="Cambria"/>
          <w:bCs/>
          <w:color w:val="000000" w:themeColor="text1"/>
          <w:kern w:val="2"/>
          <w:sz w:val="22"/>
          <w:szCs w:val="22"/>
          <w14:textFill>
            <w14:solidFill>
              <w14:schemeClr w14:val="tx1"/>
            </w14:solidFill>
          </w14:textFill>
        </w:rPr>
      </w:pPr>
      <w:r>
        <w:rPr>
          <w:rFonts w:hint="eastAsia" w:ascii="宋体" w:hAnsi="宋体" w:cs="宋体"/>
          <w:bCs/>
          <w:color w:val="000000" w:themeColor="text1"/>
          <w:kern w:val="2"/>
          <w:sz w:val="22"/>
          <w:szCs w:val="22"/>
          <w14:textFill>
            <w14:solidFill>
              <w14:schemeClr w14:val="tx1"/>
            </w14:solidFill>
          </w14:textFill>
        </w:rPr>
        <w:t>（</w:t>
      </w:r>
      <w:r>
        <w:rPr>
          <w:rFonts w:ascii="Cambria" w:hAnsi="Cambria" w:eastAsia="Times New Roman" w:cs="Cambria"/>
          <w:bCs/>
          <w:color w:val="000000" w:themeColor="text1"/>
          <w:kern w:val="2"/>
          <w:sz w:val="22"/>
          <w:szCs w:val="22"/>
          <w14:textFill>
            <w14:solidFill>
              <w14:schemeClr w14:val="tx1"/>
            </w14:solidFill>
          </w14:textFill>
        </w:rPr>
        <w:t>1</w:t>
      </w:r>
      <w:r>
        <w:rPr>
          <w:rFonts w:hint="eastAsia" w:ascii="宋体" w:hAnsi="宋体" w:cs="宋体"/>
          <w:bCs/>
          <w:color w:val="000000" w:themeColor="text1"/>
          <w:kern w:val="2"/>
          <w:sz w:val="22"/>
          <w:szCs w:val="22"/>
          <w14:textFill>
            <w14:solidFill>
              <w14:schemeClr w14:val="tx1"/>
            </w14:solidFill>
          </w14:textFill>
        </w:rPr>
        <w:t>）养老中心（</w:t>
      </w:r>
      <w:r>
        <w:rPr>
          <w:rFonts w:ascii="Cambria" w:hAnsi="Cambria" w:eastAsia="Times New Roman" w:cs="Cambria"/>
          <w:bCs/>
          <w:color w:val="000000" w:themeColor="text1"/>
          <w:kern w:val="2"/>
          <w:sz w:val="22"/>
          <w:szCs w:val="22"/>
          <w14:textFill>
            <w14:solidFill>
              <w14:schemeClr w14:val="tx1"/>
            </w14:solidFill>
          </w14:textFill>
        </w:rPr>
        <w:t>1#</w:t>
      </w:r>
      <w:r>
        <w:rPr>
          <w:rFonts w:hint="eastAsia" w:ascii="宋体" w:hAnsi="宋体" w:cs="宋体"/>
          <w:bCs/>
          <w:color w:val="000000" w:themeColor="text1"/>
          <w:kern w:val="2"/>
          <w:sz w:val="22"/>
          <w:szCs w:val="22"/>
          <w14:textFill>
            <w14:solidFill>
              <w14:schemeClr w14:val="tx1"/>
            </w14:solidFill>
          </w14:textFill>
        </w:rPr>
        <w:t>和</w:t>
      </w:r>
      <w:r>
        <w:rPr>
          <w:rFonts w:ascii="Cambria" w:hAnsi="Cambria" w:eastAsia="Times New Roman" w:cs="Cambria"/>
          <w:bCs/>
          <w:color w:val="000000" w:themeColor="text1"/>
          <w:kern w:val="2"/>
          <w:sz w:val="22"/>
          <w:szCs w:val="22"/>
          <w14:textFill>
            <w14:solidFill>
              <w14:schemeClr w14:val="tx1"/>
            </w14:solidFill>
          </w14:textFill>
        </w:rPr>
        <w:t>2#</w:t>
      </w:r>
      <w:r>
        <w:rPr>
          <w:rFonts w:hint="eastAsia" w:ascii="宋体" w:hAnsi="宋体" w:cs="宋体"/>
          <w:bCs/>
          <w:color w:val="000000" w:themeColor="text1"/>
          <w:kern w:val="2"/>
          <w:sz w:val="22"/>
          <w:szCs w:val="22"/>
          <w14:textFill>
            <w14:solidFill>
              <w14:schemeClr w14:val="tx1"/>
            </w14:solidFill>
          </w14:textFill>
        </w:rPr>
        <w:t>）：六层建筑，耐火等级为二级，一、二层设宿舍、理发室、洗衣室、门厅、餐厅等；三层为卫生保健室、消毒室、观察室、药房等，四层及以上为阅览室、锻炼室、会客室、宿舍、活动室、管理室等。设置三部楼梯通至屋顶，二部无障碍电梯。出口及最大疏散距离均符合国家相关规范标准。</w:t>
      </w:r>
    </w:p>
    <w:p>
      <w:pPr>
        <w:pStyle w:val="19"/>
        <w:ind w:firstLine="220"/>
        <w:rPr>
          <w:rFonts w:ascii="Cambria" w:hAnsi="Cambria" w:eastAsia="Times New Roman" w:cs="Cambria"/>
          <w:bCs/>
          <w:color w:val="000000" w:themeColor="text1"/>
          <w:kern w:val="2"/>
          <w:sz w:val="22"/>
          <w:szCs w:val="22"/>
          <w14:textFill>
            <w14:solidFill>
              <w14:schemeClr w14:val="tx1"/>
            </w14:solidFill>
          </w14:textFill>
        </w:rPr>
      </w:pPr>
      <w:r>
        <w:rPr>
          <w:rFonts w:hint="eastAsia" w:ascii="宋体" w:hAnsi="宋体" w:cs="宋体"/>
          <w:bCs/>
          <w:color w:val="000000" w:themeColor="text1"/>
          <w:kern w:val="2"/>
          <w:sz w:val="22"/>
          <w:szCs w:val="22"/>
          <w14:textFill>
            <w14:solidFill>
              <w14:schemeClr w14:val="tx1"/>
            </w14:solidFill>
          </w14:textFill>
        </w:rPr>
        <w:t>（</w:t>
      </w:r>
      <w:r>
        <w:rPr>
          <w:rFonts w:ascii="Cambria" w:hAnsi="Cambria" w:eastAsia="Times New Roman" w:cs="Cambria"/>
          <w:bCs/>
          <w:color w:val="000000" w:themeColor="text1"/>
          <w:kern w:val="2"/>
          <w:sz w:val="22"/>
          <w:szCs w:val="22"/>
          <w14:textFill>
            <w14:solidFill>
              <w14:schemeClr w14:val="tx1"/>
            </w14:solidFill>
          </w14:textFill>
        </w:rPr>
        <w:t>2</w:t>
      </w:r>
      <w:r>
        <w:rPr>
          <w:rFonts w:hint="eastAsia" w:ascii="宋体" w:hAnsi="宋体" w:cs="宋体"/>
          <w:bCs/>
          <w:color w:val="000000" w:themeColor="text1"/>
          <w:kern w:val="2"/>
          <w:sz w:val="22"/>
          <w:szCs w:val="22"/>
          <w14:textFill>
            <w14:solidFill>
              <w14:schemeClr w14:val="tx1"/>
            </w14:solidFill>
          </w14:textFill>
        </w:rPr>
        <w:t>）儿童福利院和救助站：六层建筑，耐火等级为二级，一层设起居室或宿舍、洗衣室、餐厅、厨房、活动室、值班室等；二层为起居室、活动室、教育和技能培训用房等；三层为起居室、活动室、办公室等；四至六层为办公室、脑瘫训练用房、心理辅导室、肢残儿童康复室、聋儿语训室、医务用房等，设置两部楼梯通至屋顶，一部无障碍电梯。出口及最大疏散距离均符合国家相关规范标准。</w:t>
      </w:r>
    </w:p>
    <w:p>
      <w:pPr>
        <w:pStyle w:val="19"/>
        <w:ind w:firstLine="220"/>
        <w:rPr>
          <w:color w:val="000000" w:themeColor="text1"/>
          <w14:textFill>
            <w14:solidFill>
              <w14:schemeClr w14:val="tx1"/>
            </w14:solidFill>
          </w14:textFill>
        </w:rPr>
      </w:pPr>
      <w:r>
        <w:rPr>
          <w:rFonts w:hint="eastAsia" w:ascii="宋体" w:hAnsi="宋体" w:cs="宋体"/>
          <w:bCs/>
          <w:color w:val="000000" w:themeColor="text1"/>
          <w:kern w:val="2"/>
          <w:sz w:val="22"/>
          <w:szCs w:val="22"/>
          <w14:textFill>
            <w14:solidFill>
              <w14:schemeClr w14:val="tx1"/>
            </w14:solidFill>
          </w14:textFill>
        </w:rPr>
        <w:t>（</w:t>
      </w:r>
      <w:r>
        <w:rPr>
          <w:rFonts w:ascii="Cambria" w:hAnsi="Cambria" w:eastAsia="Times New Roman" w:cs="Cambria"/>
          <w:bCs/>
          <w:color w:val="000000" w:themeColor="text1"/>
          <w:kern w:val="2"/>
          <w:sz w:val="22"/>
          <w:szCs w:val="22"/>
          <w14:textFill>
            <w14:solidFill>
              <w14:schemeClr w14:val="tx1"/>
            </w14:solidFill>
          </w14:textFill>
        </w:rPr>
        <w:t>3</w:t>
      </w:r>
      <w:r>
        <w:rPr>
          <w:rFonts w:hint="eastAsia" w:ascii="宋体" w:hAnsi="宋体" w:cs="宋体"/>
          <w:bCs/>
          <w:color w:val="000000" w:themeColor="text1"/>
          <w:kern w:val="2"/>
          <w:sz w:val="22"/>
          <w:szCs w:val="22"/>
          <w14:textFill>
            <w14:solidFill>
              <w14:schemeClr w14:val="tx1"/>
            </w14:solidFill>
          </w14:textFill>
        </w:rPr>
        <w:t>）养老配套服务用房：三层建筑，耐火等级为二级。</w:t>
      </w:r>
    </w:p>
    <w:p>
      <w:pPr>
        <w:spacing w:line="400" w:lineRule="exact"/>
        <w:ind w:firstLineChars="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 xml:space="preserve">  </w:t>
      </w:r>
      <w:r>
        <w:rPr>
          <w:rFonts w:hint="eastAsia" w:hAnsi="Cambria"/>
          <w:bCs/>
          <w:color w:val="000000" w:themeColor="text1"/>
          <w:sz w:val="22"/>
          <w:szCs w:val="22"/>
          <w14:textFill>
            <w14:solidFill>
              <w14:schemeClr w14:val="tx1"/>
            </w14:solidFill>
          </w14:textFill>
        </w:rPr>
        <w:t>3、总体平面功能布局</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.1工程结构设计</w:t>
      </w:r>
    </w:p>
    <w:p>
      <w:pPr>
        <w:spacing w:line="52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①</w:t>
      </w:r>
      <w:r>
        <w:rPr>
          <w:rFonts w:hint="eastAsia" w:ascii="宋体" w:hAnsi="宋体" w:eastAsia="宋体" w:cs="宋体"/>
          <w:bCs/>
          <w:color w:val="000000" w:themeColor="text1"/>
          <w:sz w:val="22"/>
          <w:szCs w:val="22"/>
          <w14:textFill>
            <w14:solidFill>
              <w14:schemeClr w14:val="tx1"/>
            </w14:solidFill>
          </w14:textFill>
        </w:rPr>
        <w:t>上部结构：经综合分析和技术经济比较，并结合建筑功能的要求，本工程采用的结构体系为框架结构，屋盖楼面的梁、板、柱均采用钢筋混凝土现浇体系；对于部分大跨度构件采用钢结构，以减少结构在使用荷载下的挠度及裂缝。</w:t>
      </w:r>
    </w:p>
    <w:p>
      <w:pPr>
        <w:spacing w:line="52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②</w:t>
      </w:r>
      <w:r>
        <w:rPr>
          <w:rFonts w:hint="eastAsia" w:ascii="宋体" w:hAnsi="宋体" w:eastAsia="宋体" w:cs="宋体"/>
          <w:bCs/>
          <w:color w:val="000000" w:themeColor="text1"/>
          <w:sz w:val="22"/>
          <w:szCs w:val="22"/>
          <w14:textFill>
            <w14:solidFill>
              <w14:schemeClr w14:val="tx1"/>
            </w14:solidFill>
          </w14:textFill>
        </w:rPr>
        <w:t>基础：根据周边场地工程地质条件、设计人员现场勘查及上部结构的特点，本工程基础均采用柱下钢筋混凝土独立基础。</w:t>
      </w:r>
    </w:p>
    <w:p>
      <w:pPr>
        <w:spacing w:line="52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③</w:t>
      </w:r>
      <w:r>
        <w:rPr>
          <w:rFonts w:hint="eastAsia" w:ascii="宋体" w:hAnsi="宋体" w:eastAsia="宋体" w:cs="宋体"/>
          <w:bCs/>
          <w:color w:val="000000" w:themeColor="text1"/>
          <w:sz w:val="22"/>
          <w:szCs w:val="22"/>
          <w14:textFill>
            <w14:solidFill>
              <w14:schemeClr w14:val="tx1"/>
            </w14:solidFill>
          </w14:textFill>
        </w:rPr>
        <w:t>抗震：本工程场地地震基本烈度为</w:t>
      </w:r>
      <w:r>
        <w:rPr>
          <w:rFonts w:hAnsi="Cambria"/>
          <w:bCs/>
          <w:color w:val="000000" w:themeColor="text1"/>
          <w:sz w:val="22"/>
          <w:szCs w:val="22"/>
          <w14:textFill>
            <w14:solidFill>
              <w14:schemeClr w14:val="tx1"/>
            </w14:solidFill>
          </w14:textFill>
        </w:rPr>
        <w:t>6</w:t>
      </w:r>
      <w:r>
        <w:rPr>
          <w:rFonts w:hint="eastAsia" w:ascii="宋体" w:hAnsi="宋体" w:eastAsia="宋体" w:cs="宋体"/>
          <w:bCs/>
          <w:color w:val="000000" w:themeColor="text1"/>
          <w:sz w:val="22"/>
          <w:szCs w:val="22"/>
          <w14:textFill>
            <w14:solidFill>
              <w14:schemeClr w14:val="tx1"/>
            </w14:solidFill>
          </w14:textFill>
        </w:rPr>
        <w:t>度，设计地震分组为第一组，基本地震加速度值为</w:t>
      </w:r>
      <w:r>
        <w:rPr>
          <w:rFonts w:hAnsi="Cambria"/>
          <w:bCs/>
          <w:color w:val="000000" w:themeColor="text1"/>
          <w:sz w:val="22"/>
          <w:szCs w:val="22"/>
          <w14:textFill>
            <w14:solidFill>
              <w14:schemeClr w14:val="tx1"/>
            </w14:solidFill>
          </w14:textFill>
        </w:rPr>
        <w:t>0.05g</w:t>
      </w:r>
      <w:r>
        <w:rPr>
          <w:rFonts w:hint="eastAsia" w:ascii="宋体" w:hAnsi="宋体" w:eastAsia="宋体" w:cs="宋体"/>
          <w:bCs/>
          <w:color w:val="000000" w:themeColor="text1"/>
          <w:sz w:val="22"/>
          <w:szCs w:val="22"/>
          <w14:textFill>
            <w14:solidFill>
              <w14:schemeClr w14:val="tx1"/>
            </w14:solidFill>
          </w14:textFill>
        </w:rPr>
        <w:t>，设计特征周期为</w:t>
      </w:r>
      <w:r>
        <w:rPr>
          <w:rFonts w:hAnsi="Cambria"/>
          <w:bCs/>
          <w:color w:val="000000" w:themeColor="text1"/>
          <w:sz w:val="22"/>
          <w:szCs w:val="22"/>
          <w14:textFill>
            <w14:solidFill>
              <w14:schemeClr w14:val="tx1"/>
            </w14:solidFill>
          </w14:textFill>
        </w:rPr>
        <w:t>0.25s</w:t>
      </w:r>
      <w:r>
        <w:rPr>
          <w:rFonts w:hint="eastAsia" w:ascii="宋体" w:hAnsi="宋体" w:eastAsia="宋体" w:cs="宋体"/>
          <w:bCs/>
          <w:color w:val="000000" w:themeColor="text1"/>
          <w:sz w:val="22"/>
          <w:szCs w:val="22"/>
          <w14:textFill>
            <w14:solidFill>
              <w14:schemeClr w14:val="tx1"/>
            </w14:solidFill>
          </w14:textFill>
        </w:rPr>
        <w:t>，建筑抗震设防类别为丙类。</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2</w:t>
      </w:r>
      <w:r>
        <w:rPr>
          <w:rFonts w:hint="eastAsia" w:ascii="宋体" w:hAnsi="宋体" w:eastAsia="宋体" w:cs="宋体"/>
          <w:bCs/>
          <w:color w:val="000000" w:themeColor="text1"/>
          <w:sz w:val="22"/>
          <w:szCs w:val="22"/>
          <w14:textFill>
            <w14:solidFill>
              <w14:schemeClr w14:val="tx1"/>
            </w14:solidFill>
          </w14:textFill>
        </w:rPr>
        <w:t>围护结构</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①屋面工程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本工程屋面形式分为非上人平屋面及上人平屋面。屋面防水等级为二级，耐用年限15年。</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屋面排水方式为有组织排水，排水坡度为2%，靠近排水口500mm范围内坡度应加大为15%。室外水落管采用UPVC管，出水口距地200mm。</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屋面防水材料选用双层1.5厚SQ高分子复合防水卷材。</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屋面及外墙保温隔热材料选用自熄、阻燃型XPS挤塑板。</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屋面找平层设分隔缝，缝宽20mm，并嵌填密封材料，纵横缝的间距为6m。</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防水卷材基层与突出结构的连接处及基层的转角处，抹面应做成钝角，斜面宽度不应小于100mm。</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屋面找坡材料采用混凝土砂浆找坡。保温层与女儿墙间留50mm空隙，内填岩棉条以避免保温层变形对女儿墙产生水平推力。</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②墙体工程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外墙采用300厚混凝土空心砖，内横（纵）墙为200厚轻集料空心砖，部分卫生间隔墙为120厚混凝土空心砖；楼梯间墙为300厚混凝土空心砖。</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遇有在空心墙体上固定水箱、水池等时，局部砌筑预制混凝土块。</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③门窗工程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外门窗的的气密性能≤3级，且单位面积空气渗透量q2不应大于7.5m3/(m2˙h)。</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外部窗户的空气声计权隔声量RW≥25dB。</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门窗玻璃的选用应遵照《建筑玻璃应用技术规程》（JGJ113-2015）及地方主管部门的有关规定。</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门窗的保温性能，传热系数k值应≤3.5w/m2˙k。</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所有木门制作时，木材均需要进行干燥处理，含水率不得大于下列数值，门扇15%，门框18%。</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④楼地面工程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卫生间防水采用1.5厚SQ高分子卷材防水两道。防水层泛起高度300mm。浴缸背后墙面防水层高出浴缸沿150mm。</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卫生间隔墙根部（在钢筋混凝土楼板上）做C20素混凝土挡水台300高，宽度同上。其地面均做排水口的找坡，坡度不应小于0.5%，以保证排水。</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3</w:t>
      </w:r>
      <w:r>
        <w:rPr>
          <w:rFonts w:hint="eastAsia" w:ascii="宋体" w:hAnsi="宋体" w:eastAsia="宋体" w:cs="宋体"/>
          <w:bCs/>
          <w:color w:val="000000" w:themeColor="text1"/>
          <w:sz w:val="22"/>
          <w:szCs w:val="22"/>
          <w14:textFill>
            <w14:solidFill>
              <w14:schemeClr w14:val="tx1"/>
            </w14:solidFill>
          </w14:textFill>
        </w:rPr>
        <w:t>室内装修工程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凡有管道穿楼板时须加套管，套管高出楼面面层40mm，并用防水油膏堵塞密实。卫生间楼、地面须做好排水坡，不得出现倒坡、集水现象，坡度0.5%坡向地漏，地漏周边50mm范围内做i=3%坡度。卫生间成活后比户内建筑标高低20mm。</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混凝土或砌块墙体上的穿管洞口，在管道安装完毕后用C20细石砼或火山渣混凝土（均内掺膨胀剂），填实。管线穿过防水层部位，管根用建筑密封膏填实，管根周围300范围增刷聚氯乙烯弹性防水涂料一道。</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各种管井在管道安装完成后，根据精装修需要采用60厚GRC板进行封砌并在每层楼板处用C20砼浇注填平。</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内墙阳角均做200宽2000高1：2水泥砂浆抱角。</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设计中采用的水泥砂浆，其强度等级为1：3水泥砂浆不低于M7.5；1：2.5.6水泥砂浆不低于M10；1：2水泥砂浆不低于M10；混凝土标号不低于C20；所标厚度均为成活厚度。防水砂浆均为1：2水泥砂浆内掺5%防水剂20厚。</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w:t>
      </w:r>
      <w:r>
        <w:rPr>
          <w:rFonts w:hAnsi="Cambria"/>
          <w:bCs/>
          <w:color w:val="000000" w:themeColor="text1"/>
          <w:sz w:val="22"/>
          <w:szCs w:val="22"/>
          <w14:textFill>
            <w14:solidFill>
              <w14:schemeClr w14:val="tx1"/>
            </w14:solidFill>
          </w14:textFill>
        </w:rPr>
        <w:t>4</w:t>
      </w:r>
      <w:r>
        <w:rPr>
          <w:rFonts w:hAnsi="Cambria" w:eastAsia="宋体"/>
          <w:bCs/>
          <w:color w:val="000000" w:themeColor="text1"/>
          <w:sz w:val="22"/>
          <w:szCs w:val="22"/>
          <w14:textFill>
            <w14:solidFill>
              <w14:schemeClr w14:val="tx1"/>
            </w14:solidFill>
          </w14:textFill>
        </w:rPr>
        <w:t>室外装修工程</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墙身防潮做法：在室内地坪下0.060米处做20厚1：2.5（防水砂浆防潮层，防水剂按水泥重量的5%）室内地面有高差时墙面竖向抹20厚防水砂浆，使墙体防潮层交圈密闭。</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散水:1200宽普通散水。</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台阶:室外防滑花岗岩台阶。</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坡道：水泥礓碴面层坡道。</w:t>
      </w:r>
    </w:p>
    <w:p>
      <w:pPr>
        <w:spacing w:line="400" w:lineRule="exact"/>
        <w:ind w:firstLine="440"/>
        <w:rPr>
          <w:rFonts w:hAnsi="Cambria" w:eastAsia="宋体"/>
          <w:bCs/>
          <w:color w:val="000000" w:themeColor="text1"/>
          <w:sz w:val="22"/>
          <w:szCs w:val="22"/>
          <w14:textFill>
            <w14:solidFill>
              <w14:schemeClr w14:val="tx1"/>
            </w14:solidFill>
          </w14:textFill>
        </w:rPr>
      </w:pPr>
      <w:r>
        <w:rPr>
          <w:rFonts w:hAnsi="Cambria" w:eastAsia="宋体"/>
          <w:bCs/>
          <w:color w:val="000000" w:themeColor="text1"/>
          <w:sz w:val="22"/>
          <w:szCs w:val="22"/>
          <w14:textFill>
            <w14:solidFill>
              <w14:schemeClr w14:val="tx1"/>
            </w14:solidFill>
          </w14:textFill>
        </w:rPr>
        <w:t>（二）</w:t>
      </w:r>
      <w:r>
        <w:rPr>
          <w:rFonts w:hint="eastAsia" w:hAnsi="Cambria" w:eastAsia="宋体"/>
          <w:bCs/>
          <w:color w:val="000000" w:themeColor="text1"/>
          <w:sz w:val="22"/>
          <w:szCs w:val="22"/>
          <w14:textFill>
            <w14:solidFill>
              <w14:schemeClr w14:val="tx1"/>
            </w14:solidFill>
          </w14:textFill>
        </w:rPr>
        <w:t>公用配套工程</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给水系统</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（1）水源</w:t>
      </w:r>
    </w:p>
    <w:p>
      <w:pPr>
        <w:pStyle w:val="19"/>
        <w:ind w:firstLine="630" w:firstLineChars="300"/>
        <w:rPr>
          <w:color w:val="000000" w:themeColor="text1"/>
          <w14:textFill>
            <w14:solidFill>
              <w14:schemeClr w14:val="tx1"/>
            </w14:solidFill>
          </w14:textFill>
        </w:rPr>
      </w:pPr>
      <w:r>
        <w:rPr>
          <w:color w:val="000000" w:themeColor="text1"/>
          <w14:textFill>
            <w14:solidFill>
              <w14:schemeClr w14:val="tx1"/>
            </w14:solidFill>
          </w14:textFill>
        </w:rPr>
        <w:t>由城市自来水供水，从规划的B-6路市政给水管接入一根DN100进水管，埋深按0.8～1.0m控制。另据了解，昆阳镇政府表示本项目所在的区域的B-6市政道路将与本项目同步建设，确定通水、通路。</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（2）给水方式</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采用市政管网压力和屋面水箱（二次供水）联合供水，禁止在城市市政供水管道上直接装泵抽水。</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按用水量计算，设置DN100的总计量表</w:t>
      </w:r>
      <w:r>
        <w:rPr>
          <w:rFonts w:hint="eastAsia"/>
          <w:color w:val="000000" w:themeColor="text1"/>
          <w14:textFill>
            <w14:solidFill>
              <w14:schemeClr w14:val="tx1"/>
            </w14:solidFill>
          </w14:textFill>
        </w:rPr>
        <w:t>。</w:t>
      </w:r>
    </w:p>
    <w:p>
      <w:pPr>
        <w:pStyle w:val="19"/>
        <w:ind w:firstLine="630" w:firstLineChars="3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排水系统</w:t>
      </w:r>
    </w:p>
    <w:p>
      <w:pPr>
        <w:pStyle w:val="19"/>
        <w:ind w:firstLine="367" w:firstLineChars="175"/>
        <w:rPr>
          <w:color w:val="000000" w:themeColor="text1"/>
          <w14:textFill>
            <w14:solidFill>
              <w14:schemeClr w14:val="tx1"/>
            </w14:solidFill>
          </w14:textFill>
        </w:rPr>
      </w:pPr>
      <w:r>
        <w:rPr>
          <w:color w:val="000000" w:themeColor="text1"/>
          <w14:textFill>
            <w14:solidFill>
              <w14:schemeClr w14:val="tx1"/>
            </w14:solidFill>
          </w14:textFill>
        </w:rPr>
        <w:t>（1）排水体制</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项目的室内污、废水分流排放，室外雨、污水分流。基地内排水采用人工暗管系统，雨水直接排进市政雨水管网；生活污水根据环保部门要求，经过化粪池处理后排入市政污水管网。食堂废水进入隔油池处理。</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（2）污水量预测</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本工程的污水以生活污水为主，按照排供比取85％计算，则项目年生活污水量为23914m3左右。</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管材选择</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（1）室内给水管采用PPR给水管，热熔连接。</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（2）室内排水管采用UPVC排水管，胶水连接。</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（3）室外给水管，消防管DN≥100采用球墨铸铁管承插连接，DN&lt;100采用钢塑复合管，丝扣连接。</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（4）室外排水管采用泥凝土管，水泥砂浆接口。</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电气设计</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（1）负荷估算及用电量</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采用建筑面积指标法50W/m2估算，工程用电负荷估算约为948.1kW，需要系数0.55，计算负荷521.5kW。</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（2）负荷等级及电源</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本工程为二类民用建筑，消防及重要用电设备按一级负荷供配电设计，其余动力、照明按二、三级负荷供配电设计。</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（3）变配电系统</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设置用户配电房，由市政电网接入配电房。为满足本工程供电要求，由10kV独立电源，并自备发电机组。</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室外电力线路全部埋地敷设，埋深控制在0.8～1.6m。</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（4）照明系统</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设置工作照明、事故照明、应急照明、景观及泛光照明等，采用高效节能型灯具及光源。</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公共活动空间设置先进的智能照明控制系统，通过调光满足不同功能的灯光场景控制，营造舒适的照明环境，并通过通讯接口与楼宇自动化管理系统联网。按规范设置应急电源照明，通道、出入口应急指示灯。</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照度：办公室150LX，走廊75LX。</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光源：办公室—荧光灯，走廊—吸顶球灯，盥洗室—防水闭密灯具，会议室准其装饰要求。</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（5）防雷与接地</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本工程为二类民用防雷建筑物。在屋顶女儿墙及其它凸出部位设置避雷带，屋面设置避雷网，利用柱内主钢筋作为引下线，利用建筑物桩基及基础承台内主钢筋作为接地极。</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通风设计</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（1）设备用房：水泵房等辅助用房采用机械送风、机械排风。变配电房将根据设备热负荷持室内温度40</w:t>
      </w: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以下给予通风设计。</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（2）厕所间：根据用房功能满足10-15次／h通风换气，采用集中机械排风。</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（3）厨房：满足40次换气次数</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（4）内走道：设置机械排烟系统，或自然排烟。</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（5）地上公共区域：设置机械排烟系统，或自然排烟。</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（6）所有送、回、排风管在进出机房处、穿越防火分区处设置70</w:t>
      </w:r>
      <w:r>
        <w:rPr>
          <w:rFonts w:hint="eastAsia" w:ascii="宋体" w:hAnsi="宋体" w:cs="宋体"/>
          <w:color w:val="000000" w:themeColor="text1"/>
          <w14:textFill>
            <w14:solidFill>
              <w14:schemeClr w14:val="tx1"/>
            </w14:solidFill>
          </w14:textFill>
        </w:rPr>
        <w:t>℃</w:t>
      </w:r>
      <w:r>
        <w:rPr>
          <w:color w:val="000000" w:themeColor="text1"/>
          <w14:textFill>
            <w14:solidFill>
              <w14:schemeClr w14:val="tx1"/>
            </w14:solidFill>
          </w14:textFill>
        </w:rPr>
        <w:t>防火阀。</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6</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消防设计</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参照《建筑设计防火规范》(GBJ16-87)有关规定，本工程消防类别属二类建筑，耐火等级为二级。</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（1）建筑消防</w:t>
      </w:r>
    </w:p>
    <w:p>
      <w:pPr>
        <w:pStyle w:val="19"/>
        <w:ind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总平面上设有环形车道，以满足消防要求。</w:t>
      </w:r>
    </w:p>
    <w:p>
      <w:pPr>
        <w:pStyle w:val="19"/>
        <w:ind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与四周建筑物防火间距满足规范要求。</w:t>
      </w:r>
    </w:p>
    <w:p>
      <w:pPr>
        <w:pStyle w:val="19"/>
        <w:ind w:firstLineChars="20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消防设施：每层走廊中间部分设室内消火栓及灭火器墙柜（内设两具干粉灭火器），室内消火栓系统消防泵房和消防水池设于地下室；室外设消火栓，并设消火栓喷淋系统水泵结合器。</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（2）给排水消防</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消防水量:室内消防水量为20L/S，自动喷水灭火系统为21L/S室外消防水量为30L/S。</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消防水源:室外消防用水取自城市自来水网，两路DN200给水管在基地内呈环状网布置，环网上按间距不大于120m布置地上式三出口消火栓,消防栓采用地上式。室内消防用水储存在消防专用水池内，消火栓系统按火灾延续时间2小时，自动喷水灭火系统按火灾延续时间1小时计，消防贮水量共为220m3。</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（三）其他设计要求</w:t>
      </w:r>
    </w:p>
    <w:p>
      <w:pPr>
        <w:spacing w:line="400" w:lineRule="exact"/>
        <w:ind w:firstLine="418" w:firstLineChars="19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1、其他设计</w:t>
      </w:r>
      <w:r>
        <w:rPr>
          <w:rFonts w:hint="eastAsia" w:ascii="宋体" w:hAnsi="宋体" w:eastAsia="宋体" w:cs="宋体"/>
          <w:bCs/>
          <w:color w:val="000000" w:themeColor="text1"/>
          <w:sz w:val="22"/>
          <w:szCs w:val="22"/>
          <w14:textFill>
            <w14:solidFill>
              <w14:schemeClr w14:val="tx1"/>
            </w14:solidFill>
          </w14:textFill>
        </w:rPr>
        <w:t>要求</w:t>
      </w:r>
      <w:r>
        <w:rPr>
          <w:rFonts w:hint="eastAsia" w:hAnsi="Cambria"/>
          <w:bCs/>
          <w:color w:val="000000" w:themeColor="text1"/>
          <w:sz w:val="22"/>
          <w:szCs w:val="22"/>
          <w14:textFill>
            <w14:solidFill>
              <w14:schemeClr w14:val="tx1"/>
            </w14:solidFill>
          </w14:textFill>
        </w:rPr>
        <w:t>见相应地块可研报批稿</w:t>
      </w:r>
      <w:r>
        <w:rPr>
          <w:rFonts w:hint="eastAsia" w:ascii="宋体" w:hAnsi="宋体" w:eastAsia="宋体" w:cs="宋体"/>
          <w:bCs/>
          <w:color w:val="000000" w:themeColor="text1"/>
          <w:sz w:val="22"/>
          <w:szCs w:val="22"/>
          <w14:textFill>
            <w14:solidFill>
              <w14:schemeClr w14:val="tx1"/>
            </w14:solidFill>
          </w14:textFill>
        </w:rPr>
        <w:t>及初步设计等材料。</w:t>
      </w:r>
    </w:p>
    <w:p>
      <w:pPr>
        <w:spacing w:line="400" w:lineRule="exact"/>
        <w:ind w:firstLine="440"/>
        <w:rPr>
          <w:rFonts w:hAnsi="Cambria"/>
          <w:bCs/>
          <w:color w:val="000000" w:themeColor="text1"/>
          <w:sz w:val="22"/>
          <w:szCs w:val="22"/>
          <w:u w:val="single"/>
          <w14:textFill>
            <w14:solidFill>
              <w14:schemeClr w14:val="tx1"/>
            </w14:solidFill>
          </w14:textFill>
        </w:rPr>
      </w:pPr>
      <w:r>
        <w:rPr>
          <w:rFonts w:hint="eastAsia" w:hAnsi="Cambria"/>
          <w:bCs/>
          <w:color w:val="000000" w:themeColor="text1"/>
          <w:sz w:val="22"/>
          <w:szCs w:val="22"/>
          <w14:textFill>
            <w14:solidFill>
              <w14:schemeClr w14:val="tx1"/>
            </w14:solidFill>
          </w14:textFill>
        </w:rPr>
        <w:t>2、</w:t>
      </w:r>
      <w:r>
        <w:rPr>
          <w:rFonts w:hint="eastAsia" w:hAnsi="Cambria"/>
          <w:bCs/>
          <w:color w:val="000000" w:themeColor="text1"/>
          <w:sz w:val="22"/>
          <w:szCs w:val="22"/>
          <w:u w:val="single"/>
          <w14:textFill>
            <w14:solidFill>
              <w14:schemeClr w14:val="tx1"/>
            </w14:solidFill>
          </w14:textFill>
        </w:rPr>
        <w:t>各项经济技术指标以相应</w:t>
      </w:r>
      <w:r>
        <w:rPr>
          <w:rFonts w:hint="eastAsia" w:ascii="宋体" w:hAnsi="宋体" w:eastAsia="宋体" w:cs="宋体"/>
          <w:bCs/>
          <w:color w:val="000000" w:themeColor="text1"/>
          <w:sz w:val="22"/>
          <w:szCs w:val="22"/>
          <w:u w:val="single"/>
          <w14:textFill>
            <w14:solidFill>
              <w14:schemeClr w14:val="tx1"/>
            </w14:solidFill>
          </w14:textFill>
        </w:rPr>
        <w:t>地块可研报批稿及初设文件图纸、招标人提供的设计条件及发包人要求</w:t>
      </w:r>
      <w:r>
        <w:rPr>
          <w:rFonts w:hint="eastAsia" w:hAnsi="Cambria"/>
          <w:bCs/>
          <w:color w:val="000000" w:themeColor="text1"/>
          <w:sz w:val="22"/>
          <w:szCs w:val="22"/>
          <w:u w:val="single"/>
          <w14:textFill>
            <w14:solidFill>
              <w14:schemeClr w14:val="tx1"/>
            </w14:solidFill>
          </w14:textFill>
        </w:rPr>
        <w:t>为准</w:t>
      </w:r>
      <w:r>
        <w:rPr>
          <w:rFonts w:hint="eastAsia" w:ascii="宋体" w:hAnsi="宋体" w:eastAsia="宋体" w:cs="宋体"/>
          <w:bCs/>
          <w:color w:val="000000" w:themeColor="text1"/>
          <w:sz w:val="22"/>
          <w:szCs w:val="22"/>
          <w:u w:val="single"/>
          <w14:textFill>
            <w14:solidFill>
              <w14:schemeClr w14:val="tx1"/>
            </w14:solidFill>
          </w14:textFill>
        </w:rPr>
        <w:t>，必须符合上述要求并仅此基础上进行优化；今后确</w:t>
      </w:r>
      <w:r>
        <w:rPr>
          <w:rFonts w:hint="eastAsia" w:hAnsi="Cambria"/>
          <w:bCs/>
          <w:color w:val="000000" w:themeColor="text1"/>
          <w:sz w:val="22"/>
          <w:szCs w:val="22"/>
          <w:u w:val="single"/>
          <w14:textFill>
            <w14:solidFill>
              <w14:schemeClr w14:val="tx1"/>
            </w14:solidFill>
          </w14:textFill>
        </w:rPr>
        <w:t>需修改的，需经招标人同意，且合同价款不予调整。</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3、建筑功能、布局、建筑平面等原则上均不可修改，结构设计（如构件截面尺寸）可进行适当优化，有优化的需提供结构优化专篇,结构优化要求：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1）合理选择基础方案。</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xml:space="preserve">2）合理选择基坑围护方案。 </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3）合理优化地下室及相关机房布置。</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xml:space="preserve">4）选择合适的结构体系优化竖向结构布置。 </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5）合理选择梁板尺寸。</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6）屋面及地下室不得采用反梁结构。</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4、本工程停车指示牌、停车标志、标线、楼栋号、大楼名称铜字</w:t>
      </w:r>
      <w:r>
        <w:rPr>
          <w:rFonts w:hint="eastAsia" w:ascii="宋体" w:hAnsi="宋体" w:eastAsia="宋体" w:cs="宋体"/>
          <w:bCs/>
          <w:color w:val="000000" w:themeColor="text1"/>
          <w:sz w:val="22"/>
          <w:szCs w:val="22"/>
          <w14:textFill>
            <w14:solidFill>
              <w14:schemeClr w14:val="tx1"/>
            </w14:solidFill>
          </w14:textFill>
        </w:rPr>
        <w:t>等</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需报相关部门及发包人同意后一并实施。大楼名称由发包人负责命名。</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5、建筑布局及室外景观考虑与与周边现状建筑和谐共存。</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6、地块内应考虑住宅用地与地下空间的统一利用。</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7、基坑支护设计需尽量考虑减少对周边道路及建筑的影响，若在基坑开挖及地下室施工过程中造成周边道路、建筑沉降或造成周边管道破坏的，承包人无条件修复并承担责任。</w:t>
      </w:r>
    </w:p>
    <w:p>
      <w:pPr>
        <w:spacing w:line="360" w:lineRule="auto"/>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8、本次投标需尽量优化，做足计容面积，在投标方案中标明优化的部位。</w:t>
      </w:r>
    </w:p>
    <w:p>
      <w:pPr>
        <w:spacing w:line="400" w:lineRule="exact"/>
        <w:ind w:firstLine="0" w:firstLineChars="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四、施工、采购及相关要求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1、建筑主体结构</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1.1建筑主体结构功能总体要求</w:t>
      </w:r>
    </w:p>
    <w:p>
      <w:pPr>
        <w:spacing w:line="400" w:lineRule="exact"/>
        <w:ind w:firstLine="440"/>
        <w:rPr>
          <w:rFonts w:hAnsi="Cambria" w:eastAsia="宋体"/>
          <w:bCs/>
          <w:color w:val="000000" w:themeColor="text1"/>
          <w:sz w:val="22"/>
          <w:szCs w:val="22"/>
          <w14:textFill>
            <w14:solidFill>
              <w14:schemeClr w14:val="tx1"/>
            </w14:solidFill>
          </w14:textFill>
        </w:rPr>
      </w:pPr>
      <w:r>
        <w:rPr>
          <w:rFonts w:hint="eastAsia" w:hAnsi="Cambria" w:eastAsia="宋体"/>
          <w:bCs/>
          <w:color w:val="000000" w:themeColor="text1"/>
          <w:sz w:val="22"/>
          <w:szCs w:val="22"/>
          <w14:textFill>
            <w14:solidFill>
              <w14:schemeClr w14:val="tx1"/>
            </w14:solidFill>
          </w14:textFill>
        </w:rPr>
        <w:t>1.1.1</w:t>
      </w:r>
      <w:r>
        <w:rPr>
          <w:rFonts w:hint="eastAsia" w:hAnsi="Cambria"/>
          <w:bCs/>
          <w:color w:val="000000" w:themeColor="text1"/>
          <w:sz w:val="22"/>
          <w:szCs w:val="22"/>
          <w14:textFill>
            <w14:solidFill>
              <w14:schemeClr w14:val="tx1"/>
            </w14:solidFill>
          </w14:textFill>
        </w:rPr>
        <w:t>平阳县</w:t>
      </w:r>
      <w:r>
        <w:rPr>
          <w:rFonts w:hint="eastAsia" w:ascii="宋体" w:hAnsi="宋体" w:eastAsia="宋体" w:cs="宋体"/>
          <w:bCs/>
          <w:color w:val="000000" w:themeColor="text1"/>
          <w:sz w:val="22"/>
          <w:szCs w:val="22"/>
          <w14:textFill>
            <w14:solidFill>
              <w14:schemeClr w14:val="tx1"/>
            </w14:solidFill>
          </w14:textFill>
        </w:rPr>
        <w:t>社会养老福利服务中心项目</w:t>
      </w:r>
      <w:r>
        <w:rPr>
          <w:rFonts w:hint="eastAsia" w:hAnsi="Cambria" w:eastAsia="宋体"/>
          <w:bCs/>
          <w:color w:val="000000" w:themeColor="text1"/>
          <w:sz w:val="22"/>
          <w:szCs w:val="22"/>
          <w14:textFill>
            <w14:solidFill>
              <w14:schemeClr w14:val="tx1"/>
            </w14:solidFill>
          </w14:textFill>
        </w:rPr>
        <w:t>：</w:t>
      </w:r>
    </w:p>
    <w:p>
      <w:pPr>
        <w:spacing w:line="400" w:lineRule="exact"/>
        <w:ind w:left="28" w:leftChars="10"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建筑主体结构功能要求表</w:t>
      </w:r>
    </w:p>
    <w:tbl>
      <w:tblPr>
        <w:tblStyle w:val="45"/>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6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项目内容</w:t>
            </w:r>
          </w:p>
        </w:tc>
        <w:tc>
          <w:tcPr>
            <w:tcW w:w="6555" w:type="dxa"/>
            <w:vAlign w:val="center"/>
          </w:tcPr>
          <w:p>
            <w:pPr>
              <w:spacing w:line="400" w:lineRule="exact"/>
              <w:ind w:left="28" w:leftChars="10"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地下</w:t>
            </w:r>
            <w:r>
              <w:rPr>
                <w:rFonts w:hint="eastAsia" w:ascii="宋体" w:hAnsi="宋体" w:eastAsia="宋体" w:cs="宋体"/>
                <w:bCs/>
                <w:color w:val="000000" w:themeColor="text1"/>
                <w:sz w:val="22"/>
                <w:szCs w:val="22"/>
                <w14:textFill>
                  <w14:solidFill>
                    <w14:schemeClr w14:val="tx1"/>
                  </w14:solidFill>
                </w14:textFill>
              </w:rPr>
              <w:t>建筑</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jc w:val="left"/>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地上建筑</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给排水</w:t>
            </w:r>
            <w:r>
              <w:rPr>
                <w:rFonts w:hint="eastAsia" w:ascii="宋体" w:hAnsi="宋体" w:eastAsia="宋体" w:cs="宋体"/>
                <w:bCs/>
                <w:color w:val="000000" w:themeColor="text1"/>
                <w:sz w:val="22"/>
                <w:szCs w:val="22"/>
                <w14:textFill>
                  <w14:solidFill>
                    <w14:schemeClr w14:val="tx1"/>
                  </w14:solidFill>
                </w14:textFill>
              </w:rPr>
              <w:t>及</w:t>
            </w:r>
            <w:r>
              <w:rPr>
                <w:rFonts w:hint="eastAsia" w:hAnsi="Cambria"/>
                <w:bCs/>
                <w:color w:val="000000" w:themeColor="text1"/>
                <w:sz w:val="22"/>
                <w:szCs w:val="22"/>
                <w14:textFill>
                  <w14:solidFill>
                    <w14:schemeClr w14:val="tx1"/>
                  </w14:solidFill>
                </w14:textFill>
              </w:rPr>
              <w:t>消防</w:t>
            </w:r>
            <w:r>
              <w:rPr>
                <w:rFonts w:hint="eastAsia" w:ascii="宋体" w:hAnsi="宋体" w:eastAsia="宋体" w:cs="宋体"/>
                <w:bCs/>
                <w:color w:val="000000" w:themeColor="text1"/>
                <w:sz w:val="22"/>
                <w:szCs w:val="22"/>
                <w14:textFill>
                  <w14:solidFill>
                    <w14:schemeClr w14:val="tx1"/>
                  </w14:solidFill>
                </w14:textFill>
              </w:rPr>
              <w:t>系统</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照明、电力及防雷</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通风工程</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按照国家、地方现行施工规范，并结合发包人要求实施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弱电工程</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按照国家、地方现行施工规范，并结合发包人要求实施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变配电</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按照国家、地方现行施工规范，并结合发包人要求实施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二次装修工程</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按照国家、地方现行施工规范，并结合发包人要求实施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电梯</w:t>
            </w:r>
          </w:p>
        </w:tc>
        <w:tc>
          <w:tcPr>
            <w:tcW w:w="6555"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按照国家、地方现行施工规范，并结合发包人要求实施</w:t>
            </w:r>
          </w:p>
        </w:tc>
      </w:tr>
    </w:tbl>
    <w:p>
      <w:pPr>
        <w:spacing w:line="400" w:lineRule="exact"/>
        <w:ind w:left="28" w:leftChars="10" w:firstLine="440"/>
        <w:rPr>
          <w:rFonts w:hAnsi="Cambria" w:eastAsia="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注：相关设备采购技术参数见本文相关说明。</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1.2建筑主体结构详细技术要求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1.2.1地下建筑</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（1）设计符合《建筑地基基础设计规范》GB50007-2011；</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（2）基础设计根据周边建筑基础形式，并根据本项目中的结构的受力情况，初步考虑多层建筑采用桩基础。具体基础选型需与经济技术对比分析后确定；</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w:t>
      </w:r>
      <w:r>
        <w:rPr>
          <w:rFonts w:hint="eastAsia" w:hAnsi="Cambria"/>
          <w:bCs/>
          <w:color w:val="000000" w:themeColor="text1"/>
          <w:sz w:val="22"/>
          <w:szCs w:val="22"/>
          <w14:textFill>
            <w14:solidFill>
              <w14:schemeClr w14:val="tx1"/>
            </w14:solidFill>
          </w14:textFill>
        </w:rPr>
        <w:t>3</w:t>
      </w:r>
      <w:r>
        <w:rPr>
          <w:rFonts w:hint="eastAsia" w:ascii="宋体" w:hAnsi="宋体" w:eastAsia="宋体" w:cs="宋体"/>
          <w:bCs/>
          <w:color w:val="000000" w:themeColor="text1"/>
          <w:sz w:val="22"/>
          <w:szCs w:val="22"/>
          <w14:textFill>
            <w14:solidFill>
              <w14:schemeClr w14:val="tx1"/>
            </w14:solidFill>
          </w14:textFill>
        </w:rPr>
        <w:t>）地下室顶板采用梁、板结构，地下室不设缝。在主楼与地下室之间设沉降后浇带，待主楼结顶后再施工。对地下室及结构单元长度超过规范规定的最大伸缩缝间距要求的部分，设置温度伸缩后浇带，待两侧混凝土达到强度后三个月以上封闭。</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1.2.2地上建筑</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w:t>
      </w:r>
      <w:r>
        <w:rPr>
          <w:rFonts w:ascii="宋体" w:hAnsi="宋体" w:eastAsia="宋体" w:cs="宋体"/>
          <w:bCs/>
          <w:color w:val="000000" w:themeColor="text1"/>
          <w:sz w:val="22"/>
          <w:szCs w:val="22"/>
          <w14:textFill>
            <w14:solidFill>
              <w14:schemeClr w14:val="tx1"/>
            </w14:solidFill>
          </w14:textFill>
        </w:rPr>
        <w:t>本工程采用的结构体系为框架结构，屋盖楼面的梁、板、柱均采用钢筋混凝土现浇体系；对于部分大跨度构件采用钢结构，以减少结构在使用荷载下的挠度及裂缝。</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（2）结合场地周边环境情况进行基坑支护设计。</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（3）外装修材料及外窗</w:t>
      </w:r>
    </w:p>
    <w:p>
      <w:pPr>
        <w:spacing w:line="400" w:lineRule="exact"/>
        <w:ind w:firstLine="418" w:firstLineChars="19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a</w:t>
      </w:r>
      <w:r>
        <w:rPr>
          <w:rFonts w:hint="eastAsia" w:ascii="宋体" w:hAnsi="宋体" w:eastAsia="宋体" w:cs="宋体"/>
          <w:bCs/>
          <w:color w:val="000000" w:themeColor="text1"/>
          <w:sz w:val="22"/>
          <w:szCs w:val="22"/>
          <w:highlight w:val="yellow"/>
          <w14:textFill>
            <w14:solidFill>
              <w14:schemeClr w14:val="tx1"/>
            </w14:solidFill>
          </w14:textFill>
        </w:rPr>
        <w:t>、颜色及位置按发包人要求；</w:t>
      </w:r>
    </w:p>
    <w:p>
      <w:pPr>
        <w:pStyle w:val="19"/>
        <w:ind w:firstLine="220"/>
        <w:rPr>
          <w:rFonts w:ascii="宋体" w:hAnsi="宋体" w:cs="宋体"/>
          <w:bCs/>
          <w:color w:val="000000" w:themeColor="text1"/>
          <w:sz w:val="22"/>
          <w:szCs w:val="22"/>
          <w14:textFill>
            <w14:solidFill>
              <w14:schemeClr w14:val="tx1"/>
            </w14:solidFill>
          </w14:textFill>
        </w:rPr>
      </w:pPr>
      <w:r>
        <w:rPr>
          <w:rFonts w:ascii="Cambria" w:hAnsi="Cambria" w:eastAsia="Times New Roman" w:cs="Cambria"/>
          <w:bCs/>
          <w:color w:val="000000" w:themeColor="text1"/>
          <w:kern w:val="2"/>
          <w:sz w:val="22"/>
          <w:szCs w:val="22"/>
          <w14:textFill>
            <w14:solidFill>
              <w14:schemeClr w14:val="tx1"/>
            </w14:solidFill>
          </w14:textFill>
        </w:rPr>
        <w:t xml:space="preserve"> </w:t>
      </w:r>
      <w:r>
        <w:rPr>
          <w:rFonts w:hint="eastAsia" w:hAnsi="Cambria"/>
          <w:bCs/>
          <w:color w:val="000000" w:themeColor="text1"/>
          <w:sz w:val="22"/>
          <w:szCs w:val="22"/>
          <w14:textFill>
            <w14:solidFill>
              <w14:schemeClr w14:val="tx1"/>
            </w14:solidFill>
          </w14:textFill>
        </w:rPr>
        <w:t>b</w:t>
      </w:r>
      <w:r>
        <w:rPr>
          <w:rFonts w:hint="eastAsia" w:ascii="宋体" w:hAnsi="宋体" w:cs="宋体"/>
          <w:bCs/>
          <w:color w:val="000000" w:themeColor="text1"/>
          <w:sz w:val="22"/>
          <w:szCs w:val="22"/>
          <w14:textFill>
            <w14:solidFill>
              <w14:schemeClr w14:val="tx1"/>
            </w14:solidFill>
          </w14:textFill>
        </w:rPr>
        <w:t>、</w:t>
      </w:r>
      <w:r>
        <w:rPr>
          <w:rFonts w:hint="eastAsia" w:ascii="宋体" w:hAnsi="宋体" w:cs="宋体"/>
          <w:bCs/>
          <w:color w:val="000000" w:themeColor="text1"/>
          <w:sz w:val="22"/>
          <w:szCs w:val="22"/>
          <w14:textFill>
            <w14:solidFill>
              <w14:schemeClr w14:val="tx1"/>
            </w14:solidFill>
          </w14:textFill>
        </w:rPr>
        <w:t>门窗及玻璃（色彩与外立面要协调）应满足节能及安全玻璃等相关规范要求，另外应控制门窗比为</w:t>
      </w:r>
      <w:r>
        <w:rPr>
          <w:rFonts w:hAnsi="Cambria"/>
          <w:bCs/>
          <w:color w:val="000000" w:themeColor="text1"/>
          <w:sz w:val="22"/>
          <w:szCs w:val="22"/>
          <w14:textFill>
            <w14:solidFill>
              <w14:schemeClr w14:val="tx1"/>
            </w14:solidFill>
          </w14:textFill>
        </w:rPr>
        <w:t>0.3-0.7</w:t>
      </w:r>
      <w:r>
        <w:rPr>
          <w:rFonts w:hint="eastAsia" w:ascii="宋体" w:hAnsi="宋体" w:cs="宋体"/>
          <w:bCs/>
          <w:color w:val="000000" w:themeColor="text1"/>
          <w:sz w:val="22"/>
          <w:szCs w:val="22"/>
          <w14:textFill>
            <w14:solidFill>
              <w14:schemeClr w14:val="tx1"/>
            </w14:solidFill>
          </w14:textFill>
        </w:rPr>
        <w:t>，严格控制大型落地窗；选用低辐射中空玻璃，严格控制单层玻璃幕墙；选用节能的断桥隔热铝合金门窗材料，如外门窗采用新型中空玻璃钢窗和节能户门，采用先进的充气多层窗，低发射率和热反射窗玻璃（具体结合发包人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c、</w:t>
      </w:r>
      <w:r>
        <w:rPr>
          <w:rFonts w:hint="eastAsia" w:hAnsi="Cambria"/>
          <w:bCs/>
          <w:color w:val="000000" w:themeColor="text1"/>
          <w:sz w:val="22"/>
          <w:szCs w:val="22"/>
          <w:u w:val="single"/>
          <w14:textFill>
            <w14:solidFill>
              <w14:schemeClr w14:val="tx1"/>
            </w14:solidFill>
          </w14:textFill>
        </w:rPr>
        <w:t>铝合金百叶窗（色彩与外立面要协调）</w:t>
      </w:r>
      <w:r>
        <w:rPr>
          <w:rFonts w:hint="eastAsia" w:hAnsi="Cambria"/>
          <w:bCs/>
          <w:color w:val="000000" w:themeColor="text1"/>
          <w:sz w:val="22"/>
          <w:szCs w:val="22"/>
          <w14:textFill>
            <w14:solidFill>
              <w14:schemeClr w14:val="tx1"/>
            </w14:solidFill>
          </w14:textFill>
        </w:rPr>
        <w:t>；</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d、室外栏杆采用铝合金玻璃栏板、室内栏杆栏板采用不锈钢。</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e、建筑外立面效果及外立面整体做法需经发包人确认，本次报价要充分考虑由此产生的费用风险，费用不予调整；</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f、室外所有构件都不得采用易锈蚀、氧化的材料，所有使用的材料应与设计年限有相同的使用寿命。</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（4）防水基本做法，防水层具体做法、材料及品牌须经招标人确认后实施：</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a、屋面预留孔洞四周都必须做20厘米高砼翻边，与屋面一起浇筑。</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b、防水材料采用反应粘结型高分子湿铺防水卷材和非固化现浇沥青防水涂料组合使用。</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c、屋面建筑找坡材料不得采用珍珠岩等易渗水材料。</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f、建筑＋500mm标高以下有防水要求的室内空间迎水面墙体都需砼浇筑。</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g、在外墙不同材料交接部分局部设置纤维网格布。</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（6）防水基本做法，防水层具体做法、材料及品牌须经招标人确认后实施：</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a、屋面预留孔洞四周都必须做20厘米高砼翻边，与屋面一起浇筑。</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b、防水材料采用反应粘结型高分子湿铺防水卷材和非固化现浇沥青防水涂料组合使用。</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c、屋面建筑找坡材料不得采用珍珠岩等易渗水材料。</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f、建筑＋500mm标高以下有防水要求的室内空间迎水面墙体都需砼浇筑。</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g、在外墙不同材料交接部分局部设置纤维网格布。</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（7）室外、地下室所有构件须采用防锈蚀、防氧化的材料。</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（8）纳入本次招标范围的一般内装修做法表</w:t>
      </w:r>
    </w:p>
    <w:tbl>
      <w:tblPr>
        <w:tblStyle w:val="45"/>
        <w:tblW w:w="953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17"/>
        <w:gridCol w:w="1258"/>
        <w:gridCol w:w="1073"/>
        <w:gridCol w:w="731"/>
        <w:gridCol w:w="1125"/>
        <w:gridCol w:w="1213"/>
        <w:gridCol w:w="1290"/>
        <w:gridCol w:w="1123"/>
        <w:gridCol w:w="80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层数</w:t>
            </w:r>
          </w:p>
        </w:tc>
        <w:tc>
          <w:tcPr>
            <w:tcW w:w="1258"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房间名称</w:t>
            </w:r>
          </w:p>
        </w:tc>
        <w:tc>
          <w:tcPr>
            <w:tcW w:w="107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楼地面</w:t>
            </w:r>
          </w:p>
        </w:tc>
        <w:tc>
          <w:tcPr>
            <w:tcW w:w="731"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踢线</w:t>
            </w:r>
          </w:p>
        </w:tc>
        <w:tc>
          <w:tcPr>
            <w:tcW w:w="1125"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墙裙</w:t>
            </w:r>
          </w:p>
        </w:tc>
        <w:tc>
          <w:tcPr>
            <w:tcW w:w="121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墙面</w:t>
            </w:r>
          </w:p>
        </w:tc>
        <w:tc>
          <w:tcPr>
            <w:tcW w:w="1290"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顶棚</w:t>
            </w:r>
          </w:p>
        </w:tc>
        <w:tc>
          <w:tcPr>
            <w:tcW w:w="112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门</w:t>
            </w:r>
          </w:p>
        </w:tc>
        <w:tc>
          <w:tcPr>
            <w:tcW w:w="802"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地下</w:t>
            </w:r>
          </w:p>
        </w:tc>
        <w:tc>
          <w:tcPr>
            <w:tcW w:w="1258"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配电间</w:t>
            </w:r>
          </w:p>
        </w:tc>
        <w:tc>
          <w:tcPr>
            <w:tcW w:w="107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细石混凝土地面</w:t>
            </w:r>
          </w:p>
        </w:tc>
        <w:tc>
          <w:tcPr>
            <w:tcW w:w="731"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125"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120</w:t>
            </w:r>
            <w:r>
              <w:rPr>
                <w:rFonts w:hint="eastAsia" w:hAnsi="Cambria"/>
                <w:bCs/>
                <w:color w:val="000000" w:themeColor="text1"/>
                <w:sz w:val="22"/>
                <w:szCs w:val="22"/>
                <w14:textFill>
                  <w14:solidFill>
                    <w14:schemeClr w14:val="tx1"/>
                  </w14:solidFill>
                </w14:textFill>
              </w:rPr>
              <w:t>水泥墙裙</w:t>
            </w:r>
          </w:p>
        </w:tc>
        <w:tc>
          <w:tcPr>
            <w:tcW w:w="121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白色防霉涂料吸音材料</w:t>
            </w:r>
          </w:p>
        </w:tc>
        <w:tc>
          <w:tcPr>
            <w:tcW w:w="1290"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白色防霉涂料吸音材料</w:t>
            </w:r>
          </w:p>
        </w:tc>
        <w:tc>
          <w:tcPr>
            <w:tcW w:w="112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防火门、隔音门</w:t>
            </w:r>
          </w:p>
        </w:tc>
        <w:tc>
          <w:tcPr>
            <w:tcW w:w="802"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水泵房</w:t>
            </w:r>
          </w:p>
        </w:tc>
        <w:tc>
          <w:tcPr>
            <w:tcW w:w="107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防火耐磨高级地坪漆</w:t>
            </w:r>
          </w:p>
        </w:tc>
        <w:tc>
          <w:tcPr>
            <w:tcW w:w="731"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125"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白色防霉涂料吸音材料</w:t>
            </w:r>
          </w:p>
        </w:tc>
        <w:tc>
          <w:tcPr>
            <w:tcW w:w="1290"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白色防霉涂料吸音材料</w:t>
            </w:r>
          </w:p>
        </w:tc>
        <w:tc>
          <w:tcPr>
            <w:tcW w:w="112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防火门</w:t>
            </w:r>
          </w:p>
        </w:tc>
        <w:tc>
          <w:tcPr>
            <w:tcW w:w="802"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机动车库</w:t>
            </w:r>
          </w:p>
        </w:tc>
        <w:tc>
          <w:tcPr>
            <w:tcW w:w="107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彩色硬化剂</w:t>
            </w:r>
          </w:p>
        </w:tc>
        <w:tc>
          <w:tcPr>
            <w:tcW w:w="731"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水性油漆</w:t>
            </w:r>
          </w:p>
        </w:tc>
        <w:tc>
          <w:tcPr>
            <w:tcW w:w="1125"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w:t>
            </w:r>
          </w:p>
        </w:tc>
        <w:tc>
          <w:tcPr>
            <w:tcW w:w="1290"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白色防霉涂料</w:t>
            </w:r>
          </w:p>
        </w:tc>
        <w:tc>
          <w:tcPr>
            <w:tcW w:w="1123"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802"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机动车坡道</w:t>
            </w:r>
          </w:p>
        </w:tc>
        <w:tc>
          <w:tcPr>
            <w:tcW w:w="107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花岗岩</w:t>
            </w:r>
          </w:p>
        </w:tc>
        <w:tc>
          <w:tcPr>
            <w:tcW w:w="731"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125"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花岗岩</w:t>
            </w:r>
          </w:p>
        </w:tc>
        <w:tc>
          <w:tcPr>
            <w:tcW w:w="1290"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1123"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c>
          <w:tcPr>
            <w:tcW w:w="802" w:type="dxa"/>
            <w:tcBorders>
              <w:top w:val="single" w:color="auto" w:sz="6" w:space="0"/>
              <w:left w:val="single" w:color="auto" w:sz="6" w:space="0"/>
              <w:bottom w:val="single" w:color="auto" w:sz="6" w:space="0"/>
              <w:right w:val="single" w:color="auto" w:sz="6" w:space="0"/>
            </w:tcBorders>
            <w:vAlign w:val="center"/>
          </w:tcPr>
          <w:p>
            <w:pPr>
              <w:ind w:firstLine="44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45" w:hRule="atLeast"/>
          <w:jc w:val="center"/>
        </w:trPr>
        <w:tc>
          <w:tcPr>
            <w:tcW w:w="917"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p>
            <w:pPr>
              <w:ind w:firstLine="440"/>
              <w:jc w:val="center"/>
              <w:rPr>
                <w:rFonts w:hAnsi="Cambria"/>
                <w:bCs/>
                <w:color w:val="000000" w:themeColor="text1"/>
                <w:sz w:val="22"/>
                <w:szCs w:val="22"/>
                <w14:textFill>
                  <w14:solidFill>
                    <w14:schemeClr w14:val="tx1"/>
                  </w14:solidFill>
                </w14:textFill>
              </w:rPr>
            </w:pPr>
          </w:p>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地上公共部分</w:t>
            </w:r>
          </w:p>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管道井</w:t>
            </w:r>
          </w:p>
        </w:tc>
        <w:tc>
          <w:tcPr>
            <w:tcW w:w="107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水泥砂浆地面</w:t>
            </w:r>
          </w:p>
        </w:tc>
        <w:tc>
          <w:tcPr>
            <w:tcW w:w="731"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c>
          <w:tcPr>
            <w:tcW w:w="1290"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c>
          <w:tcPr>
            <w:tcW w:w="112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防火门</w:t>
            </w:r>
          </w:p>
        </w:tc>
        <w:tc>
          <w:tcPr>
            <w:tcW w:w="802"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公共卫生间</w:t>
            </w:r>
          </w:p>
        </w:tc>
        <w:tc>
          <w:tcPr>
            <w:tcW w:w="107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防滑地砖</w:t>
            </w:r>
          </w:p>
        </w:tc>
        <w:tc>
          <w:tcPr>
            <w:tcW w:w="731"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面砖踢脚</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面砖</w:t>
            </w:r>
          </w:p>
        </w:tc>
        <w:tc>
          <w:tcPr>
            <w:tcW w:w="1290"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金属扣板吊顶</w:t>
            </w:r>
          </w:p>
        </w:tc>
        <w:tc>
          <w:tcPr>
            <w:tcW w:w="112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c>
          <w:tcPr>
            <w:tcW w:w="802"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917"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c>
          <w:tcPr>
            <w:tcW w:w="1258"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消控室</w:t>
            </w:r>
          </w:p>
        </w:tc>
        <w:tc>
          <w:tcPr>
            <w:tcW w:w="107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防静电架空地板</w:t>
            </w:r>
          </w:p>
        </w:tc>
        <w:tc>
          <w:tcPr>
            <w:tcW w:w="731"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c>
          <w:tcPr>
            <w:tcW w:w="121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白色乳胶漆饰面</w:t>
            </w:r>
          </w:p>
        </w:tc>
        <w:tc>
          <w:tcPr>
            <w:tcW w:w="1290"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0" w:firstLineChars="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穿孔金属扣板吊顶</w:t>
            </w:r>
          </w:p>
        </w:tc>
        <w:tc>
          <w:tcPr>
            <w:tcW w:w="1123"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钢制防火门</w:t>
            </w:r>
          </w:p>
        </w:tc>
        <w:tc>
          <w:tcPr>
            <w:tcW w:w="802" w:type="dxa"/>
            <w:tcBorders>
              <w:top w:val="single" w:color="auto" w:sz="6" w:space="0"/>
              <w:left w:val="single" w:color="auto" w:sz="6" w:space="0"/>
              <w:bottom w:val="single" w:color="auto" w:sz="6" w:space="0"/>
              <w:right w:val="single" w:color="auto" w:sz="6" w:space="0"/>
            </w:tcBorders>
            <w:shd w:val="clear" w:color="auto" w:fill="FFFFFF" w:themeFill="background1"/>
            <w:vAlign w:val="center"/>
          </w:tcPr>
          <w:p>
            <w:pPr>
              <w:ind w:firstLine="440"/>
              <w:jc w:val="center"/>
              <w:rPr>
                <w:rFonts w:hAnsi="Cambria"/>
                <w:bCs/>
                <w:color w:val="000000" w:themeColor="text1"/>
                <w:sz w:val="22"/>
                <w:szCs w:val="22"/>
                <w14:textFill>
                  <w14:solidFill>
                    <w14:schemeClr w14:val="tx1"/>
                  </w14:solidFill>
                </w14:textFill>
              </w:rPr>
            </w:pPr>
          </w:p>
        </w:tc>
      </w:tr>
    </w:tbl>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注：1）抛光砖地面采用带有防滑效果的抛光砖。</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2）地下室地面的耐磨地面采用彩色硬化剂，须满足规范要求，且耐磨地坪材料必须为同一批号，保证基本无色差。</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3）地</w:t>
      </w:r>
      <w:r>
        <w:rPr>
          <w:rFonts w:hint="eastAsia" w:hAnsi="Cambria"/>
          <w:bCs/>
          <w:color w:val="000000" w:themeColor="text1"/>
          <w:sz w:val="22"/>
          <w:szCs w:val="22"/>
          <w:highlight w:val="yellow"/>
          <w14:textFill>
            <w14:solidFill>
              <w14:schemeClr w14:val="tx1"/>
            </w14:solidFill>
          </w14:textFill>
        </w:rPr>
        <w:t>下室墙面及顶棚采用防霉抹灰，天棚屋顶设隔热保温层，采用保温挤塑聚苯乙烯泡沫塑料板</w:t>
      </w:r>
      <w:r>
        <w:rPr>
          <w:rFonts w:hAnsi="Cambria"/>
          <w:bCs/>
          <w:color w:val="000000" w:themeColor="text1"/>
          <w:sz w:val="22"/>
          <w:szCs w:val="22"/>
          <w:highlight w:val="yellow"/>
          <w14:textFill>
            <w14:solidFill>
              <w14:schemeClr w14:val="tx1"/>
            </w14:solidFill>
          </w14:textFill>
        </w:rPr>
        <w:t>35 厚</w:t>
      </w:r>
      <w:r>
        <w:rPr>
          <w:rFonts w:hint="eastAsia" w:hAnsi="Cambria"/>
          <w:bCs/>
          <w:color w:val="000000" w:themeColor="text1"/>
          <w:sz w:val="22"/>
          <w:szCs w:val="22"/>
          <w:highlight w:val="yellow"/>
          <w14:textFill>
            <w14:solidFill>
              <w14:schemeClr w14:val="tx1"/>
            </w14:solidFill>
          </w14:textFill>
        </w:rPr>
        <w:t>。</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4）入户门的品牌、系列、型号，按中档考虑并经发包人确认。</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5）公共厕所洁具、隔断配备齐全，设计需经发包人确认。</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w:t>
      </w:r>
      <w:r>
        <w:rPr>
          <w:rFonts w:hAnsi="Cambria"/>
          <w:bCs/>
          <w:color w:val="000000" w:themeColor="text1"/>
          <w:sz w:val="22"/>
          <w:szCs w:val="22"/>
          <w14:textFill>
            <w14:solidFill>
              <w14:schemeClr w14:val="tx1"/>
            </w14:solidFill>
          </w14:textFill>
        </w:rPr>
        <w:t>3</w:t>
      </w:r>
      <w:r>
        <w:rPr>
          <w:rFonts w:hint="eastAsia" w:ascii="宋体" w:hAnsi="宋体" w:eastAsia="宋体" w:cs="宋体"/>
          <w:bCs/>
          <w:color w:val="000000" w:themeColor="text1"/>
          <w:sz w:val="22"/>
          <w:szCs w:val="22"/>
          <w14:textFill>
            <w14:solidFill>
              <w14:schemeClr w14:val="tx1"/>
            </w14:solidFill>
          </w14:textFill>
        </w:rPr>
        <w:t>二次装修</w:t>
      </w:r>
    </w:p>
    <w:p>
      <w:pPr>
        <w:pStyle w:val="19"/>
        <w:ind w:firstLineChars="200"/>
        <w:rPr>
          <w:color w:val="000000" w:themeColor="text1"/>
          <w14:textFill>
            <w14:solidFill>
              <w14:schemeClr w14:val="tx1"/>
            </w14:solidFill>
          </w14:textFill>
        </w:rPr>
      </w:pPr>
      <w:r>
        <w:rPr>
          <w:rFonts w:hint="eastAsia"/>
          <w:color w:val="000000" w:themeColor="text1"/>
          <w:highlight w:val="green"/>
          <w14:textFill>
            <w14:solidFill>
              <w14:schemeClr w14:val="tx1"/>
            </w14:solidFill>
          </w14:textFill>
        </w:rPr>
        <w:t>详见初步设计方案（含二次装修的效果图、功能要求以及各种总平布局等）</w:t>
      </w:r>
    </w:p>
    <w:p>
      <w:pPr>
        <w:pStyle w:val="19"/>
        <w:ind w:firstLine="440" w:firstLineChars="200"/>
        <w:rPr>
          <w:color w:val="000000" w:themeColor="text1"/>
          <w14:textFill>
            <w14:solidFill>
              <w14:schemeClr w14:val="tx1"/>
            </w14:solidFill>
          </w14:textFill>
        </w:rPr>
      </w:pPr>
      <w:r>
        <w:rPr>
          <w:rFonts w:hint="eastAsia"/>
          <w:bCs/>
          <w:color w:val="000000" w:themeColor="text1"/>
          <w:sz w:val="22"/>
          <w:szCs w:val="22"/>
          <w14:textFill>
            <w14:solidFill>
              <w14:schemeClr w14:val="tx1"/>
            </w14:solidFill>
          </w14:textFill>
        </w:rPr>
        <w:t>1.2.</w:t>
      </w:r>
      <w:r>
        <w:rPr>
          <w:bCs/>
          <w:color w:val="000000" w:themeColor="text1"/>
          <w:sz w:val="22"/>
          <w:szCs w:val="22"/>
          <w14:textFill>
            <w14:solidFill>
              <w14:schemeClr w14:val="tx1"/>
            </w14:solidFill>
          </w14:textFill>
        </w:rPr>
        <w:t>4</w:t>
      </w:r>
      <w:r>
        <w:rPr>
          <w:rFonts w:hint="eastAsia" w:ascii="宋体" w:hAnsi="宋体" w:cs="宋体"/>
          <w:bCs/>
          <w:color w:val="000000" w:themeColor="text1"/>
          <w:sz w:val="22"/>
          <w:szCs w:val="22"/>
          <w14:textFill>
            <w14:solidFill>
              <w14:schemeClr w14:val="tx1"/>
            </w14:solidFill>
          </w14:textFill>
        </w:rPr>
        <w:t>通风工程</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1、本养老院设置变冷媒流量多联机空调系统（VRF）中央空调系统。经初步计算，夏季总冷负荷约为2000KW，冬季总热负荷约为1450KW。每栋单层大概按900方，设置一台32匹室外机，制冷量90kw 。空调室外机每层单独设置于设备平台上，室外机保证良好的通风环境，当采用百叶进风时，百叶开口率不低于80%。</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2、室内各房间均采用风管式室内机卧式暗装。风口采用侧面出风或顶部送风。为保证室内空气质量，按人员所需新风量设置新风处理机组，新风入口设置初、中效过滤及杀菌装置。</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地下汽车库按防火分区分别设机械排风与排烟合用的系统，排风量按6次/h换气计算，有汽车坡道等其它自然进风条件的防火分区，采用自然进风，不具备自然补风条件的防火分区，设机械送风系统，风量按5次/h换气计算。</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4、地下车库设机械排风兼排烟系统，补风量不小于排烟量的50%。</w:t>
      </w:r>
    </w:p>
    <w:p>
      <w:pPr>
        <w:ind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w:t>
      </w:r>
      <w:r>
        <w:rPr>
          <w:rFonts w:hAnsi="Cambria"/>
          <w:bCs/>
          <w:color w:val="000000" w:themeColor="text1"/>
          <w:sz w:val="22"/>
          <w:szCs w:val="22"/>
          <w14:textFill>
            <w14:solidFill>
              <w14:schemeClr w14:val="tx1"/>
            </w14:solidFill>
          </w14:textFill>
        </w:rPr>
        <w:t>5</w:t>
      </w:r>
      <w:r>
        <w:rPr>
          <w:rFonts w:hint="eastAsia" w:ascii="宋体" w:hAnsi="宋体" w:eastAsia="宋体" w:cs="宋体"/>
          <w:bCs/>
          <w:color w:val="000000" w:themeColor="text1"/>
          <w:sz w:val="22"/>
          <w:szCs w:val="22"/>
          <w14:textFill>
            <w14:solidFill>
              <w14:schemeClr w14:val="tx1"/>
            </w14:solidFill>
          </w14:textFill>
        </w:rPr>
        <w:t>弱电工程</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1、综合布线子系统：本工程在弱电机房内设置通信机房。本系统采用PDS（综合布线系统）作为语音、数据及图像通信的传输媒质。主干线采用大对数单模光纤布线。水平区拟采用单模光缆。</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2、计算机网络子系统（局域网）：局域网平台，以综合布线系统为基础，通过光结点、铜缆综合布线系统，实现综合信息Web服务器的信息查询和浏览。建立Internet代理服务器（ISP），可实现Internet信息下载和园区综合服务信息的Web发布与浏览。</w:t>
      </w:r>
    </w:p>
    <w:p>
      <w:pPr>
        <w:pStyle w:val="19"/>
        <w:ind w:firstLineChars="200"/>
        <w:rPr>
          <w:color w:val="000000" w:themeColor="text1"/>
          <w14:textFill>
            <w14:solidFill>
              <w14:schemeClr w14:val="tx1"/>
            </w14:solidFill>
          </w14:textFill>
        </w:rPr>
      </w:pPr>
      <w:r>
        <w:rPr>
          <w:color w:val="000000" w:themeColor="text1"/>
          <w14:textFill>
            <w14:solidFill>
              <w14:schemeClr w14:val="tx1"/>
            </w14:solidFill>
          </w14:textFill>
        </w:rPr>
        <w:t>3、有线电视子系统</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1）网络结构：电缆干线采用中心分配的星型结构，系统采用AC220V电源供电，用户分配网采用光接收机加大分配器的形式分配到终端。</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2） 电缆选型及敷设：有线电视机房进线采用光缆，支干线线缆采用SYWLY-75-12、SYWLY-75-9铝管外导体聚乙烯护套物理发泡同轴电缆；用户分配系统线缆采用四屏蔽SYWV-75-5物理发泡聚乙烯护套同轴电缆。室内主干线缆、层间线缆采用金属线槽敷设，放大箱、集线器箱和分支分配箱均采用不锈钢箱体。有线电视系统有源设备接地均采用原有建筑综合接地体，接地电阻小于等于1欧姆。</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4、公共广播子系统：公共广播系统分为背景音乐、公共广播、消防广播，提供背景音乐和广播通知，营造一个轻松舒适的工作、生活环境，并且在遇到火灾等紧急情况时，能够由消防系统联动迅速做出反应，安排人员撤离。本系统由节目源设备、信号放大器和处理设备、传输线路和扬声器系统四部分给成。</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5、周界防越报警子系统：在园区周界安装主动红外对射探测器来对小区的周界进行防护，在设防条件下，人员入侵将报警，并且主机将把报警信号传送到电视监控系统联动开启摄像机进行监视及录像。</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6、视频安防监控子系统：本工程在各出入口、主干道、电梯轿厢、地下室车库主要通道、地下室车库出入口、一层出入口及电梯前室、公共景观区等公共场所设置视频安防监控点，各监控点的图像信号，通过传输送往监控中心。本工程安防系统机房拟统一设置在消控室内。系统架构采用全数字监控系统，前端采用IP摄像机，全部信号都通过专门配设的智能化专用信息网络系统传输。安防系统机房内配设数字化视频联网管理平台，对整个视频安防监控系统进行集中监控、管理，并实现与入侵报警系统的联动。</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7、电子巡更子系统：在地块适当位置设置巡更点，规定保安人员巡更路线和巡更时间，当保安人员到达某巡更站时对巡更点信息进行读取，返回中心后，将巡更棒内的信息下载至管理中心主机，系统就会得到保安人员巡更信息，对巡更起到科学的管理及监督作用</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8、停车场管理子系统：系统采用基于车牌识别的车辆出入口控制与管理系统，配合车辆高清智能识别摄像机以及爆闪灯设备，整套系统是集车牌识别、驾出入口控制等功能于一体的综合性管控系统。</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9、电梯五方对讲系统：电梯五方对讲系统由监控中心主机、机房主机、轿厢分机、电梯对讲机电源等构成。实现相互之间的呼叫通话，以及多个电梯对讲子系统由监控中心主机集中管理等功能</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10、机房工程：机房内接地包括机房内所有设备壳体的保护接地，静电地板、铝塑板墙面、铝扣板天花及龙骨、日光灯盘等接地，采用紫铜板沿机房静电地板之下环绕安装构成均压带系统，使各种设备的接地能够就近连接。机房防雷系统主要考虑配电系统防雷，采用二级防雷与三级防雷混合使用的方式，有效地防止雷电流的入侵，保护用电设备</w:t>
      </w:r>
    </w:p>
    <w:p>
      <w:pPr>
        <w:pStyle w:val="19"/>
        <w:ind w:firstLine="210"/>
        <w:rPr>
          <w:color w:val="000000" w:themeColor="text1"/>
          <w14:textFill>
            <w14:solidFill>
              <w14:schemeClr w14:val="tx1"/>
            </w14:solidFill>
          </w14:textFill>
        </w:rPr>
      </w:pPr>
      <w:r>
        <w:rPr>
          <w:color w:val="000000" w:themeColor="text1"/>
          <w14:textFill>
            <w14:solidFill>
              <w14:schemeClr w14:val="tx1"/>
            </w14:solidFill>
          </w14:textFill>
        </w:rPr>
        <w:t>11、电源及防雷接地工程：通信机房和监控室为重要负荷，要求电气专业提供专用三相回路，并在前端设置漏电保护和浪涌电压保护。在通信机房和监控室内设计弱电专用配电箱。所有弱电系统供电采用专用电源回路供电，在弱电设备电源进线端设置限压型SPD作为第三级保护。</w:t>
      </w:r>
    </w:p>
    <w:p>
      <w:pPr>
        <w:pStyle w:val="20"/>
        <w:ind w:left="7000" w:firstLine="560"/>
        <w:rPr>
          <w:color w:val="000000" w:themeColor="text1"/>
          <w14:textFill>
            <w14:solidFill>
              <w14:schemeClr w14:val="tx1"/>
            </w14:solidFill>
          </w14:textFill>
        </w:rPr>
      </w:pPr>
    </w:p>
    <w:p>
      <w:pPr>
        <w:ind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w:t>
      </w:r>
      <w:r>
        <w:rPr>
          <w:rFonts w:hAnsi="Cambria"/>
          <w:bCs/>
          <w:color w:val="000000" w:themeColor="text1"/>
          <w:sz w:val="22"/>
          <w:szCs w:val="22"/>
          <w14:textFill>
            <w14:solidFill>
              <w14:schemeClr w14:val="tx1"/>
            </w14:solidFill>
          </w14:textFill>
        </w:rPr>
        <w:t>6</w:t>
      </w:r>
      <w:r>
        <w:rPr>
          <w:rFonts w:hint="eastAsia" w:ascii="宋体" w:hAnsi="宋体" w:eastAsia="宋体" w:cs="宋体"/>
          <w:bCs/>
          <w:color w:val="000000" w:themeColor="text1"/>
          <w:sz w:val="22"/>
          <w:szCs w:val="22"/>
          <w14:textFill>
            <w14:solidFill>
              <w14:schemeClr w14:val="tx1"/>
            </w14:solidFill>
          </w14:textFill>
        </w:rPr>
        <w:t>变配电</w:t>
      </w:r>
    </w:p>
    <w:p>
      <w:pPr>
        <w:pStyle w:val="19"/>
        <w:ind w:firstLineChars="200"/>
        <w:rPr>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本项目变配电设计采购施工由发包人另行发包</w:t>
      </w:r>
      <w:r>
        <w:rPr>
          <w:color w:val="000000" w:themeColor="text1"/>
          <w:highlight w:val="yellow"/>
          <w14:textFill>
            <w14:solidFill>
              <w14:schemeClr w14:val="tx1"/>
            </w14:solidFill>
          </w14:textFill>
        </w:rPr>
        <w:t>。</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w:t>
      </w:r>
      <w:r>
        <w:rPr>
          <w:rFonts w:hAnsi="Cambria"/>
          <w:bCs/>
          <w:color w:val="000000" w:themeColor="text1"/>
          <w:sz w:val="22"/>
          <w:szCs w:val="22"/>
          <w14:textFill>
            <w14:solidFill>
              <w14:schemeClr w14:val="tx1"/>
            </w14:solidFill>
          </w14:textFill>
        </w:rPr>
        <w:t>7</w:t>
      </w:r>
      <w:r>
        <w:rPr>
          <w:rFonts w:hint="eastAsia" w:hAnsi="Cambria"/>
          <w:bCs/>
          <w:color w:val="000000" w:themeColor="text1"/>
          <w:sz w:val="22"/>
          <w:szCs w:val="22"/>
          <w14:textFill>
            <w14:solidFill>
              <w14:schemeClr w14:val="tx1"/>
            </w14:solidFill>
          </w14:textFill>
        </w:rPr>
        <w:t>给排水、消防系统</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要求同“三、设计</w:t>
      </w:r>
      <w:r>
        <w:rPr>
          <w:rFonts w:hint="eastAsia" w:ascii="宋体" w:hAnsi="宋体" w:eastAsia="宋体" w:cs="宋体"/>
          <w:bCs/>
          <w:color w:val="000000" w:themeColor="text1"/>
          <w:sz w:val="22"/>
          <w:szCs w:val="22"/>
          <w14:textFill>
            <w14:solidFill>
              <w14:schemeClr w14:val="tx1"/>
            </w14:solidFill>
          </w14:textFill>
        </w:rPr>
        <w:t>及相关</w:t>
      </w:r>
      <w:r>
        <w:rPr>
          <w:rFonts w:hint="eastAsia" w:hAnsi="Cambria"/>
          <w:bCs/>
          <w:color w:val="000000" w:themeColor="text1"/>
          <w:sz w:val="22"/>
          <w:szCs w:val="22"/>
          <w14:textFill>
            <w14:solidFill>
              <w14:schemeClr w14:val="tx1"/>
            </w14:solidFill>
          </w14:textFill>
        </w:rPr>
        <w:t>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w:t>
      </w:r>
      <w:r>
        <w:rPr>
          <w:rFonts w:hAnsi="Cambria"/>
          <w:bCs/>
          <w:color w:val="000000" w:themeColor="text1"/>
          <w:sz w:val="22"/>
          <w:szCs w:val="22"/>
          <w14:textFill>
            <w14:solidFill>
              <w14:schemeClr w14:val="tx1"/>
            </w14:solidFill>
          </w14:textFill>
        </w:rPr>
        <w:t>8</w:t>
      </w:r>
      <w:r>
        <w:rPr>
          <w:rFonts w:hint="eastAsia" w:hAnsi="Cambria"/>
          <w:bCs/>
          <w:color w:val="000000" w:themeColor="text1"/>
          <w:sz w:val="22"/>
          <w:szCs w:val="22"/>
          <w14:textFill>
            <w14:solidFill>
              <w14:schemeClr w14:val="tx1"/>
            </w14:solidFill>
          </w14:textFill>
        </w:rPr>
        <w:t>照明、电力、防雷工程</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要求同“三、设计</w:t>
      </w:r>
      <w:r>
        <w:rPr>
          <w:rFonts w:hint="eastAsia" w:ascii="宋体" w:hAnsi="宋体" w:eastAsia="宋体" w:cs="宋体"/>
          <w:bCs/>
          <w:color w:val="000000" w:themeColor="text1"/>
          <w:sz w:val="22"/>
          <w:szCs w:val="22"/>
          <w14:textFill>
            <w14:solidFill>
              <w14:schemeClr w14:val="tx1"/>
            </w14:solidFill>
          </w14:textFill>
        </w:rPr>
        <w:t>及相关</w:t>
      </w:r>
      <w:r>
        <w:rPr>
          <w:rFonts w:hint="eastAsia" w:hAnsi="Cambria"/>
          <w:bCs/>
          <w:color w:val="000000" w:themeColor="text1"/>
          <w:sz w:val="22"/>
          <w:szCs w:val="22"/>
          <w14:textFill>
            <w14:solidFill>
              <w14:schemeClr w14:val="tx1"/>
            </w14:solidFill>
          </w14:textFill>
        </w:rPr>
        <w:t>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1.2.8</w:t>
      </w:r>
      <w:r>
        <w:rPr>
          <w:rFonts w:hint="eastAsia" w:ascii="宋体" w:hAnsi="宋体" w:eastAsia="宋体" w:cs="宋体"/>
          <w:bCs/>
          <w:color w:val="000000" w:themeColor="text1"/>
          <w:sz w:val="22"/>
          <w:szCs w:val="22"/>
          <w14:textFill>
            <w14:solidFill>
              <w14:schemeClr w14:val="tx1"/>
            </w14:solidFill>
          </w14:textFill>
        </w:rPr>
        <w:t>电</w:t>
      </w:r>
      <w:r>
        <w:rPr>
          <w:rFonts w:hint="eastAsia" w:hAnsi="Cambria"/>
          <w:bCs/>
          <w:color w:val="000000" w:themeColor="text1"/>
          <w:sz w:val="22"/>
          <w:szCs w:val="22"/>
          <w14:textFill>
            <w14:solidFill>
              <w14:schemeClr w14:val="tx1"/>
            </w14:solidFill>
          </w14:textFill>
        </w:rPr>
        <w:t>梯</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每幢楼均设置一部</w:t>
      </w:r>
      <w:r>
        <w:rPr>
          <w:rFonts w:hAnsi="Cambria"/>
          <w:bCs/>
          <w:color w:val="000000" w:themeColor="text1"/>
          <w:sz w:val="22"/>
          <w:szCs w:val="22"/>
          <w14:textFill>
            <w14:solidFill>
              <w14:schemeClr w14:val="tx1"/>
            </w14:solidFill>
          </w14:textFill>
        </w:rPr>
        <w:t>1.6T</w:t>
      </w:r>
      <w:r>
        <w:rPr>
          <w:rFonts w:hint="eastAsia" w:ascii="宋体" w:hAnsi="宋体" w:eastAsia="宋体" w:cs="宋体"/>
          <w:bCs/>
          <w:color w:val="000000" w:themeColor="text1"/>
          <w:sz w:val="22"/>
          <w:szCs w:val="22"/>
          <w14:textFill>
            <w14:solidFill>
              <w14:schemeClr w14:val="tx1"/>
            </w14:solidFill>
          </w14:textFill>
        </w:rPr>
        <w:t>的担架电梯及</w:t>
      </w:r>
      <w:r>
        <w:rPr>
          <w:rFonts w:hAnsi="Cambria"/>
          <w:bCs/>
          <w:color w:val="000000" w:themeColor="text1"/>
          <w:sz w:val="22"/>
          <w:szCs w:val="22"/>
          <w14:textFill>
            <w14:solidFill>
              <w14:schemeClr w14:val="tx1"/>
            </w14:solidFill>
          </w14:textFill>
        </w:rPr>
        <w:t>1.05T</w:t>
      </w:r>
      <w:r>
        <w:rPr>
          <w:rFonts w:hint="eastAsia" w:ascii="宋体" w:hAnsi="宋体" w:eastAsia="宋体" w:cs="宋体"/>
          <w:bCs/>
          <w:color w:val="000000" w:themeColor="text1"/>
          <w:sz w:val="22"/>
          <w:szCs w:val="22"/>
          <w14:textFill>
            <w14:solidFill>
              <w14:schemeClr w14:val="tx1"/>
            </w14:solidFill>
          </w14:textFill>
        </w:rPr>
        <w:t>的后勤电梯，速度应达到</w:t>
      </w:r>
      <w:r>
        <w:rPr>
          <w:rFonts w:hAnsi="Cambria"/>
          <w:bCs/>
          <w:color w:val="000000" w:themeColor="text1"/>
          <w:sz w:val="22"/>
          <w:szCs w:val="22"/>
          <w14:textFill>
            <w14:solidFill>
              <w14:schemeClr w14:val="tx1"/>
            </w14:solidFill>
          </w14:textFill>
        </w:rPr>
        <w:t>1.75m/s</w:t>
      </w:r>
      <w:r>
        <w:rPr>
          <w:rFonts w:hint="eastAsia" w:ascii="宋体" w:hAnsi="宋体" w:eastAsia="宋体" w:cs="宋体"/>
          <w:bCs/>
          <w:color w:val="000000" w:themeColor="text1"/>
          <w:sz w:val="22"/>
          <w:szCs w:val="22"/>
          <w14:textFill>
            <w14:solidFill>
              <w14:schemeClr w14:val="tx1"/>
            </w14:solidFill>
          </w14:textFill>
        </w:rPr>
        <w:t>。具体要求同招标人提供的初步设计方案及招标文件相关要求。</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ascii="宋体" w:hAnsi="宋体" w:eastAsia="宋体" w:cs="宋体"/>
          <w:bCs/>
          <w:color w:val="000000" w:themeColor="text1"/>
          <w:sz w:val="22"/>
          <w:szCs w:val="22"/>
          <w14:textFill>
            <w14:solidFill>
              <w14:schemeClr w14:val="tx1"/>
            </w14:solidFill>
          </w14:textFill>
        </w:rPr>
        <w:t>1.2.9电动汽车充电桩</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ascii="宋体" w:hAnsi="宋体" w:eastAsia="宋体" w:cs="宋体"/>
          <w:bCs/>
          <w:color w:val="000000" w:themeColor="text1"/>
          <w:sz w:val="22"/>
          <w:szCs w:val="22"/>
          <w14:textFill>
            <w14:solidFill>
              <w14:schemeClr w14:val="tx1"/>
            </w14:solidFill>
          </w14:textFill>
        </w:rPr>
        <w:t>（1）符合电动汽车分散充电设施工程技术标准 GBT 51313-2018；</w:t>
      </w:r>
    </w:p>
    <w:p>
      <w:pPr>
        <w:spacing w:line="400" w:lineRule="exact"/>
        <w:ind w:left="28" w:leftChars="10" w:firstLine="440"/>
        <w:rPr>
          <w:rFonts w:ascii="宋体" w:hAnsi="宋体" w:eastAsia="宋体" w:cs="宋体"/>
          <w:bCs/>
          <w:color w:val="000000" w:themeColor="text1"/>
          <w:sz w:val="22"/>
          <w:szCs w:val="22"/>
          <w14:textFill>
            <w14:solidFill>
              <w14:schemeClr w14:val="tx1"/>
            </w14:solidFill>
          </w14:textFill>
        </w:rPr>
      </w:pPr>
      <w:r>
        <w:rPr>
          <w:rFonts w:ascii="宋体" w:hAnsi="宋体" w:eastAsia="宋体" w:cs="宋体"/>
          <w:bCs/>
          <w:color w:val="000000" w:themeColor="text1"/>
          <w:sz w:val="22"/>
          <w:szCs w:val="22"/>
          <w:highlight w:val="yellow"/>
          <w14:textFill>
            <w14:solidFill>
              <w14:schemeClr w14:val="tx1"/>
            </w14:solidFill>
          </w14:textFill>
        </w:rPr>
        <w:t>（2）电动汽车</w:t>
      </w:r>
      <w:r>
        <w:rPr>
          <w:rFonts w:hint="eastAsia" w:ascii="宋体" w:hAnsi="宋体" w:eastAsia="宋体" w:cs="宋体"/>
          <w:bCs/>
          <w:color w:val="000000" w:themeColor="text1"/>
          <w:sz w:val="22"/>
          <w:szCs w:val="22"/>
          <w:highlight w:val="yellow"/>
          <w14:textFill>
            <w14:solidFill>
              <w14:schemeClr w14:val="tx1"/>
            </w14:solidFill>
          </w14:textFill>
        </w:rPr>
        <w:t>慢</w:t>
      </w:r>
      <w:r>
        <w:rPr>
          <w:rFonts w:ascii="宋体" w:hAnsi="宋体" w:eastAsia="宋体" w:cs="宋体"/>
          <w:bCs/>
          <w:color w:val="000000" w:themeColor="text1"/>
          <w:sz w:val="22"/>
          <w:szCs w:val="22"/>
          <w:highlight w:val="yellow"/>
          <w14:textFill>
            <w14:solidFill>
              <w14:schemeClr w14:val="tx1"/>
            </w14:solidFill>
          </w14:textFill>
        </w:rPr>
        <w:t>充</w:t>
      </w:r>
      <w:r>
        <w:rPr>
          <w:rFonts w:hint="eastAsia" w:ascii="宋体" w:hAnsi="宋体" w:eastAsia="宋体" w:cs="宋体"/>
          <w:bCs/>
          <w:color w:val="000000" w:themeColor="text1"/>
          <w:sz w:val="22"/>
          <w:szCs w:val="22"/>
          <w:highlight w:val="yellow"/>
          <w14:textFill>
            <w14:solidFill>
              <w14:schemeClr w14:val="tx1"/>
            </w14:solidFill>
          </w14:textFill>
        </w:rPr>
        <w:t>停车位数量不少于2台，</w:t>
      </w:r>
      <w:r>
        <w:rPr>
          <w:rFonts w:ascii="宋体" w:hAnsi="宋体" w:eastAsia="宋体" w:cs="宋体"/>
          <w:bCs/>
          <w:color w:val="000000" w:themeColor="text1"/>
          <w:sz w:val="22"/>
          <w:szCs w:val="22"/>
          <w:highlight w:val="yellow"/>
          <w14:textFill>
            <w14:solidFill>
              <w14:schemeClr w14:val="tx1"/>
            </w14:solidFill>
          </w14:textFill>
        </w:rPr>
        <w:t>快充停车位数量</w:t>
      </w:r>
      <w:r>
        <w:rPr>
          <w:rFonts w:hint="eastAsia" w:ascii="宋体" w:hAnsi="宋体" w:eastAsia="宋体" w:cs="宋体"/>
          <w:bCs/>
          <w:color w:val="000000" w:themeColor="text1"/>
          <w:sz w:val="22"/>
          <w:szCs w:val="22"/>
          <w:highlight w:val="yellow"/>
          <w14:textFill>
            <w14:solidFill>
              <w14:schemeClr w14:val="tx1"/>
            </w14:solidFill>
          </w14:textFill>
        </w:rPr>
        <w:t>不少于1台</w:t>
      </w:r>
      <w:r>
        <w:rPr>
          <w:rFonts w:ascii="宋体" w:hAnsi="宋体" w:eastAsia="宋体" w:cs="宋体"/>
          <w:bCs/>
          <w:color w:val="000000" w:themeColor="text1"/>
          <w:sz w:val="22"/>
          <w:szCs w:val="22"/>
          <w:highlight w:val="yellow"/>
          <w14:textFill>
            <w14:solidFill>
              <w14:schemeClr w14:val="tx1"/>
            </w14:solidFill>
          </w14:textFill>
        </w:rPr>
        <w:t>。</w:t>
      </w:r>
    </w:p>
    <w:p>
      <w:pPr>
        <w:pStyle w:val="19"/>
        <w:ind w:firstLine="210"/>
        <w:rPr>
          <w:rFonts w:hAnsi="Cambria"/>
          <w:bCs/>
          <w:color w:val="000000" w:themeColor="text1"/>
          <w:sz w:val="22"/>
          <w:szCs w:val="22"/>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hAnsi="Cambria"/>
          <w:bCs/>
          <w:color w:val="000000" w:themeColor="text1"/>
          <w:sz w:val="22"/>
          <w:szCs w:val="22"/>
          <w14:textFill>
            <w14:solidFill>
              <w14:schemeClr w14:val="tx1"/>
            </w14:solidFill>
          </w14:textFill>
        </w:rPr>
        <w:t>2、室外工程</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2.1室外工程总体功能要求</w:t>
      </w:r>
    </w:p>
    <w:p>
      <w:pPr>
        <w:spacing w:line="400" w:lineRule="exact"/>
        <w:ind w:left="28" w:leftChars="10"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室外工程总体功能要求表</w:t>
      </w:r>
    </w:p>
    <w:tbl>
      <w:tblPr>
        <w:tblStyle w:val="45"/>
        <w:tblW w:w="9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项目内容</w:t>
            </w:r>
          </w:p>
        </w:tc>
        <w:tc>
          <w:tcPr>
            <w:tcW w:w="6202" w:type="dxa"/>
            <w:vAlign w:val="center"/>
          </w:tcPr>
          <w:p>
            <w:pPr>
              <w:spacing w:line="400" w:lineRule="exact"/>
              <w:ind w:left="28" w:leftChars="10" w:firstLine="440"/>
              <w:jc w:val="center"/>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场地平整</w:t>
            </w:r>
          </w:p>
        </w:tc>
        <w:tc>
          <w:tcPr>
            <w:tcW w:w="6202" w:type="dxa"/>
            <w:vAlign w:val="center"/>
          </w:tcPr>
          <w:p>
            <w:pPr>
              <w:spacing w:line="400" w:lineRule="exact"/>
              <w:ind w:left="28" w:leftChars="10" w:firstLine="440"/>
              <w:jc w:val="left"/>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由投标人现场踏勘，用地范围内全部由中标人负责完成。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道路</w:t>
            </w:r>
            <w:r>
              <w:rPr>
                <w:rFonts w:hint="eastAsia" w:ascii="宋体" w:hAnsi="宋体" w:eastAsia="宋体" w:cs="宋体"/>
                <w:bCs/>
                <w:color w:val="000000" w:themeColor="text1"/>
                <w:sz w:val="22"/>
                <w:szCs w:val="22"/>
                <w14:textFill>
                  <w14:solidFill>
                    <w14:schemeClr w14:val="tx1"/>
                  </w14:solidFill>
                </w14:textFill>
              </w:rPr>
              <w:t>及</w:t>
            </w:r>
            <w:r>
              <w:rPr>
                <w:rFonts w:hint="eastAsia" w:hAnsi="Cambria"/>
                <w:bCs/>
                <w:color w:val="000000" w:themeColor="text1"/>
                <w:sz w:val="22"/>
                <w:szCs w:val="22"/>
                <w14:textFill>
                  <w14:solidFill>
                    <w14:schemeClr w14:val="tx1"/>
                  </w14:solidFill>
                </w14:textFill>
              </w:rPr>
              <w:t>广场</w:t>
            </w:r>
          </w:p>
        </w:tc>
        <w:tc>
          <w:tcPr>
            <w:tcW w:w="62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绿化</w:t>
            </w:r>
          </w:p>
        </w:tc>
        <w:tc>
          <w:tcPr>
            <w:tcW w:w="62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按照国家、地方现行施工规范，并结合发包人要求实施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室外水电</w:t>
            </w:r>
          </w:p>
        </w:tc>
        <w:tc>
          <w:tcPr>
            <w:tcW w:w="62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按照国家、地方现行施工规范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围墙和大门</w:t>
            </w:r>
          </w:p>
        </w:tc>
        <w:tc>
          <w:tcPr>
            <w:tcW w:w="6202" w:type="dxa"/>
            <w:vAlign w:val="center"/>
          </w:tcPr>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　按照国家、地方现行施工规范，并结合发包人要求实施</w:t>
            </w:r>
          </w:p>
        </w:tc>
      </w:tr>
    </w:tbl>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注：相关技术参数见本文相关说明。</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2.2室外工程主要施工要求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2.2.1</w:t>
      </w:r>
      <w:r>
        <w:rPr>
          <w:rFonts w:hint="eastAsia" w:hAnsi="Cambria"/>
          <w:bCs/>
          <w:color w:val="000000" w:themeColor="text1"/>
          <w:sz w:val="22"/>
          <w:szCs w:val="22"/>
          <w:highlight w:val="yellow"/>
          <w14:textFill>
            <w14:solidFill>
              <w14:schemeClr w14:val="tx1"/>
            </w14:solidFill>
          </w14:textFill>
        </w:rPr>
        <w:t>场地填方</w:t>
      </w:r>
      <w:r>
        <w:rPr>
          <w:rFonts w:hint="eastAsia" w:ascii="宋体" w:hAnsi="宋体" w:eastAsia="宋体" w:cs="宋体"/>
          <w:bCs/>
          <w:color w:val="000000" w:themeColor="text1"/>
          <w:sz w:val="22"/>
          <w:szCs w:val="22"/>
          <w14:textFill>
            <w14:solidFill>
              <w14:schemeClr w14:val="tx1"/>
            </w14:solidFill>
          </w14:textFill>
        </w:rPr>
        <w:t>平整：由投标人现场踏勘，用地范围内所有相关的场地填方平整工作，包括原有地下障碍物、地面障碍物等处理工作全部由中标人负责完成（原则上原有地下障碍物、地面障碍物及地质情况按招标人提供的勘察报告等进行费用包干，如今后出现地质或地下情况特别复杂经上报发包人组织专家认证确认后予以调整；上述风险由投标人自行考虑并承担相应费用）。</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2.2.2道路</w:t>
      </w:r>
      <w:r>
        <w:rPr>
          <w:rFonts w:hint="eastAsia" w:ascii="宋体" w:hAnsi="宋体" w:eastAsia="宋体" w:cs="宋体"/>
          <w:bCs/>
          <w:color w:val="000000" w:themeColor="text1"/>
          <w:sz w:val="22"/>
          <w:szCs w:val="22"/>
          <w14:textFill>
            <w14:solidFill>
              <w14:schemeClr w14:val="tx1"/>
            </w14:solidFill>
          </w14:textFill>
        </w:rPr>
        <w:t>及</w:t>
      </w:r>
      <w:r>
        <w:rPr>
          <w:rFonts w:hint="eastAsia" w:hAnsi="Cambria"/>
          <w:bCs/>
          <w:color w:val="000000" w:themeColor="text1"/>
          <w:sz w:val="22"/>
          <w:szCs w:val="22"/>
          <w14:textFill>
            <w14:solidFill>
              <w14:schemeClr w14:val="tx1"/>
            </w14:solidFill>
          </w14:textFill>
        </w:rPr>
        <w:t>广场：按照国家、地方现行施工规范，其他要求同“三、设计要求”。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1、道路结构层厚度、压实度和平整度满足规范要求，施工时采用摊铺机铺路面，保证厚度一直、碾压平整和各部位碾压密实。</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2、室外铺设广场应采用石材，庭院内游步道应采用防腐木及卵石，车行道为沥青路面等。</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2.2.3绿化景观：</w:t>
      </w:r>
      <w:r>
        <w:rPr>
          <w:rFonts w:hint="eastAsia" w:hAnsi="Cambria"/>
          <w:bCs/>
          <w:color w:val="000000" w:themeColor="text1"/>
          <w:sz w:val="22"/>
          <w:szCs w:val="22"/>
          <w:highlight w:val="yellow"/>
          <w:u w:val="single"/>
          <w14:textFill>
            <w14:solidFill>
              <w14:schemeClr w14:val="tx1"/>
            </w14:solidFill>
          </w14:textFill>
        </w:rPr>
        <w:t>结合发包人要求</w:t>
      </w:r>
      <w:r>
        <w:rPr>
          <w:rFonts w:hint="eastAsia" w:ascii="宋体" w:hAnsi="宋体" w:eastAsia="宋体" w:cs="宋体"/>
          <w:bCs/>
          <w:color w:val="000000" w:themeColor="text1"/>
          <w:sz w:val="22"/>
          <w:szCs w:val="22"/>
          <w:highlight w:val="yellow"/>
          <w:u w:val="single"/>
          <w14:textFill>
            <w14:solidFill>
              <w14:schemeClr w14:val="tx1"/>
            </w14:solidFill>
          </w14:textFill>
        </w:rPr>
        <w:t>且要求在技术标方案景观设计方案章节中承诺造价不低于</w:t>
      </w:r>
      <w:r>
        <w:rPr>
          <w:rFonts w:ascii="宋体" w:hAnsi="宋体" w:eastAsia="宋体" w:cs="宋体"/>
          <w:bCs/>
          <w:color w:val="000000" w:themeColor="text1"/>
          <w:sz w:val="22"/>
          <w:szCs w:val="22"/>
          <w:highlight w:val="yellow"/>
          <w:u w:val="single"/>
          <w14:textFill>
            <w14:solidFill>
              <w14:schemeClr w14:val="tx1"/>
            </w14:solidFill>
          </w14:textFill>
        </w:rPr>
        <w:t>600</w:t>
      </w:r>
      <w:r>
        <w:rPr>
          <w:rFonts w:hint="eastAsia" w:ascii="宋体" w:hAnsi="宋体" w:eastAsia="宋体" w:cs="宋体"/>
          <w:bCs/>
          <w:color w:val="000000" w:themeColor="text1"/>
          <w:sz w:val="22"/>
          <w:szCs w:val="22"/>
          <w:highlight w:val="yellow"/>
          <w:u w:val="single"/>
          <w14:textFill>
            <w14:solidFill>
              <w14:schemeClr w14:val="tx1"/>
            </w14:solidFill>
          </w14:textFill>
        </w:rPr>
        <w:t>元/平方米的档次，今后由承包人在实施前报发包人审定，否则发包人有权按上述规定扣除相应款项自行另外委托实施</w:t>
      </w:r>
      <w:r>
        <w:rPr>
          <w:rFonts w:hint="eastAsia" w:hAnsi="Cambria"/>
          <w:bCs/>
          <w:color w:val="000000" w:themeColor="text1"/>
          <w:sz w:val="22"/>
          <w:szCs w:val="22"/>
          <w14:textFill>
            <w14:solidFill>
              <w14:schemeClr w14:val="tx1"/>
            </w14:solidFill>
          </w14:textFill>
        </w:rPr>
        <w:t>，其他要求同“三、设计</w:t>
      </w:r>
      <w:r>
        <w:rPr>
          <w:rFonts w:hint="eastAsia" w:ascii="宋体" w:hAnsi="宋体" w:eastAsia="宋体" w:cs="宋体"/>
          <w:bCs/>
          <w:color w:val="000000" w:themeColor="text1"/>
          <w:sz w:val="22"/>
          <w:szCs w:val="22"/>
          <w14:textFill>
            <w14:solidFill>
              <w14:schemeClr w14:val="tx1"/>
            </w14:solidFill>
          </w14:textFill>
        </w:rPr>
        <w:t>及相关</w:t>
      </w:r>
      <w:r>
        <w:rPr>
          <w:rFonts w:hint="eastAsia" w:hAnsi="Cambria"/>
          <w:bCs/>
          <w:color w:val="000000" w:themeColor="text1"/>
          <w:sz w:val="22"/>
          <w:szCs w:val="22"/>
          <w14:textFill>
            <w14:solidFill>
              <w14:schemeClr w14:val="tx1"/>
            </w14:solidFill>
          </w14:textFill>
        </w:rPr>
        <w:t>要求”</w:t>
      </w:r>
      <w:r>
        <w:rPr>
          <w:rFonts w:hint="eastAsia" w:ascii="宋体" w:hAnsi="宋体" w:eastAsia="宋体" w:cs="宋体"/>
          <w:bCs/>
          <w:color w:val="000000" w:themeColor="text1"/>
          <w:sz w:val="22"/>
          <w:szCs w:val="22"/>
          <w14:textFill>
            <w14:solidFill>
              <w14:schemeClr w14:val="tx1"/>
            </w14:solidFill>
          </w14:textFill>
        </w:rPr>
        <w:t>及发包人要求</w:t>
      </w:r>
      <w:r>
        <w:rPr>
          <w:rFonts w:hint="eastAsia" w:hAnsi="Cambria"/>
          <w:bCs/>
          <w:color w:val="000000" w:themeColor="text1"/>
          <w:sz w:val="22"/>
          <w:szCs w:val="22"/>
          <w14:textFill>
            <w14:solidFill>
              <w14:schemeClr w14:val="tx1"/>
            </w14:solidFill>
          </w14:textFill>
        </w:rPr>
        <w:t>。</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园林绿化采用灌木绿篱并以园林式林木和花坛点缀，建筑物周边以种植马尼拉草坪为主，道路两侧采取乔、灌、草相结合的形式绿化美化，草皮采用满铺，草皮外国种植乔灌木、花卉，如雪松、侧柏、香棒、墨西哥落叶杉、罗汉松、珊蝴树、海棠花、大叶黄杨、牡丹、金丝桃、月季、杜鹊、玫瑰、紫玉兰、八仙花、垂丝海棠、鸡爪械等，离道路稍远出配置色块，增强美化效果。</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植物树种选择方面，上层大乔木以落叶阔叶树为主，形成上层界面空间，以保证夏季的浓荫和冬季的充足阳光。中层乔灌木以常绿阔叶树种为主，同时结合观花，观叶，观果及芳香树种。下层采用耐荫的底矮花灌木，地被及缀花草地。</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3、对于居住社区，应配置全年有色彩感的植物，以恰当的背景色来强调花、果、叶的颜色、形状和大小，强调人的视觉和触觉感受。</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种植设计常绿落叶比宜5∶5或4:6，组成群植的单株树木数量在20-30株以上，密林的郁闭度达70-100%，疏林的郁闭度在40-70%。树荫的覆盖率宜40%左右，乔木组团种植间距不宜大于8米。</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2.2.4室外水电设施：其他要求同“三、设计要求”。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1、室外排水坡度不小于0.3%，人行道坡度2-3%，车行道坡度1-1.5%，防止积水现象。</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2、室外管道及井盖规则布置，管道能承受地面荷载。</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3、室外灯具布置均匀，建议进行泛光设计，采用草坪灯，壁灯，LED内透灯，筒灯等，增加视觉效果。</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2.2.5围墙和大门：由投标人自行设计，今后根据发包人要求确定。</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1、围墙采用通透式围墙，铁艺栏杆。</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2、大门结合地形布置，达到实用美观要求。</w:t>
      </w:r>
    </w:p>
    <w:p>
      <w:pPr>
        <w:spacing w:line="400" w:lineRule="exact"/>
        <w:ind w:left="28" w:leftChars="10"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注：以上具体设计布局及业主功能要求说明，本发包人要求未涉及的，以发包人解释或参照国家、地方现行施工规范为准。</w:t>
      </w:r>
    </w:p>
    <w:p>
      <w:pPr>
        <w:spacing w:line="400" w:lineRule="exact"/>
        <w:ind w:firstLine="440"/>
        <w:rPr>
          <w:rFonts w:hAnsi="Cambria"/>
          <w:bCs/>
          <w:color w:val="000000" w:themeColor="text1"/>
          <w:sz w:val="22"/>
          <w:szCs w:val="22"/>
          <w14:textFill>
            <w14:solidFill>
              <w14:schemeClr w14:val="tx1"/>
            </w14:solidFill>
          </w14:textFill>
        </w:rPr>
      </w:pPr>
      <w:r>
        <w:rPr>
          <w:rFonts w:hAnsi="Cambria"/>
          <w:bCs/>
          <w:color w:val="000000" w:themeColor="text1"/>
          <w:sz w:val="22"/>
          <w:szCs w:val="22"/>
          <w14:textFill>
            <w14:solidFill>
              <w14:schemeClr w14:val="tx1"/>
            </w14:solidFill>
          </w14:textFill>
        </w:rPr>
        <w:t>3</w:t>
      </w:r>
      <w:r>
        <w:rPr>
          <w:rFonts w:hint="eastAsia" w:hAnsi="Cambria"/>
          <w:bCs/>
          <w:color w:val="000000" w:themeColor="text1"/>
          <w:sz w:val="22"/>
          <w:szCs w:val="22"/>
          <w14:textFill>
            <w14:solidFill>
              <w14:schemeClr w14:val="tx1"/>
            </w14:solidFill>
          </w14:textFill>
        </w:rPr>
        <w:t>、其他</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（1）未明确的均应按现行有关规范、标准要求执行。要求存在不一致之处的，以较高要求为准。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（2）本要求内的材料、设备、设施等均为基本要求，也可选用符合相关规范、标准要求的技术性能不低于本要求的其他材料、设备、设施。</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（3）本设计要求中与现行国家规范冲突的以国家规范为准。</w:t>
      </w:r>
    </w:p>
    <w:p>
      <w:pPr>
        <w:pStyle w:val="19"/>
        <w:ind w:firstLine="21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ascii="宋体" w:hAnsi="宋体" w:cs="宋体"/>
          <w:bCs/>
          <w:color w:val="000000" w:themeColor="text1"/>
          <w:kern w:val="2"/>
          <w:sz w:val="22"/>
          <w:szCs w:val="22"/>
          <w:highlight w:val="yellow"/>
          <w14:textFill>
            <w14:solidFill>
              <w14:schemeClr w14:val="tx1"/>
            </w14:solidFill>
          </w14:textFill>
        </w:rPr>
        <w:t>（</w:t>
      </w:r>
      <w:r>
        <w:rPr>
          <w:rFonts w:hint="eastAsia" w:ascii="Cambria" w:hAnsi="Cambria" w:eastAsia="Times New Roman" w:cs="Cambria"/>
          <w:bCs/>
          <w:color w:val="000000" w:themeColor="text1"/>
          <w:kern w:val="2"/>
          <w:sz w:val="22"/>
          <w:szCs w:val="22"/>
          <w:highlight w:val="yellow"/>
          <w14:textFill>
            <w14:solidFill>
              <w14:schemeClr w14:val="tx1"/>
            </w14:solidFill>
          </w14:textFill>
        </w:rPr>
        <w:t>4</w:t>
      </w:r>
      <w:r>
        <w:rPr>
          <w:rFonts w:hint="eastAsia" w:ascii="宋体" w:hAnsi="宋体" w:cs="宋体"/>
          <w:bCs/>
          <w:color w:val="000000" w:themeColor="text1"/>
          <w:kern w:val="2"/>
          <w:sz w:val="22"/>
          <w:szCs w:val="22"/>
          <w:highlight w:val="yellow"/>
          <w14:textFill>
            <w14:solidFill>
              <w14:schemeClr w14:val="tx1"/>
            </w14:solidFill>
          </w14:textFill>
        </w:rPr>
        <w:t>）本设计要求中如出现上述规定与后面附件要求不一致，以后面附件为准；后面附件没有涉及到的内容，以前面规定为准。</w:t>
      </w:r>
      <w:r>
        <w:rPr>
          <w:rFonts w:hint="eastAsia" w:ascii="宋体" w:hAnsi="宋体" w:cs="宋体"/>
          <w:bCs/>
          <w:i/>
          <w:iCs/>
          <w:color w:val="000000" w:themeColor="text1"/>
          <w:kern w:val="2"/>
          <w:sz w:val="22"/>
          <w:szCs w:val="22"/>
          <w:highlight w:val="yellow"/>
          <w14:textFill>
            <w14:solidFill>
              <w14:schemeClr w14:val="tx1"/>
            </w14:solidFill>
          </w14:textFill>
        </w:rPr>
        <w:t>出现上述规定与后面附件要求等，同招标阶段招标人提供的初步设计图纸要求内容不一致，以招标人提供的初步设计图纸约定描述内容为准。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（三）设计文件，及其相关审批、核准、备案</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要求提供完整的各阶段设计文件，达到国家规定的设计文件编制深度要求，符合《工程建设标准强制性条文》、温州市相关其他规定等设计标准、规范、规程、定额和办法等的要求，并且通过施工图审查及完成备案。</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（四）本工程项目必须达到以下现行中华人民共和国及省、市、行业的一切有关法规、规范的要求。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（五）时间要求</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（1）计划开始工作时间：以中标通知书发出时间1</w:t>
      </w:r>
      <w:r>
        <w:rPr>
          <w:rFonts w:hAnsi="Cambria"/>
          <w:bCs/>
          <w:color w:val="000000" w:themeColor="text1"/>
          <w:sz w:val="22"/>
          <w:szCs w:val="22"/>
          <w:highlight w:val="yellow"/>
          <w14:textFill>
            <w14:solidFill>
              <w14:schemeClr w14:val="tx1"/>
            </w14:solidFill>
          </w14:textFill>
        </w:rPr>
        <w:t>5</w:t>
      </w:r>
      <w:r>
        <w:rPr>
          <w:rFonts w:hint="eastAsia" w:hAnsi="Cambria"/>
          <w:bCs/>
          <w:color w:val="000000" w:themeColor="text1"/>
          <w:sz w:val="22"/>
          <w:szCs w:val="22"/>
          <w:highlight w:val="yellow"/>
          <w14:textFill>
            <w14:solidFill>
              <w14:schemeClr w14:val="tx1"/>
            </w14:solidFill>
          </w14:textFill>
        </w:rPr>
        <w:t>内完成临设搭设</w:t>
      </w:r>
      <w:r>
        <w:rPr>
          <w:rFonts w:hint="eastAsia" w:ascii="宋体" w:hAnsi="宋体" w:eastAsia="宋体" w:cs="宋体"/>
          <w:bCs/>
          <w:color w:val="000000" w:themeColor="text1"/>
          <w:sz w:val="22"/>
          <w:szCs w:val="22"/>
          <w:highlight w:val="yellow"/>
          <w14:textFill>
            <w14:solidFill>
              <w14:schemeClr w14:val="tx1"/>
            </w14:solidFill>
          </w14:textFill>
        </w:rPr>
        <w:t>，中标通知书发出后3</w:t>
      </w:r>
      <w:r>
        <w:rPr>
          <w:rFonts w:ascii="宋体" w:hAnsi="宋体" w:eastAsia="宋体" w:cs="宋体"/>
          <w:bCs/>
          <w:color w:val="000000" w:themeColor="text1"/>
          <w:sz w:val="22"/>
          <w:szCs w:val="22"/>
          <w:highlight w:val="yellow"/>
          <w14:textFill>
            <w14:solidFill>
              <w14:schemeClr w14:val="tx1"/>
            </w14:solidFill>
          </w14:textFill>
        </w:rPr>
        <w:t>0</w:t>
      </w:r>
      <w:r>
        <w:rPr>
          <w:rFonts w:hint="eastAsia" w:ascii="宋体" w:hAnsi="宋体" w:eastAsia="宋体" w:cs="宋体"/>
          <w:bCs/>
          <w:color w:val="000000" w:themeColor="text1"/>
          <w:sz w:val="22"/>
          <w:szCs w:val="22"/>
          <w:highlight w:val="yellow"/>
          <w14:textFill>
            <w14:solidFill>
              <w14:schemeClr w14:val="tx1"/>
            </w14:solidFill>
          </w14:textFill>
        </w:rPr>
        <w:t>日内桩基进场</w:t>
      </w:r>
      <w:r>
        <w:rPr>
          <w:rFonts w:hint="eastAsia" w:hAnsi="Cambria"/>
          <w:bCs/>
          <w:color w:val="000000" w:themeColor="text1"/>
          <w:sz w:val="22"/>
          <w:szCs w:val="22"/>
          <w:highlight w:val="yellow"/>
          <w14:textFill>
            <w14:solidFill>
              <w14:schemeClr w14:val="tx1"/>
            </w14:solidFill>
          </w14:textFill>
        </w:rPr>
        <w:t>。</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（2）计划前期工作及设计完成时间：合同签订后</w:t>
      </w:r>
      <w:r>
        <w:rPr>
          <w:rFonts w:hAnsi="Cambria"/>
          <w:bCs/>
          <w:color w:val="000000" w:themeColor="text1"/>
          <w:sz w:val="22"/>
          <w:szCs w:val="22"/>
          <w:highlight w:val="yellow"/>
          <w14:textFill>
            <w14:solidFill>
              <w14:schemeClr w14:val="tx1"/>
            </w14:solidFill>
          </w14:textFill>
        </w:rPr>
        <w:t>45</w:t>
      </w:r>
      <w:r>
        <w:rPr>
          <w:rFonts w:hint="eastAsia" w:hAnsi="Cambria"/>
          <w:bCs/>
          <w:color w:val="000000" w:themeColor="text1"/>
          <w:sz w:val="22"/>
          <w:szCs w:val="22"/>
          <w:highlight w:val="yellow"/>
          <w14:textFill>
            <w14:solidFill>
              <w14:schemeClr w14:val="tx1"/>
            </w14:solidFill>
          </w14:textFill>
        </w:rPr>
        <w:t>日内。</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（3）开始施工时间：</w:t>
      </w:r>
      <w:r>
        <w:rPr>
          <w:rFonts w:hint="eastAsia" w:ascii="宋体" w:hAnsi="宋体" w:eastAsia="宋体" w:cs="宋体"/>
          <w:bCs/>
          <w:color w:val="000000" w:themeColor="text1"/>
          <w:sz w:val="22"/>
          <w:szCs w:val="22"/>
          <w:highlight w:val="yellow"/>
          <w14:textFill>
            <w14:solidFill>
              <w14:schemeClr w14:val="tx1"/>
            </w14:solidFill>
          </w14:textFill>
        </w:rPr>
        <w:t>合同签订之</w:t>
      </w:r>
      <w:r>
        <w:rPr>
          <w:rFonts w:hint="eastAsia" w:hAnsi="Cambria"/>
          <w:bCs/>
          <w:color w:val="000000" w:themeColor="text1"/>
          <w:sz w:val="22"/>
          <w:szCs w:val="22"/>
          <w:highlight w:val="yellow"/>
          <w14:textFill>
            <w14:solidFill>
              <w14:schemeClr w14:val="tx1"/>
            </w14:solidFill>
          </w14:textFill>
        </w:rPr>
        <w:t>日起。</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（4）计划竣工时间：开始施工之日起</w:t>
      </w:r>
      <w:r>
        <w:rPr>
          <w:rFonts w:hAnsi="Cambria"/>
          <w:bCs/>
          <w:color w:val="000000" w:themeColor="text1"/>
          <w:sz w:val="22"/>
          <w:szCs w:val="22"/>
          <w:highlight w:val="yellow"/>
          <w14:textFill>
            <w14:solidFill>
              <w14:schemeClr w14:val="tx1"/>
            </w14:solidFill>
          </w14:textFill>
        </w:rPr>
        <w:t>638</w:t>
      </w:r>
      <w:r>
        <w:rPr>
          <w:rFonts w:hint="eastAsia" w:hAnsi="Cambria"/>
          <w:bCs/>
          <w:color w:val="000000" w:themeColor="text1"/>
          <w:sz w:val="22"/>
          <w:szCs w:val="22"/>
          <w:highlight w:val="yellow"/>
          <w14:textFill>
            <w14:solidFill>
              <w14:schemeClr w14:val="tx1"/>
            </w14:solidFill>
          </w14:textFill>
        </w:rPr>
        <w:t>日内。</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（5）缺陷责任期：24个月。</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（6）其他时间要求：签订合同之日起</w:t>
      </w:r>
      <w:r>
        <w:rPr>
          <w:rFonts w:hAnsi="Cambria"/>
          <w:bCs/>
          <w:color w:val="000000" w:themeColor="text1"/>
          <w:sz w:val="22"/>
          <w:szCs w:val="22"/>
          <w:highlight w:val="yellow"/>
          <w14:textFill>
            <w14:solidFill>
              <w14:schemeClr w14:val="tx1"/>
            </w14:solidFill>
          </w14:textFill>
        </w:rPr>
        <w:t>45</w:t>
      </w:r>
      <w:r>
        <w:rPr>
          <w:rFonts w:hint="eastAsia" w:hAnsi="Cambria"/>
          <w:bCs/>
          <w:color w:val="000000" w:themeColor="text1"/>
          <w:sz w:val="22"/>
          <w:szCs w:val="22"/>
          <w:highlight w:val="yellow"/>
          <w14:textFill>
            <w14:solidFill>
              <w14:schemeClr w14:val="tx1"/>
            </w14:solidFill>
          </w14:textFill>
        </w:rPr>
        <w:t>日内完成</w:t>
      </w:r>
      <w:r>
        <w:rPr>
          <w:rFonts w:hint="eastAsia" w:ascii="宋体" w:hAnsi="宋体" w:eastAsia="宋体" w:cs="宋体"/>
          <w:bCs/>
          <w:color w:val="000000" w:themeColor="text1"/>
          <w:sz w:val="22"/>
          <w:szCs w:val="22"/>
          <w:highlight w:val="yellow"/>
          <w14:textFill>
            <w14:solidFill>
              <w14:schemeClr w14:val="tx1"/>
            </w14:solidFill>
          </w14:textFill>
        </w:rPr>
        <w:t>全部</w:t>
      </w:r>
      <w:r>
        <w:rPr>
          <w:rFonts w:hint="eastAsia" w:hAnsi="Cambria"/>
          <w:bCs/>
          <w:color w:val="000000" w:themeColor="text1"/>
          <w:sz w:val="22"/>
          <w:szCs w:val="22"/>
          <w:highlight w:val="yellow"/>
          <w14:textFill>
            <w14:solidFill>
              <w14:schemeClr w14:val="tx1"/>
            </w14:solidFill>
          </w14:textFill>
        </w:rPr>
        <w:t>施工图设计图纸报批稿</w:t>
      </w:r>
      <w:r>
        <w:rPr>
          <w:rFonts w:hint="eastAsia" w:ascii="宋体" w:hAnsi="宋体" w:eastAsia="宋体" w:cs="宋体"/>
          <w:bCs/>
          <w:color w:val="000000" w:themeColor="text1"/>
          <w:sz w:val="22"/>
          <w:szCs w:val="22"/>
          <w:highlight w:val="yellow"/>
          <w14:textFill>
            <w14:solidFill>
              <w14:schemeClr w14:val="tx1"/>
            </w14:solidFill>
          </w14:textFill>
        </w:rPr>
        <w:t>并通过审查</w:t>
      </w:r>
      <w:r>
        <w:rPr>
          <w:rFonts w:hint="eastAsia" w:hAnsi="Cambria"/>
          <w:bCs/>
          <w:color w:val="000000" w:themeColor="text1"/>
          <w:sz w:val="22"/>
          <w:szCs w:val="22"/>
          <w:highlight w:val="yellow"/>
          <w14:textFill>
            <w14:solidFill>
              <w14:schemeClr w14:val="tx1"/>
            </w14:solidFill>
          </w14:textFill>
        </w:rPr>
        <w:t>。</w:t>
      </w:r>
    </w:p>
    <w:p>
      <w:pPr>
        <w:pStyle w:val="19"/>
        <w:ind w:firstLine="210"/>
        <w:rPr>
          <w:color w:val="000000" w:themeColor="text1"/>
          <w14:textFill>
            <w14:solidFill>
              <w14:schemeClr w14:val="tx1"/>
            </w14:solidFill>
          </w14:textFill>
        </w:rPr>
      </w:pPr>
      <w:r>
        <w:rPr>
          <w:rFonts w:hint="eastAsia"/>
          <w:color w:val="000000" w:themeColor="text1"/>
          <w:highlight w:val="yellow"/>
          <w14:textFill>
            <w14:solidFill>
              <w14:schemeClr w14:val="tx1"/>
            </w14:solidFill>
          </w14:textFill>
        </w:rPr>
        <w:t xml:space="preserve"> </w:t>
      </w:r>
      <w:r>
        <w:rPr>
          <w:color w:val="000000" w:themeColor="text1"/>
          <w:highlight w:val="yellow"/>
          <w14:textFill>
            <w14:solidFill>
              <w14:schemeClr w14:val="tx1"/>
            </w14:solidFill>
          </w14:textFill>
        </w:rPr>
        <w:t xml:space="preserve">  </w:t>
      </w:r>
      <w:r>
        <w:rPr>
          <w:rFonts w:hint="eastAsia"/>
          <w:color w:val="000000" w:themeColor="text1"/>
          <w:highlight w:val="yellow"/>
          <w14:textFill>
            <w14:solidFill>
              <w14:schemeClr w14:val="tx1"/>
            </w14:solidFill>
          </w14:textFill>
        </w:rPr>
        <w:t>注：如承包人未能按上述时间要求完成相应工作，发包人按合同条款中相应误期违约金予以在当期进度款中扣除。</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（六）、技术要求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（1）设计阶段和设计任务</w:t>
      </w:r>
    </w:p>
    <w:p>
      <w:pPr>
        <w:spacing w:line="400" w:lineRule="exact"/>
        <w:ind w:firstLine="440"/>
        <w:rPr>
          <w:color w:val="000000" w:themeColor="text1"/>
          <w14:textFill>
            <w14:solidFill>
              <w14:schemeClr w14:val="tx1"/>
            </w14:solidFill>
          </w14:textFill>
        </w:rPr>
      </w:pPr>
      <w:r>
        <w:rPr>
          <w:rFonts w:hint="eastAsia" w:hAnsi="Cambria"/>
          <w:bCs/>
          <w:color w:val="000000" w:themeColor="text1"/>
          <w:sz w:val="22"/>
          <w:szCs w:val="22"/>
          <w14:textFill>
            <w14:solidFill>
              <w14:schemeClr w14:val="tx1"/>
            </w14:solidFill>
          </w14:textFill>
        </w:rPr>
        <w:t>1.</w:t>
      </w:r>
      <w:r>
        <w:rPr>
          <w:rFonts w:hint="eastAsia" w:ascii="宋体" w:hAnsi="宋体" w:eastAsia="宋体" w:cs="宋体"/>
          <w:bCs/>
          <w:color w:val="000000" w:themeColor="text1"/>
          <w:sz w:val="22"/>
          <w:szCs w:val="22"/>
          <w14:textFill>
            <w14:solidFill>
              <w14:schemeClr w14:val="tx1"/>
            </w14:solidFill>
          </w14:textFill>
        </w:rPr>
        <w:t>设计阶段：本项目设计范围内的所有内容、所有专业的施工图设计和专项设计，要求在规定的设计完成时间内提供符合深度要求的相关阶段设计图并通过相关审查。</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2.设计任务：完成发包人规定范围内的设计工作。</w:t>
      </w:r>
    </w:p>
    <w:p>
      <w:pPr>
        <w:pStyle w:val="5"/>
        <w:spacing w:before="0" w:after="0" w:line="360" w:lineRule="auto"/>
        <w:ind w:firstLine="442"/>
        <w:rPr>
          <w:rFonts w:asciiTheme="minorEastAsia" w:hAnsiTheme="minorEastAsia" w:eastAsiaTheme="minorEastAsia"/>
          <w:color w:val="000000" w:themeColor="text1"/>
          <w:sz w:val="22"/>
          <w:szCs w:val="22"/>
          <w14:textFill>
            <w14:solidFill>
              <w14:schemeClr w14:val="tx1"/>
            </w14:solidFill>
          </w14:textFill>
        </w:rPr>
      </w:pPr>
      <w:bookmarkStart w:id="180" w:name="_Toc17891280"/>
      <w:r>
        <w:rPr>
          <w:rFonts w:asciiTheme="minorEastAsia" w:hAnsiTheme="minorEastAsia" w:eastAsiaTheme="minorEastAsia"/>
          <w:color w:val="000000" w:themeColor="text1"/>
          <w:sz w:val="22"/>
          <w:szCs w:val="22"/>
          <w14:textFill>
            <w14:solidFill>
              <w14:schemeClr w14:val="tx1"/>
            </w14:solidFill>
          </w14:textFill>
        </w:rPr>
        <w:t>3.</w:t>
      </w:r>
      <w:r>
        <w:rPr>
          <w:rFonts w:hint="eastAsia" w:asciiTheme="minorEastAsia" w:hAnsiTheme="minorEastAsia" w:eastAsiaTheme="minorEastAsia"/>
          <w:color w:val="000000" w:themeColor="text1"/>
          <w:sz w:val="22"/>
          <w:szCs w:val="22"/>
          <w14:textFill>
            <w14:solidFill>
              <w14:schemeClr w14:val="tx1"/>
            </w14:solidFill>
          </w14:textFill>
        </w:rPr>
        <w:t>投标人图纸设计方案文本编制要求</w:t>
      </w:r>
      <w:bookmarkEnd w:id="180"/>
      <w:r>
        <w:rPr>
          <w:rFonts w:hint="eastAsia" w:asciiTheme="minorEastAsia" w:hAnsiTheme="minorEastAsia" w:eastAsiaTheme="minorEastAsia"/>
          <w:color w:val="000000" w:themeColor="text1"/>
          <w:sz w:val="22"/>
          <w:szCs w:val="22"/>
          <w14:textFill>
            <w14:solidFill>
              <w14:schemeClr w14:val="tx1"/>
            </w14:solidFill>
          </w14:textFill>
        </w:rPr>
        <w:t>：</w:t>
      </w:r>
    </w:p>
    <w:p>
      <w:pPr>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3.1  </w:t>
      </w:r>
      <w:r>
        <w:rPr>
          <w:rFonts w:hint="eastAsia" w:cs="黑体" w:asciiTheme="minorEastAsia" w:hAnsiTheme="minorEastAsia" w:eastAsiaTheme="minorEastAsia"/>
          <w:color w:val="000000" w:themeColor="text1"/>
          <w:sz w:val="22"/>
          <w:szCs w:val="22"/>
          <w14:textFill>
            <w14:solidFill>
              <w14:schemeClr w14:val="tx1"/>
            </w14:solidFill>
          </w14:textFill>
        </w:rPr>
        <w:t>封面</w:t>
      </w:r>
    </w:p>
    <w:p>
      <w:pPr>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3.2  </w:t>
      </w:r>
      <w:r>
        <w:rPr>
          <w:rFonts w:hint="eastAsia" w:cs="黑体" w:asciiTheme="minorEastAsia" w:hAnsiTheme="minorEastAsia" w:eastAsiaTheme="minorEastAsia"/>
          <w:color w:val="000000" w:themeColor="text1"/>
          <w:sz w:val="22"/>
          <w:szCs w:val="22"/>
          <w14:textFill>
            <w14:solidFill>
              <w14:schemeClr w14:val="tx1"/>
            </w14:solidFill>
          </w14:textFill>
        </w:rPr>
        <w:t>目录</w:t>
      </w:r>
    </w:p>
    <w:p>
      <w:pPr>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3.3  </w:t>
      </w:r>
      <w:r>
        <w:rPr>
          <w:rFonts w:hint="eastAsia" w:cs="黑体" w:asciiTheme="minorEastAsia" w:hAnsiTheme="minorEastAsia" w:eastAsiaTheme="minorEastAsia"/>
          <w:color w:val="000000" w:themeColor="text1"/>
          <w:sz w:val="22"/>
          <w:szCs w:val="22"/>
          <w14:textFill>
            <w14:solidFill>
              <w14:schemeClr w14:val="tx1"/>
            </w14:solidFill>
          </w14:textFill>
        </w:rPr>
        <w:t>设计总说明：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3.3.1  </w:t>
      </w:r>
      <w:r>
        <w:rPr>
          <w:rFonts w:hint="eastAsia" w:cs="宋体" w:asciiTheme="minorEastAsia" w:hAnsiTheme="minorEastAsia" w:eastAsiaTheme="minorEastAsia"/>
          <w:color w:val="000000" w:themeColor="text1"/>
          <w:sz w:val="22"/>
          <w:szCs w:val="22"/>
          <w14:textFill>
            <w14:solidFill>
              <w14:schemeClr w14:val="tx1"/>
            </w14:solidFill>
          </w14:textFill>
        </w:rPr>
        <w:t>总体说明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）设计依据</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）招标人提供的有关文件名称及文号。</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）招标人提供的设计基础资料。</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）招标人或政府有关部门对项目的设计要求。</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）方案总体构思</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方案设计总体构思理念，外形特点，建筑功能，区域划分，环境景观，建筑总体与周边环境的关系。</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3.3.2  </w:t>
      </w:r>
      <w:r>
        <w:rPr>
          <w:rFonts w:hint="eastAsia" w:cs="宋体" w:asciiTheme="minorEastAsia" w:hAnsiTheme="minorEastAsia" w:eastAsiaTheme="minorEastAsia"/>
          <w:color w:val="000000" w:themeColor="text1"/>
          <w:sz w:val="22"/>
          <w:szCs w:val="22"/>
          <w14:textFill>
            <w14:solidFill>
              <w14:schemeClr w14:val="tx1"/>
            </w14:solidFill>
          </w14:textFill>
        </w:rPr>
        <w:t>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）总平面设计说明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.场地现状和周边环境概况；</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.项目若分期建设，说明分期划分；</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.环境与绿化设计分析；</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.道路和广场布置、交通分析、停车场地设置、总平面无障碍设施等；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.规划场地内原有建筑的利用和保护，古树、名木、植被保护措施；</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.地形复杂时应作竖向设计。</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）建筑方案设计说明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.平面布局、功能分析、交通流线；</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.空间构成及剖面设计；</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.立面设计；</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.采用的主要建筑材料及技术，若采用新材料、新技术，如实陈述其适用性、经济性，说明有无相应规范、标准，若采用国外规范，说明其名称及适用范围并履行审查批准程序；</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.建筑声学、建筑热工、建筑防护、空气洁净、人防地下室等方面有特殊要求的建筑，应说明拟采用的相关技术。</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）主要技术经济指标</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实施性方案设计主要技术经济指标表</w:t>
      </w:r>
    </w:p>
    <w:tbl>
      <w:tblPr>
        <w:tblStyle w:val="45"/>
        <w:tblW w:w="8489" w:type="dxa"/>
        <w:tblInd w:w="12" w:type="dxa"/>
        <w:tblLayout w:type="fixed"/>
        <w:tblCellMar>
          <w:top w:w="0" w:type="dxa"/>
          <w:left w:w="0" w:type="dxa"/>
          <w:bottom w:w="0" w:type="dxa"/>
          <w:right w:w="0" w:type="dxa"/>
        </w:tblCellMar>
      </w:tblPr>
      <w:tblGrid>
        <w:gridCol w:w="929"/>
        <w:gridCol w:w="2109"/>
        <w:gridCol w:w="925"/>
        <w:gridCol w:w="886"/>
        <w:gridCol w:w="1439"/>
        <w:gridCol w:w="6"/>
        <w:gridCol w:w="2195"/>
      </w:tblGrid>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序号</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名称</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单位</w:t>
            </w: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数量</w:t>
            </w: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备注</w:t>
            </w: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总用地面积</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p>
        </w:tc>
        <w:tc>
          <w:tcPr>
            <w:tcW w:w="2109"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总建筑面积</w:t>
            </w:r>
          </w:p>
        </w:tc>
        <w:tc>
          <w:tcPr>
            <w:tcW w:w="925"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886"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8" w:space="0"/>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w:t>
            </w:r>
          </w:p>
        </w:tc>
        <w:tc>
          <w:tcPr>
            <w:tcW w:w="2195" w:type="dxa"/>
            <w:vMerge w:val="restart"/>
            <w:tcBorders>
              <w:top w:val="single" w:color="auto" w:sz="8" w:space="0"/>
              <w:left w:val="single" w:color="auto" w:sz="8" w:space="0"/>
              <w:right w:val="single" w:color="auto" w:sz="8" w:space="0"/>
            </w:tcBorders>
            <w:vAlign w:val="center"/>
          </w:tcPr>
          <w:p>
            <w:pPr>
              <w:snapToGrid w:val="0"/>
              <w:spacing w:line="360" w:lineRule="auto"/>
              <w:ind w:firstLine="0" w:firstLineChars="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地上、地下部分可分列</w:t>
            </w:r>
          </w:p>
        </w:tc>
      </w:tr>
      <w:tr>
        <w:tblPrEx>
          <w:tblCellMar>
            <w:top w:w="0" w:type="dxa"/>
            <w:left w:w="0" w:type="dxa"/>
            <w:bottom w:w="0" w:type="dxa"/>
            <w:right w:w="0" w:type="dxa"/>
          </w:tblCellMar>
        </w:tblPrEx>
        <w:trPr>
          <w:trHeight w:val="340" w:hRule="atLeast"/>
        </w:trPr>
        <w:tc>
          <w:tcPr>
            <w:tcW w:w="929"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09"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925"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886"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4" w:space="0"/>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地下：</w:t>
            </w:r>
          </w:p>
        </w:tc>
        <w:tc>
          <w:tcPr>
            <w:tcW w:w="2195"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p>
        </w:tc>
        <w:tc>
          <w:tcPr>
            <w:tcW w:w="21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建筑高度</w:t>
            </w:r>
          </w:p>
        </w:tc>
        <w:tc>
          <w:tcPr>
            <w:tcW w:w="9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m</w:t>
            </w:r>
          </w:p>
        </w:tc>
        <w:tc>
          <w:tcPr>
            <w:tcW w:w="2331" w:type="dxa"/>
            <w:gridSpan w:val="3"/>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4"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p>
        </w:tc>
        <w:tc>
          <w:tcPr>
            <w:tcW w:w="2109" w:type="dxa"/>
            <w:tcBorders>
              <w:top w:val="single" w:color="auto" w:sz="4"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建筑基地总面积</w:t>
            </w:r>
          </w:p>
        </w:tc>
        <w:tc>
          <w:tcPr>
            <w:tcW w:w="925" w:type="dxa"/>
            <w:tcBorders>
              <w:top w:val="single" w:color="auto" w:sz="4" w:space="0"/>
              <w:left w:val="single" w:color="auto" w:sz="8" w:space="0"/>
              <w:bottom w:val="single" w:color="auto" w:sz="8"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31" w:type="dxa"/>
            <w:gridSpan w:val="3"/>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5</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道路广场面积</w:t>
            </w:r>
          </w:p>
        </w:tc>
        <w:tc>
          <w:tcPr>
            <w:tcW w:w="925" w:type="dxa"/>
            <w:tcBorders>
              <w:top w:val="single" w:color="auto" w:sz="8" w:space="0"/>
              <w:left w:val="single" w:color="auto" w:sz="8" w:space="0"/>
              <w:bottom w:val="single" w:color="auto" w:sz="8"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2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201"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6</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绿地面积</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31" w:type="dxa"/>
            <w:gridSpan w:val="3"/>
            <w:tcBorders>
              <w:top w:val="single" w:color="auto" w:sz="4" w:space="0"/>
              <w:left w:val="single" w:color="auto" w:sz="8" w:space="0"/>
              <w:bottom w:val="single" w:color="auto" w:sz="8"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4" w:space="0"/>
              <w:left w:val="single" w:color="auto" w:sz="4"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7</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容积率</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w:t>
            </w: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8</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建筑密度</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w:t>
            </w: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9</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绿地率</w:t>
            </w: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w:t>
            </w: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w:t>
            </w:r>
          </w:p>
        </w:tc>
      </w:tr>
      <w:tr>
        <w:tblPrEx>
          <w:tblCellMar>
            <w:top w:w="0" w:type="dxa"/>
            <w:left w:w="0" w:type="dxa"/>
            <w:bottom w:w="0" w:type="dxa"/>
            <w:right w:w="0" w:type="dxa"/>
          </w:tblCellMar>
        </w:tblPrEx>
        <w:trPr>
          <w:trHeight w:val="340" w:hRule="atLeast"/>
        </w:trPr>
        <w:tc>
          <w:tcPr>
            <w:tcW w:w="929"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10</w:t>
            </w:r>
          </w:p>
        </w:tc>
        <w:tc>
          <w:tcPr>
            <w:tcW w:w="2109"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机动车停车数量</w:t>
            </w:r>
          </w:p>
        </w:tc>
        <w:tc>
          <w:tcPr>
            <w:tcW w:w="925"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辆</w:t>
            </w:r>
          </w:p>
        </w:tc>
        <w:tc>
          <w:tcPr>
            <w:tcW w:w="886"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8" w:space="0"/>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w:t>
            </w:r>
          </w:p>
        </w:tc>
        <w:tc>
          <w:tcPr>
            <w:tcW w:w="2195" w:type="dxa"/>
            <w:vMerge w:val="restart"/>
            <w:tcBorders>
              <w:top w:val="single" w:color="auto" w:sz="8" w:space="0"/>
              <w:left w:val="single" w:color="auto" w:sz="8" w:space="0"/>
              <w:right w:val="single" w:color="auto" w:sz="8" w:space="0"/>
            </w:tcBorders>
            <w:vAlign w:val="center"/>
          </w:tcPr>
          <w:p>
            <w:pPr>
              <w:snapToGrid w:val="0"/>
              <w:spacing w:line="360" w:lineRule="auto"/>
              <w:ind w:firstLine="0" w:firstLineChars="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地上、地下部分可分列</w:t>
            </w:r>
          </w:p>
        </w:tc>
      </w:tr>
      <w:tr>
        <w:tblPrEx>
          <w:tblCellMar>
            <w:top w:w="0" w:type="dxa"/>
            <w:left w:w="0" w:type="dxa"/>
            <w:bottom w:w="0" w:type="dxa"/>
            <w:right w:w="0" w:type="dxa"/>
          </w:tblCellMar>
        </w:tblPrEx>
        <w:trPr>
          <w:trHeight w:val="340" w:hRule="atLeast"/>
        </w:trPr>
        <w:tc>
          <w:tcPr>
            <w:tcW w:w="929" w:type="dxa"/>
            <w:vMerge w:val="continue"/>
            <w:tcBorders>
              <w:left w:val="single" w:color="auto" w:sz="8" w:space="0"/>
              <w:bottom w:val="nil"/>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09"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925" w:type="dxa"/>
            <w:vMerge w:val="continue"/>
            <w:tcBorders>
              <w:left w:val="single" w:color="auto" w:sz="8" w:space="0"/>
              <w:bottom w:val="nil"/>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886" w:type="dxa"/>
            <w:vMerge w:val="continue"/>
            <w:tcBorders>
              <w:left w:val="single" w:color="auto" w:sz="8" w:space="0"/>
              <w:bottom w:val="nil"/>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4"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地下：</w:t>
            </w:r>
          </w:p>
        </w:tc>
        <w:tc>
          <w:tcPr>
            <w:tcW w:w="2195" w:type="dxa"/>
            <w:vMerge w:val="continue"/>
            <w:tcBorders>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vMerge w:val="restart"/>
            <w:tcBorders>
              <w:top w:val="single" w:color="auto" w:sz="8" w:space="0"/>
              <w:left w:val="single" w:color="auto" w:sz="8"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11</w:t>
            </w:r>
          </w:p>
        </w:tc>
        <w:tc>
          <w:tcPr>
            <w:tcW w:w="2109" w:type="dxa"/>
            <w:vMerge w:val="restart"/>
            <w:tcBorders>
              <w:top w:val="single" w:color="auto" w:sz="4" w:space="0"/>
              <w:left w:val="single" w:color="auto" w:sz="4" w:space="0"/>
              <w:right w:val="single" w:color="auto" w:sz="8" w:space="0"/>
            </w:tcBorders>
            <w:vAlign w:val="center"/>
          </w:tcPr>
          <w:p>
            <w:pPr>
              <w:snapToGrid w:val="0"/>
              <w:spacing w:line="360" w:lineRule="auto"/>
              <w:ind w:firstLine="0" w:firstLineChars="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非机动车停车数量</w:t>
            </w:r>
          </w:p>
        </w:tc>
        <w:tc>
          <w:tcPr>
            <w:tcW w:w="925"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辆</w:t>
            </w:r>
          </w:p>
        </w:tc>
        <w:tc>
          <w:tcPr>
            <w:tcW w:w="886" w:type="dxa"/>
            <w:vMerge w:val="restart"/>
            <w:tcBorders>
              <w:top w:val="single" w:color="auto" w:sz="8" w:space="0"/>
              <w:left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8" w:space="0"/>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w:t>
            </w:r>
          </w:p>
        </w:tc>
        <w:tc>
          <w:tcPr>
            <w:tcW w:w="2195" w:type="dxa"/>
            <w:vMerge w:val="restart"/>
            <w:tcBorders>
              <w:top w:val="single" w:color="auto" w:sz="8" w:space="0"/>
              <w:left w:val="single" w:color="auto" w:sz="8" w:space="0"/>
              <w:right w:val="single" w:color="auto" w:sz="8" w:space="0"/>
            </w:tcBorders>
            <w:vAlign w:val="center"/>
          </w:tcPr>
          <w:p>
            <w:pPr>
              <w:snapToGrid w:val="0"/>
              <w:spacing w:line="360" w:lineRule="auto"/>
              <w:ind w:firstLine="0" w:firstLineChars="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地上、地下部分可分列</w:t>
            </w:r>
          </w:p>
        </w:tc>
      </w:tr>
      <w:tr>
        <w:tblPrEx>
          <w:tblCellMar>
            <w:top w:w="0" w:type="dxa"/>
            <w:left w:w="0" w:type="dxa"/>
            <w:bottom w:w="0" w:type="dxa"/>
            <w:right w:w="0" w:type="dxa"/>
          </w:tblCellMar>
        </w:tblPrEx>
        <w:trPr>
          <w:trHeight w:val="340" w:hRule="atLeast"/>
        </w:trPr>
        <w:tc>
          <w:tcPr>
            <w:tcW w:w="929" w:type="dxa"/>
            <w:vMerge w:val="continue"/>
            <w:tcBorders>
              <w:left w:val="single" w:color="auto" w:sz="8" w:space="0"/>
              <w:bottom w:val="single" w:color="auto" w:sz="4" w:space="0"/>
              <w:right w:val="single" w:color="auto" w:sz="4"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09" w:type="dxa"/>
            <w:vMerge w:val="continue"/>
            <w:tcBorders>
              <w:left w:val="single" w:color="auto" w:sz="4"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925"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886"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1445" w:type="dxa"/>
            <w:gridSpan w:val="2"/>
            <w:tcBorders>
              <w:top w:val="single" w:color="auto" w:sz="4" w:space="0"/>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地下：</w:t>
            </w:r>
          </w:p>
        </w:tc>
        <w:tc>
          <w:tcPr>
            <w:tcW w:w="2195" w:type="dxa"/>
            <w:vMerge w:val="continue"/>
            <w:tcBorders>
              <w:left w:val="single" w:color="auto" w:sz="8" w:space="0"/>
              <w:bottom w:val="single" w:color="auto" w:sz="4"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12</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r>
        <w:tblPrEx>
          <w:tblCellMar>
            <w:top w:w="0" w:type="dxa"/>
            <w:left w:w="0" w:type="dxa"/>
            <w:bottom w:w="0" w:type="dxa"/>
            <w:right w:w="0" w:type="dxa"/>
          </w:tblCellMar>
        </w:tblPrEx>
        <w:trPr>
          <w:trHeight w:val="340" w:hRule="atLeast"/>
        </w:trPr>
        <w:tc>
          <w:tcPr>
            <w:tcW w:w="92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13</w:t>
            </w:r>
          </w:p>
        </w:tc>
        <w:tc>
          <w:tcPr>
            <w:tcW w:w="2109"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92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331" w:type="dxa"/>
            <w:gridSpan w:val="3"/>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c>
          <w:tcPr>
            <w:tcW w:w="2195" w:type="dxa"/>
            <w:tcBorders>
              <w:top w:val="single" w:color="auto" w:sz="8" w:space="0"/>
              <w:left w:val="single" w:color="auto" w:sz="8" w:space="0"/>
              <w:bottom w:val="single" w:color="auto" w:sz="8" w:space="0"/>
              <w:right w:val="single" w:color="auto" w:sz="8" w:space="0"/>
            </w:tcBorders>
            <w:vAlign w:val="center"/>
          </w:tcPr>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p>
        </w:tc>
      </w:tr>
    </w:tbl>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备注：</w:t>
      </w: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、如有分地块规划设计指标应按地块分别列出，并列出总体经济技术指标；</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      2</w:t>
      </w:r>
      <w:r>
        <w:rPr>
          <w:rFonts w:hint="eastAsia" w:cs="宋体" w:asciiTheme="minorEastAsia" w:hAnsiTheme="minorEastAsia" w:eastAsiaTheme="minorEastAsia"/>
          <w:color w:val="000000" w:themeColor="text1"/>
          <w:sz w:val="22"/>
          <w:szCs w:val="22"/>
          <w14:textFill>
            <w14:solidFill>
              <w14:schemeClr w14:val="tx1"/>
            </w14:solidFill>
          </w14:textFill>
        </w:rPr>
        <w:t>、上述经济技术指标投标人可以自行扩充。</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）关键建造技术问题说明（必要时）</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）建筑结构系统方案设计说明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.建筑结构设计采用的规范和标准，风压雪荷载取值、地震情况及工程地质条件等；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.结构安全等级、设计使用年限和抗震设防类别；</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.主体建筑结构体系、基础结构体系、屋盖结构体系、人防设计考虑；</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.采用计算软件的名称。</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14:textFill>
            <w14:solidFill>
              <w14:schemeClr w14:val="tx1"/>
            </w14:solidFill>
          </w14:textFill>
        </w:rPr>
        <w:t>）电气系统方案设计说明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应分别对供电电源、变压器及变电室、照明系统、动力电源系统、防雷与接地等予以说明。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7</w:t>
      </w:r>
      <w:r>
        <w:rPr>
          <w:rFonts w:hint="eastAsia" w:cs="宋体" w:asciiTheme="minorEastAsia" w:hAnsiTheme="minorEastAsia" w:eastAsiaTheme="minorEastAsia"/>
          <w:color w:val="000000" w:themeColor="text1"/>
          <w:sz w:val="22"/>
          <w:szCs w:val="22"/>
          <w14:textFill>
            <w14:solidFill>
              <w14:schemeClr w14:val="tx1"/>
            </w14:solidFill>
          </w14:textFill>
        </w:rPr>
        <w:t>）采暖通风系统方案设计说明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应分别对通风系统、防排烟系统、空调系统（如采用高新技术及高性能设备亦需简要说明）、供暖系统等予以说明。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8</w:t>
      </w:r>
      <w:r>
        <w:rPr>
          <w:rFonts w:hint="eastAsia" w:cs="宋体" w:asciiTheme="minorEastAsia" w:hAnsiTheme="minorEastAsia" w:eastAsiaTheme="minorEastAsia"/>
          <w:color w:val="000000" w:themeColor="text1"/>
          <w:sz w:val="22"/>
          <w:szCs w:val="22"/>
          <w14:textFill>
            <w14:solidFill>
              <w14:schemeClr w14:val="tx1"/>
            </w14:solidFill>
          </w14:textFill>
        </w:rPr>
        <w:t>）给水排水系统方案设计说明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应分别对给水系统、排水系统、雨水系统、污水系统、中水系统（如有必要）、节水措施等予以说明。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9</w:t>
      </w:r>
      <w:r>
        <w:rPr>
          <w:rFonts w:hint="eastAsia" w:cs="宋体" w:asciiTheme="minorEastAsia" w:hAnsiTheme="minorEastAsia" w:eastAsiaTheme="minorEastAsia"/>
          <w:color w:val="000000" w:themeColor="text1"/>
          <w:sz w:val="22"/>
          <w:szCs w:val="22"/>
          <w14:textFill>
            <w14:solidFill>
              <w14:schemeClr w14:val="tx1"/>
            </w14:solidFill>
          </w14:textFill>
        </w:rPr>
        <w:t>）消防控制设计专篇说明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应分别对火灾自动报警系统及消防控制室、灭火系统（喷淋或气体灭火系统）、防火分区、排烟系统、消防疏散设计考虑等内容予以说明。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10</w:t>
      </w:r>
      <w:r>
        <w:rPr>
          <w:rFonts w:hint="eastAsia" w:cs="宋体" w:asciiTheme="minorEastAsia" w:hAnsiTheme="minorEastAsia" w:eastAsiaTheme="minorEastAsia"/>
          <w:color w:val="000000" w:themeColor="text1"/>
          <w:sz w:val="22"/>
          <w:szCs w:val="22"/>
          <w14:textFill>
            <w14:solidFill>
              <w14:schemeClr w14:val="tx1"/>
            </w14:solidFill>
          </w14:textFill>
        </w:rPr>
        <w:t>）建筑节能设计专篇说明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说明采用的规范和标准，详述建筑节能技术要点及技术措施。</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11</w:t>
      </w:r>
      <w:r>
        <w:rPr>
          <w:rFonts w:hint="eastAsia" w:cs="宋体" w:asciiTheme="minorEastAsia" w:hAnsiTheme="minorEastAsia" w:eastAsiaTheme="minorEastAsia"/>
          <w:color w:val="000000" w:themeColor="text1"/>
          <w:sz w:val="22"/>
          <w:szCs w:val="22"/>
          <w14:textFill>
            <w14:solidFill>
              <w14:schemeClr w14:val="tx1"/>
            </w14:solidFill>
          </w14:textFill>
        </w:rPr>
        <w:t>）环境保护措施专篇说明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进行建筑环境影响分析，说明采取的环境保护措施。</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12</w:t>
      </w:r>
      <w:r>
        <w:rPr>
          <w:rFonts w:hint="eastAsia" w:cs="宋体" w:asciiTheme="minorEastAsia" w:hAnsiTheme="minorEastAsia" w:eastAsiaTheme="minorEastAsia"/>
          <w:color w:val="000000" w:themeColor="text1"/>
          <w:sz w:val="22"/>
          <w:szCs w:val="22"/>
          <w14:textFill>
            <w14:solidFill>
              <w14:schemeClr w14:val="tx1"/>
            </w14:solidFill>
          </w14:textFill>
        </w:rPr>
        <w:t>）楼宇智能化及通讯系统方案设计说明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对项目设计中涉及的计算机网络系统、综合布线系统、电话通讯系统、视频会议系统（包括同声传译系统）、卫星与有线电视系统、广播系统、楼宇自动化管理系统予以说明。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13</w:t>
      </w:r>
      <w:r>
        <w:rPr>
          <w:rFonts w:hint="eastAsia" w:cs="宋体" w:asciiTheme="minorEastAsia" w:hAnsiTheme="minorEastAsia" w:eastAsiaTheme="minorEastAsia"/>
          <w:color w:val="000000" w:themeColor="text1"/>
          <w:sz w:val="22"/>
          <w:szCs w:val="22"/>
          <w14:textFill>
            <w14:solidFill>
              <w14:schemeClr w14:val="tx1"/>
            </w14:solidFill>
          </w14:textFill>
        </w:rPr>
        <w:t>）安全防护系统方案设计说明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应对项目中涉及的门禁系统、电视监视系统、安防通讯系统、安防供电系统、取证纪录系统予以说明。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3.3.3  </w:t>
      </w:r>
      <w:r>
        <w:rPr>
          <w:rFonts w:hint="eastAsia" w:cs="宋体" w:asciiTheme="minorEastAsia" w:hAnsiTheme="minorEastAsia" w:eastAsiaTheme="minorEastAsia"/>
          <w:color w:val="000000" w:themeColor="text1"/>
          <w:sz w:val="22"/>
          <w:szCs w:val="22"/>
          <w14:textFill>
            <w14:solidFill>
              <w14:schemeClr w14:val="tx1"/>
            </w14:solidFill>
          </w14:textFill>
        </w:rPr>
        <w:t>工程造价估算</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工程造价估算作为技术经济评估依据，建筑工程实施性方案设计造价估算准确度应在该阶段允许范围之内。当准确度影响对方案的可行性判定时，应对该方案进行专项技术经济评估。</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工程造价估算应依据项目所在地造价管理部门发布的有关造价文件和项目有关资料，如项目批文、方案设计图纸、市场价格信息和类似工程技术经济指标等。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工程造价估算编制应以单位指标形式表达。</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）编制说明</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工程造价估算说明包括：编制依据、编制方法、编制范围（明确是否包括工程项目与费用）、主要技术经济指标、限额设计说明（如有）、其他必要说明的问题。</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）估算表</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工程造价估算表应以单个单项工程为编制单元，由土建、给排水、电气、暖通、空调、动力等单位工程的估算和土石方、道路、室外管线、绿化等室外工程估算两个部分内容组成。</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若招标人提供工程建设其他费用，可将工程建设其他费用和按适当费率取定的预备费列入估算表，汇总成建设项目总投资。</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如采用新工艺、新技术、新材料或特殊结构时，应对该项技术进行专项评估，评估后纳入估算中。</w:t>
      </w:r>
    </w:p>
    <w:p>
      <w:pPr>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Times New Roman" w:asciiTheme="minorEastAsia" w:hAnsiTheme="minorEastAsia" w:eastAsiaTheme="minorEastAsia"/>
          <w:color w:val="000000" w:themeColor="text1"/>
          <w:sz w:val="22"/>
          <w:szCs w:val="22"/>
          <w14:textFill>
            <w14:solidFill>
              <w14:schemeClr w14:val="tx1"/>
            </w14:solidFill>
          </w14:textFill>
        </w:rPr>
        <w:t xml:space="preserve">3.4  </w:t>
      </w:r>
      <w:r>
        <w:rPr>
          <w:rFonts w:hint="eastAsia" w:cs="黑体" w:asciiTheme="minorEastAsia" w:hAnsiTheme="minorEastAsia" w:eastAsiaTheme="minorEastAsia"/>
          <w:color w:val="000000" w:themeColor="text1"/>
          <w:sz w:val="22"/>
          <w:szCs w:val="22"/>
          <w14:textFill>
            <w14:solidFill>
              <w14:schemeClr w14:val="tx1"/>
            </w14:solidFill>
          </w14:textFill>
        </w:rPr>
        <w:t>图纸内容</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3.4.1  </w:t>
      </w:r>
      <w:r>
        <w:rPr>
          <w:rFonts w:hint="eastAsia" w:cs="宋体" w:asciiTheme="minorEastAsia" w:hAnsiTheme="minorEastAsia" w:eastAsiaTheme="minorEastAsia"/>
          <w:color w:val="000000" w:themeColor="text1"/>
          <w:sz w:val="22"/>
          <w:szCs w:val="22"/>
          <w14:textFill>
            <w14:solidFill>
              <w14:schemeClr w14:val="tx1"/>
            </w14:solidFill>
          </w14:textFill>
        </w:rPr>
        <w:t>建筑效果图纸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根据建筑工程项目特点和招标人要求，提供如实反映建筑环境、建筑形态及空间关系的建筑效果图。</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3.4.2  </w:t>
      </w:r>
      <w:r>
        <w:rPr>
          <w:rFonts w:hint="eastAsia" w:cs="宋体" w:asciiTheme="minorEastAsia" w:hAnsiTheme="minorEastAsia" w:eastAsiaTheme="minorEastAsia"/>
          <w:color w:val="000000" w:themeColor="text1"/>
          <w:sz w:val="22"/>
          <w:szCs w:val="22"/>
          <w14:textFill>
            <w14:solidFill>
              <w14:schemeClr w14:val="tx1"/>
            </w14:solidFill>
          </w14:textFill>
        </w:rPr>
        <w:t>总平面图纸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）区域位置图纸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）场地现状地形图纸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）总平面设计图纸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图中应标明用地范围、退界、建筑布置、周边道路、周边建筑物构造物、绿化环境、用地内道路宽度等；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标明主要建筑物名称、编号、层数、出入口位置、标注建筑物距离、各主要建筑物相对标高、城市及用地区域内道路、广场标高等。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3.4.3  </w:t>
      </w:r>
      <w:r>
        <w:rPr>
          <w:rFonts w:hint="eastAsia" w:cs="宋体" w:asciiTheme="minorEastAsia" w:hAnsiTheme="minorEastAsia" w:eastAsiaTheme="minorEastAsia"/>
          <w:color w:val="000000" w:themeColor="text1"/>
          <w:sz w:val="22"/>
          <w:szCs w:val="22"/>
          <w14:textFill>
            <w14:solidFill>
              <w14:schemeClr w14:val="tx1"/>
            </w14:solidFill>
          </w14:textFill>
        </w:rPr>
        <w:t>设计分析图纸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）功能分析图纸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功能分区及空间组合。</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）总平面交通分析图纸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交通分析图应包括：主要道路宽度、坡度，人行、车行系统，停车场地（包括无障碍停车场地）主要道路剖面及停车位，消防车通行道路、停靠场地及回转场地；各主要人流出入口、货物及垃圾出入口、地下车库出入口位置，自行车库出入口位置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）环境景观分析图纸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根据招标文件要求，说明景观性质、视线、形态或色彩设计理念与城市关系。</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4</w:t>
      </w:r>
      <w:r>
        <w:rPr>
          <w:rFonts w:hint="eastAsia" w:cs="宋体" w:asciiTheme="minorEastAsia" w:hAnsiTheme="minorEastAsia" w:eastAsiaTheme="minorEastAsia"/>
          <w:color w:val="000000" w:themeColor="text1"/>
          <w:sz w:val="22"/>
          <w:szCs w:val="22"/>
          <w14:textFill>
            <w14:solidFill>
              <w14:schemeClr w14:val="tx1"/>
            </w14:solidFill>
          </w14:textFill>
        </w:rPr>
        <w:t>）日照分析图纸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要求使用软件绘制符合当地规定的日照分析图并明确分析结果。日照条件应符合国家相关规定。</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一般建筑应分析日照影响，确保环境效果和公共利益。</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5</w:t>
      </w:r>
      <w:r>
        <w:rPr>
          <w:rFonts w:hint="eastAsia" w:cs="宋体" w:asciiTheme="minorEastAsia" w:hAnsiTheme="minorEastAsia" w:eastAsiaTheme="minorEastAsia"/>
          <w:color w:val="000000" w:themeColor="text1"/>
          <w:sz w:val="22"/>
          <w:szCs w:val="22"/>
          <w14:textFill>
            <w14:solidFill>
              <w14:schemeClr w14:val="tx1"/>
            </w14:solidFill>
          </w14:textFill>
        </w:rPr>
        <w:t>）招标文件要求的分析图纸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根据项目方案设计，需要可增加分期建设分析图、交通分析图、室外景观分析图、建筑声学分析图、视线分析图、特殊建筑内部交通流线分析图、采光通风分析图等。</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 xml:space="preserve">3.4.4  </w:t>
      </w:r>
      <w:r>
        <w:rPr>
          <w:rFonts w:hint="eastAsia" w:cs="宋体" w:asciiTheme="minorEastAsia" w:hAnsiTheme="minorEastAsia" w:eastAsiaTheme="minorEastAsia"/>
          <w:color w:val="000000" w:themeColor="text1"/>
          <w:sz w:val="22"/>
          <w:szCs w:val="22"/>
          <w14:textFill>
            <w14:solidFill>
              <w14:schemeClr w14:val="tx1"/>
            </w14:solidFill>
          </w14:textFill>
        </w:rPr>
        <w:t>建筑设计图纸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1</w:t>
      </w:r>
      <w:r>
        <w:rPr>
          <w:rFonts w:hint="eastAsia" w:cs="宋体" w:asciiTheme="minorEastAsia" w:hAnsiTheme="minorEastAsia" w:eastAsiaTheme="minorEastAsia"/>
          <w:color w:val="000000" w:themeColor="text1"/>
          <w:sz w:val="22"/>
          <w:szCs w:val="22"/>
          <w14:textFill>
            <w14:solidFill>
              <w14:schemeClr w14:val="tx1"/>
            </w14:solidFill>
          </w14:textFill>
        </w:rPr>
        <w:t>）各层平面图纸；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2</w:t>
      </w:r>
      <w:r>
        <w:rPr>
          <w:rFonts w:hint="eastAsia" w:cs="宋体" w:asciiTheme="minorEastAsia" w:hAnsiTheme="minorEastAsia" w:eastAsiaTheme="minorEastAsia"/>
          <w:color w:val="000000" w:themeColor="text1"/>
          <w:sz w:val="22"/>
          <w:szCs w:val="22"/>
          <w14:textFill>
            <w14:solidFill>
              <w14:schemeClr w14:val="tx1"/>
            </w14:solidFill>
          </w14:textFill>
        </w:rPr>
        <w:t>）主要立面图纸；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cs="宋体" w:asciiTheme="minorEastAsia" w:hAnsiTheme="minorEastAsia" w:eastAsiaTheme="minorEastAsia"/>
          <w:color w:val="000000" w:themeColor="text1"/>
          <w:sz w:val="22"/>
          <w:szCs w:val="22"/>
          <w14:textFill>
            <w14:solidFill>
              <w14:schemeClr w14:val="tx1"/>
            </w14:solidFill>
          </w14:textFill>
        </w:rPr>
        <w:t>3</w:t>
      </w:r>
      <w:r>
        <w:rPr>
          <w:rFonts w:hint="eastAsia" w:cs="宋体" w:asciiTheme="minorEastAsia" w:hAnsiTheme="minorEastAsia" w:eastAsiaTheme="minorEastAsia"/>
          <w:color w:val="000000" w:themeColor="text1"/>
          <w:sz w:val="22"/>
          <w:szCs w:val="22"/>
          <w14:textFill>
            <w14:solidFill>
              <w14:schemeClr w14:val="tx1"/>
            </w14:solidFill>
          </w14:textFill>
        </w:rPr>
        <w:t>）主要剖面图纸。</w:t>
      </w:r>
    </w:p>
    <w:p>
      <w:pPr>
        <w:snapToGrid w:val="0"/>
        <w:spacing w:line="360" w:lineRule="auto"/>
        <w:ind w:firstLine="440"/>
        <w:rPr>
          <w:rFonts w:cs="Times New Roman"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设计图纸中应标明主要轴线和尺寸。</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（2）设计标准和规范</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应满足《工程建设标准强制性条文》、《建筑工程设计文件编制深度规定》（2016版）、国家、浙江省、温州市相关其他规定等设计标准、规范、规程、定额和办法等的要求。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各阶段设计成果应达到《建筑工程设计文件编制深度规定》（2016年版）的深度要求及本工程涉及的相关专业设计规范的深度要求。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（3）技术标准和要求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1.施工工程达到国家现行建筑工程施工质量验收统一标准（GB50300-2001）及各专业工程施工质量验收规范；设计、施工符合相应的验收标准。</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2.设备符合工程设备的国家、浙江省、温州市相关其他规定等的标准、规范、的要求，另满足本工程对电梯设备的技术要求（《电梯设备技术要求》附件</w:t>
      </w:r>
      <w:r>
        <w:rPr>
          <w:rFonts w:hint="eastAsia" w:ascii="宋体" w:hAnsi="宋体" w:eastAsia="宋体" w:cs="宋体"/>
          <w:bCs/>
          <w:color w:val="000000" w:themeColor="text1"/>
          <w:sz w:val="22"/>
          <w:szCs w:val="22"/>
          <w:highlight w:val="yellow"/>
          <w14:textFill>
            <w14:solidFill>
              <w14:schemeClr w14:val="tx1"/>
            </w14:solidFill>
          </w14:textFill>
        </w:rPr>
        <w:t>附后</w:t>
      </w:r>
      <w:r>
        <w:rPr>
          <w:rFonts w:hint="eastAsia" w:hAnsi="Cambria"/>
          <w:bCs/>
          <w:color w:val="000000" w:themeColor="text1"/>
          <w:sz w:val="22"/>
          <w:szCs w:val="22"/>
          <w:highlight w:val="yellow"/>
          <w14:textFill>
            <w14:solidFill>
              <w14:schemeClr w14:val="tx1"/>
            </w14:solidFill>
          </w14:textFill>
        </w:rPr>
        <w:t>）。</w:t>
      </w:r>
    </w:p>
    <w:p>
      <w:pPr>
        <w:spacing w:line="400" w:lineRule="exact"/>
        <w:ind w:firstLine="440"/>
        <w:rPr>
          <w:rFonts w:hAnsi="Cambria"/>
          <w:bCs/>
          <w:color w:val="000000" w:themeColor="text1"/>
          <w:sz w:val="22"/>
          <w:szCs w:val="22"/>
          <w:highlight w:val="yellow"/>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3.材料、设备应采用在行业内有一定知名度的品牌（投标人在投标文件中可明确所选用的主要材料、设备的品牌、厂家以及质量等级，其性能、主要技术指标参照或不低于发包人要求中提供的推荐品牌（附件</w:t>
      </w:r>
      <w:r>
        <w:rPr>
          <w:rFonts w:hint="eastAsia" w:ascii="宋体" w:hAnsi="宋体" w:eastAsia="宋体" w:cs="宋体"/>
          <w:bCs/>
          <w:color w:val="000000" w:themeColor="text1"/>
          <w:sz w:val="22"/>
          <w:szCs w:val="22"/>
          <w:highlight w:val="yellow"/>
          <w14:textFill>
            <w14:solidFill>
              <w14:schemeClr w14:val="tx1"/>
            </w14:solidFill>
          </w14:textFill>
        </w:rPr>
        <w:t>附后</w:t>
      </w:r>
      <w:r>
        <w:rPr>
          <w:rFonts w:hint="eastAsia" w:hAnsi="Cambria"/>
          <w:bCs/>
          <w:color w:val="000000" w:themeColor="text1"/>
          <w:sz w:val="22"/>
          <w:szCs w:val="22"/>
          <w:highlight w:val="yellow"/>
          <w14:textFill>
            <w14:solidFill>
              <w14:schemeClr w14:val="tx1"/>
            </w14:solidFill>
          </w14:textFill>
        </w:rPr>
        <w:t>）</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否则中标后发包人有权更换产品，并不予调价），并符合环保要求及满足国家强制性认证要求，严禁在施工过程中选择不合设计要求的低档材料。</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4.材料（设备）的质量保证</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1）在免费保修期内，中标人对有缺陷的部位必须无偿地给予修理与更换，除非该缺陷是由于人为破坏或合同规定的不可抗因素造成的损坏。设备的铭牌保修期长于招标要求，则按其铭牌要求执行。</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2）中标人必须对所承包的工程的质量负全部责任，其责任不因其他设备材料生产商提供的保证书而减轻或更改。</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3）材料检验按相关规定的见证取样和送检规定的程序进行。凡检验结果证明其有害物质含量指标超标的产品不得在工程上使用。</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（4）质量标准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合格。</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（5）设计、施工和设备监造、试验（如有）</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根据工程实际需要由发包人（或监理人）自行安排。</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（6）样品</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本次招标范围内的设备材料均由承包人根据本招标文件、设计图纸和国家有关规定的具体要求进行采购、运输、检验、保管；所有设备材料须有产品合格证和质量保证书。并在采购前提供样品，样品经设计人员、监理方、招标人确认与招标要求一致后封存，批量供应时应与样品一致。。</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（7）安装工程</w:t>
      </w:r>
      <w:r>
        <w:rPr>
          <w:rFonts w:hint="eastAsia" w:ascii="宋体" w:hAnsi="宋体" w:eastAsia="宋体" w:cs="宋体"/>
          <w:bCs/>
          <w:color w:val="000000" w:themeColor="text1"/>
          <w:sz w:val="22"/>
          <w:szCs w:val="22"/>
          <w14:textFill>
            <w14:solidFill>
              <w14:schemeClr w14:val="tx1"/>
            </w14:solidFill>
          </w14:textFill>
        </w:rPr>
        <w:t>及</w:t>
      </w:r>
      <w:r>
        <w:rPr>
          <w:rFonts w:ascii="宋体" w:hAnsi="宋体" w:eastAsia="宋体" w:cs="宋体"/>
          <w:bCs/>
          <w:color w:val="000000" w:themeColor="text1"/>
          <w:sz w:val="22"/>
          <w:szCs w:val="22"/>
          <w14:textFill>
            <w14:solidFill>
              <w14:schemeClr w14:val="tx1"/>
            </w14:solidFill>
          </w14:textFill>
        </w:rPr>
        <w:t>最低装饰装修建造交付标准</w:t>
      </w:r>
      <w:r>
        <w:rPr>
          <w:rFonts w:hint="eastAsia" w:hAnsi="Cambria"/>
          <w:bCs/>
          <w:color w:val="000000" w:themeColor="text1"/>
          <w:sz w:val="22"/>
          <w:szCs w:val="22"/>
          <w14:textFill>
            <w14:solidFill>
              <w14:schemeClr w14:val="tx1"/>
            </w14:solidFill>
          </w14:textFill>
        </w:rPr>
        <w:t>要求：见附件1、2</w:t>
      </w:r>
      <w:r>
        <w:rPr>
          <w:rFonts w:hint="eastAsia" w:ascii="宋体" w:hAnsi="宋体" w:eastAsia="宋体" w:cs="宋体"/>
          <w:bCs/>
          <w:color w:val="000000" w:themeColor="text1"/>
          <w:sz w:val="22"/>
          <w:szCs w:val="22"/>
          <w14:textFill>
            <w14:solidFill>
              <w14:schemeClr w14:val="tx1"/>
            </w14:solidFill>
          </w14:textFill>
        </w:rPr>
        <w:t>附后</w:t>
      </w:r>
      <w:r>
        <w:rPr>
          <w:rFonts w:hint="eastAsia" w:hAnsi="Cambria"/>
          <w:bCs/>
          <w:color w:val="000000" w:themeColor="text1"/>
          <w:sz w:val="22"/>
          <w:szCs w:val="22"/>
          <w14:textFill>
            <w14:solidFill>
              <w14:schemeClr w14:val="tx1"/>
            </w14:solidFill>
          </w14:textFill>
        </w:rPr>
        <w:t>。</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（8）发包人提供的其他条件：见招标文件第六章“发包人提供的资料”相关材料。</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（七）、竣工验收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按照竣工验收要求进行符合建设工程验收标准的一切测试及实验，装修材料的环保检测等；按国家、省、市有关工程竣工验收管理规范及办法进行建筑施工和设备安装质量全面检验，并取得相关竣工合格资料、数据和凭证。</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（八）、文件要求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（1）设计文件，及其相关审批、核准、备案要求</w:t>
      </w:r>
    </w:p>
    <w:p>
      <w:pPr>
        <w:spacing w:line="400" w:lineRule="exact"/>
        <w:ind w:firstLine="440"/>
        <w:rPr>
          <w:rFonts w:ascii="宋体" w:hAnsi="宋体" w:eastAsia="宋体" w:cs="宋体"/>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要求提供完整的各阶段设计文件，达到国家规定的设计文件编制深度要求，符合《工程建设标准强制性条文》、</w:t>
      </w:r>
      <w:r>
        <w:rPr>
          <w:rFonts w:hint="eastAsia" w:ascii="宋体" w:hAnsi="宋体" w:eastAsia="宋体" w:cs="宋体"/>
          <w:bCs/>
          <w:color w:val="000000" w:themeColor="text1"/>
          <w:sz w:val="22"/>
          <w:szCs w:val="22"/>
          <w14:textFill>
            <w14:solidFill>
              <w14:schemeClr w14:val="tx1"/>
            </w14:solidFill>
          </w14:textFill>
        </w:rPr>
        <w:t>平阳县</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相关其他规定等设计标准、规范、规程、定额和办法等的要求，并且通过相关图纸审查及完成备案。</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（2）沟通计划、风险管理计划</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投标人自行编制。包括实际进度与计划进度的对比，包括可能影响按合同竣工的任何事件或情况的详细，以及为消除延误正在（或准备）采取的措施。</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（3）竣工文件和工程的其他记录</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符合国家、省、市有关工程竣工验收管理要求。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（4）其他承包人文件。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1、施工组织设计</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2、合同规定的其他承包人文件。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（九）、工程项目管理规定</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执行GB/T 50358-2017《建设项目工程总承包管理规范》</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（1）质量</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合格。</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（2）进度，包括里程碑进度计划</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根据计划竣工时间由投标人自行编制。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（3）支付</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详见招标文件第四章“合同条款及格式”。</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（4）变更</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详见招标文件第四章“合同条款及格式”。</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（十）、其他要求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（1）对承包人的主要人员资格要求。</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eastAsia="宋体"/>
          <w:bCs/>
          <w:color w:val="000000" w:themeColor="text1"/>
          <w:sz w:val="22"/>
          <w:szCs w:val="22"/>
          <w14:textFill>
            <w14:solidFill>
              <w14:schemeClr w14:val="tx1"/>
            </w14:solidFill>
          </w14:textFill>
        </w:rPr>
        <w:t>项目总负责人</w:t>
      </w:r>
      <w:r>
        <w:rPr>
          <w:rFonts w:hint="eastAsia" w:hAnsi="Cambria"/>
          <w:bCs/>
          <w:color w:val="000000" w:themeColor="text1"/>
          <w:sz w:val="22"/>
          <w:szCs w:val="22"/>
          <w14:textFill>
            <w14:solidFill>
              <w14:schemeClr w14:val="tx1"/>
            </w14:solidFill>
          </w14:textFill>
        </w:rPr>
        <w:t>：见招标公告。</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highlight w:val="yellow"/>
          <w14:textFill>
            <w14:solidFill>
              <w14:schemeClr w14:val="tx1"/>
            </w14:solidFill>
          </w14:textFill>
        </w:rPr>
        <w:t>常驻设计代表：具有建筑设计类工程师资格。</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其他人员：满足设计、施工许可管理、审批、核准和备案手续的基本条件。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承包人在投标文件或资格审查文件中的承诺的管理人员未经业主同意，不得调换和撤离，并按工程进度及时到位。业主有权要求承包人撤换工作不负责任、管理不力、贻误工期和造成严重的安全事故和工程质量事故、违法乱纪的专业技术、管理人员直至</w:t>
      </w:r>
      <w:r>
        <w:rPr>
          <w:rFonts w:hint="eastAsia" w:hAnsi="Cambria" w:eastAsia="宋体"/>
          <w:bCs/>
          <w:color w:val="000000" w:themeColor="text1"/>
          <w:sz w:val="22"/>
          <w:szCs w:val="22"/>
          <w14:textFill>
            <w14:solidFill>
              <w14:schemeClr w14:val="tx1"/>
            </w14:solidFill>
          </w14:textFill>
        </w:rPr>
        <w:t>项目总负责人</w:t>
      </w:r>
      <w:r>
        <w:rPr>
          <w:rFonts w:hint="eastAsia" w:hAnsi="Cambria"/>
          <w:bCs/>
          <w:color w:val="000000" w:themeColor="text1"/>
          <w:sz w:val="22"/>
          <w:szCs w:val="22"/>
          <w14:textFill>
            <w14:solidFill>
              <w14:schemeClr w14:val="tx1"/>
            </w14:solidFill>
          </w14:textFill>
        </w:rPr>
        <w:t>，直至业主满意为止。如相应资质的专业技术人员未按要求到位，视作违约，业主有权单方面终止合同。</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（2）相关审批、核准和备案手续的办理。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满足设计、施工许可管理、审批、核准和备案手续的条件。</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（3）对项目业主人员的操作培训：根据电梯、弱电、通风等专业设备或工程需要安排。</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（4）分包：经建设单位同意，设计采购施工总承包人可以按照合同约定分包给具有相应资质的分包企业。</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（5）设备供应商：按照推荐品牌选择设备供应商。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（6）监督和管理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承包人应严格按已确认设计图纸和施工技术方案组织施工，并接受发包人委托的监理单位对施工质量的监督和管理。</w:t>
      </w:r>
    </w:p>
    <w:p>
      <w:pPr>
        <w:spacing w:line="400" w:lineRule="exact"/>
        <w:ind w:firstLine="440"/>
        <w:rPr>
          <w:rFonts w:hAnsi="Cambria"/>
          <w:bCs/>
          <w:color w:val="000000" w:themeColor="text1"/>
          <w:sz w:val="22"/>
          <w:szCs w:val="22"/>
          <w14:textFill>
            <w14:solidFill>
              <w14:schemeClr w14:val="tx1"/>
            </w14:solidFill>
          </w14:textFill>
        </w:rPr>
      </w:pPr>
      <w:r>
        <w:rPr>
          <w:rFonts w:hint="eastAsia" w:hAnsi="Cambria"/>
          <w:bCs/>
          <w:color w:val="000000" w:themeColor="text1"/>
          <w:sz w:val="22"/>
          <w:szCs w:val="22"/>
          <w14:textFill>
            <w14:solidFill>
              <w14:schemeClr w14:val="tx1"/>
            </w14:solidFill>
          </w14:textFill>
        </w:rPr>
        <w:t>（7）缺陷责任期的服务要求：符合国家、省、市相关规定。</w:t>
      </w:r>
    </w:p>
    <w:p>
      <w:pPr>
        <w:spacing w:line="400" w:lineRule="exact"/>
        <w:ind w:firstLine="440"/>
        <w:rPr>
          <w:rFonts w:hAnsi="Cambria"/>
          <w:bCs/>
          <w:color w:val="000000" w:themeColor="text1"/>
          <w:sz w:val="22"/>
          <w:szCs w:val="22"/>
          <w14:textFill>
            <w14:solidFill>
              <w14:schemeClr w14:val="tx1"/>
            </w14:solidFill>
          </w14:textFill>
        </w:rPr>
      </w:pPr>
    </w:p>
    <w:p>
      <w:pPr>
        <w:spacing w:line="360" w:lineRule="auto"/>
        <w:ind w:firstLine="420"/>
        <w:jc w:val="left"/>
        <w:rPr>
          <w:rFonts w:hAnsi="Cambria"/>
          <w:bCs/>
          <w:color w:val="000000" w:themeColor="text1"/>
          <w:sz w:val="21"/>
          <w:szCs w:val="21"/>
          <w14:textFill>
            <w14:solidFill>
              <w14:schemeClr w14:val="tx1"/>
            </w14:solidFill>
          </w14:textFill>
        </w:rPr>
      </w:pPr>
      <w:r>
        <w:rPr>
          <w:rFonts w:hint="eastAsia" w:hAnsi="Cambria"/>
          <w:bCs/>
          <w:color w:val="000000" w:themeColor="text1"/>
          <w:sz w:val="21"/>
          <w:szCs w:val="21"/>
          <w14:textFill>
            <w14:solidFill>
              <w14:schemeClr w14:val="tx1"/>
            </w14:solidFill>
          </w14:textFill>
        </w:rPr>
        <w:br w:type="page"/>
      </w:r>
      <w:r>
        <w:rPr>
          <w:rFonts w:hint="eastAsia" w:hAnsi="Cambria"/>
          <w:bCs/>
          <w:color w:val="000000" w:themeColor="text1"/>
          <w:sz w:val="21"/>
          <w:szCs w:val="21"/>
          <w14:textFill>
            <w14:solidFill>
              <w14:schemeClr w14:val="tx1"/>
            </w14:solidFill>
          </w14:textFill>
        </w:rPr>
        <w:t>（十</w:t>
      </w:r>
      <w:r>
        <w:rPr>
          <w:rFonts w:hint="eastAsia" w:ascii="宋体" w:hAnsi="宋体" w:eastAsia="宋体" w:cs="宋体"/>
          <w:bCs/>
          <w:color w:val="000000" w:themeColor="text1"/>
          <w:sz w:val="21"/>
          <w:szCs w:val="21"/>
          <w14:textFill>
            <w14:solidFill>
              <w14:schemeClr w14:val="tx1"/>
            </w14:solidFill>
          </w14:textFill>
        </w:rPr>
        <w:t>一</w:t>
      </w:r>
      <w:r>
        <w:rPr>
          <w:rFonts w:hint="eastAsia" w:hAnsi="Cambria"/>
          <w:bCs/>
          <w:color w:val="000000" w:themeColor="text1"/>
          <w:sz w:val="21"/>
          <w:szCs w:val="21"/>
          <w14:textFill>
            <w14:solidFill>
              <w14:schemeClr w14:val="tx1"/>
            </w14:solidFill>
          </w14:textFill>
        </w:rPr>
        <w:t>）、附件</w:t>
      </w:r>
    </w:p>
    <w:p>
      <w:pPr>
        <w:spacing w:line="360" w:lineRule="auto"/>
        <w:ind w:firstLine="420"/>
        <w:rPr>
          <w:rFonts w:ascii="等线" w:hAnsi="等线"/>
          <w:b/>
          <w:bCs/>
          <w:color w:val="000000" w:themeColor="text1"/>
          <w:sz w:val="21"/>
          <w:szCs w:val="21"/>
          <w14:textFill>
            <w14:solidFill>
              <w14:schemeClr w14:val="tx1"/>
            </w14:solidFill>
          </w14:textFill>
        </w:rPr>
      </w:pPr>
      <w:r>
        <w:rPr>
          <w:rFonts w:hint="eastAsia" w:hAnsi="Cambria"/>
          <w:bCs/>
          <w:color w:val="000000" w:themeColor="text1"/>
          <w:sz w:val="21"/>
          <w:szCs w:val="21"/>
          <w14:textFill>
            <w14:solidFill>
              <w14:schemeClr w14:val="tx1"/>
            </w14:solidFill>
          </w14:textFill>
        </w:rPr>
        <w:t xml:space="preserve">  </w:t>
      </w:r>
      <w:r>
        <w:rPr>
          <w:rFonts w:hint="eastAsia" w:ascii="等线" w:hAnsi="等线"/>
          <w:bCs/>
          <w:color w:val="000000" w:themeColor="text1"/>
          <w:sz w:val="21"/>
          <w:szCs w:val="21"/>
          <w14:textFill>
            <w14:solidFill>
              <w14:schemeClr w14:val="tx1"/>
            </w14:solidFill>
          </w14:textFill>
        </w:rPr>
        <w:t xml:space="preserve">  </w:t>
      </w:r>
      <w:r>
        <w:rPr>
          <w:rFonts w:hint="eastAsia" w:ascii="等线" w:hAnsi="等线"/>
          <w:b/>
          <w:bCs/>
          <w:color w:val="000000" w:themeColor="text1"/>
          <w:sz w:val="21"/>
          <w:szCs w:val="21"/>
          <w14:textFill>
            <w14:solidFill>
              <w14:schemeClr w14:val="tx1"/>
            </w14:solidFill>
          </w14:textFill>
        </w:rPr>
        <w:t>附件</w:t>
      </w:r>
      <w:r>
        <w:rPr>
          <w:rFonts w:ascii="等线" w:hAnsi="等线"/>
          <w:b/>
          <w:bCs/>
          <w:color w:val="000000" w:themeColor="text1"/>
          <w:sz w:val="21"/>
          <w:szCs w:val="21"/>
          <w14:textFill>
            <w14:solidFill>
              <w14:schemeClr w14:val="tx1"/>
            </w14:solidFill>
          </w14:textFill>
        </w:rPr>
        <w:t>1</w:t>
      </w:r>
      <w:r>
        <w:rPr>
          <w:rFonts w:hint="eastAsia" w:ascii="等线" w:hAnsi="等线"/>
          <w:b/>
          <w:bCs/>
          <w:color w:val="000000" w:themeColor="text1"/>
          <w:sz w:val="21"/>
          <w:szCs w:val="21"/>
          <w14:textFill>
            <w14:solidFill>
              <w14:schemeClr w14:val="tx1"/>
            </w14:solidFill>
          </w14:textFill>
        </w:rPr>
        <w:t xml:space="preserve">    </w:t>
      </w:r>
    </w:p>
    <w:p>
      <w:pPr>
        <w:spacing w:line="360" w:lineRule="auto"/>
        <w:ind w:firstLine="422"/>
        <w:jc w:val="center"/>
        <w:rPr>
          <w:rFonts w:ascii="等线" w:hAnsi="等线"/>
          <w:b/>
          <w:bCs/>
          <w:color w:val="000000" w:themeColor="text1"/>
          <w:sz w:val="21"/>
          <w:szCs w:val="21"/>
          <w14:textFill>
            <w14:solidFill>
              <w14:schemeClr w14:val="tx1"/>
            </w14:solidFill>
          </w14:textFill>
        </w:rPr>
      </w:pPr>
      <w:r>
        <w:rPr>
          <w:rFonts w:hint="eastAsia" w:ascii="等线" w:hAnsi="等线"/>
          <w:b/>
          <w:bCs/>
          <w:color w:val="000000" w:themeColor="text1"/>
          <w:sz w:val="21"/>
          <w:szCs w:val="21"/>
          <w14:textFill>
            <w14:solidFill>
              <w14:schemeClr w14:val="tx1"/>
            </w14:solidFill>
          </w14:textFill>
        </w:rPr>
        <w:t>安装工程要求</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一、总要求</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1、水、电、气入户，做到终端取水点、插座或出线口，天燃气接入厨房灶台处，并做到水、电、气一户一表。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2、户内给水明装，管道不能从卧室穿过，尽量减少穿客厅的距离。</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3、水井要设计防水层。</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4、门面水电只考虑水表、排水接口及电表箱。</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5、门面要考虑横向及竖向厨房烟道（每间门面应设置止回阀）。</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二、电气</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用户配电箱规格要求：箱体采用金属壳体，面板采用工程塑料ABS白色；小二间、大二间采用4KW配电箱，内设四回路，分别控制起居室卧室空调、厨房卫生间插座、照明回路、普通插座；大三间、小四间、大四间、大户型采用6KW配电箱，内设四回路，分别控制起居室卧室空调、厨房卫生间插座、照明回路、普通插座，强电进户线进入用户配电箱内。</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2、变配电室要单独分专用配电用房和公用配电用房，小区内要预留90~120平米备用10KV开闭所一间；变配电房不应设置于地下层最底层，变配电室室内净高不低于3.6米。</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3、照度要求：a）、起居室的照度为100lx；b）、卧室的照度为75lx；c）、餐厅的照度为150lx、d)、厨房、卫生间照度均为100lx、e)、楼梯间照度为30lx.。</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1）每套住宅的空调电源插座、电源插座与照明，应分路设计；厨房电源插座和卫生间电源插座宜设置独立回路，空调插座距地2.2米、柜式空调插座0.3米、厨房插座、厨房冰箱插座、洗衣机插座及卫生间插座1.5米、厨房抽油烟机2.3米、房间插座0.3米。</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（2）除空调电源插座外，其它电源插座电路应设置漏电保护装置。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（3）每套住宅应设置电源总断路器，并应采用可同时断开相线和中性线的开关电器。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（4）设洗浴设备的卫生间应作等电位联结。</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（5）住宅的公共部位应设人工照明，除高层住宅的电梯厅和应急照明外，均应采用节能自熄开关。</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（6）电源插座的数量，不应少于下列的规定：</w:t>
      </w:r>
    </w:p>
    <w:tbl>
      <w:tblPr>
        <w:tblStyle w:val="4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部位</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设置数量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卧室、书房</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单相两孔、三孔电源插座≥2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厨房</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IP54型单相两孔、三孔电源插座≥2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起居室（厅）、兼起居的卧室</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单相两孔、三孔电源插座≥3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卫生间</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IP54型单相两孔、三孔电源插座≥1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洗衣机、冰箱、排油烟机、排风机、空调器、电热水器、固定安装的电炊具</w:t>
            </w:r>
          </w:p>
        </w:tc>
        <w:tc>
          <w:tcPr>
            <w:tcW w:w="4261" w:type="dxa"/>
            <w:vAlign w:val="center"/>
          </w:tcPr>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专用单相三线插座各一个</w:t>
            </w:r>
          </w:p>
        </w:tc>
      </w:tr>
    </w:tbl>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（7）有线电视系统应满足《温州城区有线电视广播电视工程建设技术规范》（修改版），并符合温州中广有线分公司相关建设要求。</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（8）每套住宅宜集中设置布线箱，对有线电视、通信、网络、安全监控等线路集中布线。</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5、灯具均采用墙上瓷灯座吸顶安装；应采用节能型灯具；住宅房间、配电间、电缆井、管道间（管道井）应设节能型墙上瓷灯座。并标注用电功率。</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6、室外环境灯具、路灯及地下车库电气照明灯每排（行）均应按分回路间隔控制。</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7、卫生间等电位做法详见：05SD604-5-10。</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8、阳台安装墙上瓷灯座，节能灯。标注用电功率。</w:t>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9、建筑物均压环尽量利用建筑物梁、圈梁内钢筋，不另采用镀锌扁钢。</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10、房间内的电气线管均采用暗敷安装；户外公用走道内可采用暗配安装；电井至室外主电力电缆管、通讯线管、电视线管应埋地敷设，不应明配，在室内电线隐蔽布置的地方做好有效标记。</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11、住宅用户弱电箱至户外采用线管暗敷。</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12、住宅用户应按标准户型设置户内强、弱电配线平面布置图及节点大样，标注规格型号、敷设方式。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13、气体灭火装置采用七氟丙烷。</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14、每间物管用房、居委会、社区用房、管理用房、垃圾站、车库值班室、多功能厅、门面内应单独设置卫生间，并能单独计费（含水表、电表），内应单独设置配电箱；公共照明、动力、消防设备及辅助用房、商业网点等不同用电性质的负荷应采用单独回路供电，并应根据不同电价类别分别计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15、公建部分每间房间应设配电箱(内装电表)，公共过道、梯间应单独设置电表。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16、物管用房与居委会、社区用房应分开设置。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17、消防中心、监控室应靠物管用房集中设置。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18、电梯控制柜应考虑设置电表及3匹单冷柜式空调插座一组。</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19、送、排烟风机，防火卷帘门设置功能要完善。</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20、消防电梯井、机房与相邻其它电梯井、机房之间，应采用耐火极限不低于2.00h的隔墙隔开，当在隔墙上开门时，应设甲级防火门。21、</w:t>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小区路灯杆高5米，光源采用节能灯；间距30米，设两个回路，分全夜和半夜控制（路灯要隔盏控制）。</w:t>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22、室外主要路口、入户单元路口、地下车库应设置视频监控系统；人行通道设置翼闸。</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23、可视对讲话机整洁、信号稳定、图像清晰、声音效果清楚。</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24、户内报警：防区设置合理，设防操作简单，报警通畅。</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25、行车收费系统：造型和谐优雅、安全、稳定，道闸放行快速、平稳，月卡、次卡识别正确、可靠。</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26、住宅智能化系统的配置应符合现行国家标准《智能建筑设计标准》GB 50314的有关规定；住宅智能化系统的配置应符合现行国家标准《智能建筑设计标准》GB 50314的有关规定；住宅智能化系统的配置应符合现行国家标准《智能建筑设计标准》GB 50314的有关规定；</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三、给排水系统</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1、室外消防给水管与小区生活给水管应单独分别设置于小区绿化地内或人行道上，管网中应增设检修阀门井。</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2、小区雨、污水管网应提供高程表、各检查井坐标；小区污水管网应设置在小区绿化地或人行道内，雨、污水井盖采用钢纤维材料制品。</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3、电梯井底坑内均应设置排水装置或地漏。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4、设置管道井，水表每层楼集中安装，管井内或设有水表处应设置地漏。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5、小区生化池不得设置公共绿化带内及人行主人口，设计总平面图要标注生化池实际外形尺寸、大小。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6、地下车库排水尽量不采用机械排水，重力排水管径采用DN400管道排出，具体根据实际情况而定。</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7、地下车库及室内外排水沟坡度按正常设计放大1~1.5级。</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8、小区内及地下车库排水沟盖板、井盖均采用钢纤维材料制品。</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9、公共卫生间设置陶瓷蹲式大便器、陶瓷座便器、陶瓷小便器，洗涤盆采用陶瓷盆；并设置残疾人专用设施。</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10、厨房、卫生间应单独设置地漏，污水排水管管径DN110,宜采用UPVC塑料管，污水管不得穿越客厅、卧室等房间，具体根据实际情况而定。</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11、安置房卫生间淋浴蓬不考虑，其余各给水点只安装塑料水龙头（水嘴）。</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12．厨房、卫生间内热水系统不考虑。应在厨房、卫生间、生活阳台墙上沿给水管预留热水管穿墙套管DN40。</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13、住宅部分应设置天燃气表位置，且靠厨房生活阳台门带窗墙处。</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14．住宅底层生活（卫生间）排污管及商业门面(含餐饮厨房)卫生间排污管应单独设置。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15、裙房雨水管材料为UPVC塑料管，高层雨水管应用镀锌钢管，底层排污管、雨水管不得经过客厅、卧室房间。</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16、一户一表，表为DN15集中安于楼层水表井中，给水入户管管径为DN25，给水进户并配一给水水咀，材料为PPR管。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17、进户给水管不宜经过客厅、卧室房间，厨房、卫生间尽量靠梯间设置。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18、住宅用户尽量按标准户型绘制户内给、排水大样布置图。</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19、给排水专业的穿墙、楼板、屋顶、室外地下基础等套管选用图集，说明中标明管道敷设间距图表。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20、门面或商铺卫生间按清水房仅考虑出水接口（不设置器具及给水管）；幼儿园大、小便槽、洗脸盆按规范全部安装到位；户内卫生洁具均不安装，预埋洞口及套管。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21、楼梯间消防箱布置为明装，需满足消防规范，疏散通道不小于1100mm。</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22、对于给排水设备及管道较多处，如泵房、水池，水箱间、热交换器站，饮水间、卫生间、水处理间、报警阀门、气体消防贮瓶间等，当上述平面不能交待清楚时，应绘出局部大样平面图。</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23、高区供水宜采用变频加压供水，不宜采用水箱二次供水，具体根据实际情况而定。</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24、在室内水管隐蔽布置的地方做好有效标记。</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25、污废分流、要单独设置污水管和废水管，高层应设通气管。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26、1-5层应该市政直接供水。</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四、暖通系统</w:t>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1、梯间、电梯前室、通道尽量采用自然送排风（烟）。</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2、地下车库排烟风机应设风机房。</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3、商业门面内应设计水平横向厨房排烟管，建筑应设竖向混凝土烟道。</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4、住宅部分应设置天燃气表位置，且靠厨房生活阳台门带窗墙处。</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5、通风、空调、制冷机房剖面图</w:t>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 当其它图纸不能表达复杂管道相对关系及竖向位置时，应绘制剖面图。</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 剖面图应绘出对应于机房平面图的设备、设备基础、管道和附件的竖向位置、竖向尺寸和标高。标注连接设备的管道位置尺寸；注明设备和附件编号以及详图索引编号。</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6、详图</w:t>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 采暖、通风、空调、制冷系统的各种设备及零部件施工安装，应注明采用的标准图、通用图的图名图号。凡由现成图纸可选，且需要交待设计意图的，均需绘制详图。</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 简单的详图，可就图引出，绘局部详图；制作详图或安装复杂的详图应单独绘制。</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五、天燃气系统</w:t>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1、室外总平面应设置主管网图</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2、厨房至生活阳台应预留穿墙或穿楼板套管位置。</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3、住宅部分应设置天燃气表位置，且靠厨房生活阳台门带窗墙处。</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4、本工程用户为远程（集抄）用户。</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六、材料及设备选用</w:t>
      </w:r>
      <w:r>
        <w:rPr>
          <w:rFonts w:hint="eastAsia" w:ascii="等线" w:hAnsi="等线"/>
          <w:color w:val="000000" w:themeColor="text1"/>
          <w:sz w:val="21"/>
          <w:szCs w:val="21"/>
          <w14:textFill>
            <w14:solidFill>
              <w14:schemeClr w14:val="tx1"/>
            </w14:solidFill>
          </w14:textFill>
        </w:rPr>
        <w:tab/>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1、室外生活给水主管采用钢塑复合管或球墨铸铁给水管，室内用户水表后采用PP-R塑料给水管或钢塑复合管（外墙）。</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2、消防水系统均采用热镀锌钢管。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3、室外排水双壁塑料波纹排水管，室内采用UPVC塑料排水管。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4、排水沟盖板、井盖均采用钢纤维材料制品。</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5、电气管尽量采用PVC阻燃塑料线管。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6、住宅用户内灯具采用墙上瓷灯座，光源节能灯。</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7、屋顶消防水箱组合式不锈钢水箱（附图籍）</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8、电梯机房空调采用3匹单冷柜式空调。</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9、风管材料采用镀锌铁板或不燃无机玻璃钢。</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七、设计说明</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1、给、排水设计说明中应有：</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1)给水设计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a水源情况简述（包括自备水源及市政给水管网）。</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b用水量及耗热量估算：总用水量（最高日、最大时），消防水量。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c给水系统：简述系统供水方式。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d消防系统：简述消防系统种类，供水方式。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2)排水设计</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a排水体制，污、废水及雨水的排放出路。</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b估算污、废水排水量，雨水量及重现期参数等。</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c排水系统说明及综合利用。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d污、废水的处理方法。</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3）管道敷设间距、支架间距、管壁厚等应列表。</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4）管道穿越墙、楼板套管的种类、材质、规格大小。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5）管道防腐保温说明</w:t>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2、电气设计说明</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1)设计范围 本工程拟设置的电气系统。</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2)变、配电系统</w:t>
      </w:r>
      <w:r>
        <w:rPr>
          <w:rFonts w:hint="eastAsia" w:ascii="等线" w:hAnsi="等线"/>
          <w:color w:val="000000" w:themeColor="text1"/>
          <w:sz w:val="21"/>
          <w:szCs w:val="21"/>
          <w14:textFill>
            <w14:solidFill>
              <w14:schemeClr w14:val="tx1"/>
            </w14:solidFill>
          </w14:textFill>
        </w:rPr>
        <w:tab/>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a确定负荷级别：1、2、3级负荷的主要内容。</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b负荷估算。</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c电源：根据负荷性质和负荷量，要求外供电源的回路数、容量、 电压等级。</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d变、配电所：位置、数量、 容量。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3) 应急电源系统：确定备用电源和应急电源型式。</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4) 照明、防雷、接地、智能建筑设计的相关系统内容。</w:t>
      </w:r>
    </w:p>
    <w:p>
      <w:pPr>
        <w:snapToGrid w:val="0"/>
        <w:spacing w:line="360" w:lineRule="auto"/>
        <w:ind w:firstLine="420"/>
        <w:rPr>
          <w:rFonts w:ascii="等线" w:hAnsi="等线"/>
          <w:color w:val="000000" w:themeColor="text1"/>
          <w:sz w:val="21"/>
          <w:szCs w:val="21"/>
          <w14:textFill>
            <w14:solidFill>
              <w14:schemeClr w14:val="tx1"/>
            </w14:solidFill>
          </w14:textFill>
        </w:rPr>
      </w:pPr>
      <w:r>
        <w:rPr>
          <w:rFonts w:hint="eastAsia" w:ascii="等线" w:hAnsi="等线"/>
          <w:color w:val="000000" w:themeColor="text1"/>
          <w:sz w:val="21"/>
          <w:szCs w:val="21"/>
          <w14:textFill>
            <w14:solidFill>
              <w14:schemeClr w14:val="tx1"/>
            </w14:solidFill>
          </w14:textFill>
        </w:rPr>
        <w:t>除上述说明外，其余未详事宜按规范计入，上述与规范有冲突的，按规范设计施工。</w:t>
      </w:r>
    </w:p>
    <w:p>
      <w:pPr>
        <w:snapToGrid w:val="0"/>
        <w:spacing w:line="360" w:lineRule="auto"/>
        <w:ind w:firstLine="420"/>
        <w:rPr>
          <w:rFonts w:ascii="等线" w:hAnsi="等线"/>
          <w:color w:val="000000" w:themeColor="text1"/>
          <w:sz w:val="21"/>
          <w:szCs w:val="21"/>
          <w14:textFill>
            <w14:solidFill>
              <w14:schemeClr w14:val="tx1"/>
            </w14:solidFill>
          </w14:textFill>
        </w:rPr>
      </w:pPr>
    </w:p>
    <w:p>
      <w:pPr>
        <w:pStyle w:val="19"/>
        <w:ind w:firstLine="0" w:firstLineChars="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r>
        <w:rPr>
          <w:rFonts w:hint="eastAsia"/>
          <w:color w:val="000000" w:themeColor="text1"/>
          <w14:textFill>
            <w14:solidFill>
              <w14:schemeClr w14:val="tx1"/>
            </w14:solidFill>
          </w14:textFill>
        </w:rPr>
        <w:t>附件2</w:t>
      </w:r>
    </w:p>
    <w:p>
      <w:pPr>
        <w:ind w:firstLine="566"/>
        <w:jc w:val="left"/>
        <w:rPr>
          <w:rFonts w:ascii="仿宋" w:hAnsi="仿宋" w:eastAsia="仿宋" w:cs="宋体"/>
          <w:b/>
          <w:color w:val="000000" w:themeColor="text1"/>
          <w:spacing w:val="1"/>
          <w:szCs w:val="22"/>
          <w14:textFill>
            <w14:solidFill>
              <w14:schemeClr w14:val="tx1"/>
            </w14:solidFill>
          </w14:textFill>
        </w:rPr>
      </w:pPr>
      <w:r>
        <w:rPr>
          <w:rFonts w:hint="eastAsia" w:ascii="仿宋" w:hAnsi="仿宋" w:eastAsia="仿宋" w:cs="宋体"/>
          <w:b/>
          <w:color w:val="000000" w:themeColor="text1"/>
          <w:spacing w:val="1"/>
          <w:szCs w:val="22"/>
          <w14:textFill>
            <w14:solidFill>
              <w14:schemeClr w14:val="tx1"/>
            </w14:solidFill>
          </w14:textFill>
        </w:rPr>
        <w:t>附件2</w:t>
      </w:r>
    </w:p>
    <w:p>
      <w:pPr>
        <w:ind w:firstLine="566"/>
        <w:jc w:val="center"/>
        <w:rPr>
          <w:rFonts w:eastAsiaTheme="minorEastAsia"/>
          <w:color w:val="000000" w:themeColor="text1"/>
          <w14:textFill>
            <w14:solidFill>
              <w14:schemeClr w14:val="tx1"/>
            </w14:solidFill>
          </w14:textFill>
        </w:rPr>
      </w:pPr>
      <w:r>
        <w:rPr>
          <w:rFonts w:hint="eastAsia" w:ascii="仿宋" w:hAnsi="仿宋" w:eastAsia="仿宋" w:cs="宋体"/>
          <w:b/>
          <w:color w:val="000000" w:themeColor="text1"/>
          <w:spacing w:val="1"/>
          <w:szCs w:val="22"/>
          <w14:textFill>
            <w14:solidFill>
              <w14:schemeClr w14:val="tx1"/>
            </w14:solidFill>
          </w14:textFill>
        </w:rPr>
        <w:t>最低</w:t>
      </w:r>
      <w:r>
        <w:rPr>
          <w:rFonts w:ascii="仿宋" w:hAnsi="仿宋" w:eastAsia="仿宋" w:cs="宋体"/>
          <w:b/>
          <w:color w:val="000000" w:themeColor="text1"/>
          <w:spacing w:val="1"/>
          <w:szCs w:val="22"/>
          <w14:textFill>
            <w14:solidFill>
              <w14:schemeClr w14:val="tx1"/>
            </w14:solidFill>
          </w14:textFill>
        </w:rPr>
        <w:t>装饰装修建造交付标</w:t>
      </w:r>
      <w:r>
        <w:rPr>
          <w:rFonts w:hint="eastAsia" w:ascii="仿宋" w:hAnsi="仿宋" w:eastAsia="仿宋" w:cs="宋体"/>
          <w:b/>
          <w:color w:val="000000" w:themeColor="text1"/>
          <w:spacing w:val="1"/>
          <w:szCs w:val="22"/>
          <w14:textFill>
            <w14:solidFill>
              <w14:schemeClr w14:val="tx1"/>
            </w14:solidFill>
          </w14:textFill>
        </w:rPr>
        <w:t>准</w:t>
      </w: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color w:val="000000" w:themeColor="text1"/>
          <w:lang w:eastAsia="en-US"/>
          <w14:textFill>
            <w14:solidFill>
              <w14:schemeClr w14:val="tx1"/>
            </w14:solidFill>
          </w14:textFill>
        </w:rPr>
        <w:sectPr>
          <w:headerReference r:id="rId17" w:type="first"/>
          <w:footerReference r:id="rId20" w:type="first"/>
          <w:headerReference r:id="rId15" w:type="default"/>
          <w:footerReference r:id="rId18" w:type="default"/>
          <w:headerReference r:id="rId16" w:type="even"/>
          <w:footerReference r:id="rId19" w:type="even"/>
          <w:pgSz w:w="11900" w:h="16820"/>
          <w:pgMar w:top="1598" w:right="1358" w:bottom="0" w:left="1582" w:header="720" w:footer="720" w:gutter="0"/>
          <w:cols w:space="720" w:num="1"/>
          <w:docGrid w:linePitch="1" w:charSpace="0"/>
        </w:sectPr>
      </w:pPr>
      <w:r>
        <w:rPr>
          <w:color w:val="000000" w:themeColor="text1"/>
          <w:lang w:eastAsia="en-US"/>
          <w14:textFill>
            <w14:solidFill>
              <w14:schemeClr w14:val="tx1"/>
            </w14:solidFill>
          </w14:textFill>
        </w:rPr>
        <w:drawing>
          <wp:inline distT="0" distB="0" distL="0" distR="0">
            <wp:extent cx="4991735" cy="73050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008764" cy="7330201"/>
                    </a:xfrm>
                    <a:prstGeom prst="rect">
                      <a:avLst/>
                    </a:prstGeom>
                    <a:noFill/>
                    <a:ln>
                      <a:noFill/>
                    </a:ln>
                  </pic:spPr>
                </pic:pic>
              </a:graphicData>
            </a:graphic>
          </wp:inline>
        </w:drawing>
      </w:r>
    </w:p>
    <w:p>
      <w:pPr>
        <w:spacing w:before="120" w:after="240" w:line="276" w:lineRule="auto"/>
        <w:ind w:firstLine="560"/>
        <w:rPr>
          <w:rFonts w:ascii="Calibri" w:hAnsi="Calibri"/>
          <w:color w:val="000000" w:themeColor="text1"/>
          <w:sz w:val="22"/>
          <w:szCs w:val="22"/>
          <w:lang w:eastAsia="en-US"/>
          <w14:textFill>
            <w14:solidFill>
              <w14:schemeClr w14:val="tx1"/>
            </w14:solidFill>
          </w14:textFill>
        </w:rPr>
        <w:sectPr>
          <w:pgSz w:w="11900" w:h="16840"/>
          <w:pgMar w:top="0" w:right="100" w:bottom="0" w:left="0" w:header="720" w:footer="720" w:gutter="0"/>
          <w:cols w:space="720" w:num="1"/>
          <w:docGrid w:linePitch="1" w:charSpace="0"/>
        </w:sectPr>
      </w:pPr>
      <w:r>
        <w:rPr>
          <w:color w:val="000000" w:themeColor="text1"/>
          <w14:textFill>
            <w14:solidFill>
              <w14:schemeClr w14:val="tx1"/>
            </w14:solidFill>
          </w14:textFill>
        </w:rPr>
        <w:drawing>
          <wp:anchor distT="0" distB="0" distL="114300" distR="114300" simplePos="0" relativeHeight="251659264" behindDoc="1" locked="0" layoutInCell="1" allowOverlap="1">
            <wp:simplePos x="0" y="0"/>
            <wp:positionH relativeFrom="page">
              <wp:posOffset>-12700</wp:posOffset>
            </wp:positionH>
            <wp:positionV relativeFrom="page">
              <wp:posOffset>-12700</wp:posOffset>
            </wp:positionV>
            <wp:extent cx="7581900" cy="10718800"/>
            <wp:effectExtent l="1905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4" cstate="print"/>
                    <a:srcRect/>
                    <a:stretch>
                      <a:fillRect/>
                    </a:stretch>
                  </pic:blipFill>
                  <pic:spPr>
                    <a:xfrm>
                      <a:off x="0" y="0"/>
                      <a:ext cx="7581900" cy="10718800"/>
                    </a:xfrm>
                    <a:prstGeom prst="rect">
                      <a:avLst/>
                    </a:prstGeom>
                    <a:noFill/>
                  </pic:spPr>
                </pic:pic>
              </a:graphicData>
            </a:graphic>
          </wp:anchor>
        </w:drawing>
      </w:r>
    </w:p>
    <w:p>
      <w:pPr>
        <w:spacing w:before="120" w:after="240" w:line="276" w:lineRule="auto"/>
        <w:ind w:firstLine="560"/>
        <w:rPr>
          <w:rFonts w:ascii="Calibri" w:hAnsi="Calibri"/>
          <w:color w:val="000000" w:themeColor="text1"/>
          <w:sz w:val="22"/>
          <w:szCs w:val="22"/>
          <w:lang w:eastAsia="en-US"/>
          <w14:textFill>
            <w14:solidFill>
              <w14:schemeClr w14:val="tx1"/>
            </w14:solidFill>
          </w14:textFill>
        </w:rPr>
        <w:sectPr>
          <w:pgSz w:w="11900" w:h="16840"/>
          <w:pgMar w:top="0" w:right="100" w:bottom="0" w:left="0" w:header="720" w:footer="720" w:gutter="0"/>
          <w:cols w:space="720" w:num="1"/>
          <w:docGrid w:linePitch="1" w:charSpace="0"/>
        </w:sectPr>
      </w:pPr>
      <w:r>
        <w:rPr>
          <w:color w:val="000000" w:themeColor="text1"/>
          <w14:textFill>
            <w14:solidFill>
              <w14:schemeClr w14:val="tx1"/>
            </w14:solidFill>
          </w14:textFill>
        </w:rPr>
        <w:drawing>
          <wp:anchor distT="0" distB="0" distL="114300" distR="114300" simplePos="0" relativeHeight="251660288" behindDoc="1" locked="0" layoutInCell="1" allowOverlap="1">
            <wp:simplePos x="0" y="0"/>
            <wp:positionH relativeFrom="page">
              <wp:posOffset>-12700</wp:posOffset>
            </wp:positionH>
            <wp:positionV relativeFrom="page">
              <wp:posOffset>-12700</wp:posOffset>
            </wp:positionV>
            <wp:extent cx="7581900" cy="10718800"/>
            <wp:effectExtent l="1905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5" cstate="print"/>
                    <a:srcRect/>
                    <a:stretch>
                      <a:fillRect/>
                    </a:stretch>
                  </pic:blipFill>
                  <pic:spPr>
                    <a:xfrm>
                      <a:off x="0" y="0"/>
                      <a:ext cx="7581900" cy="10718800"/>
                    </a:xfrm>
                    <a:prstGeom prst="rect">
                      <a:avLst/>
                    </a:prstGeom>
                    <a:noFill/>
                  </pic:spPr>
                </pic:pic>
              </a:graphicData>
            </a:graphic>
          </wp:anchor>
        </w:drawing>
      </w:r>
    </w:p>
    <w:p>
      <w:pPr>
        <w:spacing w:before="120" w:after="240" w:line="276" w:lineRule="auto"/>
        <w:ind w:firstLine="560"/>
        <w:rPr>
          <w:rFonts w:ascii="Calibri" w:hAnsi="Calibri"/>
          <w:color w:val="000000" w:themeColor="text1"/>
          <w:sz w:val="22"/>
          <w:szCs w:val="22"/>
          <w:lang w:eastAsia="en-US"/>
          <w14:textFill>
            <w14:solidFill>
              <w14:schemeClr w14:val="tx1"/>
            </w14:solidFill>
          </w14:textFill>
        </w:rPr>
        <w:sectPr>
          <w:pgSz w:w="11900" w:h="16840"/>
          <w:pgMar w:top="0" w:right="100" w:bottom="0" w:left="0" w:header="720" w:footer="720" w:gutter="0"/>
          <w:cols w:space="720" w:num="1"/>
          <w:docGrid w:linePitch="1" w:charSpace="0"/>
        </w:sectPr>
      </w:pPr>
      <w:r>
        <w:rPr>
          <w:color w:val="000000" w:themeColor="text1"/>
          <w14:textFill>
            <w14:solidFill>
              <w14:schemeClr w14:val="tx1"/>
            </w14:solidFill>
          </w14:textFill>
        </w:rPr>
        <w:drawing>
          <wp:anchor distT="0" distB="0" distL="114300" distR="114300" simplePos="0" relativeHeight="251661312" behindDoc="1" locked="0" layoutInCell="1" allowOverlap="1">
            <wp:simplePos x="0" y="0"/>
            <wp:positionH relativeFrom="page">
              <wp:posOffset>-12700</wp:posOffset>
            </wp:positionH>
            <wp:positionV relativeFrom="page">
              <wp:posOffset>-12700</wp:posOffset>
            </wp:positionV>
            <wp:extent cx="7581900" cy="10718800"/>
            <wp:effectExtent l="1905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6" cstate="print"/>
                    <a:srcRect/>
                    <a:stretch>
                      <a:fillRect/>
                    </a:stretch>
                  </pic:blipFill>
                  <pic:spPr>
                    <a:xfrm>
                      <a:off x="0" y="0"/>
                      <a:ext cx="7581900" cy="10718800"/>
                    </a:xfrm>
                    <a:prstGeom prst="rect">
                      <a:avLst/>
                    </a:prstGeom>
                    <a:noFill/>
                  </pic:spPr>
                </pic:pic>
              </a:graphicData>
            </a:graphic>
          </wp:anchor>
        </w:drawing>
      </w:r>
    </w:p>
    <w:p>
      <w:pPr>
        <w:spacing w:before="120" w:after="240" w:line="276" w:lineRule="auto"/>
        <w:ind w:firstLine="560"/>
        <w:rPr>
          <w:rFonts w:ascii="Calibri" w:hAnsi="Calibri"/>
          <w:color w:val="000000" w:themeColor="text1"/>
          <w:sz w:val="22"/>
          <w:szCs w:val="22"/>
          <w:lang w:eastAsia="en-US"/>
          <w14:textFill>
            <w14:solidFill>
              <w14:schemeClr w14:val="tx1"/>
            </w14:solidFill>
          </w14:textFill>
        </w:rPr>
        <w:sectPr>
          <w:pgSz w:w="11900" w:h="16840"/>
          <w:pgMar w:top="0" w:right="100" w:bottom="0" w:left="0" w:header="720" w:footer="720" w:gutter="0"/>
          <w:cols w:space="720" w:num="1"/>
          <w:docGrid w:linePitch="1" w:charSpace="0"/>
        </w:sectPr>
      </w:pPr>
      <w:r>
        <w:rPr>
          <w:color w:val="000000" w:themeColor="text1"/>
          <w14:textFill>
            <w14:solidFill>
              <w14:schemeClr w14:val="tx1"/>
            </w14:solidFill>
          </w14:textFill>
        </w:rPr>
        <w:drawing>
          <wp:anchor distT="0" distB="0" distL="114300" distR="114300" simplePos="0" relativeHeight="251662336" behindDoc="1" locked="0" layoutInCell="1" allowOverlap="1">
            <wp:simplePos x="0" y="0"/>
            <wp:positionH relativeFrom="page">
              <wp:posOffset>-12700</wp:posOffset>
            </wp:positionH>
            <wp:positionV relativeFrom="page">
              <wp:posOffset>-12700</wp:posOffset>
            </wp:positionV>
            <wp:extent cx="7581900" cy="10718800"/>
            <wp:effectExtent l="1905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7" cstate="print"/>
                    <a:srcRect/>
                    <a:stretch>
                      <a:fillRect/>
                    </a:stretch>
                  </pic:blipFill>
                  <pic:spPr>
                    <a:xfrm>
                      <a:off x="0" y="0"/>
                      <a:ext cx="7581900" cy="10718800"/>
                    </a:xfrm>
                    <a:prstGeom prst="rect">
                      <a:avLst/>
                    </a:prstGeom>
                    <a:noFill/>
                  </pic:spPr>
                </pic:pic>
              </a:graphicData>
            </a:graphic>
          </wp:anchor>
        </w:drawing>
      </w:r>
    </w:p>
    <w:p>
      <w:pPr>
        <w:spacing w:before="120" w:after="240" w:line="276" w:lineRule="auto"/>
        <w:ind w:firstLine="560"/>
        <w:rPr>
          <w:rFonts w:ascii="Calibri" w:hAnsi="Calibri"/>
          <w:color w:val="000000" w:themeColor="text1"/>
          <w:sz w:val="22"/>
          <w:szCs w:val="22"/>
          <w:lang w:eastAsia="en-US"/>
          <w14:textFill>
            <w14:solidFill>
              <w14:schemeClr w14:val="tx1"/>
            </w14:solidFill>
          </w14:textFill>
        </w:rPr>
        <w:sectPr>
          <w:pgSz w:w="11900" w:h="16840"/>
          <w:pgMar w:top="0" w:right="100" w:bottom="0" w:left="0" w:header="720" w:footer="720" w:gutter="0"/>
          <w:cols w:space="720" w:num="1"/>
          <w:docGrid w:linePitch="1" w:charSpace="0"/>
        </w:sectPr>
      </w:pPr>
      <w:r>
        <w:rPr>
          <w:color w:val="000000" w:themeColor="text1"/>
          <w14:textFill>
            <w14:solidFill>
              <w14:schemeClr w14:val="tx1"/>
            </w14:solidFill>
          </w14:textFill>
        </w:rPr>
        <w:drawing>
          <wp:anchor distT="0" distB="0" distL="114300" distR="114300" simplePos="0" relativeHeight="251663360" behindDoc="1" locked="0" layoutInCell="1" allowOverlap="1">
            <wp:simplePos x="0" y="0"/>
            <wp:positionH relativeFrom="page">
              <wp:posOffset>-12700</wp:posOffset>
            </wp:positionH>
            <wp:positionV relativeFrom="page">
              <wp:posOffset>-12700</wp:posOffset>
            </wp:positionV>
            <wp:extent cx="7581900" cy="10718800"/>
            <wp:effectExtent l="1905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8" cstate="print"/>
                    <a:srcRect/>
                    <a:stretch>
                      <a:fillRect/>
                    </a:stretch>
                  </pic:blipFill>
                  <pic:spPr>
                    <a:xfrm>
                      <a:off x="0" y="0"/>
                      <a:ext cx="7581900" cy="10718800"/>
                    </a:xfrm>
                    <a:prstGeom prst="rect">
                      <a:avLst/>
                    </a:prstGeom>
                    <a:noFill/>
                  </pic:spPr>
                </pic:pic>
              </a:graphicData>
            </a:graphic>
          </wp:anchor>
        </w:drawing>
      </w:r>
    </w:p>
    <w:tbl>
      <w:tblPr>
        <w:tblStyle w:val="45"/>
        <w:tblW w:w="8166" w:type="dxa"/>
        <w:jc w:val="center"/>
        <w:tblLayout w:type="fixed"/>
        <w:tblCellMar>
          <w:top w:w="0" w:type="dxa"/>
          <w:left w:w="10" w:type="dxa"/>
          <w:bottom w:w="0" w:type="dxa"/>
          <w:right w:w="10" w:type="dxa"/>
        </w:tblCellMar>
      </w:tblPr>
      <w:tblGrid>
        <w:gridCol w:w="677"/>
        <w:gridCol w:w="1080"/>
        <w:gridCol w:w="1354"/>
        <w:gridCol w:w="1253"/>
        <w:gridCol w:w="1267"/>
        <w:gridCol w:w="1253"/>
        <w:gridCol w:w="1282"/>
      </w:tblGrid>
      <w:tr>
        <w:tblPrEx>
          <w:tblCellMar>
            <w:top w:w="0" w:type="dxa"/>
            <w:left w:w="10" w:type="dxa"/>
            <w:bottom w:w="0" w:type="dxa"/>
            <w:right w:w="10" w:type="dxa"/>
          </w:tblCellMar>
        </w:tblPrEx>
        <w:trPr>
          <w:trHeight w:val="547"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31</w:t>
            </w:r>
          </w:p>
        </w:tc>
        <w:tc>
          <w:tcPr>
            <w:tcW w:w="1080" w:type="dxa"/>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节能</w:t>
            </w:r>
          </w:p>
        </w:tc>
        <w:tc>
          <w:tcPr>
            <w:tcW w:w="1354" w:type="dxa"/>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空气源热泵</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美的</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海尔</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格力</w:t>
            </w:r>
          </w:p>
        </w:tc>
        <w:tc>
          <w:tcPr>
            <w:tcW w:w="1282" w:type="dxa"/>
            <w:tcBorders>
              <w:top w:val="single" w:color="auto" w:sz="4" w:space="0"/>
              <w:left w:val="single" w:color="auto" w:sz="4" w:space="0"/>
              <w:right w:val="single" w:color="auto" w:sz="4" w:space="0"/>
            </w:tcBorders>
            <w:shd w:val="clear" w:color="auto" w:fill="FFFFFF"/>
          </w:tcPr>
          <w:p>
            <w:pPr>
              <w:pStyle w:val="406"/>
              <w:ind w:firstLine="360"/>
              <w:jc w:val="left"/>
              <w:rPr>
                <w:rFonts w:eastAsia="宋体"/>
                <w:color w:val="000000" w:themeColor="text1"/>
                <w:lang w:eastAsia="zh-CN"/>
                <w14:textFill>
                  <w14:solidFill>
                    <w14:schemeClr w14:val="tx1"/>
                  </w14:solidFill>
                </w14:textFill>
              </w:rPr>
            </w:pPr>
          </w:p>
        </w:tc>
      </w:tr>
      <w:tr>
        <w:tblPrEx>
          <w:tblCellMar>
            <w:top w:w="0" w:type="dxa"/>
            <w:left w:w="10" w:type="dxa"/>
            <w:bottom w:w="0" w:type="dxa"/>
            <w:right w:w="10" w:type="dxa"/>
          </w:tblCellMar>
        </w:tblPrEx>
        <w:trPr>
          <w:trHeight w:val="518"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32</w:t>
            </w:r>
          </w:p>
        </w:tc>
        <w:tc>
          <w:tcPr>
            <w:tcW w:w="1080" w:type="dxa"/>
            <w:vMerge w:val="restart"/>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智能化</w:t>
            </w:r>
          </w:p>
        </w:tc>
        <w:tc>
          <w:tcPr>
            <w:tcW w:w="1354" w:type="dxa"/>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计算机网络</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val="en-US" w:eastAsia="en-US"/>
                <w14:textFill>
                  <w14:solidFill>
                    <w14:schemeClr w14:val="tx1"/>
                  </w14:solidFill>
                </w14:textFill>
              </w:rPr>
              <w:t>H3C</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华为</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思科</w:t>
            </w:r>
          </w:p>
        </w:tc>
        <w:tc>
          <w:tcPr>
            <w:tcW w:w="1282" w:type="dxa"/>
            <w:tcBorders>
              <w:top w:val="single" w:color="auto" w:sz="4" w:space="0"/>
              <w:left w:val="single" w:color="auto" w:sz="4" w:space="0"/>
              <w:right w:val="single" w:color="auto" w:sz="4" w:space="0"/>
            </w:tcBorders>
            <w:shd w:val="clear" w:color="auto" w:fill="FFFFFF"/>
          </w:tcPr>
          <w:p>
            <w:pPr>
              <w:pStyle w:val="406"/>
              <w:ind w:firstLine="360"/>
              <w:jc w:val="left"/>
              <w:rPr>
                <w:rFonts w:eastAsia="宋体"/>
                <w:color w:val="000000" w:themeColor="text1"/>
                <w:lang w:eastAsia="zh-CN"/>
                <w14:textFill>
                  <w14:solidFill>
                    <w14:schemeClr w14:val="tx1"/>
                  </w14:solidFill>
                </w14:textFill>
              </w:rPr>
            </w:pPr>
          </w:p>
        </w:tc>
      </w:tr>
      <w:tr>
        <w:tblPrEx>
          <w:tblCellMar>
            <w:top w:w="0" w:type="dxa"/>
            <w:left w:w="10" w:type="dxa"/>
            <w:bottom w:w="0" w:type="dxa"/>
            <w:right w:w="10" w:type="dxa"/>
          </w:tblCellMar>
        </w:tblPrEx>
        <w:trPr>
          <w:trHeight w:val="533"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33</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视频监控系统</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大华</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海康威视</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宇視</w:t>
            </w:r>
          </w:p>
        </w:tc>
        <w:tc>
          <w:tcPr>
            <w:tcW w:w="1282" w:type="dxa"/>
            <w:tcBorders>
              <w:top w:val="single" w:color="auto" w:sz="4" w:space="0"/>
              <w:left w:val="single" w:color="auto" w:sz="4" w:space="0"/>
              <w:right w:val="single" w:color="auto" w:sz="4" w:space="0"/>
            </w:tcBorders>
            <w:shd w:val="clear" w:color="auto" w:fill="FFFFFF"/>
          </w:tcPr>
          <w:p>
            <w:pPr>
              <w:ind w:firstLine="360"/>
              <w:rPr>
                <w:rFonts w:ascii="MingLiU" w:hAnsi="MingLiU" w:eastAsia="宋体" w:cs="MingLiU"/>
                <w:color w:val="000000" w:themeColor="text1"/>
                <w:sz w:val="18"/>
                <w:szCs w:val="18"/>
                <w:lang w:val="zh-TW" w:bidi="zh-TW"/>
                <w14:textFill>
                  <w14:solidFill>
                    <w14:schemeClr w14:val="tx1"/>
                  </w14:solidFill>
                </w14:textFill>
              </w:rPr>
            </w:pPr>
          </w:p>
        </w:tc>
      </w:tr>
      <w:tr>
        <w:tblPrEx>
          <w:tblCellMar>
            <w:top w:w="0" w:type="dxa"/>
            <w:left w:w="10" w:type="dxa"/>
            <w:bottom w:w="0" w:type="dxa"/>
            <w:right w:w="10" w:type="dxa"/>
          </w:tblCellMar>
        </w:tblPrEx>
        <w:trPr>
          <w:trHeight w:val="518"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34</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vAlign w:val="center"/>
          </w:tcPr>
          <w:p>
            <w:pPr>
              <w:pStyle w:val="406"/>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可视对讲设备</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安居宝</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狭耐克</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冠林</w:t>
            </w:r>
          </w:p>
        </w:tc>
        <w:tc>
          <w:tcPr>
            <w:tcW w:w="1282" w:type="dxa"/>
            <w:tcBorders>
              <w:top w:val="single" w:color="auto" w:sz="4" w:space="0"/>
              <w:left w:val="single" w:color="auto" w:sz="4" w:space="0"/>
              <w:right w:val="single" w:color="auto" w:sz="4" w:space="0"/>
            </w:tcBorders>
            <w:shd w:val="clear" w:color="auto" w:fill="FFFFFF"/>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r>
      <w:tr>
        <w:tblPrEx>
          <w:tblCellMar>
            <w:top w:w="0" w:type="dxa"/>
            <w:left w:w="10" w:type="dxa"/>
            <w:bottom w:w="0" w:type="dxa"/>
            <w:right w:w="10" w:type="dxa"/>
          </w:tblCellMar>
        </w:tblPrEx>
        <w:trPr>
          <w:trHeight w:val="576"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35</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tcPr>
          <w:p>
            <w:pPr>
              <w:pStyle w:val="406"/>
              <w:spacing w:line="288" w:lineRule="exact"/>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停车管理、门禁系统</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富士</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披克</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正元</w:t>
            </w:r>
          </w:p>
        </w:tc>
        <w:tc>
          <w:tcPr>
            <w:tcW w:w="1282" w:type="dxa"/>
            <w:tcBorders>
              <w:top w:val="single" w:color="auto" w:sz="4" w:space="0"/>
              <w:left w:val="single" w:color="auto" w:sz="4" w:space="0"/>
              <w:right w:val="single" w:color="auto" w:sz="4" w:space="0"/>
            </w:tcBorders>
            <w:shd w:val="clear" w:color="auto" w:fill="FFFFFF"/>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r>
      <w:tr>
        <w:tblPrEx>
          <w:tblCellMar>
            <w:top w:w="0" w:type="dxa"/>
            <w:left w:w="10" w:type="dxa"/>
            <w:bottom w:w="0" w:type="dxa"/>
            <w:right w:w="10" w:type="dxa"/>
          </w:tblCellMar>
        </w:tblPrEx>
        <w:trPr>
          <w:trHeight w:val="576"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36</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tcPr>
          <w:p>
            <w:pPr>
              <w:pStyle w:val="406"/>
              <w:spacing w:line="288" w:lineRule="exact"/>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UPS</w:t>
            </w:r>
            <w:r>
              <w:rPr>
                <w:rFonts w:hint="eastAsia" w:eastAsia="宋体"/>
                <w:color w:val="000000" w:themeColor="text1"/>
                <w:lang w:eastAsia="zh-CN"/>
                <w14:textFill>
                  <w14:solidFill>
                    <w14:schemeClr w14:val="tx1"/>
                  </w14:solidFill>
                </w14:textFill>
              </w:rPr>
              <w:t>不间断电源系统</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华为</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科士达</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台达</w:t>
            </w:r>
          </w:p>
        </w:tc>
        <w:tc>
          <w:tcPr>
            <w:tcW w:w="1282" w:type="dxa"/>
            <w:tcBorders>
              <w:top w:val="single" w:color="auto" w:sz="4" w:space="0"/>
              <w:left w:val="single" w:color="auto" w:sz="4" w:space="0"/>
              <w:righ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易事待</w:t>
            </w:r>
          </w:p>
        </w:tc>
      </w:tr>
      <w:tr>
        <w:tblPrEx>
          <w:tblCellMar>
            <w:top w:w="0" w:type="dxa"/>
            <w:left w:w="10" w:type="dxa"/>
            <w:bottom w:w="0" w:type="dxa"/>
            <w:right w:w="10" w:type="dxa"/>
          </w:tblCellMar>
        </w:tblPrEx>
        <w:trPr>
          <w:trHeight w:val="562"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37</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tcPr>
          <w:p>
            <w:pPr>
              <w:pStyle w:val="406"/>
              <w:spacing w:line="288" w:lineRule="exact"/>
              <w:ind w:firstLine="0" w:firstLineChars="0"/>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建筑能耗监测 系统</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艾科</w:t>
            </w:r>
          </w:p>
        </w:tc>
        <w:tc>
          <w:tcPr>
            <w:tcW w:w="1267"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安科瑞</w:t>
            </w:r>
          </w:p>
        </w:tc>
        <w:tc>
          <w:tcPr>
            <w:tcW w:w="1253" w:type="dxa"/>
            <w:tcBorders>
              <w:top w:val="single" w:color="auto" w:sz="4" w:space="0"/>
              <w:lef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柏诚</w:t>
            </w:r>
          </w:p>
        </w:tc>
        <w:tc>
          <w:tcPr>
            <w:tcW w:w="1282" w:type="dxa"/>
            <w:tcBorders>
              <w:top w:val="single" w:color="auto" w:sz="4" w:space="0"/>
              <w:left w:val="single" w:color="auto" w:sz="4" w:space="0"/>
              <w:right w:val="single" w:color="auto" w:sz="4" w:space="0"/>
            </w:tcBorders>
            <w:shd w:val="clear" w:color="auto" w:fill="FFFFFF"/>
            <w:vAlign w:val="center"/>
          </w:tcPr>
          <w:p>
            <w:pPr>
              <w:pStyle w:val="406"/>
              <w:ind w:firstLine="360"/>
              <w:jc w:val="center"/>
              <w:rPr>
                <w:rFonts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新开普</w:t>
            </w:r>
          </w:p>
        </w:tc>
      </w:tr>
      <w:tr>
        <w:tblPrEx>
          <w:tblCellMar>
            <w:top w:w="0" w:type="dxa"/>
            <w:left w:w="10" w:type="dxa"/>
            <w:bottom w:w="0" w:type="dxa"/>
            <w:right w:w="10" w:type="dxa"/>
          </w:tblCellMar>
        </w:tblPrEx>
        <w:trPr>
          <w:trHeight w:val="576"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38</w:t>
            </w:r>
          </w:p>
        </w:tc>
        <w:tc>
          <w:tcPr>
            <w:tcW w:w="1080" w:type="dxa"/>
            <w:vMerge w:val="restart"/>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配电房</w:t>
            </w:r>
          </w:p>
        </w:tc>
        <w:tc>
          <w:tcPr>
            <w:tcW w:w="1354" w:type="dxa"/>
            <w:tcBorders>
              <w:top w:val="single" w:color="auto" w:sz="4" w:space="0"/>
              <w:left w:val="single" w:color="auto" w:sz="4" w:space="0"/>
            </w:tcBorders>
            <w:shd w:val="clear" w:color="auto" w:fill="FFFFFF"/>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高低压开关、 环网柜</w:t>
            </w:r>
          </w:p>
        </w:tc>
        <w:tc>
          <w:tcPr>
            <w:tcW w:w="1253" w:type="dxa"/>
            <w:tcBorders>
              <w:top w:val="single" w:color="auto" w:sz="4" w:space="0"/>
              <w:left w:val="single" w:color="auto" w:sz="4" w:space="0"/>
            </w:tcBorders>
            <w:shd w:val="clear" w:color="auto" w:fill="FFFFFF"/>
            <w:vAlign w:val="center"/>
          </w:tcPr>
          <w:p>
            <w:pPr>
              <w:ind w:firstLine="0" w:firstLineChars="0"/>
              <w:jc w:val="center"/>
              <w:rPr>
                <w:rFonts w:ascii="MingLiU" w:hAnsi="MingLiU" w:eastAsia="宋体" w:cs="MingLiU"/>
                <w:color w:val="000000" w:themeColor="text1"/>
                <w:sz w:val="18"/>
                <w:szCs w:val="18"/>
                <w:lang w:val="zh-TW" w:bidi="zh-TW"/>
                <w14:textFill>
                  <w14:solidFill>
                    <w14:schemeClr w14:val="tx1"/>
                  </w14:solidFill>
                </w14:textFill>
              </w:rPr>
            </w:pPr>
            <w:r>
              <w:rPr>
                <w:rFonts w:ascii="MingLiU" w:hAnsi="MingLiU" w:eastAsia="宋体" w:cs="MingLiU"/>
                <w:color w:val="000000" w:themeColor="text1"/>
                <w:sz w:val="18"/>
                <w:szCs w:val="18"/>
                <w:lang w:eastAsia="en-US" w:bidi="zh-TW"/>
                <w14:textFill>
                  <w14:solidFill>
                    <w14:schemeClr w14:val="tx1"/>
                  </w14:solidFill>
                </w14:textFill>
              </w:rPr>
              <w:t>ABB Unigear550</w:t>
            </w:r>
          </w:p>
        </w:tc>
        <w:tc>
          <w:tcPr>
            <w:tcW w:w="1267" w:type="dxa"/>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ascii="MingLiU" w:hAnsi="MingLiU" w:eastAsia="宋体" w:cs="MingLiU"/>
                <w:color w:val="000000" w:themeColor="text1"/>
                <w:sz w:val="18"/>
                <w:szCs w:val="18"/>
                <w:lang w:val="zh-TW" w:bidi="zh-TW"/>
                <w14:textFill>
                  <w14:solidFill>
                    <w14:schemeClr w14:val="tx1"/>
                  </w14:solidFill>
                </w14:textFill>
              </w:rPr>
              <w:t>施耐德MVeBG</w:t>
            </w:r>
          </w:p>
        </w:tc>
        <w:tc>
          <w:tcPr>
            <w:tcW w:w="1253" w:type="dxa"/>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ascii="MingLiU" w:hAnsi="MingLiU" w:eastAsia="宋体" w:cs="MingLiU"/>
                <w:color w:val="000000" w:themeColor="text1"/>
                <w:sz w:val="18"/>
                <w:szCs w:val="18"/>
                <w:lang w:val="zh-TW" w:bidi="zh-TW"/>
                <w14:textFill>
                  <w14:solidFill>
                    <w14:schemeClr w14:val="tx1"/>
                  </w14:solidFill>
                </w14:textFill>
              </w:rPr>
              <w:t>西门子NXAirS</w:t>
            </w:r>
          </w:p>
        </w:tc>
        <w:tc>
          <w:tcPr>
            <w:tcW w:w="1282" w:type="dxa"/>
            <w:tcBorders>
              <w:top w:val="single" w:color="auto" w:sz="4" w:space="0"/>
              <w:left w:val="single" w:color="auto" w:sz="4" w:space="0"/>
              <w:right w:val="single" w:color="auto" w:sz="4" w:space="0"/>
            </w:tcBorders>
            <w:shd w:val="clear" w:color="auto" w:fill="FFFFFF"/>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r>
      <w:tr>
        <w:tblPrEx>
          <w:tblCellMar>
            <w:top w:w="0" w:type="dxa"/>
            <w:left w:w="10" w:type="dxa"/>
            <w:bottom w:w="0" w:type="dxa"/>
            <w:right w:w="10" w:type="dxa"/>
          </w:tblCellMar>
        </w:tblPrEx>
        <w:trPr>
          <w:trHeight w:val="634" w:hRule="exact"/>
          <w:jc w:val="center"/>
        </w:trPr>
        <w:tc>
          <w:tcPr>
            <w:tcW w:w="677" w:type="dxa"/>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39</w:t>
            </w:r>
          </w:p>
        </w:tc>
        <w:tc>
          <w:tcPr>
            <w:tcW w:w="1080" w:type="dxa"/>
            <w:vMerge w:val="continue"/>
            <w:tcBorders>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变压器</w:t>
            </w:r>
          </w:p>
        </w:tc>
        <w:tc>
          <w:tcPr>
            <w:tcW w:w="1253"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福州天宇</w:t>
            </w:r>
          </w:p>
        </w:tc>
        <w:tc>
          <w:tcPr>
            <w:tcW w:w="1267"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三变</w:t>
            </w:r>
          </w:p>
        </w:tc>
        <w:tc>
          <w:tcPr>
            <w:tcW w:w="1253"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特变电工</w:t>
            </w:r>
          </w:p>
        </w:tc>
        <w:tc>
          <w:tcPr>
            <w:tcW w:w="1282" w:type="dxa"/>
            <w:tcBorders>
              <w:top w:val="single" w:color="auto" w:sz="4" w:space="0"/>
              <w:left w:val="single" w:color="auto" w:sz="4" w:space="0"/>
              <w:righ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浙变</w:t>
            </w:r>
          </w:p>
        </w:tc>
      </w:tr>
      <w:tr>
        <w:tblPrEx>
          <w:tblCellMar>
            <w:top w:w="0" w:type="dxa"/>
            <w:left w:w="10" w:type="dxa"/>
            <w:bottom w:w="0" w:type="dxa"/>
            <w:right w:w="10" w:type="dxa"/>
          </w:tblCellMar>
        </w:tblPrEx>
        <w:trPr>
          <w:trHeight w:val="749" w:hRule="exact"/>
          <w:jc w:val="center"/>
        </w:trPr>
        <w:tc>
          <w:tcPr>
            <w:tcW w:w="677" w:type="dxa"/>
            <w:vMerge w:val="restart"/>
            <w:tcBorders>
              <w:top w:val="single" w:color="auto" w:sz="4" w:space="0"/>
              <w:left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40</w:t>
            </w:r>
          </w:p>
        </w:tc>
        <w:tc>
          <w:tcPr>
            <w:tcW w:w="1080" w:type="dxa"/>
            <w:vMerge w:val="restart"/>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建筑材料</w:t>
            </w:r>
          </w:p>
        </w:tc>
        <w:tc>
          <w:tcPr>
            <w:tcW w:w="1354" w:type="dxa"/>
            <w:tcBorders>
              <w:top w:val="single" w:color="auto" w:sz="4" w:space="0"/>
              <w:left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钢材</w:t>
            </w:r>
          </w:p>
        </w:tc>
        <w:tc>
          <w:tcPr>
            <w:tcW w:w="1253"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马钢</w:t>
            </w:r>
          </w:p>
        </w:tc>
        <w:tc>
          <w:tcPr>
            <w:tcW w:w="1267"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永钢</w:t>
            </w:r>
          </w:p>
        </w:tc>
        <w:tc>
          <w:tcPr>
            <w:tcW w:w="1253" w:type="dxa"/>
            <w:tcBorders>
              <w:top w:val="single" w:color="auto" w:sz="4" w:space="0"/>
              <w:lef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沙钢</w:t>
            </w:r>
          </w:p>
        </w:tc>
        <w:tc>
          <w:tcPr>
            <w:tcW w:w="1282" w:type="dxa"/>
            <w:tcBorders>
              <w:top w:val="single" w:color="auto" w:sz="4" w:space="0"/>
              <w:left w:val="single" w:color="auto" w:sz="4" w:space="0"/>
              <w:right w:val="single" w:color="auto" w:sz="4" w:space="0"/>
            </w:tcBorders>
            <w:shd w:val="clear" w:color="auto" w:fill="FFFFFF"/>
          </w:tcPr>
          <w:p>
            <w:pPr>
              <w:ind w:firstLine="360"/>
              <w:rPr>
                <w:rFonts w:ascii="MingLiU" w:hAnsi="MingLiU" w:eastAsia="宋体" w:cs="MingLiU"/>
                <w:color w:val="000000" w:themeColor="text1"/>
                <w:sz w:val="18"/>
                <w:szCs w:val="18"/>
                <w:lang w:val="zh-TW" w:bidi="zh-TW"/>
                <w14:textFill>
                  <w14:solidFill>
                    <w14:schemeClr w14:val="tx1"/>
                  </w14:solidFill>
                </w14:textFill>
              </w:rPr>
            </w:pPr>
          </w:p>
        </w:tc>
      </w:tr>
      <w:tr>
        <w:tblPrEx>
          <w:tblCellMar>
            <w:top w:w="0" w:type="dxa"/>
            <w:left w:w="10" w:type="dxa"/>
            <w:bottom w:w="0" w:type="dxa"/>
            <w:right w:w="10" w:type="dxa"/>
          </w:tblCellMar>
        </w:tblPrEx>
        <w:trPr>
          <w:trHeight w:val="983" w:hRule="exact"/>
          <w:jc w:val="center"/>
        </w:trPr>
        <w:tc>
          <w:tcPr>
            <w:tcW w:w="677" w:type="dxa"/>
            <w:vMerge w:val="continue"/>
            <w:tcBorders>
              <w:left w:val="single" w:color="auto" w:sz="4" w:space="0"/>
            </w:tcBorders>
            <w:shd w:val="clear" w:color="auto" w:fill="FFFFFF"/>
            <w:vAlign w:val="center"/>
          </w:tcPr>
          <w:p>
            <w:pPr>
              <w:ind w:firstLine="560"/>
              <w:rPr>
                <w:color w:val="000000" w:themeColor="text1"/>
                <w14:textFill>
                  <w14:solidFill>
                    <w14:schemeClr w14:val="tx1"/>
                  </w14:solidFill>
                </w14:textFill>
              </w:rPr>
            </w:pPr>
          </w:p>
        </w:tc>
        <w:tc>
          <w:tcPr>
            <w:tcW w:w="1080" w:type="dxa"/>
            <w:vMerge w:val="continue"/>
            <w:tcBorders>
              <w:left w:val="single" w:color="auto" w:sz="4" w:space="0"/>
            </w:tcBorders>
            <w:shd w:val="clear" w:color="auto" w:fill="FFFFFF"/>
            <w:vAlign w:val="center"/>
          </w:tcPr>
          <w:p>
            <w:pPr>
              <w:ind w:firstLine="360"/>
              <w:rPr>
                <w:rFonts w:ascii="MingLiU" w:hAnsi="MingLiU" w:eastAsia="宋体" w:cs="MingLiU"/>
                <w:color w:val="000000" w:themeColor="text1"/>
                <w:sz w:val="18"/>
                <w:szCs w:val="18"/>
                <w:lang w:val="zh-TW" w:bidi="zh-TW"/>
                <w14:textFill>
                  <w14:solidFill>
                    <w14:schemeClr w14:val="tx1"/>
                  </w14:solidFill>
                </w14:textFill>
              </w:rPr>
            </w:pPr>
          </w:p>
        </w:tc>
        <w:tc>
          <w:tcPr>
            <w:tcW w:w="6409" w:type="dxa"/>
            <w:gridSpan w:val="5"/>
            <w:tcBorders>
              <w:top w:val="single" w:color="auto" w:sz="4" w:space="0"/>
              <w:left w:val="single" w:color="auto" w:sz="4" w:space="0"/>
              <w:right w:val="single" w:color="auto" w:sz="4" w:space="0"/>
            </w:tcBorders>
            <w:shd w:val="clear" w:color="auto" w:fill="FFFFFF"/>
          </w:tcPr>
          <w:p>
            <w:pPr>
              <w:ind w:firstLine="0" w:firstLineChars="0"/>
              <w:rPr>
                <w:rFonts w:ascii="MingLiU" w:hAnsi="MingLiU" w:eastAsia="宋体" w:cs="MingLiU"/>
                <w:color w:val="000000" w:themeColor="text1"/>
                <w:sz w:val="18"/>
                <w:szCs w:val="18"/>
                <w:lang w:bidi="zh-TW"/>
                <w14:textFill>
                  <w14:solidFill>
                    <w14:schemeClr w14:val="tx1"/>
                  </w14:solidFill>
                </w14:textFill>
              </w:rPr>
            </w:pPr>
            <w:r>
              <w:rPr>
                <w:rFonts w:hint="eastAsia" w:ascii="MingLiU" w:hAnsi="MingLiU" w:eastAsia="宋体" w:cs="MingLiU"/>
                <w:color w:val="000000" w:themeColor="text1"/>
                <w:sz w:val="18"/>
                <w:szCs w:val="18"/>
                <w:lang w:bidi="zh-TW"/>
                <w14:textFill>
                  <w14:solidFill>
                    <w14:schemeClr w14:val="tx1"/>
                  </w14:solidFill>
                </w14:textFill>
              </w:rPr>
              <w:t>备注：其他使用部位用钢材：楼梯栏杆，钢结构雨棚，干挂石材用钢结构龙骨，电缆桥架，风管固定支架，钢结构景观建筑中用的钢材都要采用石墨烯水性环氧防腐涂料技术做防腐处理。</w:t>
            </w:r>
          </w:p>
        </w:tc>
      </w:tr>
      <w:tr>
        <w:tblPrEx>
          <w:tblCellMar>
            <w:top w:w="0" w:type="dxa"/>
            <w:left w:w="10" w:type="dxa"/>
            <w:bottom w:w="0" w:type="dxa"/>
            <w:right w:w="10" w:type="dxa"/>
          </w:tblCellMar>
        </w:tblPrEx>
        <w:trPr>
          <w:trHeight w:val="792" w:hRule="exact"/>
          <w:jc w:val="center"/>
        </w:trPr>
        <w:tc>
          <w:tcPr>
            <w:tcW w:w="677" w:type="dxa"/>
            <w:tcBorders>
              <w:top w:val="single" w:color="auto" w:sz="4" w:space="0"/>
              <w:left w:val="single" w:color="auto" w:sz="4" w:space="0"/>
              <w:bottom w:val="single" w:color="auto" w:sz="4" w:space="0"/>
            </w:tcBorders>
            <w:shd w:val="clear" w:color="auto" w:fill="FFFFFF"/>
            <w:vAlign w:val="center"/>
          </w:tcPr>
          <w:p>
            <w:pPr>
              <w:pStyle w:val="406"/>
              <w:ind w:firstLine="340"/>
              <w:jc w:val="left"/>
              <w:rPr>
                <w:color w:val="000000" w:themeColor="text1"/>
                <w:sz w:val="17"/>
                <w:szCs w:val="17"/>
                <w14:textFill>
                  <w14:solidFill>
                    <w14:schemeClr w14:val="tx1"/>
                  </w14:solidFill>
                </w14:textFill>
              </w:rPr>
            </w:pPr>
            <w:r>
              <w:rPr>
                <w:rFonts w:ascii="Times New Roman" w:hAnsi="Times New Roman" w:eastAsia="Times New Roman" w:cs="Times New Roman"/>
                <w:color w:val="000000" w:themeColor="text1"/>
                <w:sz w:val="17"/>
                <w:szCs w:val="17"/>
                <w14:textFill>
                  <w14:solidFill>
                    <w14:schemeClr w14:val="tx1"/>
                  </w14:solidFill>
                </w14:textFill>
              </w:rPr>
              <w:t>41</w:t>
            </w:r>
          </w:p>
        </w:tc>
        <w:tc>
          <w:tcPr>
            <w:tcW w:w="1080" w:type="dxa"/>
            <w:vMerge w:val="continue"/>
            <w:tcBorders>
              <w:left w:val="single" w:color="auto" w:sz="4" w:space="0"/>
            </w:tcBorders>
            <w:shd w:val="clear" w:color="auto" w:fill="FFFFFF"/>
            <w:vAlign w:val="center"/>
          </w:tcPr>
          <w:p>
            <w:pPr>
              <w:ind w:firstLine="360"/>
              <w:rPr>
                <w:rFonts w:ascii="MingLiU" w:hAnsi="MingLiU" w:eastAsia="宋体" w:cs="MingLiU"/>
                <w:color w:val="000000" w:themeColor="text1"/>
                <w:sz w:val="18"/>
                <w:szCs w:val="18"/>
                <w:lang w:val="zh-TW" w:bidi="zh-TW"/>
                <w14:textFill>
                  <w14:solidFill>
                    <w14:schemeClr w14:val="tx1"/>
                  </w14:solidFill>
                </w14:textFill>
              </w:rPr>
            </w:pPr>
          </w:p>
        </w:tc>
        <w:tc>
          <w:tcPr>
            <w:tcW w:w="1354" w:type="dxa"/>
            <w:tcBorders>
              <w:top w:val="single" w:color="auto" w:sz="4" w:space="0"/>
              <w:left w:val="single" w:color="auto" w:sz="4" w:space="0"/>
              <w:bottom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水泥</w:t>
            </w:r>
          </w:p>
        </w:tc>
        <w:tc>
          <w:tcPr>
            <w:tcW w:w="1253" w:type="dxa"/>
            <w:tcBorders>
              <w:top w:val="single" w:color="auto" w:sz="4" w:space="0"/>
              <w:left w:val="single" w:color="auto" w:sz="4" w:space="0"/>
              <w:bottom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海螺</w:t>
            </w:r>
          </w:p>
        </w:tc>
        <w:tc>
          <w:tcPr>
            <w:tcW w:w="1267" w:type="dxa"/>
            <w:tcBorders>
              <w:top w:val="single" w:color="auto" w:sz="4" w:space="0"/>
              <w:left w:val="single" w:color="auto" w:sz="4" w:space="0"/>
              <w:bottom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红狮</w:t>
            </w:r>
          </w:p>
        </w:tc>
        <w:tc>
          <w:tcPr>
            <w:tcW w:w="1253" w:type="dxa"/>
            <w:tcBorders>
              <w:top w:val="single" w:color="auto" w:sz="4" w:space="0"/>
              <w:left w:val="single" w:color="auto" w:sz="4" w:space="0"/>
              <w:bottom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双狮</w:t>
            </w:r>
          </w:p>
        </w:tc>
        <w:tc>
          <w:tcPr>
            <w:tcW w:w="1282"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r>
              <w:rPr>
                <w:rFonts w:hint="eastAsia" w:ascii="MingLiU" w:hAnsi="MingLiU" w:eastAsia="宋体" w:cs="MingLiU"/>
                <w:color w:val="000000" w:themeColor="text1"/>
                <w:sz w:val="18"/>
                <w:szCs w:val="18"/>
                <w:lang w:val="zh-TW" w:bidi="zh-TW"/>
                <w14:textFill>
                  <w14:solidFill>
                    <w14:schemeClr w14:val="tx1"/>
                  </w14:solidFill>
                </w14:textFill>
              </w:rPr>
              <w:t>虎山</w:t>
            </w:r>
          </w:p>
        </w:tc>
      </w:tr>
      <w:tr>
        <w:tblPrEx>
          <w:tblCellMar>
            <w:top w:w="0" w:type="dxa"/>
            <w:left w:w="10" w:type="dxa"/>
            <w:bottom w:w="0" w:type="dxa"/>
            <w:right w:w="10" w:type="dxa"/>
          </w:tblCellMar>
        </w:tblPrEx>
        <w:trPr>
          <w:trHeight w:val="792" w:hRule="exact"/>
          <w:jc w:val="center"/>
        </w:trPr>
        <w:tc>
          <w:tcPr>
            <w:tcW w:w="677" w:type="dxa"/>
            <w:tcBorders>
              <w:top w:val="single" w:color="auto" w:sz="4" w:space="0"/>
              <w:left w:val="single" w:color="auto" w:sz="4" w:space="0"/>
              <w:bottom w:val="single" w:color="auto" w:sz="4" w:space="0"/>
            </w:tcBorders>
            <w:shd w:val="clear" w:color="auto" w:fill="FFFFFF"/>
            <w:vAlign w:val="center"/>
          </w:tcPr>
          <w:p>
            <w:pPr>
              <w:pStyle w:val="406"/>
              <w:ind w:firstLine="340"/>
              <w:jc w:val="left"/>
              <w:rPr>
                <w:rFonts w:ascii="Times New Roman" w:hAnsi="Times New Roman" w:eastAsia="宋体" w:cs="Times New Roman"/>
                <w:color w:val="000000" w:themeColor="text1"/>
                <w:sz w:val="17"/>
                <w:szCs w:val="17"/>
                <w:lang w:val="en-US" w:eastAsia="zh-CN"/>
                <w14:textFill>
                  <w14:solidFill>
                    <w14:schemeClr w14:val="tx1"/>
                  </w14:solidFill>
                </w14:textFill>
              </w:rPr>
            </w:pPr>
            <w:r>
              <w:rPr>
                <w:rFonts w:hint="eastAsia" w:ascii="Times New Roman" w:hAnsi="Times New Roman" w:eastAsia="宋体" w:cs="Times New Roman"/>
                <w:color w:val="000000" w:themeColor="text1"/>
                <w:sz w:val="17"/>
                <w:szCs w:val="17"/>
                <w:lang w:val="en-US" w:eastAsia="zh-CN"/>
                <w14:textFill>
                  <w14:solidFill>
                    <w14:schemeClr w14:val="tx1"/>
                  </w14:solidFill>
                </w14:textFill>
              </w:rPr>
              <w:t>42</w:t>
            </w:r>
          </w:p>
        </w:tc>
        <w:tc>
          <w:tcPr>
            <w:tcW w:w="1080" w:type="dxa"/>
            <w:tcBorders>
              <w:left w:val="single" w:color="auto" w:sz="4" w:space="0"/>
              <w:bottom w:val="single" w:color="auto" w:sz="4" w:space="0"/>
            </w:tcBorders>
            <w:shd w:val="clear" w:color="auto" w:fill="FFFFFF"/>
            <w:vAlign w:val="center"/>
          </w:tcPr>
          <w:p>
            <w:pPr>
              <w:ind w:firstLine="0" w:firstLineChars="0"/>
              <w:rPr>
                <w:rFonts w:ascii="MingLiU" w:hAnsi="MingLiU" w:eastAsia="宋体" w:cs="MingLiU"/>
                <w:color w:val="000000" w:themeColor="text1"/>
                <w:sz w:val="18"/>
                <w:szCs w:val="18"/>
                <w:lang w:bidi="zh-TW"/>
                <w14:textFill>
                  <w14:solidFill>
                    <w14:schemeClr w14:val="tx1"/>
                  </w14:solidFill>
                </w14:textFill>
              </w:rPr>
            </w:pPr>
            <w:r>
              <w:rPr>
                <w:rFonts w:hint="eastAsia" w:ascii="MingLiU" w:hAnsi="MingLiU" w:eastAsia="宋体" w:cs="MingLiU"/>
                <w:color w:val="000000" w:themeColor="text1"/>
                <w:sz w:val="18"/>
                <w:szCs w:val="18"/>
                <w:lang w:bidi="zh-TW"/>
                <w14:textFill>
                  <w14:solidFill>
                    <w14:schemeClr w14:val="tx1"/>
                  </w14:solidFill>
                </w14:textFill>
              </w:rPr>
              <w:t>抗震支架</w:t>
            </w:r>
          </w:p>
        </w:tc>
        <w:tc>
          <w:tcPr>
            <w:tcW w:w="1354" w:type="dxa"/>
            <w:tcBorders>
              <w:top w:val="single" w:color="auto" w:sz="4" w:space="0"/>
              <w:left w:val="single" w:color="auto" w:sz="4" w:space="0"/>
              <w:bottom w:val="single" w:color="auto" w:sz="4" w:space="0"/>
            </w:tcBorders>
            <w:shd w:val="clear" w:color="auto" w:fill="FFFFFF"/>
            <w:vAlign w:val="center"/>
          </w:tcPr>
          <w:p>
            <w:pPr>
              <w:widowControl/>
              <w:ind w:firstLine="360"/>
              <w:jc w:val="center"/>
              <w:rPr>
                <w:rFonts w:ascii="MingLiU" w:hAnsi="MingLiU" w:eastAsia="宋体" w:cs="MingLiU"/>
                <w:color w:val="000000" w:themeColor="text1"/>
                <w:sz w:val="18"/>
                <w:szCs w:val="18"/>
                <w:lang w:bidi="zh-TW"/>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浙江亿火</w:t>
            </w:r>
          </w:p>
        </w:tc>
        <w:tc>
          <w:tcPr>
            <w:tcW w:w="1253" w:type="dxa"/>
            <w:tcBorders>
              <w:top w:val="single" w:color="auto" w:sz="4" w:space="0"/>
              <w:left w:val="single" w:color="auto" w:sz="4" w:space="0"/>
              <w:bottom w:val="single" w:color="auto" w:sz="4" w:space="0"/>
            </w:tcBorders>
            <w:shd w:val="clear" w:color="auto" w:fill="FFFFFF"/>
            <w:vAlign w:val="center"/>
          </w:tcPr>
          <w:p>
            <w:pPr>
              <w:widowControl/>
              <w:ind w:firstLine="360"/>
              <w:jc w:val="center"/>
              <w:rPr>
                <w:rFonts w:ascii="MingLiU" w:hAnsi="MingLiU" w:eastAsia="宋体" w:cs="MingLiU"/>
                <w:color w:val="000000" w:themeColor="text1"/>
                <w:sz w:val="18"/>
                <w:szCs w:val="18"/>
                <w:lang w:bidi="zh-TW"/>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浙江桥母</w:t>
            </w:r>
          </w:p>
        </w:tc>
        <w:tc>
          <w:tcPr>
            <w:tcW w:w="1267" w:type="dxa"/>
            <w:tcBorders>
              <w:top w:val="single" w:color="auto" w:sz="4" w:space="0"/>
              <w:left w:val="single" w:color="auto" w:sz="4" w:space="0"/>
              <w:bottom w:val="single" w:color="auto" w:sz="4" w:space="0"/>
            </w:tcBorders>
            <w:shd w:val="clear" w:color="auto" w:fill="FFFFFF"/>
            <w:vAlign w:val="center"/>
          </w:tcPr>
          <w:p>
            <w:pPr>
              <w:widowControl/>
              <w:ind w:firstLine="360"/>
              <w:jc w:val="center"/>
              <w:rPr>
                <w:rFonts w:ascii="MingLiU" w:hAnsi="MingLiU" w:eastAsia="宋体" w:cs="MingLiU"/>
                <w:color w:val="000000" w:themeColor="text1"/>
                <w:sz w:val="18"/>
                <w:szCs w:val="18"/>
                <w:lang w:bidi="zh-TW"/>
                <w14:textFill>
                  <w14:solidFill>
                    <w14:schemeClr w14:val="tx1"/>
                  </w14:solidFill>
                </w14:textFill>
              </w:rPr>
            </w:pPr>
            <w:r>
              <w:rPr>
                <w:rFonts w:hint="eastAsia" w:ascii="宋体" w:hAnsi="宋体" w:eastAsia="宋体" w:cs="宋体"/>
                <w:bCs/>
                <w:color w:val="000000" w:themeColor="text1"/>
                <w:kern w:val="0"/>
                <w:sz w:val="18"/>
                <w:szCs w:val="18"/>
                <w14:textFill>
                  <w14:solidFill>
                    <w14:schemeClr w14:val="tx1"/>
                  </w14:solidFill>
                </w14:textFill>
              </w:rPr>
              <w:t>慧鱼科技</w:t>
            </w:r>
          </w:p>
        </w:tc>
        <w:tc>
          <w:tcPr>
            <w:tcW w:w="1253" w:type="dxa"/>
            <w:tcBorders>
              <w:top w:val="single" w:color="auto" w:sz="4" w:space="0"/>
              <w:left w:val="single" w:color="auto" w:sz="4" w:space="0"/>
              <w:bottom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c>
          <w:tcPr>
            <w:tcW w:w="1282"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360"/>
              <w:jc w:val="center"/>
              <w:rPr>
                <w:rFonts w:ascii="MingLiU" w:hAnsi="MingLiU" w:eastAsia="宋体" w:cs="MingLiU"/>
                <w:color w:val="000000" w:themeColor="text1"/>
                <w:sz w:val="18"/>
                <w:szCs w:val="18"/>
                <w:lang w:val="zh-TW" w:bidi="zh-TW"/>
                <w14:textFill>
                  <w14:solidFill>
                    <w14:schemeClr w14:val="tx1"/>
                  </w14:solidFill>
                </w14:textFill>
              </w:rPr>
            </w:pPr>
          </w:p>
        </w:tc>
      </w:tr>
    </w:tbl>
    <w:p>
      <w:pPr>
        <w:ind w:firstLine="360"/>
        <w:rPr>
          <w:rFonts w:ascii="MingLiU" w:hAnsi="MingLiU" w:eastAsia="宋体" w:cs="MingLiU"/>
          <w:color w:val="000000" w:themeColor="text1"/>
          <w:sz w:val="18"/>
          <w:szCs w:val="18"/>
          <w:lang w:bidi="zh-TW"/>
          <w14:textFill>
            <w14:solidFill>
              <w14:schemeClr w14:val="tx1"/>
            </w14:solidFill>
          </w14:textFill>
        </w:rPr>
      </w:pPr>
      <w:r>
        <w:rPr>
          <w:rFonts w:ascii="MingLiU" w:hAnsi="MingLiU" w:eastAsia="宋体" w:cs="MingLiU"/>
          <w:color w:val="000000" w:themeColor="text1"/>
          <w:sz w:val="18"/>
          <w:szCs w:val="18"/>
          <w:lang w:bidi="zh-TW"/>
          <w14:textFill>
            <w14:solidFill>
              <w14:schemeClr w14:val="tx1"/>
            </w14:solidFill>
          </w14:textFill>
        </w:rPr>
        <w:t>说明：以上品牌和技术参数供投标人选择，中标人在使用前需经招标人确认</w:t>
      </w:r>
      <w:r>
        <w:rPr>
          <w:rFonts w:hint="eastAsia" w:ascii="MingLiU" w:hAnsi="MingLiU" w:eastAsia="宋体" w:cs="MingLiU"/>
          <w:color w:val="000000" w:themeColor="text1"/>
          <w:sz w:val="18"/>
          <w:szCs w:val="18"/>
          <w:lang w:bidi="zh-TW"/>
          <w14:textFill>
            <w14:solidFill>
              <w14:schemeClr w14:val="tx1"/>
            </w14:solidFill>
          </w14:textFill>
        </w:rPr>
        <w:t>。</w:t>
      </w:r>
    </w:p>
    <w:p>
      <w:pPr>
        <w:spacing w:before="120" w:after="240" w:line="276" w:lineRule="auto"/>
        <w:ind w:firstLine="440"/>
        <w:rPr>
          <w:rFonts w:ascii="Calibri" w:hAnsi="Calibri"/>
          <w:color w:val="000000" w:themeColor="text1"/>
          <w:sz w:val="22"/>
          <w:szCs w:val="22"/>
          <w14:textFill>
            <w14:solidFill>
              <w14:schemeClr w14:val="tx1"/>
            </w14:solidFill>
          </w14:textFill>
        </w:rPr>
      </w:pPr>
    </w:p>
    <w:p>
      <w:pPr>
        <w:pStyle w:val="20"/>
        <w:ind w:left="7000" w:firstLine="56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p>
      <w:pPr>
        <w:pStyle w:val="20"/>
        <w:ind w:left="7000" w:firstLine="560"/>
        <w:rPr>
          <w:color w:val="000000" w:themeColor="text1"/>
          <w14:textFill>
            <w14:solidFill>
              <w14:schemeClr w14:val="tx1"/>
            </w14:solidFill>
          </w14:textFill>
        </w:rPr>
      </w:pPr>
    </w:p>
    <w:p>
      <w:pPr>
        <w:pStyle w:val="106"/>
        <w:ind w:firstLine="0" w:firstLineChars="0"/>
        <w:rPr>
          <w:rFonts w:ascii="华文宋体" w:eastAsia="华文宋体" w:cs="华文宋体"/>
          <w:b/>
          <w:color w:val="000000" w:themeColor="text1"/>
          <w:sz w:val="32"/>
          <w:szCs w:val="32"/>
          <w14:textFill>
            <w14:solidFill>
              <w14:schemeClr w14:val="tx1"/>
            </w14:solidFill>
          </w14:textFill>
        </w:rPr>
      </w:pPr>
    </w:p>
    <w:p>
      <w:pPr>
        <w:pStyle w:val="20"/>
        <w:ind w:left="7000" w:firstLine="560"/>
        <w:rPr>
          <w:color w:val="000000" w:themeColor="text1"/>
          <w14:textFill>
            <w14:solidFill>
              <w14:schemeClr w14:val="tx1"/>
            </w14:solidFill>
          </w14:textFill>
        </w:rPr>
      </w:pPr>
      <w:r>
        <w:rPr>
          <w:rFonts w:hint="eastAsia"/>
          <w:color w:val="000000" w:themeColor="text1"/>
          <w14:textFill>
            <w14:solidFill>
              <w14:schemeClr w14:val="tx1"/>
            </w14:solidFill>
          </w14:textFill>
        </w:rPr>
        <w:t>附件</w:t>
      </w:r>
      <w:r>
        <w:rPr>
          <w:color w:val="000000" w:themeColor="text1"/>
          <w14:textFill>
            <w14:solidFill>
              <w14:schemeClr w14:val="tx1"/>
            </w14:solidFill>
          </w14:textFill>
        </w:rPr>
        <w:t>3</w:t>
      </w:r>
    </w:p>
    <w:p>
      <w:pPr>
        <w:pStyle w:val="106"/>
        <w:ind w:firstLine="640"/>
        <w:jc w:val="center"/>
        <w:rPr>
          <w:rFonts w:ascii="华文宋体" w:eastAsia="华文宋体" w:cs="华文宋体"/>
          <w:b/>
          <w:color w:val="000000" w:themeColor="text1"/>
          <w:sz w:val="32"/>
          <w:szCs w:val="32"/>
          <w14:textFill>
            <w14:solidFill>
              <w14:schemeClr w14:val="tx1"/>
            </w14:solidFill>
          </w14:textFill>
        </w:rPr>
      </w:pPr>
      <w:r>
        <w:rPr>
          <w:rFonts w:hint="eastAsia" w:ascii="华文宋体" w:eastAsia="华文宋体" w:cs="华文宋体"/>
          <w:b/>
          <w:color w:val="000000" w:themeColor="text1"/>
          <w:sz w:val="32"/>
          <w:szCs w:val="32"/>
          <w14:textFill>
            <w14:solidFill>
              <w14:schemeClr w14:val="tx1"/>
            </w14:solidFill>
          </w14:textFill>
        </w:rPr>
        <w:t>电梯设备技术要求</w:t>
      </w:r>
    </w:p>
    <w:p>
      <w:pPr>
        <w:spacing w:line="360" w:lineRule="auto"/>
        <w:ind w:firstLine="562"/>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1、电梯的技术规格和要求</w:t>
      </w:r>
    </w:p>
    <w:tbl>
      <w:tblPr>
        <w:tblStyle w:val="45"/>
        <w:tblW w:w="98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70"/>
        <w:gridCol w:w="2819"/>
        <w:gridCol w:w="568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ind w:left="1546" w:hanging="1541" w:hangingChars="70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 xml:space="preserve">          </w:t>
            </w:r>
            <w:r>
              <w:rPr>
                <w:rFonts w:hint="eastAsia" w:ascii="Arial" w:hAnsi="Arial" w:cs="Arial"/>
                <w:b/>
                <w:bCs/>
                <w:color w:val="000000" w:themeColor="text1"/>
                <w:sz w:val="22"/>
                <w:szCs w:val="22"/>
                <w14:textFill>
                  <w14:solidFill>
                    <w14:schemeClr w14:val="tx1"/>
                  </w14:solidFill>
                </w14:textFill>
              </w:rPr>
              <w:t xml:space="preserve">             </w:t>
            </w:r>
            <w:r>
              <w:rPr>
                <w:rFonts w:ascii="Arial" w:hAnsi="Arial" w:cs="Arial"/>
                <w:b/>
                <w:bCs/>
                <w:color w:val="000000" w:themeColor="text1"/>
                <w:sz w:val="22"/>
                <w:szCs w:val="22"/>
                <w14:textFill>
                  <w14:solidFill>
                    <w14:schemeClr w14:val="tx1"/>
                  </w14:solidFill>
                </w14:textFill>
              </w:rPr>
              <w:t>名称编号</w:t>
            </w:r>
          </w:p>
          <w:p>
            <w:pPr>
              <w:snapToGrid w:val="0"/>
              <w:ind w:firstLine="442"/>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内容</w:t>
            </w:r>
          </w:p>
        </w:tc>
        <w:tc>
          <w:tcPr>
            <w:tcW w:w="5687" w:type="dxa"/>
            <w:vAlign w:val="center"/>
          </w:tcPr>
          <w:p>
            <w:pPr>
              <w:snapToGrid w:val="0"/>
              <w:ind w:firstLine="442"/>
              <w:jc w:val="center"/>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电梯数量（台）</w:t>
            </w:r>
          </w:p>
        </w:tc>
        <w:tc>
          <w:tcPr>
            <w:tcW w:w="5687" w:type="dxa"/>
            <w:vAlign w:val="center"/>
          </w:tcPr>
          <w:p>
            <w:pPr>
              <w:snapToGrid w:val="0"/>
              <w:ind w:firstLine="442"/>
              <w:jc w:val="center"/>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投标人提供（不低于发包人所提供方案的数量）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用途</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载 重 量</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≥1000KG</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4"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速    度</w:t>
            </w:r>
          </w:p>
        </w:tc>
        <w:tc>
          <w:tcPr>
            <w:tcW w:w="5687" w:type="dxa"/>
            <w:vAlign w:val="center"/>
          </w:tcPr>
          <w:p>
            <w:pPr>
              <w:snapToGrid w:val="0"/>
              <w:ind w:firstLine="442"/>
              <w:jc w:val="center"/>
              <w:rPr>
                <w:rFonts w:eastAsia="宋体"/>
                <w:b/>
                <w:bCs/>
                <w:color w:val="000000" w:themeColor="text1"/>
                <w:sz w:val="22"/>
                <w:szCs w:val="22"/>
                <w14:textFill>
                  <w14:solidFill>
                    <w14:schemeClr w14:val="tx1"/>
                  </w14:solidFill>
                </w14:textFill>
              </w:rPr>
            </w:pPr>
            <w:r>
              <w:rPr>
                <w:b/>
                <w:bCs/>
                <w:color w:val="000000" w:themeColor="text1"/>
                <w:sz w:val="22"/>
                <w:szCs w:val="22"/>
                <w:highlight w:val="yellow"/>
                <w14:textFill>
                  <w14:solidFill>
                    <w14:schemeClr w14:val="tx1"/>
                  </w14:solidFill>
                </w14:textFill>
              </w:rPr>
              <w:t>≥</w:t>
            </w:r>
            <w:r>
              <w:rPr>
                <w:rFonts w:eastAsia="宋体"/>
                <w:b/>
                <w:bCs/>
                <w:color w:val="000000" w:themeColor="text1"/>
                <w:sz w:val="22"/>
                <w:szCs w:val="22"/>
                <w:highlight w:val="yellow"/>
                <w14:textFill>
                  <w14:solidFill>
                    <w14:schemeClr w14:val="tx1"/>
                  </w14:solidFill>
                </w14:textFill>
              </w:rPr>
              <w:t>1</w:t>
            </w:r>
            <w:r>
              <w:rPr>
                <w:b/>
                <w:bCs/>
                <w:color w:val="000000" w:themeColor="text1"/>
                <w:sz w:val="22"/>
                <w:szCs w:val="22"/>
                <w:highlight w:val="yellow"/>
                <w14:textFill>
                  <w14:solidFill>
                    <w14:schemeClr w14:val="tx1"/>
                  </w14:solidFill>
                </w14:textFill>
              </w:rPr>
              <w:t>.</w:t>
            </w:r>
            <w:r>
              <w:rPr>
                <w:rFonts w:eastAsia="宋体"/>
                <w:b/>
                <w:bCs/>
                <w:color w:val="000000" w:themeColor="text1"/>
                <w:sz w:val="22"/>
                <w:szCs w:val="22"/>
                <w:highlight w:val="yellow"/>
                <w14:textFill>
                  <w14:solidFill>
                    <w14:schemeClr w14:val="tx1"/>
                  </w14:solidFill>
                </w14:textFill>
              </w:rPr>
              <w:t>75</w:t>
            </w:r>
            <w:r>
              <w:rPr>
                <w:b/>
                <w:bCs/>
                <w:color w:val="000000" w:themeColor="text1"/>
                <w:sz w:val="22"/>
                <w:szCs w:val="22"/>
                <w:highlight w:val="yellow"/>
                <w14:textFill>
                  <w14:solidFill>
                    <w14:schemeClr w14:val="tx1"/>
                  </w14:solidFill>
                </w14:textFill>
              </w:rPr>
              <w:t>m/s</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层/站</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投标人提供（下至地下各层）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机房位置</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提升高度</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机房层高度</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设计参考井道净尺寸（mm）</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轿厢尺寸（宽×深×</w:t>
            </w:r>
            <w:r>
              <w:rPr>
                <w:rFonts w:hint="eastAsia" w:ascii="Arial" w:hAnsi="Arial" w:cs="Arial"/>
                <w:b/>
                <w:bCs/>
                <w:color w:val="000000" w:themeColor="text1"/>
                <w:sz w:val="22"/>
                <w:szCs w:val="22"/>
                <w14:textFill>
                  <w14:solidFill>
                    <w14:schemeClr w14:val="tx1"/>
                  </w14:solidFill>
                </w14:textFill>
              </w:rPr>
              <w:t>高</w:t>
            </w:r>
            <w:r>
              <w:rPr>
                <w:rFonts w:ascii="Arial" w:hAnsi="Arial" w:cs="Arial"/>
                <w:b/>
                <w:bCs/>
                <w:color w:val="000000" w:themeColor="text1"/>
                <w:sz w:val="22"/>
                <w:szCs w:val="22"/>
                <w14:textFill>
                  <w14:solidFill>
                    <w14:schemeClr w14:val="tx1"/>
                  </w14:solidFill>
                </w14:textFill>
              </w:rPr>
              <w:t>）（mm）</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≥1500X1600</w:t>
            </w:r>
            <w:r>
              <w:rPr>
                <w:b/>
                <w:bCs/>
                <w:color w:val="000000" w:themeColor="text1"/>
                <w:sz w:val="22"/>
                <w:szCs w:val="22"/>
                <w14:textFill>
                  <w14:solidFill>
                    <w14:schemeClr w14:val="tx1"/>
                  </w14:solidFill>
                </w14:textFill>
              </w:rPr>
              <w:t xml:space="preserve"> X</w:t>
            </w:r>
            <w:r>
              <w:rPr>
                <w:rFonts w:hint="eastAsia"/>
                <w:b/>
                <w:bCs/>
                <w:color w:val="000000" w:themeColor="text1"/>
                <w:sz w:val="22"/>
                <w:szCs w:val="22"/>
                <w14:textFill>
                  <w14:solidFill>
                    <w14:schemeClr w14:val="tx1"/>
                  </w14:solidFill>
                </w14:textFill>
              </w:rPr>
              <w:t>2600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门洞尺寸（宽×高）（mm）</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≥1100X2300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开门方式</w:t>
            </w:r>
          </w:p>
        </w:tc>
        <w:tc>
          <w:tcPr>
            <w:tcW w:w="5687" w:type="dxa"/>
            <w:vAlign w:val="center"/>
          </w:tcPr>
          <w:p>
            <w:pPr>
              <w:snapToGrid w:val="0"/>
              <w:spacing w:line="300" w:lineRule="atLeast"/>
              <w:ind w:firstLine="442"/>
              <w:jc w:val="center"/>
              <w:rPr>
                <w:b/>
                <w:bCs/>
                <w:color w:val="000000" w:themeColor="text1"/>
                <w:sz w:val="22"/>
                <w:szCs w:val="22"/>
                <w14:textFill>
                  <w14:solidFill>
                    <w14:schemeClr w14:val="tx1"/>
                  </w14:solidFill>
                </w14:textFill>
              </w:rPr>
            </w:pPr>
            <w:r>
              <w:rPr>
                <w:b/>
                <w:bCs/>
                <w:color w:val="000000" w:themeColor="text1"/>
                <w:sz w:val="22"/>
                <w:szCs w:val="22"/>
                <w14:textFill>
                  <w14:solidFill>
                    <w14:schemeClr w14:val="tx1"/>
                  </w14:solidFill>
                </w14:textFill>
              </w:rPr>
              <w:t>中分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开门尺寸（宽×高）（mm）</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≥900X2200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机房层</w:t>
            </w:r>
            <w:r>
              <w:rPr>
                <w:rFonts w:hint="eastAsia" w:ascii="Arial" w:hAnsi="Arial" w:cs="Arial"/>
                <w:b/>
                <w:bCs/>
                <w:color w:val="000000" w:themeColor="text1"/>
                <w:sz w:val="22"/>
                <w:szCs w:val="22"/>
                <w14:textFill>
                  <w14:solidFill>
                    <w14:schemeClr w14:val="tx1"/>
                  </w14:solidFill>
                </w14:textFill>
              </w:rPr>
              <w:t>标高</w:t>
            </w:r>
            <w:r>
              <w:rPr>
                <w:rFonts w:ascii="Arial" w:hAnsi="Arial" w:cs="Arial"/>
                <w:b/>
                <w:bCs/>
                <w:color w:val="000000" w:themeColor="text1"/>
                <w:sz w:val="22"/>
                <w:szCs w:val="22"/>
                <w14:textFill>
                  <w14:solidFill>
                    <w14:schemeClr w14:val="tx1"/>
                  </w14:solidFill>
                </w14:textFill>
              </w:rPr>
              <w:t>（m）</w:t>
            </w:r>
          </w:p>
        </w:tc>
        <w:tc>
          <w:tcPr>
            <w:tcW w:w="5687" w:type="dxa"/>
            <w:vAlign w:val="center"/>
          </w:tcPr>
          <w:p>
            <w:pPr>
              <w:snapToGrid w:val="0"/>
              <w:ind w:firstLine="442"/>
              <w:jc w:val="center"/>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1370" w:type="dxa"/>
            <w:vMerge w:val="restart"/>
            <w:vAlign w:val="center"/>
          </w:tcPr>
          <w:p>
            <w:pPr>
              <w:snapToGrid w:val="0"/>
              <w:spacing w:line="300" w:lineRule="atLeast"/>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各层标高</w:t>
            </w:r>
          </w:p>
          <w:p>
            <w:pPr>
              <w:snapToGrid w:val="0"/>
              <w:spacing w:line="300" w:lineRule="atLeast"/>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（可扩展）</w:t>
            </w:r>
          </w:p>
        </w:tc>
        <w:tc>
          <w:tcPr>
            <w:tcW w:w="2819" w:type="dxa"/>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由投标人扩展</w:t>
            </w:r>
          </w:p>
        </w:tc>
        <w:tc>
          <w:tcPr>
            <w:tcW w:w="5687" w:type="dxa"/>
            <w:vMerge w:val="restart"/>
            <w:vAlign w:val="center"/>
          </w:tcPr>
          <w:p>
            <w:pPr>
              <w:snapToGrid w:val="0"/>
              <w:ind w:firstLine="442"/>
              <w:jc w:val="center"/>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投标人提供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1370"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c>
          <w:tcPr>
            <w:tcW w:w="2819" w:type="dxa"/>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w:t>
            </w:r>
            <w:r>
              <w:rPr>
                <w:rFonts w:hint="eastAsia" w:ascii="Arial" w:hAnsi="Arial" w:cs="Arial"/>
                <w:b/>
                <w:bCs/>
                <w:color w:val="000000" w:themeColor="text1"/>
                <w:sz w:val="22"/>
                <w:szCs w:val="22"/>
                <w14:textFill>
                  <w14:solidFill>
                    <w14:schemeClr w14:val="tx1"/>
                  </w14:solidFill>
                </w14:textFill>
              </w:rPr>
              <w:t>.</w:t>
            </w:r>
          </w:p>
        </w:tc>
        <w:tc>
          <w:tcPr>
            <w:tcW w:w="5687"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1370"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c>
          <w:tcPr>
            <w:tcW w:w="2819" w:type="dxa"/>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w:t>
            </w:r>
            <w:r>
              <w:rPr>
                <w:rFonts w:hint="eastAsia" w:ascii="Arial" w:hAnsi="Arial" w:cs="Arial"/>
                <w:b/>
                <w:bCs/>
                <w:color w:val="000000" w:themeColor="text1"/>
                <w:sz w:val="22"/>
                <w:szCs w:val="22"/>
                <w14:textFill>
                  <w14:solidFill>
                    <w14:schemeClr w14:val="tx1"/>
                  </w14:solidFill>
                </w14:textFill>
              </w:rPr>
              <w:t>.</w:t>
            </w:r>
          </w:p>
        </w:tc>
        <w:tc>
          <w:tcPr>
            <w:tcW w:w="5687"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85" w:hRule="atLeast"/>
          <w:jc w:val="center"/>
        </w:trPr>
        <w:tc>
          <w:tcPr>
            <w:tcW w:w="1370"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c>
          <w:tcPr>
            <w:tcW w:w="2819" w:type="dxa"/>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w:t>
            </w:r>
            <w:r>
              <w:rPr>
                <w:rFonts w:hint="eastAsia" w:ascii="Arial" w:hAnsi="Arial" w:cs="Arial"/>
                <w:b/>
                <w:bCs/>
                <w:color w:val="000000" w:themeColor="text1"/>
                <w:sz w:val="22"/>
                <w:szCs w:val="22"/>
                <w14:textFill>
                  <w14:solidFill>
                    <w14:schemeClr w14:val="tx1"/>
                  </w14:solidFill>
                </w14:textFill>
              </w:rPr>
              <w:t>.</w:t>
            </w:r>
          </w:p>
        </w:tc>
        <w:tc>
          <w:tcPr>
            <w:tcW w:w="5687"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1370"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c>
          <w:tcPr>
            <w:tcW w:w="2819" w:type="dxa"/>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w:t>
            </w:r>
            <w:r>
              <w:rPr>
                <w:rFonts w:hint="eastAsia" w:ascii="Arial" w:hAnsi="Arial" w:cs="Arial"/>
                <w:b/>
                <w:bCs/>
                <w:color w:val="000000" w:themeColor="text1"/>
                <w:sz w:val="22"/>
                <w:szCs w:val="22"/>
                <w14:textFill>
                  <w14:solidFill>
                    <w14:schemeClr w14:val="tx1"/>
                  </w14:solidFill>
                </w14:textFill>
              </w:rPr>
              <w:t>.</w:t>
            </w:r>
          </w:p>
        </w:tc>
        <w:tc>
          <w:tcPr>
            <w:tcW w:w="5687" w:type="dxa"/>
            <w:vMerge w:val="continue"/>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0" w:hRule="atLeast"/>
          <w:jc w:val="center"/>
        </w:trPr>
        <w:tc>
          <w:tcPr>
            <w:tcW w:w="4189" w:type="dxa"/>
            <w:gridSpan w:val="2"/>
            <w:vAlign w:val="center"/>
          </w:tcPr>
          <w:p>
            <w:pPr>
              <w:snapToGrid w:val="0"/>
              <w:spacing w:line="300" w:lineRule="atLeast"/>
              <w:ind w:firstLine="442"/>
              <w:jc w:val="center"/>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机坑深度（m）</w:t>
            </w:r>
          </w:p>
        </w:tc>
        <w:tc>
          <w:tcPr>
            <w:tcW w:w="5687" w:type="dxa"/>
            <w:vAlign w:val="center"/>
          </w:tcPr>
          <w:p>
            <w:pPr>
              <w:snapToGrid w:val="0"/>
              <w:ind w:firstLine="442"/>
              <w:jc w:val="center"/>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投标人提供</w:t>
            </w:r>
          </w:p>
        </w:tc>
      </w:tr>
    </w:tbl>
    <w:p>
      <w:pPr>
        <w:snapToGrid w:val="0"/>
        <w:spacing w:line="360" w:lineRule="auto"/>
        <w:ind w:firstLine="442"/>
        <w:rPr>
          <w:rFonts w:ascii="宋体" w:hAnsi="宋体" w:cs="宋体"/>
          <w:b/>
          <w:bCs/>
          <w:color w:val="000000" w:themeColor="text1"/>
          <w:sz w:val="22"/>
          <w:szCs w:val="22"/>
          <w:u w:val="single"/>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注：</w:t>
      </w:r>
      <w:r>
        <w:rPr>
          <w:rFonts w:hint="eastAsia" w:ascii="宋体" w:hAnsi="宋体" w:cs="宋体"/>
          <w:b/>
          <w:bCs/>
          <w:color w:val="000000" w:themeColor="text1"/>
          <w:sz w:val="22"/>
          <w:szCs w:val="22"/>
          <w:u w:val="single"/>
          <w14:textFill>
            <w14:solidFill>
              <w14:schemeClr w14:val="tx1"/>
            </w14:solidFill>
          </w14:textFill>
        </w:rPr>
        <w:t>中标人须按实际标高尺寸提供电梯。</w:t>
      </w:r>
    </w:p>
    <w:p>
      <w:pPr>
        <w:spacing w:line="360" w:lineRule="auto"/>
        <w:ind w:firstLine="442"/>
        <w:rPr>
          <w:b/>
          <w:bCs/>
          <w:color w:val="000000" w:themeColor="text1"/>
          <w:sz w:val="22"/>
          <w:szCs w:val="22"/>
          <w14:textFill>
            <w14:solidFill>
              <w14:schemeClr w14:val="tx1"/>
            </w14:solidFill>
          </w14:textFill>
        </w:rPr>
      </w:pPr>
      <w:bookmarkStart w:id="181" w:name="_Toc11546"/>
      <w:r>
        <w:rPr>
          <w:rFonts w:hint="eastAsia"/>
          <w:b/>
          <w:bCs/>
          <w:color w:val="000000" w:themeColor="text1"/>
          <w:sz w:val="22"/>
          <w:szCs w:val="22"/>
          <w14:textFill>
            <w14:solidFill>
              <w14:schemeClr w14:val="tx1"/>
            </w14:solidFill>
          </w14:textFill>
        </w:rPr>
        <w:t>2、电梯一般技术要求</w:t>
      </w:r>
      <w:bookmarkEnd w:id="181"/>
    </w:p>
    <w:p>
      <w:pPr>
        <w:snapToGrid w:val="0"/>
        <w:spacing w:line="360" w:lineRule="auto"/>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2.1投标人提供的产品及服务须适应本招标文件所有条款,并运转顺利、正常、可靠。</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2.2可靠性要求：</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① 电梯设备及各主要部件在每天正常连续运行24小时基础上，设计寿命要求在15万小时以上；</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② 在供电电压波动≤±7%，供电频率波动≤±3%时仍能正常工作；</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③ 电梯在额定载荷时允许起、制动循环次数≥240次/小时。</w:t>
      </w:r>
    </w:p>
    <w:p>
      <w:pPr>
        <w:snapToGrid w:val="0"/>
        <w:spacing w:line="440" w:lineRule="exact"/>
        <w:ind w:firstLine="442"/>
        <w:rPr>
          <w:color w:val="000000" w:themeColor="text1"/>
          <w:sz w:val="22"/>
          <w:szCs w:val="22"/>
          <w:highlight w:val="magenta"/>
          <w14:textFill>
            <w14:solidFill>
              <w14:schemeClr w14:val="tx1"/>
            </w14:solidFill>
          </w14:textFill>
        </w:rPr>
      </w:pPr>
      <w:r>
        <w:rPr>
          <w:rFonts w:hint="eastAsia" w:ascii="宋体" w:hAnsi="宋体" w:cs="宋体"/>
          <w:b/>
          <w:bCs/>
          <w:color w:val="000000" w:themeColor="text1"/>
          <w:sz w:val="22"/>
          <w:szCs w:val="22"/>
          <w:highlight w:val="magenta"/>
          <w14:textFill>
            <w14:solidFill>
              <w14:schemeClr w14:val="tx1"/>
            </w14:solidFill>
          </w14:textFill>
        </w:rPr>
        <w:t>④ 1-2吨货车出入通道和停留空间，预设货梯井。</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2.3配置要求</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①梯型要求：要求提供投标品牌中技术先进（指制造商中档及以上规格型号）、安全可靠的永磁无齿同步曳引机变频驱动的梯型，且符合相关技术标准规范和节能环保要求；</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②控制方法：主回路均应采用双32位用以上全电脑集散模块化网络及智能模块VVVF控制系统，微机模块化结构进行控制和故障诊断、具有单、群控可选；</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③开门机系统：采用电脑模块控制的VVVF门机系统。</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电梯主要部件要求</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① 曳引机系统：整体原品牌原产地进口；</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② 控制系统：整体原品牌原产地进口；</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③ 门机系统：整体原品牌原产地进口（供货前需提供同批次海关报关单）；</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④ 红外光幕要求，150束以上；</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⑤ 采用滚轮导靴，T89/B级以上生导轨；</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⑥电梯两年质保期满时，门板滚轮（含轿门、梯门）无条件予以更换，费用包含在报价内。</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2.4技术指标要求：</w:t>
      </w:r>
    </w:p>
    <w:tbl>
      <w:tblPr>
        <w:tblStyle w:val="45"/>
        <w:tblW w:w="9880"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63"/>
        <w:gridCol w:w="2605"/>
        <w:gridCol w:w="651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序号</w:t>
            </w:r>
          </w:p>
        </w:tc>
        <w:tc>
          <w:tcPr>
            <w:tcW w:w="2605"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名称</w:t>
            </w:r>
          </w:p>
        </w:tc>
        <w:tc>
          <w:tcPr>
            <w:tcW w:w="6512"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0"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电梯的水平振动、垂直振动加速度</w:t>
            </w:r>
          </w:p>
        </w:tc>
        <w:tc>
          <w:tcPr>
            <w:tcW w:w="6512" w:type="dxa"/>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电梯轿厢运行时水平方向和垂直方向的振动加速度分别不应大于（10）cm/s</w:t>
            </w:r>
            <w:r>
              <w:rPr>
                <w:rFonts w:hint="eastAsia" w:ascii="宋体" w:hAnsi="宋体" w:cs="宋体"/>
                <w:b/>
                <w:bCs/>
                <w:color w:val="000000" w:themeColor="text1"/>
                <w:sz w:val="22"/>
                <w:szCs w:val="22"/>
                <w:vertAlign w:val="superscript"/>
                <w14:textFill>
                  <w14:solidFill>
                    <w14:schemeClr w14:val="tx1"/>
                  </w14:solidFill>
                </w14:textFill>
              </w:rPr>
              <w:t>2</w:t>
            </w:r>
            <w:r>
              <w:rPr>
                <w:rFonts w:hint="eastAsia" w:ascii="宋体" w:hAnsi="宋体" w:cs="宋体"/>
                <w:b/>
                <w:bCs/>
                <w:color w:val="000000" w:themeColor="text1"/>
                <w:sz w:val="22"/>
                <w:szCs w:val="22"/>
                <w14:textFill>
                  <w14:solidFill>
                    <w14:schemeClr w14:val="tx1"/>
                  </w14:solidFill>
                </w14:textFill>
              </w:rPr>
              <w:t>和25cm/s</w:t>
            </w:r>
            <w:r>
              <w:rPr>
                <w:rFonts w:hint="eastAsia" w:ascii="宋体" w:hAnsi="宋体" w:cs="宋体"/>
                <w:b/>
                <w:bCs/>
                <w:color w:val="000000" w:themeColor="text1"/>
                <w:sz w:val="22"/>
                <w:szCs w:val="22"/>
                <w:vertAlign w:val="superscript"/>
                <w14:textFill>
                  <w14:solidFill>
                    <w14:schemeClr w14:val="tx1"/>
                  </w14:solidFill>
                </w14:textFill>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起动加速度和制动减速度</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平均≥0.48m/s</w:t>
            </w:r>
            <w:r>
              <w:rPr>
                <w:rFonts w:hint="eastAsia" w:ascii="宋体" w:hAnsi="宋体" w:cs="宋体"/>
                <w:b/>
                <w:bCs/>
                <w:color w:val="000000" w:themeColor="text1"/>
                <w:sz w:val="22"/>
                <w:szCs w:val="22"/>
                <w:vertAlign w:val="superscript"/>
                <w14:textFill>
                  <w14:solidFill>
                    <w14:schemeClr w14:val="tx1"/>
                  </w14:solidFill>
                </w14:textFill>
              </w:rPr>
              <w:t xml:space="preserve">2 </w:t>
            </w:r>
            <w:r>
              <w:rPr>
                <w:rFonts w:hint="eastAsia" w:ascii="宋体" w:hAnsi="宋体" w:cs="宋体"/>
                <w:b/>
                <w:bCs/>
                <w:color w:val="000000" w:themeColor="text1"/>
                <w:sz w:val="22"/>
                <w:szCs w:val="22"/>
                <w14:textFill>
                  <w14:solidFill>
                    <w14:schemeClr w14:val="tx1"/>
                  </w14:solidFill>
                </w14:textFill>
              </w:rPr>
              <w:t>，且在0.48～1m/s</w:t>
            </w:r>
            <w:r>
              <w:rPr>
                <w:rFonts w:hint="eastAsia" w:ascii="宋体" w:hAnsi="宋体" w:cs="宋体"/>
                <w:b/>
                <w:bCs/>
                <w:color w:val="000000" w:themeColor="text1"/>
                <w:sz w:val="22"/>
                <w:szCs w:val="22"/>
                <w:vertAlign w:val="superscript"/>
                <w14:textFill>
                  <w14:solidFill>
                    <w14:schemeClr w14:val="tx1"/>
                  </w14:solidFill>
                </w14:textFill>
              </w:rPr>
              <w:t>2</w:t>
            </w:r>
            <w:r>
              <w:rPr>
                <w:rFonts w:hint="eastAsia" w:ascii="宋体" w:hAnsi="宋体" w:cs="宋体"/>
                <w:b/>
                <w:bCs/>
                <w:color w:val="000000" w:themeColor="text1"/>
                <w:sz w:val="22"/>
                <w:szCs w:val="22"/>
                <w14:textFill>
                  <w14:solidFill>
                    <w14:schemeClr w14:val="tx1"/>
                  </w14:solidFill>
                </w14:textFill>
              </w:rPr>
              <w:t>之间可调，最大≤1.5m/s</w:t>
            </w:r>
            <w:r>
              <w:rPr>
                <w:rFonts w:hint="eastAsia" w:ascii="宋体" w:hAnsi="宋体" w:cs="宋体"/>
                <w:b/>
                <w:bCs/>
                <w:color w:val="000000" w:themeColor="text1"/>
                <w:sz w:val="22"/>
                <w:szCs w:val="22"/>
                <w:vertAlign w:val="superscript"/>
                <w14:textFill>
                  <w14:solidFill>
                    <w14:schemeClr w14:val="tx1"/>
                  </w14:solidFill>
                </w14:textFill>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3</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噪音指数</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轿内≤50dB（A）、开关门≤55dB（A），机房≤70dB</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4</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平层精度</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在±3mm范围之内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5</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运行故障</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电梯每起制动运行60000次中不应超过2次，每超过1次，维保期延长3个月。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6</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控制柜失效（故障）</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电梯每起制动运行60000次中不应超过2次，每超过1次，维保期延长3个月。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7</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故障响应时间</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响应时间不超过30分钟，如超过，每次罚款1000元。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8</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一般故障修复响应时间</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修复时间不超过</w:t>
            </w:r>
            <w:r>
              <w:rPr>
                <w:rFonts w:ascii="宋体" w:hAnsi="宋体" w:cs="宋体"/>
                <w:b/>
                <w:bCs/>
                <w:color w:val="000000" w:themeColor="text1"/>
                <w:sz w:val="22"/>
                <w:szCs w:val="22"/>
                <w14:textFill>
                  <w14:solidFill>
                    <w14:schemeClr w14:val="tx1"/>
                  </w14:solidFill>
                </w14:textFill>
              </w:rPr>
              <w:t>4</w:t>
            </w:r>
            <w:r>
              <w:rPr>
                <w:rFonts w:hint="eastAsia" w:ascii="宋体" w:hAnsi="宋体" w:cs="宋体"/>
                <w:b/>
                <w:bCs/>
                <w:color w:val="000000" w:themeColor="text1"/>
                <w:sz w:val="22"/>
                <w:szCs w:val="22"/>
                <w14:textFill>
                  <w14:solidFill>
                    <w14:schemeClr w14:val="tx1"/>
                  </w14:solidFill>
                </w14:textFill>
              </w:rPr>
              <w:t>小时，如超过，每小时罚款500元，按小时累计。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trPr>
        <w:tc>
          <w:tcPr>
            <w:tcW w:w="763" w:type="dxa"/>
            <w:vAlign w:val="center"/>
          </w:tcPr>
          <w:p>
            <w:pPr>
              <w:snapToGrid w:val="0"/>
              <w:ind w:firstLine="442"/>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9</w:t>
            </w:r>
          </w:p>
        </w:tc>
        <w:tc>
          <w:tcPr>
            <w:tcW w:w="2605"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重大故障修复时间响应时间</w:t>
            </w:r>
          </w:p>
        </w:tc>
        <w:tc>
          <w:tcPr>
            <w:tcW w:w="6512" w:type="dxa"/>
            <w:vAlign w:val="center"/>
          </w:tcPr>
          <w:p>
            <w:pPr>
              <w:snapToGrid w:val="0"/>
              <w:ind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修复时间不超过24小时，如超过，每天罚款2000元，按天累计。</w:t>
            </w:r>
          </w:p>
        </w:tc>
      </w:tr>
    </w:tbl>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2.5电梯基本功能：</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以下功能是买方对电梯的基本要求，如有偏离必须在偏离表中如实反映，投标人在投标时应详细列出所供电梯的其他具体标准功能。</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（1）客梯功能</w:t>
      </w:r>
    </w:p>
    <w:tbl>
      <w:tblPr>
        <w:tblStyle w:val="45"/>
        <w:tblW w:w="98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292"/>
        <w:gridCol w:w="3292"/>
        <w:gridCol w:w="329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(1)直接停靠</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(2)最佳曲线自动生成</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(3)错误指令取消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(4)全集选</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(5)电机参数自学习</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(6)井道参数自学习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(7)层高数据自动修正</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(8)轿厢位置自动修正</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(9)自救平层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(10)来电自动恢复运行</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(11)楼层显示任意设置</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(12)运行方向滚动显示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(13)电梯状态显示</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(14)司机操作</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(15)底坑、轿顶急停操作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(16)反向消号</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(17)满载直驶</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(18)轿厢警铃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(19)消防返基</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(20)锁梯功能</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(21)自动返基站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(22)自动关灯/风扇功能</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(23)强迫关门</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(24)自动开关门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(25)保持开门时间分类设定</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(26)本层开门</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(27)重复关门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(28)开关门按钮</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(29)轿内紧急照明</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(30)超载保护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(31)防逆转保护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(32)触点粘连保护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(33)运行时间保护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(34)终端越程保护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(35)编码器故障保护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(36)电动机过渡和过载保护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(37)电源过电压保护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(38)远程监控接口</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(39)故障记录</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(40)运行计数器</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(41)上下行超速保护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(42)五方通话装置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(43)门光幕保护</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(44)称重信号补偿</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(45)轿顶检修操作与控制柜紧急电动运行</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(46) 每层电梯厅到达响钟</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(47)消防运行功能</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(48)中英文语音报站功能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(49)专用电梯空调</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(50)群控、并联功能</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(51</w:t>
            </w:r>
            <w:r>
              <w:rPr>
                <w:rFonts w:hint="eastAsia" w:ascii="Arial" w:hAnsi="Arial" w:cs="Arial"/>
                <w:b/>
                <w:bCs/>
                <w:color w:val="000000" w:themeColor="text1"/>
                <w:sz w:val="22"/>
                <w:szCs w:val="22"/>
                <w14:textFill>
                  <w14:solidFill>
                    <w14:schemeClr w14:val="tx1"/>
                  </w14:solidFill>
                </w14:textFill>
              </w:rPr>
              <w:t>)配置随行视频电缆（随行视频电缆应至电梯机房）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snapToGrid w:val="0"/>
              <w:spacing w:line="276" w:lineRule="auto"/>
              <w:ind w:firstLine="442"/>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 xml:space="preserve">(52) </w:t>
            </w:r>
            <w:r>
              <w:rPr>
                <w:rFonts w:hint="eastAsia" w:ascii="Arial" w:hAnsi="Arial" w:cs="Arial"/>
                <w:b/>
                <w:bCs/>
                <w:color w:val="000000" w:themeColor="text1"/>
                <w:sz w:val="22"/>
                <w:szCs w:val="22"/>
                <w14:textFill>
                  <w14:solidFill>
                    <w14:schemeClr w14:val="tx1"/>
                  </w14:solidFill>
                </w14:textFill>
              </w:rPr>
              <w:t>火灾运行管理和紧急消防服务</w:t>
            </w:r>
          </w:p>
        </w:tc>
        <w:tc>
          <w:tcPr>
            <w:tcW w:w="3292" w:type="dxa"/>
            <w:vAlign w:val="center"/>
          </w:tcPr>
          <w:p>
            <w:pPr>
              <w:snapToGrid w:val="0"/>
              <w:spacing w:line="276" w:lineRule="auto"/>
              <w:ind w:firstLine="442"/>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(53）</w:t>
            </w:r>
            <w:r>
              <w:rPr>
                <w:rFonts w:hint="eastAsia" w:ascii="Arial" w:hAnsi="Arial" w:cs="Arial"/>
                <w:b/>
                <w:bCs/>
                <w:color w:val="000000" w:themeColor="text1"/>
                <w:sz w:val="22"/>
                <w:szCs w:val="22"/>
                <w14:textFill>
                  <w14:solidFill>
                    <w14:schemeClr w14:val="tx1"/>
                  </w14:solidFill>
                </w14:textFill>
              </w:rPr>
              <w:t>消防按钮</w:t>
            </w:r>
          </w:p>
        </w:tc>
        <w:tc>
          <w:tcPr>
            <w:tcW w:w="3292" w:type="dxa"/>
            <w:vAlign w:val="center"/>
          </w:tcPr>
          <w:p>
            <w:pPr>
              <w:pStyle w:val="12"/>
              <w:tabs>
                <w:tab w:val="left" w:pos="272"/>
                <w:tab w:val="left" w:pos="412"/>
              </w:tabs>
              <w:spacing w:line="276" w:lineRule="auto"/>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（54）无障碍功能</w:t>
            </w:r>
          </w:p>
        </w:tc>
      </w:tr>
    </w:tbl>
    <w:p>
      <w:pPr>
        <w:numPr>
          <w:ilvl w:val="0"/>
          <w:numId w:val="14"/>
        </w:num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货梯功能</w:t>
      </w:r>
    </w:p>
    <w:tbl>
      <w:tblPr>
        <w:tblStyle w:val="45"/>
        <w:tblW w:w="98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292"/>
        <w:gridCol w:w="3292"/>
        <w:gridCol w:w="329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(1)</w:t>
            </w:r>
            <w:r>
              <w:rPr>
                <w:rFonts w:hint="eastAsia" w:ascii="Arial" w:hAnsi="Arial" w:cs="Arial"/>
                <w:b/>
                <w:bCs/>
                <w:color w:val="000000" w:themeColor="text1"/>
                <w:sz w:val="22"/>
                <w:szCs w:val="22"/>
                <w14:textFill>
                  <w14:solidFill>
                    <w14:schemeClr w14:val="tx1"/>
                  </w14:solidFill>
                </w14:textFill>
              </w:rPr>
              <w:t>马达过热保护</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(2)</w:t>
            </w:r>
            <w:r>
              <w:rPr>
                <w:rFonts w:hint="eastAsia" w:ascii="Arial" w:hAnsi="Arial" w:cs="Arial"/>
                <w:b/>
                <w:bCs/>
                <w:color w:val="000000" w:themeColor="text1"/>
                <w:sz w:val="22"/>
                <w:szCs w:val="22"/>
                <w14:textFill>
                  <w14:solidFill>
                    <w14:schemeClr w14:val="tx1"/>
                  </w14:solidFill>
                </w14:textFill>
              </w:rPr>
              <w:t>电源相位故障检测</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ascii="Arial" w:hAnsi="Arial" w:cs="Arial"/>
                <w:b/>
                <w:bCs/>
                <w:color w:val="000000" w:themeColor="text1"/>
                <w:sz w:val="22"/>
                <w:szCs w:val="22"/>
                <w14:textFill>
                  <w14:solidFill>
                    <w14:schemeClr w14:val="tx1"/>
                  </w14:solidFill>
                </w14:textFill>
              </w:rPr>
              <w:t>(3)</w:t>
            </w:r>
            <w:r>
              <w:rPr>
                <w:rFonts w:hint="eastAsia" w:ascii="Arial" w:hAnsi="Arial" w:cs="Arial"/>
                <w:b/>
                <w:bCs/>
                <w:color w:val="000000" w:themeColor="text1"/>
                <w:sz w:val="22"/>
                <w:szCs w:val="22"/>
                <w14:textFill>
                  <w14:solidFill>
                    <w14:schemeClr w14:val="tx1"/>
                  </w14:solidFill>
                </w14:textFill>
              </w:rPr>
              <w:t>救助运行功能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(4)运行时间监察</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(5)门区指示灯，无蜂鸣</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(6)制动方式，电阻制动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(7)制动方式，电阻制动</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(8)警铃，轿底/轿顶</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(9)五方通话</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(10)维修用开门按钮</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(11)轿门触点</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(12)轿门限位开关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(13)井道急停开关</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(14)轿顶急停开关</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(15)限速器测试装置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(16)检修运行</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(17)轿厢限速器张紧块安全触电</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(18)禁止外呼开关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(19)精确再平层</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(20)内呼快速关门</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(21)防捣乱</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(22)轿厢内照明，自动</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(23)轿厢通风，自动</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(24)轿厢称重装置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(25)轿内照明监察，泊梯门开</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(26)漏电保护开关</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(27)上下行高峰服务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9"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(28)满载直驶</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(29)厅外信息显示</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(30)外呼登陆显示灯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(31)轿厢位置指示</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(32)运行方向指示</w:t>
            </w:r>
          </w:p>
        </w:tc>
        <w:tc>
          <w:tcPr>
            <w:tcW w:w="3292" w:type="dxa"/>
            <w:vAlign w:val="center"/>
          </w:tcPr>
          <w:p>
            <w:pPr>
              <w:pStyle w:val="12"/>
              <w:tabs>
                <w:tab w:val="left" w:pos="272"/>
                <w:tab w:val="left" w:pos="412"/>
              </w:tabs>
              <w:ind w:firstLine="0" w:firstLineChars="0"/>
              <w:rPr>
                <w:rFonts w:ascii="Arial" w:hAnsi="Arial" w:cs="Arial"/>
                <w:b/>
                <w:bCs/>
                <w:color w:val="000000" w:themeColor="text1"/>
                <w:sz w:val="22"/>
                <w:szCs w:val="22"/>
                <w14:textFill>
                  <w14:solidFill>
                    <w14:schemeClr w14:val="tx1"/>
                  </w14:solidFill>
                </w14:textFill>
              </w:rPr>
            </w:pPr>
            <w:r>
              <w:rPr>
                <w:rFonts w:hint="eastAsia" w:ascii="Arial" w:hAnsi="Arial" w:cs="Arial"/>
                <w:b/>
                <w:bCs/>
                <w:color w:val="000000" w:themeColor="text1"/>
                <w:sz w:val="22"/>
                <w:szCs w:val="22"/>
                <w14:textFill>
                  <w14:solidFill>
                    <w14:schemeClr w14:val="tx1"/>
                  </w14:solidFill>
                </w14:textFill>
              </w:rPr>
              <w:t>(33)消防按钮</w:t>
            </w:r>
          </w:p>
        </w:tc>
      </w:tr>
    </w:tbl>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2.6 电梯安全设备要求：</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（1）断相和错相保护；</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（2）上、下终点开关和上、下极限开关；</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（3）缓冲器；</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（4）限速器；</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（5）安全钳；</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（6）紧急停止按钮；</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（7）层门安全设施；</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（8）轿门安全设施；</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（9）层门闭锁保护；</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（10）电气短路保护；</w:t>
      </w:r>
    </w:p>
    <w:p>
      <w:pPr>
        <w:snapToGrid w:val="0"/>
        <w:spacing w:line="440" w:lineRule="exact"/>
        <w:ind w:firstLine="442"/>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（11）主电机过载保护。</w:t>
      </w:r>
    </w:p>
    <w:p>
      <w:pPr>
        <w:snapToGrid w:val="0"/>
        <w:spacing w:line="440" w:lineRule="exact"/>
        <w:ind w:left="560" w:leftChars="200"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2.7电梯装修要求</w:t>
      </w:r>
      <w:r>
        <w:rPr>
          <w:rFonts w:hint="eastAsia" w:ascii="宋体" w:hAnsi="宋体" w:eastAsia="宋体" w:cs="宋体"/>
          <w:b/>
          <w:bCs/>
          <w:color w:val="000000" w:themeColor="text1"/>
          <w:sz w:val="22"/>
          <w:szCs w:val="22"/>
          <w14:textFill>
            <w14:solidFill>
              <w14:schemeClr w14:val="tx1"/>
            </w14:solidFill>
          </w14:textFill>
        </w:rPr>
        <w:t>：</w:t>
      </w:r>
    </w:p>
    <w:p>
      <w:pPr>
        <w:snapToGrid w:val="0"/>
        <w:spacing w:line="440" w:lineRule="exact"/>
        <w:ind w:left="560" w:leftChars="200"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14:textFill>
            <w14:solidFill>
              <w14:schemeClr w14:val="tx1"/>
            </w14:solidFill>
          </w14:textFill>
        </w:rPr>
        <w:t>详见招标文件附件2：装饰装修建造交付标准。另要求：</w:t>
      </w:r>
    </w:p>
    <w:p>
      <w:pPr>
        <w:snapToGrid w:val="0"/>
        <w:spacing w:line="440" w:lineRule="exact"/>
        <w:ind w:left="560" w:leftChars="200" w:firstLine="0"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 xml:space="preserve"> 1、不锈钢要求采用SUS304或以上性能档次的产品，厚度≥1.2mm</w:t>
      </w:r>
    </w:p>
    <w:p>
      <w:pPr>
        <w:snapToGrid w:val="0"/>
        <w:spacing w:line="440" w:lineRule="exact"/>
        <w:ind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。镜面不锈钢要求表面镀钛处理，加强硬度。无障碍电梯电梯还需满足符合《城市道路和建筑物无障碍设计规范》第7.7.2及7.7.3要求。</w:t>
      </w:r>
    </w:p>
    <w:p>
      <w:pPr>
        <w:numPr>
          <w:ilvl w:val="0"/>
          <w:numId w:val="15"/>
        </w:numPr>
        <w:spacing w:line="440" w:lineRule="exact"/>
        <w:ind w:firstLineChars="0"/>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保修期满须无条件更换电梯厅门、轿门滚轮；重新检测机房、轿厢、井道的噪音，如超标，须无条件更换产生噪音的配件。由此产生的费用，由总包单位综合考虑报价计入，今后不再调整。</w:t>
      </w:r>
    </w:p>
    <w:p>
      <w:pPr>
        <w:numPr>
          <w:ilvl w:val="0"/>
          <w:numId w:val="15"/>
        </w:numPr>
        <w:spacing w:line="440" w:lineRule="exact"/>
        <w:ind w:firstLineChars="0"/>
        <w:rPr>
          <w:rFonts w:ascii="宋体" w:hAnsi="宋体" w:cs="宋体"/>
          <w:b/>
          <w:bCs/>
          <w:color w:val="000000" w:themeColor="text1"/>
          <w:sz w:val="22"/>
          <w:szCs w:val="22"/>
          <w:highlight w:val="yellow"/>
          <w:u w:val="single"/>
          <w14:textFill>
            <w14:solidFill>
              <w14:schemeClr w14:val="tx1"/>
            </w14:solidFill>
          </w14:textFill>
        </w:rPr>
      </w:pPr>
      <w:r>
        <w:rPr>
          <w:rFonts w:hint="eastAsia" w:ascii="宋体" w:hAnsi="宋体" w:eastAsia="宋体" w:cs="宋体"/>
          <w:b/>
          <w:bCs/>
          <w:color w:val="000000" w:themeColor="text1"/>
          <w:sz w:val="22"/>
          <w:szCs w:val="22"/>
          <w:highlight w:val="yellow"/>
          <w:u w:val="single"/>
          <w14:textFill>
            <w14:solidFill>
              <w14:schemeClr w14:val="tx1"/>
            </w14:solidFill>
          </w14:textFill>
        </w:rPr>
        <w:t>投标人在技术标投标文件中应承诺在电梯设备安装工程项目</w:t>
      </w:r>
      <w:r>
        <w:rPr>
          <w:rFonts w:hint="eastAsia" w:ascii="宋体" w:hAnsi="宋体" w:cs="宋体"/>
          <w:b/>
          <w:bCs/>
          <w:color w:val="000000" w:themeColor="text1"/>
          <w:sz w:val="22"/>
          <w:szCs w:val="22"/>
          <w:highlight w:val="yellow"/>
          <w:u w:val="single"/>
          <w14:textFill>
            <w14:solidFill>
              <w14:schemeClr w14:val="tx1"/>
            </w14:solidFill>
          </w14:textFill>
        </w:rPr>
        <w:t>保修期内的年检费用，包含在本次报价中，今后不再调整。（保修期：移交物业后正式使用2年）</w:t>
      </w:r>
    </w:p>
    <w:p>
      <w:pPr>
        <w:spacing w:line="360" w:lineRule="auto"/>
        <w:ind w:firstLine="442"/>
        <w:rPr>
          <w:b/>
          <w:bCs/>
          <w:color w:val="000000" w:themeColor="text1"/>
          <w:sz w:val="22"/>
          <w:szCs w:val="22"/>
          <w14:textFill>
            <w14:solidFill>
              <w14:schemeClr w14:val="tx1"/>
            </w14:solidFill>
          </w14:textFill>
        </w:rPr>
      </w:pPr>
    </w:p>
    <w:p>
      <w:pPr>
        <w:ind w:firstLine="560"/>
        <w:rPr>
          <w:color w:val="000000" w:themeColor="text1"/>
          <w14:textFill>
            <w14:solidFill>
              <w14:schemeClr w14:val="tx1"/>
            </w14:solidFill>
          </w14:textFill>
        </w:rPr>
      </w:pPr>
    </w:p>
    <w:p>
      <w:pPr>
        <w:ind w:firstLine="560"/>
        <w:rPr>
          <w:rFonts w:eastAsiaTheme="minorEastAsia"/>
          <w:color w:val="000000" w:themeColor="text1"/>
          <w14:textFill>
            <w14:solidFill>
              <w14:schemeClr w14:val="tx1"/>
            </w14:solidFill>
          </w14:textFill>
        </w:rPr>
      </w:pPr>
    </w:p>
    <w:p>
      <w:pPr>
        <w:pStyle w:val="19"/>
        <w:ind w:firstLine="210"/>
        <w:rPr>
          <w:color w:val="000000" w:themeColor="text1"/>
          <w14:textFill>
            <w14:solidFill>
              <w14:schemeClr w14:val="tx1"/>
            </w14:solidFill>
          </w14:textFill>
        </w:rPr>
      </w:pPr>
    </w:p>
    <w:bookmarkEnd w:id="182"/>
    <w:sectPr>
      <w:pgSz w:w="11906" w:h="16838"/>
      <w:pgMar w:top="1440" w:right="1800"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STZhongsong">
    <w:altName w:val="宋体"/>
    <w:panose1 w:val="00000000000000000000"/>
    <w:charset w:val="86"/>
    <w:family w:val="auto"/>
    <w:pitch w:val="default"/>
    <w:sig w:usb0="00000000" w:usb1="00000000" w:usb2="00000010" w:usb3="00000000" w:csb0="0004009F" w:csb1="00000000"/>
  </w:font>
  <w:font w:name="华文宋体">
    <w:altName w:val="微软雅黑"/>
    <w:panose1 w:val="00000000000000000000"/>
    <w:charset w:val="86"/>
    <w:family w:val="auto"/>
    <w:pitch w:val="default"/>
    <w:sig w:usb0="00000000" w:usb1="00000000" w:usb2="00000010" w:usb3="00000000" w:csb0="0004009F" w:csb1="00000000"/>
  </w:font>
  <w:font w:name="STKaiti">
    <w:altName w:val="宋体"/>
    <w:panose1 w:val="00000000000000000000"/>
    <w:charset w:val="86"/>
    <w:family w:val="auto"/>
    <w:pitch w:val="default"/>
    <w:sig w:usb0="00000000" w:usb1="00000000" w:usb2="00000010" w:usb3="00000000" w:csb0="0004009F" w:csb1="00000000"/>
  </w:font>
  <w:font w:name="??">
    <w:altName w:val="Courier New"/>
    <w:panose1 w:val="00000000000000000000"/>
    <w:charset w:val="00"/>
    <w:family w:val="auto"/>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PMingLiUfalt">
    <w:altName w:val="MingLiU-ExtB"/>
    <w:panose1 w:val="00000000000000000000"/>
    <w:charset w:val="88"/>
    <w:family w:val="roman"/>
    <w:pitch w:val="default"/>
    <w:sig w:usb0="00000000" w:usb1="00000000" w:usb2="00000010" w:usb3="00000000" w:csb0="00100000" w:csb1="00000000"/>
  </w:font>
  <w:font w:name="font-weight : 400">
    <w:altName w:val="Times New Roman"/>
    <w:panose1 w:val="00000000000000000000"/>
    <w:charset w:val="00"/>
    <w:family w:val="auto"/>
    <w:pitch w:val="default"/>
    <w:sig w:usb0="00000000" w:usb1="00000000" w:usb2="00000000" w:usb3="00000000" w:csb0="00040001" w:csb1="00000000"/>
  </w:font>
  <w:font w:name="???|CS?o｡ﾀ?">
    <w:altName w:val="MS PGothic"/>
    <w:panose1 w:val="00000000000000000000"/>
    <w:charset w:val="80"/>
    <w:family w:val="decorative"/>
    <w:pitch w:val="default"/>
    <w:sig w:usb0="00000000" w:usb1="00000000" w:usb2="00000010" w:usb3="00000000" w:csb0="00020000" w:csb1="00000000"/>
  </w:font>
  <w:font w:name="monospace">
    <w:altName w:val="Segoe Print"/>
    <w:panose1 w:val="00000000000000000000"/>
    <w:charset w:val="00"/>
    <w:family w:val="auto"/>
    <w:pitch w:val="default"/>
    <w:sig w:usb0="00000000" w:usb1="00000000" w:usb2="00000000" w:usb3="00000000" w:csb0="00040001"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Garamond">
    <w:altName w:val="Segoe Print"/>
    <w:panose1 w:val="00000000000000000000"/>
    <w:charset w:val="00"/>
    <w:family w:val="roman"/>
    <w:pitch w:val="default"/>
    <w:sig w:usb0="00000000" w:usb1="00000000" w:usb2="00000000" w:usb3="00000000" w:csb0="000000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10" w:usb3="00000000" w:csb0="0004009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Tahoma">
    <w:panose1 w:val="020B0604030504040204"/>
    <w:charset w:val="00"/>
    <w:family w:val="swiss"/>
    <w:pitch w:val="default"/>
    <w:sig w:usb0="E1002EFF" w:usb1="C000605B" w:usb2="00000029" w:usb3="00000000" w:csb0="200101FF" w:csb1="20280000"/>
  </w:font>
  <w:font w:name="MicrosoftYaHei">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MingLiU_HKSCS">
    <w:altName w:val="MingLiU-ExtB"/>
    <w:panose1 w:val="00000000000000000000"/>
    <w:charset w:val="88"/>
    <w:family w:val="roman"/>
    <w:pitch w:val="default"/>
    <w:sig w:usb0="00000000" w:usb1="00000000" w:usb2="00000016" w:usb3="00000000" w:csb0="00100001" w:csb1="00000000"/>
  </w:font>
  <w:font w:name="PMingLiU">
    <w:altName w:val="Microsoft JhengHei U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 w:name="PMingLiU-ExtB">
    <w:panose1 w:val="02020500000000000000"/>
    <w:charset w:val="88"/>
    <w:family w:val="auto"/>
    <w:pitch w:val="default"/>
    <w:sig w:usb0="8000002F" w:usb1="02000008" w:usb2="00000000" w:usb3="00000000" w:csb0="00100001" w:csb1="00000000"/>
  </w:font>
  <w:font w:name="MingLiU-ExtB">
    <w:panose1 w:val="02020500000000000000"/>
    <w:charset w:val="88"/>
    <w:family w:val="auto"/>
    <w:pitch w:val="default"/>
    <w:sig w:usb0="8000002F" w:usb1="02000008" w:usb2="00000000" w:usb3="00000000" w:csb0="00100001"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rPr>
        <w:rFonts w:cs="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ind w:firstLine="360"/>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OYf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3o0UxhR5evXy7ffly+fybwgaDW+gXydhaZoXttOiSPfg9nnLur&#10;nIpfTEQQB9b5Sq/oAuHx0nw2n+cIccTGH+BnT9et8+GNMIpEo6AO+0u0stPWhz51TInVtNk0UqYd&#10;Sk3agt68fJWnC9cIwKVGjThE32y0Qrfvhsn2pjxjMGd6bXjLNw2Kb5kPj8xBDGgYAg8POCppUMQM&#10;FiW1cZ/+5o/52BGilLQQV0E11E+JfKuxOwCG0XCjsR8NfVR3Bmqd4uFYn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ss5h/A4CAAAJBAAADgAAAAAAAAABACAAAAAf&#10;AQAAZHJzL2Uyb0RvYy54bWxQSwUGAAAAAAYABgBZAQAAnwUAAAAA&#10;">
              <v:fill on="f" focussize="0,0"/>
              <v:stroke on="f" weight="0.5pt"/>
              <v:imagedata o:title=""/>
              <o:lock v:ext="edit" aspectratio="f"/>
              <v:textbox inset="0mm,0mm,0mm,0mm" style="mso-fit-shape-to-text:t;">
                <w:txbxContent>
                  <w:p>
                    <w:pPr>
                      <w:pStyle w:val="31"/>
                      <w:ind w:firstLine="360"/>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ind w:firstLine="360"/>
                            <w:rPr>
                              <w:rStyle w:val="49"/>
                            </w:rPr>
                          </w:pPr>
                          <w:r>
                            <w:fldChar w:fldCharType="begin"/>
                          </w:r>
                          <w:r>
                            <w:rPr>
                              <w:rStyle w:val="49"/>
                            </w:rPr>
                            <w:instrText xml:space="preserve">PAGE  </w:instrText>
                          </w:r>
                          <w:r>
                            <w:fldChar w:fldCharType="separate"/>
                          </w:r>
                          <w:r>
                            <w:rPr>
                              <w:rStyle w:val="49"/>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31"/>
                      <w:ind w:firstLine="360"/>
                      <w:rPr>
                        <w:rStyle w:val="49"/>
                      </w:rPr>
                    </w:pPr>
                    <w:r>
                      <w:fldChar w:fldCharType="begin"/>
                    </w:r>
                    <w:r>
                      <w:rPr>
                        <w:rStyle w:val="49"/>
                      </w:rPr>
                      <w:instrText xml:space="preserve">PAGE  </w:instrText>
                    </w:r>
                    <w:r>
                      <w:fldChar w:fldCharType="separate"/>
                    </w:r>
                    <w:r>
                      <w:rPr>
                        <w:rStyle w:val="49"/>
                      </w:rP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ind w:firstLine="360"/>
      <w:rPr>
        <w:rStyle w:val="49"/>
      </w:rPr>
    </w:pPr>
    <w:r>
      <w:fldChar w:fldCharType="begin"/>
    </w:r>
    <w:r>
      <w:rPr>
        <w:rStyle w:val="49"/>
      </w:rPr>
      <w:instrText xml:space="preserve">PAGE  </w:instrText>
    </w:r>
    <w:r>
      <w:fldChar w:fldCharType="separate"/>
    </w:r>
    <w:r>
      <w:rPr>
        <w:rStyle w:val="49"/>
      </w:rPr>
      <w:t>170</w:t>
    </w:r>
    <w:r>
      <w:fldChar w:fldCharType="end"/>
    </w:r>
  </w:p>
  <w:p>
    <w:pPr>
      <w:pStyle w:val="31"/>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0" w:firstLineChars="0"/>
      <w:jc w:val="left"/>
      <w:rPr>
        <w:rFonts w:ascii="楷体" w:hAnsi="楷体" w:eastAsia="楷体" w:cs="Times New Roman"/>
        <w:bCs/>
        <w:sz w:val="18"/>
        <w:szCs w:val="18"/>
      </w:rPr>
    </w:pPr>
    <w:r>
      <w:rPr>
        <w:rFonts w:ascii="楷体" w:hAnsi="楷体" w:eastAsia="楷体" w:cs="Times New Roman"/>
        <w:bCs/>
        <w:color w:val="000000"/>
        <w:sz w:val="18"/>
        <w:szCs w:val="18"/>
      </w:rPr>
      <w:t>平阳县社会养老福利服务中心项目</w:t>
    </w:r>
    <w:r>
      <w:rPr>
        <w:rFonts w:ascii="楷体" w:hAnsi="楷体" w:eastAsia="楷体" w:cs="Times New Roman"/>
        <w:bCs/>
        <w:sz w:val="18"/>
        <w:szCs w:val="18"/>
      </w:rPr>
      <w:t>工程总承包</w:t>
    </w:r>
  </w:p>
  <w:p>
    <w:pPr>
      <w:pStyle w:val="32"/>
      <w:ind w:firstLine="360"/>
    </w:pPr>
  </w:p>
  <w:p>
    <w:pPr>
      <w:pStyle w:val="26"/>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5748D6"/>
    <w:multiLevelType w:val="singleLevel"/>
    <w:tmpl w:val="8D5748D6"/>
    <w:lvl w:ilvl="0" w:tentative="0">
      <w:start w:val="2"/>
      <w:numFmt w:val="decimal"/>
      <w:suff w:val="nothing"/>
      <w:lvlText w:val="%1、"/>
      <w:lvlJc w:val="left"/>
    </w:lvl>
  </w:abstractNum>
  <w:abstractNum w:abstractNumId="1">
    <w:nsid w:val="CD1B36C4"/>
    <w:multiLevelType w:val="singleLevel"/>
    <w:tmpl w:val="CD1B36C4"/>
    <w:lvl w:ilvl="0" w:tentative="0">
      <w:start w:val="2"/>
      <w:numFmt w:val="decimal"/>
      <w:suff w:val="nothing"/>
      <w:lvlText w:val="（%1）"/>
      <w:lvlJc w:val="left"/>
    </w:lvl>
  </w:abstractNum>
  <w:abstractNum w:abstractNumId="2">
    <w:nsid w:val="DD74E950"/>
    <w:multiLevelType w:val="singleLevel"/>
    <w:tmpl w:val="DD74E950"/>
    <w:lvl w:ilvl="0" w:tentative="0">
      <w:start w:val="1"/>
      <w:numFmt w:val="chineseCounting"/>
      <w:suff w:val="nothing"/>
      <w:lvlText w:val="%1、"/>
      <w:lvlJc w:val="left"/>
      <w:rPr>
        <w:rFonts w:hint="eastAsia"/>
      </w:rPr>
    </w:lvl>
  </w:abstractNum>
  <w:abstractNum w:abstractNumId="3">
    <w:nsid w:val="00000010"/>
    <w:multiLevelType w:val="multilevel"/>
    <w:tmpl w:val="00000010"/>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980"/>
        </w:tabs>
        <w:ind w:left="1980" w:hanging="720"/>
      </w:pPr>
      <w:rPr>
        <w:rFonts w:hint="eastAsia"/>
      </w:r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EEE0E24"/>
    <w:multiLevelType w:val="multilevel"/>
    <w:tmpl w:val="2EEE0E24"/>
    <w:lvl w:ilvl="0" w:tentative="0">
      <w:start w:val="1"/>
      <w:numFmt w:val="decimal"/>
      <w:lvlText w:val="%1、"/>
      <w:lvlJc w:val="left"/>
      <w:pPr>
        <w:tabs>
          <w:tab w:val="left" w:pos="1070"/>
        </w:tabs>
        <w:ind w:left="1070" w:hanging="360"/>
      </w:pPr>
      <w:rPr>
        <w:rFonts w:hint="eastAsia"/>
      </w:rPr>
    </w:lvl>
    <w:lvl w:ilvl="1" w:tentative="0">
      <w:start w:val="1"/>
      <w:numFmt w:val="lowerLetter"/>
      <w:lvlText w:val="%2)"/>
      <w:lvlJc w:val="left"/>
      <w:pPr>
        <w:tabs>
          <w:tab w:val="left" w:pos="1550"/>
        </w:tabs>
        <w:ind w:left="1550" w:hanging="420"/>
      </w:pPr>
    </w:lvl>
    <w:lvl w:ilvl="2" w:tentative="0">
      <w:start w:val="1"/>
      <w:numFmt w:val="lowerRoman"/>
      <w:lvlText w:val="%3."/>
      <w:lvlJc w:val="right"/>
      <w:pPr>
        <w:tabs>
          <w:tab w:val="left" w:pos="1970"/>
        </w:tabs>
        <w:ind w:left="1970" w:hanging="420"/>
      </w:pPr>
    </w:lvl>
    <w:lvl w:ilvl="3" w:tentative="0">
      <w:start w:val="1"/>
      <w:numFmt w:val="decimal"/>
      <w:lvlText w:val="%4."/>
      <w:lvlJc w:val="left"/>
      <w:pPr>
        <w:tabs>
          <w:tab w:val="left" w:pos="2390"/>
        </w:tabs>
        <w:ind w:left="2390" w:hanging="420"/>
      </w:pPr>
    </w:lvl>
    <w:lvl w:ilvl="4" w:tentative="0">
      <w:start w:val="1"/>
      <w:numFmt w:val="lowerLetter"/>
      <w:lvlText w:val="%5)"/>
      <w:lvlJc w:val="left"/>
      <w:pPr>
        <w:tabs>
          <w:tab w:val="left" w:pos="2810"/>
        </w:tabs>
        <w:ind w:left="2810" w:hanging="420"/>
      </w:pPr>
    </w:lvl>
    <w:lvl w:ilvl="5" w:tentative="0">
      <w:start w:val="1"/>
      <w:numFmt w:val="lowerRoman"/>
      <w:lvlText w:val="%6."/>
      <w:lvlJc w:val="right"/>
      <w:pPr>
        <w:tabs>
          <w:tab w:val="left" w:pos="3230"/>
        </w:tabs>
        <w:ind w:left="3230" w:hanging="420"/>
      </w:pPr>
    </w:lvl>
    <w:lvl w:ilvl="6" w:tentative="0">
      <w:start w:val="1"/>
      <w:numFmt w:val="decimal"/>
      <w:lvlText w:val="%7."/>
      <w:lvlJc w:val="left"/>
      <w:pPr>
        <w:tabs>
          <w:tab w:val="left" w:pos="3650"/>
        </w:tabs>
        <w:ind w:left="3650" w:hanging="420"/>
      </w:pPr>
    </w:lvl>
    <w:lvl w:ilvl="7" w:tentative="0">
      <w:start w:val="1"/>
      <w:numFmt w:val="lowerLetter"/>
      <w:lvlText w:val="%8)"/>
      <w:lvlJc w:val="left"/>
      <w:pPr>
        <w:tabs>
          <w:tab w:val="left" w:pos="4070"/>
        </w:tabs>
        <w:ind w:left="4070" w:hanging="420"/>
      </w:pPr>
    </w:lvl>
    <w:lvl w:ilvl="8" w:tentative="0">
      <w:start w:val="1"/>
      <w:numFmt w:val="lowerRoman"/>
      <w:lvlText w:val="%9."/>
      <w:lvlJc w:val="right"/>
      <w:pPr>
        <w:tabs>
          <w:tab w:val="left" w:pos="4490"/>
        </w:tabs>
        <w:ind w:left="4490" w:hanging="420"/>
      </w:pPr>
    </w:lvl>
  </w:abstractNum>
  <w:abstractNum w:abstractNumId="5">
    <w:nsid w:val="4A2C4BC1"/>
    <w:multiLevelType w:val="singleLevel"/>
    <w:tmpl w:val="4A2C4BC1"/>
    <w:lvl w:ilvl="0" w:tentative="0">
      <w:start w:val="7"/>
      <w:numFmt w:val="japaneseCounting"/>
      <w:lvlText w:val="第%1条"/>
      <w:lvlJc w:val="left"/>
      <w:pPr>
        <w:tabs>
          <w:tab w:val="left" w:pos="1485"/>
        </w:tabs>
        <w:ind w:left="1485" w:hanging="1005"/>
      </w:pPr>
      <w:rPr>
        <w:rFonts w:hint="eastAsia"/>
      </w:rPr>
    </w:lvl>
  </w:abstractNum>
  <w:abstractNum w:abstractNumId="6">
    <w:nsid w:val="5356864F"/>
    <w:multiLevelType w:val="singleLevel"/>
    <w:tmpl w:val="5356864F"/>
    <w:lvl w:ilvl="0" w:tentative="0">
      <w:start w:val="1"/>
      <w:numFmt w:val="decimal"/>
      <w:suff w:val="nothing"/>
      <w:lvlText w:val="%1、"/>
      <w:lvlJc w:val="left"/>
    </w:lvl>
  </w:abstractNum>
  <w:abstractNum w:abstractNumId="7">
    <w:nsid w:val="594B480A"/>
    <w:multiLevelType w:val="singleLevel"/>
    <w:tmpl w:val="594B480A"/>
    <w:lvl w:ilvl="0" w:tentative="0">
      <w:start w:val="3"/>
      <w:numFmt w:val="decimal"/>
      <w:suff w:val="space"/>
      <w:lvlText w:val="%1."/>
      <w:lvlJc w:val="left"/>
    </w:lvl>
  </w:abstractNum>
  <w:abstractNum w:abstractNumId="8">
    <w:nsid w:val="59AB76AE"/>
    <w:multiLevelType w:val="singleLevel"/>
    <w:tmpl w:val="59AB76AE"/>
    <w:lvl w:ilvl="0" w:tentative="0">
      <w:start w:val="1"/>
      <w:numFmt w:val="decimal"/>
      <w:pStyle w:val="365"/>
      <w:suff w:val="nothing"/>
      <w:lvlText w:val="（%1）"/>
      <w:lvlJc w:val="left"/>
    </w:lvl>
  </w:abstractNum>
  <w:abstractNum w:abstractNumId="9">
    <w:nsid w:val="59BF98E0"/>
    <w:multiLevelType w:val="singleLevel"/>
    <w:tmpl w:val="59BF98E0"/>
    <w:lvl w:ilvl="0" w:tentative="0">
      <w:start w:val="2"/>
      <w:numFmt w:val="decimal"/>
      <w:pStyle w:val="370"/>
      <w:suff w:val="nothing"/>
      <w:lvlText w:val="%1、"/>
      <w:lvlJc w:val="left"/>
    </w:lvl>
  </w:abstractNum>
  <w:abstractNum w:abstractNumId="10">
    <w:nsid w:val="59BF9958"/>
    <w:multiLevelType w:val="singleLevel"/>
    <w:tmpl w:val="59BF9958"/>
    <w:lvl w:ilvl="0" w:tentative="0">
      <w:start w:val="1"/>
      <w:numFmt w:val="chineseCounting"/>
      <w:suff w:val="nothing"/>
      <w:lvlText w:val="（%1）"/>
      <w:lvlJc w:val="left"/>
    </w:lvl>
  </w:abstractNum>
  <w:abstractNum w:abstractNumId="11">
    <w:nsid w:val="5DBA98AC"/>
    <w:multiLevelType w:val="singleLevel"/>
    <w:tmpl w:val="5DBA98AC"/>
    <w:lvl w:ilvl="0" w:tentative="0">
      <w:start w:val="1"/>
      <w:numFmt w:val="decimal"/>
      <w:suff w:val="nothing"/>
      <w:lvlText w:val="%1、"/>
      <w:lvlJc w:val="left"/>
    </w:lvl>
  </w:abstractNum>
  <w:abstractNum w:abstractNumId="12">
    <w:nsid w:val="6D66C6C2"/>
    <w:multiLevelType w:val="singleLevel"/>
    <w:tmpl w:val="6D66C6C2"/>
    <w:lvl w:ilvl="0" w:tentative="0">
      <w:start w:val="1"/>
      <w:numFmt w:val="decimal"/>
      <w:suff w:val="nothing"/>
      <w:lvlText w:val="（%1）"/>
      <w:lvlJc w:val="left"/>
    </w:lvl>
  </w:abstractNum>
  <w:abstractNum w:abstractNumId="13">
    <w:nsid w:val="7BA23B36"/>
    <w:multiLevelType w:val="singleLevel"/>
    <w:tmpl w:val="7BA23B36"/>
    <w:lvl w:ilvl="0" w:tentative="0">
      <w:start w:val="3"/>
      <w:numFmt w:val="japaneseCounting"/>
      <w:lvlText w:val="第%1条"/>
      <w:lvlJc w:val="left"/>
      <w:pPr>
        <w:tabs>
          <w:tab w:val="left" w:pos="1440"/>
        </w:tabs>
        <w:ind w:left="1440" w:hanging="960"/>
      </w:pPr>
      <w:rPr>
        <w:rFonts w:hint="eastAsia"/>
      </w:rPr>
    </w:lvl>
  </w:abstractNum>
  <w:abstractNum w:abstractNumId="14">
    <w:nsid w:val="7EC46E17"/>
    <w:multiLevelType w:val="multilevel"/>
    <w:tmpl w:val="7EC46E17"/>
    <w:lvl w:ilvl="0" w:tentative="0">
      <w:start w:val="3"/>
      <w:numFmt w:val="japaneseCounting"/>
      <w:lvlText w:val="（%1）"/>
      <w:lvlJc w:val="left"/>
      <w:pPr>
        <w:ind w:left="1142" w:hanging="720"/>
      </w:pPr>
      <w:rPr>
        <w:rFonts w:hint="default"/>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8"/>
  </w:num>
  <w:num w:numId="2">
    <w:abstractNumId w:val="9"/>
  </w:num>
  <w:num w:numId="3">
    <w:abstractNumId w:val="7"/>
  </w:num>
  <w:num w:numId="4">
    <w:abstractNumId w:val="3"/>
  </w:num>
  <w:num w:numId="5">
    <w:abstractNumId w:val="10"/>
  </w:num>
  <w:num w:numId="6">
    <w:abstractNumId w:val="12"/>
  </w:num>
  <w:num w:numId="7">
    <w:abstractNumId w:val="11"/>
  </w:num>
  <w:num w:numId="8">
    <w:abstractNumId w:val="6"/>
  </w:num>
  <w:num w:numId="9">
    <w:abstractNumId w:val="13"/>
  </w:num>
  <w:num w:numId="10">
    <w:abstractNumId w:val="5"/>
  </w:num>
  <w:num w:numId="11">
    <w:abstractNumId w:val="4"/>
  </w:num>
  <w:num w:numId="12">
    <w:abstractNumId w:val="2"/>
  </w:num>
  <w:num w:numId="13">
    <w:abstractNumId w:val="14"/>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hideSpellingError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D0"/>
    <w:rsid w:val="0000740D"/>
    <w:rsid w:val="00014E0F"/>
    <w:rsid w:val="00026563"/>
    <w:rsid w:val="00037E9B"/>
    <w:rsid w:val="000440C2"/>
    <w:rsid w:val="00053EE2"/>
    <w:rsid w:val="000541C3"/>
    <w:rsid w:val="00054A3D"/>
    <w:rsid w:val="00062D40"/>
    <w:rsid w:val="00070C27"/>
    <w:rsid w:val="00075004"/>
    <w:rsid w:val="00086EEF"/>
    <w:rsid w:val="00096034"/>
    <w:rsid w:val="000A0364"/>
    <w:rsid w:val="000A67DE"/>
    <w:rsid w:val="000C077B"/>
    <w:rsid w:val="000D1372"/>
    <w:rsid w:val="000D34AD"/>
    <w:rsid w:val="000E0A55"/>
    <w:rsid w:val="000E6ED4"/>
    <w:rsid w:val="000F13DE"/>
    <w:rsid w:val="000F344E"/>
    <w:rsid w:val="00102EB3"/>
    <w:rsid w:val="001035E6"/>
    <w:rsid w:val="001055BB"/>
    <w:rsid w:val="001064C7"/>
    <w:rsid w:val="0011750C"/>
    <w:rsid w:val="0012083A"/>
    <w:rsid w:val="00133639"/>
    <w:rsid w:val="00147D2A"/>
    <w:rsid w:val="00150F99"/>
    <w:rsid w:val="0015373B"/>
    <w:rsid w:val="00165FD4"/>
    <w:rsid w:val="00174891"/>
    <w:rsid w:val="0018244D"/>
    <w:rsid w:val="00184EC2"/>
    <w:rsid w:val="00186112"/>
    <w:rsid w:val="00192520"/>
    <w:rsid w:val="00192620"/>
    <w:rsid w:val="00192F59"/>
    <w:rsid w:val="00194FCC"/>
    <w:rsid w:val="001958DC"/>
    <w:rsid w:val="001A0B73"/>
    <w:rsid w:val="001A3604"/>
    <w:rsid w:val="001A5EFB"/>
    <w:rsid w:val="001A70C5"/>
    <w:rsid w:val="001A7654"/>
    <w:rsid w:val="001B1A4A"/>
    <w:rsid w:val="001C3414"/>
    <w:rsid w:val="001D01BA"/>
    <w:rsid w:val="001D18D0"/>
    <w:rsid w:val="001D3635"/>
    <w:rsid w:val="001D47E0"/>
    <w:rsid w:val="001E3775"/>
    <w:rsid w:val="001E451F"/>
    <w:rsid w:val="001E47FF"/>
    <w:rsid w:val="001F6CBF"/>
    <w:rsid w:val="001F7B6F"/>
    <w:rsid w:val="00201294"/>
    <w:rsid w:val="00202A56"/>
    <w:rsid w:val="00203B3C"/>
    <w:rsid w:val="00213187"/>
    <w:rsid w:val="00234A77"/>
    <w:rsid w:val="00235271"/>
    <w:rsid w:val="00236959"/>
    <w:rsid w:val="002506F3"/>
    <w:rsid w:val="00254405"/>
    <w:rsid w:val="00255C84"/>
    <w:rsid w:val="00266D6D"/>
    <w:rsid w:val="00273B24"/>
    <w:rsid w:val="00273D79"/>
    <w:rsid w:val="00290F55"/>
    <w:rsid w:val="00291F32"/>
    <w:rsid w:val="00296360"/>
    <w:rsid w:val="002A0F8B"/>
    <w:rsid w:val="002A368C"/>
    <w:rsid w:val="002A5F78"/>
    <w:rsid w:val="002B6380"/>
    <w:rsid w:val="002F450B"/>
    <w:rsid w:val="002F6125"/>
    <w:rsid w:val="00304E0E"/>
    <w:rsid w:val="00306849"/>
    <w:rsid w:val="00307D16"/>
    <w:rsid w:val="00307FEA"/>
    <w:rsid w:val="0031274C"/>
    <w:rsid w:val="00314475"/>
    <w:rsid w:val="003170B3"/>
    <w:rsid w:val="0032146B"/>
    <w:rsid w:val="00323388"/>
    <w:rsid w:val="00327A04"/>
    <w:rsid w:val="00331A6B"/>
    <w:rsid w:val="003356BE"/>
    <w:rsid w:val="00335BE8"/>
    <w:rsid w:val="00336323"/>
    <w:rsid w:val="003469E9"/>
    <w:rsid w:val="00353244"/>
    <w:rsid w:val="00355DA4"/>
    <w:rsid w:val="00361BED"/>
    <w:rsid w:val="00374C1A"/>
    <w:rsid w:val="0037527E"/>
    <w:rsid w:val="003775E9"/>
    <w:rsid w:val="00380A5B"/>
    <w:rsid w:val="003A0D69"/>
    <w:rsid w:val="003A56DC"/>
    <w:rsid w:val="003B1F23"/>
    <w:rsid w:val="003B579E"/>
    <w:rsid w:val="003C2C56"/>
    <w:rsid w:val="003C60D9"/>
    <w:rsid w:val="003C6489"/>
    <w:rsid w:val="003D36C8"/>
    <w:rsid w:val="003D4D2C"/>
    <w:rsid w:val="003D6646"/>
    <w:rsid w:val="003E6316"/>
    <w:rsid w:val="003F10BB"/>
    <w:rsid w:val="003F6E90"/>
    <w:rsid w:val="0040267E"/>
    <w:rsid w:val="00427CA3"/>
    <w:rsid w:val="004314F0"/>
    <w:rsid w:val="00437EB0"/>
    <w:rsid w:val="0044132D"/>
    <w:rsid w:val="004470C3"/>
    <w:rsid w:val="00460355"/>
    <w:rsid w:val="00477BDB"/>
    <w:rsid w:val="00477C78"/>
    <w:rsid w:val="004812FA"/>
    <w:rsid w:val="0049654F"/>
    <w:rsid w:val="004A4FC0"/>
    <w:rsid w:val="004B5E23"/>
    <w:rsid w:val="004C0D04"/>
    <w:rsid w:val="004C3578"/>
    <w:rsid w:val="004E0A6B"/>
    <w:rsid w:val="0050159B"/>
    <w:rsid w:val="00514125"/>
    <w:rsid w:val="0052025B"/>
    <w:rsid w:val="00522379"/>
    <w:rsid w:val="0052341B"/>
    <w:rsid w:val="00526EA5"/>
    <w:rsid w:val="00530C37"/>
    <w:rsid w:val="005350B7"/>
    <w:rsid w:val="005608C9"/>
    <w:rsid w:val="005719F7"/>
    <w:rsid w:val="00573DED"/>
    <w:rsid w:val="0057427E"/>
    <w:rsid w:val="00575846"/>
    <w:rsid w:val="00583457"/>
    <w:rsid w:val="00583FBE"/>
    <w:rsid w:val="005B1E78"/>
    <w:rsid w:val="005C013C"/>
    <w:rsid w:val="005C5A3A"/>
    <w:rsid w:val="005D055A"/>
    <w:rsid w:val="005E25AF"/>
    <w:rsid w:val="005E6AB8"/>
    <w:rsid w:val="005F1C9A"/>
    <w:rsid w:val="006203A7"/>
    <w:rsid w:val="00621437"/>
    <w:rsid w:val="0062204E"/>
    <w:rsid w:val="00627C24"/>
    <w:rsid w:val="00627EAF"/>
    <w:rsid w:val="0064168E"/>
    <w:rsid w:val="00650CA9"/>
    <w:rsid w:val="0065146B"/>
    <w:rsid w:val="0065364D"/>
    <w:rsid w:val="0065629E"/>
    <w:rsid w:val="00657E11"/>
    <w:rsid w:val="00661398"/>
    <w:rsid w:val="006632EC"/>
    <w:rsid w:val="00665236"/>
    <w:rsid w:val="00670CEF"/>
    <w:rsid w:val="006720A4"/>
    <w:rsid w:val="006838F6"/>
    <w:rsid w:val="00684358"/>
    <w:rsid w:val="0069179F"/>
    <w:rsid w:val="006944CB"/>
    <w:rsid w:val="006A19D8"/>
    <w:rsid w:val="006A3643"/>
    <w:rsid w:val="006A7673"/>
    <w:rsid w:val="006B0423"/>
    <w:rsid w:val="006B3AD6"/>
    <w:rsid w:val="006C5463"/>
    <w:rsid w:val="006C5493"/>
    <w:rsid w:val="006D1ADE"/>
    <w:rsid w:val="006E0232"/>
    <w:rsid w:val="006E4B83"/>
    <w:rsid w:val="006E5743"/>
    <w:rsid w:val="006F4B3B"/>
    <w:rsid w:val="007005DC"/>
    <w:rsid w:val="007009C7"/>
    <w:rsid w:val="00701B69"/>
    <w:rsid w:val="0070721D"/>
    <w:rsid w:val="00707CFC"/>
    <w:rsid w:val="00712C76"/>
    <w:rsid w:val="00715A3B"/>
    <w:rsid w:val="00726469"/>
    <w:rsid w:val="00733B8E"/>
    <w:rsid w:val="00734885"/>
    <w:rsid w:val="00741E00"/>
    <w:rsid w:val="00747422"/>
    <w:rsid w:val="007535FE"/>
    <w:rsid w:val="00772338"/>
    <w:rsid w:val="00772FF5"/>
    <w:rsid w:val="00777D0B"/>
    <w:rsid w:val="0078300D"/>
    <w:rsid w:val="00786760"/>
    <w:rsid w:val="007872FE"/>
    <w:rsid w:val="007901CB"/>
    <w:rsid w:val="007A2ADF"/>
    <w:rsid w:val="007A40FC"/>
    <w:rsid w:val="007B23B4"/>
    <w:rsid w:val="007C4ECF"/>
    <w:rsid w:val="007C57E7"/>
    <w:rsid w:val="007E2949"/>
    <w:rsid w:val="007E5751"/>
    <w:rsid w:val="007E66AD"/>
    <w:rsid w:val="007F2362"/>
    <w:rsid w:val="007F5195"/>
    <w:rsid w:val="0080581C"/>
    <w:rsid w:val="00806B60"/>
    <w:rsid w:val="00807644"/>
    <w:rsid w:val="0082089D"/>
    <w:rsid w:val="00822D67"/>
    <w:rsid w:val="008325C9"/>
    <w:rsid w:val="008528C2"/>
    <w:rsid w:val="00865A4F"/>
    <w:rsid w:val="00865F9F"/>
    <w:rsid w:val="00875301"/>
    <w:rsid w:val="00881E95"/>
    <w:rsid w:val="008832A3"/>
    <w:rsid w:val="008A124C"/>
    <w:rsid w:val="008A6206"/>
    <w:rsid w:val="008B78B3"/>
    <w:rsid w:val="008C2484"/>
    <w:rsid w:val="008D3701"/>
    <w:rsid w:val="008D6600"/>
    <w:rsid w:val="008E01B2"/>
    <w:rsid w:val="008E3144"/>
    <w:rsid w:val="008E3F73"/>
    <w:rsid w:val="008E732B"/>
    <w:rsid w:val="008F38CD"/>
    <w:rsid w:val="00904A68"/>
    <w:rsid w:val="009137C7"/>
    <w:rsid w:val="00937BF0"/>
    <w:rsid w:val="0095007E"/>
    <w:rsid w:val="00957F31"/>
    <w:rsid w:val="0096407C"/>
    <w:rsid w:val="00971D6A"/>
    <w:rsid w:val="00973569"/>
    <w:rsid w:val="009753C3"/>
    <w:rsid w:val="00975C1C"/>
    <w:rsid w:val="00975C6F"/>
    <w:rsid w:val="00991678"/>
    <w:rsid w:val="00991D3E"/>
    <w:rsid w:val="009925F4"/>
    <w:rsid w:val="009B324E"/>
    <w:rsid w:val="009B5858"/>
    <w:rsid w:val="009C7369"/>
    <w:rsid w:val="009D1339"/>
    <w:rsid w:val="009D18E8"/>
    <w:rsid w:val="009E05F7"/>
    <w:rsid w:val="009E62C3"/>
    <w:rsid w:val="009E62FF"/>
    <w:rsid w:val="009F06C8"/>
    <w:rsid w:val="009F5C49"/>
    <w:rsid w:val="00A04E12"/>
    <w:rsid w:val="00A062EE"/>
    <w:rsid w:val="00A06F1B"/>
    <w:rsid w:val="00A07972"/>
    <w:rsid w:val="00A11AC9"/>
    <w:rsid w:val="00A34418"/>
    <w:rsid w:val="00A35A89"/>
    <w:rsid w:val="00A3678A"/>
    <w:rsid w:val="00A36F08"/>
    <w:rsid w:val="00A37375"/>
    <w:rsid w:val="00A37B5E"/>
    <w:rsid w:val="00A37F63"/>
    <w:rsid w:val="00A443B3"/>
    <w:rsid w:val="00A51C82"/>
    <w:rsid w:val="00A54CB9"/>
    <w:rsid w:val="00A56ACE"/>
    <w:rsid w:val="00A56B9F"/>
    <w:rsid w:val="00A62E24"/>
    <w:rsid w:val="00A65CA9"/>
    <w:rsid w:val="00A72BBF"/>
    <w:rsid w:val="00A85E1D"/>
    <w:rsid w:val="00A91157"/>
    <w:rsid w:val="00A911F7"/>
    <w:rsid w:val="00AA78AF"/>
    <w:rsid w:val="00AD5DE0"/>
    <w:rsid w:val="00AF1100"/>
    <w:rsid w:val="00AF12A2"/>
    <w:rsid w:val="00AF1F8E"/>
    <w:rsid w:val="00AF407C"/>
    <w:rsid w:val="00AF428E"/>
    <w:rsid w:val="00B04F9A"/>
    <w:rsid w:val="00B209F5"/>
    <w:rsid w:val="00B21A07"/>
    <w:rsid w:val="00B2492D"/>
    <w:rsid w:val="00B268AF"/>
    <w:rsid w:val="00B31595"/>
    <w:rsid w:val="00B33123"/>
    <w:rsid w:val="00B47C59"/>
    <w:rsid w:val="00B50E70"/>
    <w:rsid w:val="00B53186"/>
    <w:rsid w:val="00B566D4"/>
    <w:rsid w:val="00B654A3"/>
    <w:rsid w:val="00B71728"/>
    <w:rsid w:val="00B91A64"/>
    <w:rsid w:val="00B93FD3"/>
    <w:rsid w:val="00B97B2F"/>
    <w:rsid w:val="00BA01D0"/>
    <w:rsid w:val="00BA077C"/>
    <w:rsid w:val="00BE0788"/>
    <w:rsid w:val="00BE43EB"/>
    <w:rsid w:val="00BE53E0"/>
    <w:rsid w:val="00BF423E"/>
    <w:rsid w:val="00BF4714"/>
    <w:rsid w:val="00C147DB"/>
    <w:rsid w:val="00C14C64"/>
    <w:rsid w:val="00C2223B"/>
    <w:rsid w:val="00C24519"/>
    <w:rsid w:val="00C25B19"/>
    <w:rsid w:val="00C41317"/>
    <w:rsid w:val="00C43B28"/>
    <w:rsid w:val="00C50EEF"/>
    <w:rsid w:val="00C56A4E"/>
    <w:rsid w:val="00C65C6C"/>
    <w:rsid w:val="00C6617B"/>
    <w:rsid w:val="00C66338"/>
    <w:rsid w:val="00C81166"/>
    <w:rsid w:val="00C820EE"/>
    <w:rsid w:val="00C87D06"/>
    <w:rsid w:val="00CA7756"/>
    <w:rsid w:val="00CB63D8"/>
    <w:rsid w:val="00CC7D36"/>
    <w:rsid w:val="00CE16DD"/>
    <w:rsid w:val="00CE61DB"/>
    <w:rsid w:val="00CE6BE3"/>
    <w:rsid w:val="00CE7913"/>
    <w:rsid w:val="00CF2FD2"/>
    <w:rsid w:val="00D0157E"/>
    <w:rsid w:val="00D01B21"/>
    <w:rsid w:val="00D01E87"/>
    <w:rsid w:val="00D22241"/>
    <w:rsid w:val="00D2720E"/>
    <w:rsid w:val="00D47599"/>
    <w:rsid w:val="00D5115B"/>
    <w:rsid w:val="00D54388"/>
    <w:rsid w:val="00D5686A"/>
    <w:rsid w:val="00D67C0D"/>
    <w:rsid w:val="00D758F6"/>
    <w:rsid w:val="00D76F68"/>
    <w:rsid w:val="00D8469B"/>
    <w:rsid w:val="00D86436"/>
    <w:rsid w:val="00DA05FD"/>
    <w:rsid w:val="00DA17A7"/>
    <w:rsid w:val="00DA2570"/>
    <w:rsid w:val="00DB0BE2"/>
    <w:rsid w:val="00DC38A9"/>
    <w:rsid w:val="00DC73D3"/>
    <w:rsid w:val="00DD7802"/>
    <w:rsid w:val="00DD79A6"/>
    <w:rsid w:val="00DE0141"/>
    <w:rsid w:val="00DE2ACF"/>
    <w:rsid w:val="00DF761C"/>
    <w:rsid w:val="00E001E4"/>
    <w:rsid w:val="00E01835"/>
    <w:rsid w:val="00E0428C"/>
    <w:rsid w:val="00E17508"/>
    <w:rsid w:val="00E214F4"/>
    <w:rsid w:val="00E3350D"/>
    <w:rsid w:val="00E40F5E"/>
    <w:rsid w:val="00E5108C"/>
    <w:rsid w:val="00E53577"/>
    <w:rsid w:val="00E5609F"/>
    <w:rsid w:val="00E5783F"/>
    <w:rsid w:val="00E61C5B"/>
    <w:rsid w:val="00E70DBC"/>
    <w:rsid w:val="00E853B2"/>
    <w:rsid w:val="00E86F31"/>
    <w:rsid w:val="00EA10B0"/>
    <w:rsid w:val="00EB2167"/>
    <w:rsid w:val="00EB7F21"/>
    <w:rsid w:val="00EC4011"/>
    <w:rsid w:val="00EC4C76"/>
    <w:rsid w:val="00EC588D"/>
    <w:rsid w:val="00ED2B42"/>
    <w:rsid w:val="00EE1556"/>
    <w:rsid w:val="00EE59E1"/>
    <w:rsid w:val="00EE5D31"/>
    <w:rsid w:val="00EF39BA"/>
    <w:rsid w:val="00EF4B1B"/>
    <w:rsid w:val="00EF5217"/>
    <w:rsid w:val="00EF7287"/>
    <w:rsid w:val="00EF7F16"/>
    <w:rsid w:val="00EF7FEF"/>
    <w:rsid w:val="00F175C8"/>
    <w:rsid w:val="00F211C7"/>
    <w:rsid w:val="00F2457C"/>
    <w:rsid w:val="00F26603"/>
    <w:rsid w:val="00F3111A"/>
    <w:rsid w:val="00F37D4B"/>
    <w:rsid w:val="00F37E18"/>
    <w:rsid w:val="00F41851"/>
    <w:rsid w:val="00F41C9C"/>
    <w:rsid w:val="00F55A65"/>
    <w:rsid w:val="00F70031"/>
    <w:rsid w:val="00F752AC"/>
    <w:rsid w:val="00F80D46"/>
    <w:rsid w:val="00F92716"/>
    <w:rsid w:val="00F9478A"/>
    <w:rsid w:val="00F948B5"/>
    <w:rsid w:val="00FA004C"/>
    <w:rsid w:val="00FA061D"/>
    <w:rsid w:val="00FB0DBF"/>
    <w:rsid w:val="00FB20E7"/>
    <w:rsid w:val="00FB773D"/>
    <w:rsid w:val="00FC097E"/>
    <w:rsid w:val="00FD6A2F"/>
    <w:rsid w:val="00FE31D4"/>
    <w:rsid w:val="00FF02B3"/>
    <w:rsid w:val="03232561"/>
    <w:rsid w:val="03BA5CE6"/>
    <w:rsid w:val="05873164"/>
    <w:rsid w:val="085C0C1D"/>
    <w:rsid w:val="088E4B7E"/>
    <w:rsid w:val="08CF269F"/>
    <w:rsid w:val="093B3E6D"/>
    <w:rsid w:val="0C1F0237"/>
    <w:rsid w:val="0D2A11B5"/>
    <w:rsid w:val="0D7D7BB6"/>
    <w:rsid w:val="0E945353"/>
    <w:rsid w:val="0FCA594A"/>
    <w:rsid w:val="12E1563B"/>
    <w:rsid w:val="16F6743C"/>
    <w:rsid w:val="1722103B"/>
    <w:rsid w:val="193E2682"/>
    <w:rsid w:val="19E30E54"/>
    <w:rsid w:val="1D3A6C6F"/>
    <w:rsid w:val="1E46225C"/>
    <w:rsid w:val="20C122B8"/>
    <w:rsid w:val="22053AA9"/>
    <w:rsid w:val="23820BAC"/>
    <w:rsid w:val="248760B8"/>
    <w:rsid w:val="2640416C"/>
    <w:rsid w:val="281337FC"/>
    <w:rsid w:val="29905B18"/>
    <w:rsid w:val="2A5B6D94"/>
    <w:rsid w:val="2E3678D0"/>
    <w:rsid w:val="301748A1"/>
    <w:rsid w:val="31683E4E"/>
    <w:rsid w:val="323345CF"/>
    <w:rsid w:val="334C7A9C"/>
    <w:rsid w:val="34543521"/>
    <w:rsid w:val="379B6493"/>
    <w:rsid w:val="38760BA1"/>
    <w:rsid w:val="38C20BCF"/>
    <w:rsid w:val="38EF0828"/>
    <w:rsid w:val="3BAD4759"/>
    <w:rsid w:val="3CCC4090"/>
    <w:rsid w:val="3DC23C58"/>
    <w:rsid w:val="3F6F45DC"/>
    <w:rsid w:val="408D6701"/>
    <w:rsid w:val="41FE7BD5"/>
    <w:rsid w:val="43500C6D"/>
    <w:rsid w:val="4410682C"/>
    <w:rsid w:val="44757B0E"/>
    <w:rsid w:val="44C566F3"/>
    <w:rsid w:val="46B652E0"/>
    <w:rsid w:val="46CA6298"/>
    <w:rsid w:val="4C263EEC"/>
    <w:rsid w:val="4D056C82"/>
    <w:rsid w:val="4F187221"/>
    <w:rsid w:val="4F572070"/>
    <w:rsid w:val="52711242"/>
    <w:rsid w:val="52E762E6"/>
    <w:rsid w:val="58963E2B"/>
    <w:rsid w:val="5BF674E8"/>
    <w:rsid w:val="5DB371AA"/>
    <w:rsid w:val="5E631BF1"/>
    <w:rsid w:val="5E847A9A"/>
    <w:rsid w:val="5F073544"/>
    <w:rsid w:val="613C52D7"/>
    <w:rsid w:val="61E62ADB"/>
    <w:rsid w:val="62E552E8"/>
    <w:rsid w:val="62FB120B"/>
    <w:rsid w:val="64110A07"/>
    <w:rsid w:val="643D79EB"/>
    <w:rsid w:val="68743DEB"/>
    <w:rsid w:val="6ADB465F"/>
    <w:rsid w:val="6B7D0617"/>
    <w:rsid w:val="6C513DC9"/>
    <w:rsid w:val="6C8A0658"/>
    <w:rsid w:val="6D8D42A9"/>
    <w:rsid w:val="705846DC"/>
    <w:rsid w:val="71292D94"/>
    <w:rsid w:val="73EE45AE"/>
    <w:rsid w:val="74550B30"/>
    <w:rsid w:val="745946B1"/>
    <w:rsid w:val="748D60E5"/>
    <w:rsid w:val="75140105"/>
    <w:rsid w:val="771C79D1"/>
    <w:rsid w:val="795C248D"/>
    <w:rsid w:val="7A7F7112"/>
    <w:rsid w:val="7BCD5453"/>
    <w:rsid w:val="7D5936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ocked="1"/>
    <w:lsdException w:uiPriority="99" w:name="index 3" w:locked="1"/>
    <w:lsdException w:qFormat="1" w:unhideWhenUsed="0" w:uiPriority="0" w:semiHidden="0"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39" w:semiHidden="0" w:name="toc 4" w:locked="1"/>
    <w:lsdException w:qFormat="1" w:unhideWhenUsed="0" w:uiPriority="39" w:semiHidden="0" w:name="toc 5" w:locked="1"/>
    <w:lsdException w:qFormat="1" w:unhideWhenUsed="0" w:uiPriority="0" w:semiHidden="0" w:name="toc 6"/>
    <w:lsdException w:qFormat="1" w:unhideWhenUsed="0" w:uiPriority="39" w:semiHidden="0" w:name="toc 7" w:locked="1"/>
    <w:lsdException w:qFormat="1" w:unhideWhenUsed="0" w:uiPriority="39" w:semiHidden="0" w:name="toc 8" w:locked="1"/>
    <w:lsdException w:qFormat="1" w:unhideWhenUsed="0" w:uiPriority="39" w:semiHidden="0" w:name="toc 9" w:locked="1"/>
    <w:lsdException w:qFormat="1" w:unhideWhenUsed="0" w:uiPriority="0" w:semiHidden="0" w:name="Normal Indent"/>
    <w:lsdException w:uiPriority="99"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ocked="1"/>
    <w:lsdException w:qFormat="1" w:unhideWhenUsed="0" w:uiPriority="0" w:semiHidden="0" w:name="caption"/>
    <w:lsdException w:uiPriority="99" w:name="table of figures" w:locked="1"/>
    <w:lsdException w:uiPriority="99" w:name="envelope address" w:locked="1"/>
    <w:lsdException w:uiPriority="99" w:name="envelope return" w:locked="1"/>
    <w:lsdException w:qFormat="1" w:unhideWhenUsed="0" w:uiPriority="0" w:semiHidden="0" w:name="footnote reference"/>
    <w:lsdException w:qFormat="1" w:unhideWhenUsed="0" w:uiPriority="0" w:semiHidden="0" w:name="annotation reference"/>
    <w:lsdException w:uiPriority="99" w:name="line number" w:locked="1"/>
    <w:lsdException w:qFormat="1" w:unhideWhenUsed="0" w:uiPriority="0"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0" w:semiHidden="0" w:name="toa heading"/>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sdException w:uiPriority="99" w:name="Closing" w:locked="1"/>
    <w:lsdException w:uiPriority="99" w:name="Signature" w:locked="1"/>
    <w:lsdException w:uiPriority="1" w:name="Default Paragraph Font"/>
    <w:lsdException w:qFormat="1" w:unhideWhenUsed="0" w:uiPriority="0" w:semiHidden="0" w:name="Body Text"/>
    <w:lsdException w:qFormat="1" w:unhideWhenUsed="0" w:uiPriority="0"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sdException w:uiPriority="99" w:name="Salutation" w:locked="1"/>
    <w:lsdException w:qFormat="1" w:unhideWhenUsed="0" w:uiPriority="0" w:semiHidden="0" w:name="Date"/>
    <w:lsdException w:qFormat="1" w:unhideWhenUsed="0" w:uiPriority="0" w:semiHidden="0" w:name="Body Text First Indent"/>
    <w:lsdException w:uiPriority="99" w:name="Body Text First Indent 2" w:locked="1"/>
    <w:lsdException w:uiPriority="99" w:name="Note Heading" w:locked="1"/>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ocked="1"/>
    <w:lsdException w:qFormat="1" w:unhideWhenUsed="0" w:uiPriority="0" w:semiHidden="0" w:name="Normal (Web)"/>
    <w:lsdException w:unhideWhenUsed="0" w:uiPriority="0" w:semiHidden="0" w:name="HTML Acronym" w:locked="1"/>
    <w:lsdException w:uiPriority="99" w:name="HTML Address" w:locked="1"/>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ocked="1"/>
    <w:lsdException w:qFormat="1" w:unhideWhenUsed="0" w:uiPriority="0" w:semiHidden="0" w:name="HTML Variable"/>
    <w:lsdException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0" w:semiHidden="0" w:name="Balloon Text"/>
    <w:lsdException w:qFormat="1" w:unhideWhenUsed="0" w:uiPriority="59" w:semiHidden="0" w:name="Table Grid"/>
    <w:lsdException w:uiPriority="99"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Cambria" w:hAnsi="楷体_GB2312" w:eastAsia="Times New Roman" w:cs="Cambria"/>
      <w:kern w:val="2"/>
      <w:sz w:val="28"/>
      <w:szCs w:val="28"/>
      <w:lang w:val="en-US" w:eastAsia="zh-CN" w:bidi="ar-SA"/>
    </w:rPr>
  </w:style>
  <w:style w:type="paragraph" w:styleId="3">
    <w:name w:val="heading 1"/>
    <w:basedOn w:val="1"/>
    <w:next w:val="1"/>
    <w:link w:val="6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4"/>
    <w:qFormat/>
    <w:uiPriority w:val="0"/>
    <w:pPr>
      <w:keepNext/>
      <w:keepLines/>
      <w:spacing w:before="260" w:after="260" w:line="416" w:lineRule="auto"/>
      <w:outlineLvl w:val="1"/>
    </w:pPr>
    <w:rPr>
      <w:rFonts w:ascii="STZhongsong" w:hAnsi="STZhongsong" w:eastAsia="华文宋体" w:cs="STZhongsong"/>
      <w:b/>
      <w:bCs/>
      <w:kern w:val="0"/>
      <w:sz w:val="32"/>
      <w:szCs w:val="32"/>
    </w:rPr>
  </w:style>
  <w:style w:type="paragraph" w:styleId="5">
    <w:name w:val="heading 3"/>
    <w:basedOn w:val="1"/>
    <w:next w:val="1"/>
    <w:link w:val="65"/>
    <w:qFormat/>
    <w:uiPriority w:val="0"/>
    <w:pPr>
      <w:keepNext/>
      <w:keepLines/>
      <w:spacing w:before="260" w:after="260" w:line="416" w:lineRule="auto"/>
      <w:outlineLvl w:val="2"/>
    </w:pPr>
    <w:rPr>
      <w:rFonts w:ascii="楷体_GB2312" w:hAnsi="Cambria" w:eastAsia="楷体_GB2312" w:cs="楷体_GB2312"/>
      <w:b/>
      <w:bCs/>
      <w:kern w:val="0"/>
      <w:sz w:val="32"/>
      <w:szCs w:val="32"/>
    </w:rPr>
  </w:style>
  <w:style w:type="paragraph" w:styleId="6">
    <w:name w:val="heading 4"/>
    <w:basedOn w:val="1"/>
    <w:next w:val="1"/>
    <w:link w:val="66"/>
    <w:qFormat/>
    <w:uiPriority w:val="0"/>
    <w:pPr>
      <w:keepNext/>
      <w:keepLines/>
      <w:spacing w:before="280" w:after="290" w:line="376" w:lineRule="auto"/>
      <w:outlineLvl w:val="3"/>
    </w:pPr>
    <w:rPr>
      <w:rFonts w:ascii="STZhongsong" w:hAnsi="STZhongsong" w:eastAsia="华文宋体" w:cs="STZhongsong"/>
      <w:b/>
      <w:bCs/>
      <w:kern w:val="0"/>
    </w:rPr>
  </w:style>
  <w:style w:type="paragraph" w:styleId="2">
    <w:name w:val="heading 5"/>
    <w:basedOn w:val="1"/>
    <w:next w:val="1"/>
    <w:link w:val="67"/>
    <w:qFormat/>
    <w:uiPriority w:val="0"/>
    <w:pPr>
      <w:keepNext/>
      <w:keepLines/>
      <w:spacing w:before="280" w:after="290" w:line="376" w:lineRule="auto"/>
      <w:ind w:firstLine="0" w:firstLineChars="0"/>
      <w:outlineLvl w:val="4"/>
    </w:pPr>
    <w:rPr>
      <w:rFonts w:ascii="楷体_GB2312" w:hAnsi="Cambria" w:eastAsia="楷体_GB2312" w:cs="楷体_GB2312"/>
      <w:b/>
      <w:bCs/>
      <w:kern w:val="0"/>
    </w:rPr>
  </w:style>
  <w:style w:type="paragraph" w:styleId="7">
    <w:name w:val="heading 6"/>
    <w:basedOn w:val="1"/>
    <w:next w:val="1"/>
    <w:link w:val="68"/>
    <w:qFormat/>
    <w:uiPriority w:val="0"/>
    <w:pPr>
      <w:keepNext/>
      <w:keepLines/>
      <w:widowControl/>
      <w:tabs>
        <w:tab w:val="left" w:pos="1440"/>
      </w:tabs>
      <w:spacing w:before="240" w:after="64" w:line="317" w:lineRule="auto"/>
      <w:ind w:left="1152" w:hanging="1152" w:firstLineChars="0"/>
      <w:jc w:val="left"/>
      <w:outlineLvl w:val="5"/>
    </w:pPr>
    <w:rPr>
      <w:rFonts w:ascii="STZhongsong" w:hAnsi="STZhongsong" w:eastAsia="华文宋体" w:cs="STZhongsong"/>
      <w:b/>
      <w:bCs/>
      <w:kern w:val="0"/>
      <w:sz w:val="24"/>
      <w:szCs w:val="24"/>
    </w:rPr>
  </w:style>
  <w:style w:type="paragraph" w:styleId="8">
    <w:name w:val="heading 7"/>
    <w:basedOn w:val="1"/>
    <w:next w:val="1"/>
    <w:link w:val="69"/>
    <w:qFormat/>
    <w:uiPriority w:val="0"/>
    <w:pPr>
      <w:keepNext/>
      <w:keepLines/>
      <w:widowControl/>
      <w:tabs>
        <w:tab w:val="left" w:pos="2520"/>
      </w:tabs>
      <w:spacing w:before="240" w:after="64" w:line="317" w:lineRule="auto"/>
      <w:ind w:left="1296" w:hanging="1296" w:firstLineChars="0"/>
      <w:jc w:val="left"/>
      <w:outlineLvl w:val="6"/>
    </w:pPr>
    <w:rPr>
      <w:rFonts w:ascii="楷体_GB2312" w:hAnsi="Cambria" w:eastAsia="楷体_GB2312" w:cs="楷体_GB2312"/>
      <w:b/>
      <w:bCs/>
      <w:kern w:val="0"/>
      <w:sz w:val="24"/>
      <w:szCs w:val="24"/>
    </w:rPr>
  </w:style>
  <w:style w:type="paragraph" w:styleId="9">
    <w:name w:val="heading 8"/>
    <w:basedOn w:val="1"/>
    <w:next w:val="1"/>
    <w:link w:val="70"/>
    <w:qFormat/>
    <w:uiPriority w:val="0"/>
    <w:pPr>
      <w:keepNext/>
      <w:keepLines/>
      <w:widowControl/>
      <w:tabs>
        <w:tab w:val="left" w:pos="1440"/>
      </w:tabs>
      <w:spacing w:before="240" w:after="64" w:line="317" w:lineRule="auto"/>
      <w:ind w:left="1440" w:hanging="1440" w:firstLineChars="0"/>
      <w:jc w:val="left"/>
      <w:outlineLvl w:val="7"/>
    </w:pPr>
    <w:rPr>
      <w:rFonts w:ascii="STZhongsong" w:hAnsi="STZhongsong" w:eastAsia="华文宋体" w:cs="STZhongsong"/>
      <w:kern w:val="0"/>
      <w:sz w:val="24"/>
      <w:szCs w:val="24"/>
    </w:rPr>
  </w:style>
  <w:style w:type="paragraph" w:styleId="10">
    <w:name w:val="heading 9"/>
    <w:basedOn w:val="1"/>
    <w:next w:val="1"/>
    <w:link w:val="71"/>
    <w:qFormat/>
    <w:uiPriority w:val="0"/>
    <w:pPr>
      <w:keepNext/>
      <w:keepLines/>
      <w:widowControl/>
      <w:tabs>
        <w:tab w:val="left" w:pos="1584"/>
      </w:tabs>
      <w:spacing w:before="240" w:after="64" w:line="317" w:lineRule="auto"/>
      <w:ind w:left="1584" w:hanging="1584" w:firstLineChars="0"/>
      <w:jc w:val="left"/>
      <w:outlineLvl w:val="8"/>
    </w:pPr>
    <w:rPr>
      <w:rFonts w:ascii="STZhongsong" w:hAnsi="STZhongsong" w:eastAsia="华文宋体" w:cs="STZhongsong"/>
      <w:kern w:val="0"/>
      <w:sz w:val="20"/>
      <w:szCs w:val="20"/>
    </w:rPr>
  </w:style>
  <w:style w:type="character" w:default="1" w:styleId="47">
    <w:name w:val="Default Paragraph Font"/>
    <w:semiHidden/>
    <w:unhideWhenUsed/>
    <w:uiPriority w:val="1"/>
  </w:style>
  <w:style w:type="table" w:default="1" w:styleId="45">
    <w:name w:val="Normal Table"/>
    <w:semiHidden/>
    <w:unhideWhenUsed/>
    <w:uiPriority w:val="99"/>
    <w:tblPr>
      <w:tblCellMar>
        <w:top w:w="0" w:type="dxa"/>
        <w:left w:w="108" w:type="dxa"/>
        <w:bottom w:w="0" w:type="dxa"/>
        <w:right w:w="108" w:type="dxa"/>
      </w:tblCellMar>
    </w:tblPr>
  </w:style>
  <w:style w:type="paragraph" w:styleId="11">
    <w:name w:val="toc 7"/>
    <w:basedOn w:val="1"/>
    <w:next w:val="1"/>
    <w:qFormat/>
    <w:locked/>
    <w:uiPriority w:val="39"/>
    <w:pPr>
      <w:ind w:left="1680" w:firstLine="0" w:firstLineChars="0"/>
      <w:jc w:val="left"/>
    </w:pPr>
    <w:rPr>
      <w:rFonts w:ascii="STKaiti" w:hAnsi="STKaiti" w:eastAsia="宋体" w:cs="Times New Roman"/>
      <w:kern w:val="0"/>
      <w:sz w:val="18"/>
      <w:szCs w:val="18"/>
    </w:rPr>
  </w:style>
  <w:style w:type="paragraph" w:styleId="12">
    <w:name w:val="Normal Indent"/>
    <w:basedOn w:val="1"/>
    <w:link w:val="238"/>
    <w:qFormat/>
    <w:uiPriority w:val="0"/>
    <w:pPr>
      <w:ind w:firstLine="420"/>
    </w:pPr>
    <w:rPr>
      <w:rFonts w:ascii="Times New Roman" w:hAnsi="Times New Roman" w:eastAsia="宋体" w:cs="Times New Roman"/>
      <w:kern w:val="0"/>
      <w:sz w:val="24"/>
      <w:szCs w:val="24"/>
    </w:rPr>
  </w:style>
  <w:style w:type="paragraph" w:styleId="13">
    <w:name w:val="caption"/>
    <w:basedOn w:val="1"/>
    <w:next w:val="1"/>
    <w:qFormat/>
    <w:uiPriority w:val="0"/>
    <w:pPr>
      <w:spacing w:line="480" w:lineRule="auto"/>
      <w:ind w:firstLine="0" w:firstLineChars="0"/>
    </w:pPr>
    <w:rPr>
      <w:rFonts w:ascii="等线 Light" w:hAnsi="等线 Light" w:eastAsia="等线 Light" w:cs="等线 Light"/>
      <w:sz w:val="36"/>
      <w:szCs w:val="36"/>
    </w:rPr>
  </w:style>
  <w:style w:type="paragraph" w:styleId="14">
    <w:name w:val="Document Map"/>
    <w:basedOn w:val="1"/>
    <w:link w:val="77"/>
    <w:qFormat/>
    <w:uiPriority w:val="0"/>
    <w:pPr>
      <w:shd w:val="clear" w:color="auto" w:fill="000080"/>
    </w:pPr>
    <w:rPr>
      <w:rFonts w:hAnsi="Times New Roman"/>
      <w:kern w:val="0"/>
    </w:rPr>
  </w:style>
  <w:style w:type="paragraph" w:styleId="15">
    <w:name w:val="toa heading"/>
    <w:basedOn w:val="1"/>
    <w:next w:val="1"/>
    <w:qFormat/>
    <w:uiPriority w:val="0"/>
    <w:pPr>
      <w:spacing w:before="120"/>
      <w:ind w:firstLine="0" w:firstLineChars="0"/>
    </w:pPr>
    <w:rPr>
      <w:rFonts w:ascii="STZhongsong" w:hAnsi="Cambria" w:eastAsia="STZhongsong" w:cs="STZhongsong"/>
      <w:sz w:val="24"/>
      <w:szCs w:val="24"/>
    </w:rPr>
  </w:style>
  <w:style w:type="paragraph" w:styleId="16">
    <w:name w:val="annotation text"/>
    <w:basedOn w:val="1"/>
    <w:link w:val="75"/>
    <w:qFormat/>
    <w:uiPriority w:val="0"/>
    <w:pPr>
      <w:jc w:val="left"/>
    </w:pPr>
  </w:style>
  <w:style w:type="paragraph" w:styleId="17">
    <w:name w:val="Body Text 3"/>
    <w:basedOn w:val="1"/>
    <w:link w:val="78"/>
    <w:qFormat/>
    <w:uiPriority w:val="0"/>
    <w:pPr>
      <w:spacing w:after="120" w:line="360" w:lineRule="auto"/>
      <w:ind w:firstLine="0" w:firstLineChars="0"/>
    </w:pPr>
    <w:rPr>
      <w:rFonts w:ascii="Times New Roman" w:hAnsi="Times New Roman" w:eastAsia="PMingLiUfalt" w:cs="Times New Roman"/>
      <w:kern w:val="0"/>
      <w:sz w:val="16"/>
      <w:szCs w:val="16"/>
    </w:rPr>
  </w:style>
  <w:style w:type="paragraph" w:styleId="18">
    <w:name w:val="Body Text"/>
    <w:basedOn w:val="1"/>
    <w:next w:val="19"/>
    <w:link w:val="72"/>
    <w:qFormat/>
    <w:uiPriority w:val="0"/>
    <w:pPr>
      <w:widowControl/>
      <w:jc w:val="left"/>
    </w:pPr>
    <w:rPr>
      <w:color w:val="000000"/>
      <w:kern w:val="0"/>
      <w:sz w:val="24"/>
      <w:szCs w:val="24"/>
    </w:rPr>
  </w:style>
  <w:style w:type="paragraph" w:styleId="19">
    <w:name w:val="Body Text First Indent"/>
    <w:basedOn w:val="18"/>
    <w:next w:val="20"/>
    <w:link w:val="73"/>
    <w:qFormat/>
    <w:uiPriority w:val="0"/>
    <w:pPr>
      <w:widowControl w:val="0"/>
      <w:spacing w:after="120"/>
      <w:ind w:firstLine="420" w:firstLineChars="100"/>
      <w:jc w:val="both"/>
    </w:pPr>
    <w:rPr>
      <w:rFonts w:ascii="??" w:hAnsi="??" w:eastAsia="宋体" w:cs="??"/>
      <w:color w:val="auto"/>
      <w:sz w:val="21"/>
      <w:szCs w:val="21"/>
    </w:rPr>
  </w:style>
  <w:style w:type="paragraph" w:styleId="20">
    <w:name w:val="toc 6"/>
    <w:basedOn w:val="1"/>
    <w:next w:val="1"/>
    <w:qFormat/>
    <w:uiPriority w:val="0"/>
    <w:pPr>
      <w:ind w:left="1400" w:firstLine="0" w:firstLineChars="0"/>
      <w:jc w:val="left"/>
    </w:pPr>
    <w:rPr>
      <w:rFonts w:ascii="STKaiti" w:hAnsi="Cambria" w:eastAsia="STKaiti" w:cs="STKaiti"/>
      <w:kern w:val="0"/>
      <w:sz w:val="18"/>
      <w:szCs w:val="18"/>
    </w:rPr>
  </w:style>
  <w:style w:type="paragraph" w:styleId="21">
    <w:name w:val="Body Text Indent"/>
    <w:basedOn w:val="1"/>
    <w:link w:val="79"/>
    <w:qFormat/>
    <w:uiPriority w:val="0"/>
    <w:pPr>
      <w:ind w:firstLine="560"/>
    </w:pPr>
    <w:rPr>
      <w:rFonts w:hAnsi="Cambria" w:eastAsia="宋体"/>
      <w:kern w:val="0"/>
    </w:rPr>
  </w:style>
  <w:style w:type="paragraph" w:styleId="22">
    <w:name w:val="Block Text"/>
    <w:basedOn w:val="1"/>
    <w:qFormat/>
    <w:uiPriority w:val="0"/>
    <w:pPr>
      <w:spacing w:line="300" w:lineRule="exact"/>
      <w:ind w:left="90" w:leftChars="43" w:right="25" w:rightChars="12" w:firstLine="480"/>
    </w:pPr>
    <w:rPr>
      <w:rFonts w:ascii="PMingLiUfalt" w:hAnsi="Cambria" w:eastAsia="PMingLiUfalt" w:cs="PMingLiUfalt"/>
      <w:sz w:val="24"/>
      <w:szCs w:val="24"/>
    </w:rPr>
  </w:style>
  <w:style w:type="paragraph" w:styleId="23">
    <w:name w:val="index 4"/>
    <w:basedOn w:val="1"/>
    <w:next w:val="1"/>
    <w:qFormat/>
    <w:uiPriority w:val="0"/>
    <w:pPr>
      <w:ind w:left="600" w:leftChars="600" w:firstLine="0" w:firstLineChars="0"/>
    </w:pPr>
    <w:rPr>
      <w:rFonts w:ascii="楷体_GB2312" w:hAnsi="Cambria" w:eastAsia="楷体_GB2312" w:cs="楷体_GB2312"/>
      <w:sz w:val="21"/>
      <w:szCs w:val="21"/>
    </w:rPr>
  </w:style>
  <w:style w:type="paragraph" w:styleId="24">
    <w:name w:val="toc 5"/>
    <w:basedOn w:val="1"/>
    <w:next w:val="1"/>
    <w:qFormat/>
    <w:locked/>
    <w:uiPriority w:val="39"/>
    <w:pPr>
      <w:ind w:left="1120" w:firstLine="0" w:firstLineChars="0"/>
      <w:jc w:val="left"/>
    </w:pPr>
    <w:rPr>
      <w:rFonts w:ascii="STKaiti" w:hAnsi="STKaiti" w:eastAsia="宋体" w:cs="Times New Roman"/>
      <w:kern w:val="0"/>
      <w:sz w:val="18"/>
      <w:szCs w:val="18"/>
    </w:rPr>
  </w:style>
  <w:style w:type="paragraph" w:styleId="25">
    <w:name w:val="toc 3"/>
    <w:basedOn w:val="1"/>
    <w:next w:val="1"/>
    <w:qFormat/>
    <w:locked/>
    <w:uiPriority w:val="39"/>
    <w:pPr>
      <w:ind w:left="560" w:firstLine="0" w:firstLineChars="0"/>
      <w:jc w:val="left"/>
    </w:pPr>
    <w:rPr>
      <w:rFonts w:ascii="STKaiti" w:hAnsi="STKaiti" w:eastAsia="宋体" w:cs="Times New Roman"/>
      <w:i/>
      <w:iCs/>
      <w:kern w:val="0"/>
      <w:sz w:val="20"/>
      <w:szCs w:val="20"/>
    </w:rPr>
  </w:style>
  <w:style w:type="paragraph" w:styleId="26">
    <w:name w:val="Plain Text"/>
    <w:basedOn w:val="1"/>
    <w:link w:val="80"/>
    <w:qFormat/>
    <w:uiPriority w:val="0"/>
    <w:rPr>
      <w:rFonts w:hAnsi="font-weight : 400"/>
      <w:kern w:val="0"/>
      <w:sz w:val="20"/>
      <w:szCs w:val="20"/>
    </w:rPr>
  </w:style>
  <w:style w:type="paragraph" w:styleId="27">
    <w:name w:val="toc 8"/>
    <w:basedOn w:val="1"/>
    <w:next w:val="1"/>
    <w:qFormat/>
    <w:locked/>
    <w:uiPriority w:val="39"/>
    <w:pPr>
      <w:ind w:left="1960" w:firstLine="0" w:firstLineChars="0"/>
      <w:jc w:val="left"/>
    </w:pPr>
    <w:rPr>
      <w:rFonts w:ascii="STKaiti" w:hAnsi="STKaiti" w:eastAsia="宋体" w:cs="Times New Roman"/>
      <w:kern w:val="0"/>
      <w:sz w:val="18"/>
      <w:szCs w:val="18"/>
    </w:rPr>
  </w:style>
  <w:style w:type="paragraph" w:styleId="28">
    <w:name w:val="Date"/>
    <w:basedOn w:val="1"/>
    <w:next w:val="1"/>
    <w:link w:val="81"/>
    <w:qFormat/>
    <w:uiPriority w:val="0"/>
    <w:pPr>
      <w:ind w:left="100" w:leftChars="2500"/>
    </w:pPr>
    <w:rPr>
      <w:rFonts w:hAnsi="Times New Roman"/>
      <w:kern w:val="0"/>
    </w:rPr>
  </w:style>
  <w:style w:type="paragraph" w:styleId="29">
    <w:name w:val="Body Text Indent 2"/>
    <w:basedOn w:val="1"/>
    <w:link w:val="82"/>
    <w:qFormat/>
    <w:uiPriority w:val="0"/>
    <w:pPr>
      <w:spacing w:line="480" w:lineRule="auto"/>
      <w:ind w:firstLine="720"/>
    </w:pPr>
    <w:rPr>
      <w:rFonts w:ascii="华文宋体" w:hAnsi="Times New Roman" w:eastAsia="华文宋体" w:cs="华文宋体"/>
      <w:kern w:val="0"/>
      <w:sz w:val="24"/>
      <w:szCs w:val="24"/>
    </w:rPr>
  </w:style>
  <w:style w:type="paragraph" w:styleId="30">
    <w:name w:val="Balloon Text"/>
    <w:basedOn w:val="1"/>
    <w:link w:val="83"/>
    <w:qFormat/>
    <w:uiPriority w:val="0"/>
    <w:rPr>
      <w:rFonts w:ascii="Times New Roman" w:hAnsi="Times New Roman" w:eastAsia="宋体" w:cs="Times New Roman"/>
      <w:kern w:val="0"/>
      <w:sz w:val="18"/>
      <w:szCs w:val="18"/>
    </w:rPr>
  </w:style>
  <w:style w:type="paragraph" w:styleId="31">
    <w:name w:val="footer"/>
    <w:basedOn w:val="1"/>
    <w:link w:val="84"/>
    <w:qFormat/>
    <w:uiPriority w:val="0"/>
    <w:pPr>
      <w:tabs>
        <w:tab w:val="center" w:pos="4153"/>
        <w:tab w:val="right" w:pos="8306"/>
      </w:tabs>
      <w:snapToGrid w:val="0"/>
      <w:jc w:val="left"/>
    </w:pPr>
    <w:rPr>
      <w:sz w:val="18"/>
      <w:szCs w:val="18"/>
    </w:rPr>
  </w:style>
  <w:style w:type="paragraph" w:styleId="32">
    <w:name w:val="header"/>
    <w:basedOn w:val="1"/>
    <w:link w:val="85"/>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locked/>
    <w:uiPriority w:val="39"/>
    <w:pPr>
      <w:spacing w:before="120" w:after="120" w:line="360" w:lineRule="auto"/>
      <w:jc w:val="left"/>
    </w:pPr>
    <w:rPr>
      <w:rFonts w:ascii="楷体_GB2312" w:hAnsi="Times New Roman" w:eastAsia="宋体" w:cs="Times New Roman"/>
      <w:b/>
      <w:bCs/>
      <w:caps/>
      <w:sz w:val="20"/>
      <w:szCs w:val="20"/>
    </w:rPr>
  </w:style>
  <w:style w:type="paragraph" w:styleId="34">
    <w:name w:val="toc 4"/>
    <w:basedOn w:val="1"/>
    <w:next w:val="1"/>
    <w:qFormat/>
    <w:locked/>
    <w:uiPriority w:val="39"/>
    <w:pPr>
      <w:ind w:left="840" w:firstLine="0" w:firstLineChars="0"/>
      <w:jc w:val="left"/>
    </w:pPr>
    <w:rPr>
      <w:rFonts w:ascii="STKaiti" w:hAnsi="STKaiti" w:eastAsia="宋体" w:cs="Times New Roman"/>
      <w:kern w:val="0"/>
      <w:sz w:val="18"/>
      <w:szCs w:val="18"/>
    </w:rPr>
  </w:style>
  <w:style w:type="paragraph" w:styleId="35">
    <w:name w:val="Subtitle"/>
    <w:basedOn w:val="1"/>
    <w:next w:val="1"/>
    <w:link w:val="86"/>
    <w:qFormat/>
    <w:uiPriority w:val="11"/>
    <w:pPr>
      <w:spacing w:before="240" w:after="60" w:line="312" w:lineRule="auto"/>
      <w:ind w:firstLine="0" w:firstLineChars="0"/>
      <w:jc w:val="center"/>
      <w:outlineLvl w:val="1"/>
    </w:pPr>
    <w:rPr>
      <w:rFonts w:ascii="???|CS?o｡ﾀ?" w:hAnsi="???|CS?o｡ﾀ?" w:eastAsia="宋体" w:cs="???|CS?o｡ﾀ?"/>
      <w:b/>
      <w:bCs/>
      <w:kern w:val="28"/>
      <w:sz w:val="30"/>
      <w:szCs w:val="30"/>
    </w:rPr>
  </w:style>
  <w:style w:type="paragraph" w:styleId="36">
    <w:name w:val="Body Text Indent 3"/>
    <w:basedOn w:val="1"/>
    <w:link w:val="87"/>
    <w:qFormat/>
    <w:uiPriority w:val="0"/>
    <w:pPr>
      <w:spacing w:line="460" w:lineRule="exact"/>
      <w:ind w:firstLine="4950" w:firstLineChars="1650"/>
    </w:pPr>
    <w:rPr>
      <w:rFonts w:hAnsi="Times New Roman"/>
      <w:kern w:val="0"/>
      <w:sz w:val="30"/>
      <w:szCs w:val="30"/>
    </w:rPr>
  </w:style>
  <w:style w:type="paragraph" w:styleId="37">
    <w:name w:val="toc 2"/>
    <w:basedOn w:val="1"/>
    <w:next w:val="1"/>
    <w:qFormat/>
    <w:locked/>
    <w:uiPriority w:val="39"/>
    <w:pPr>
      <w:ind w:left="280" w:firstLine="0" w:firstLineChars="0"/>
      <w:jc w:val="left"/>
    </w:pPr>
    <w:rPr>
      <w:rFonts w:ascii="STKaiti" w:hAnsi="STKaiti" w:eastAsia="宋体" w:cs="Times New Roman"/>
      <w:smallCaps/>
      <w:kern w:val="0"/>
      <w:sz w:val="20"/>
      <w:szCs w:val="20"/>
    </w:rPr>
  </w:style>
  <w:style w:type="paragraph" w:styleId="38">
    <w:name w:val="toc 9"/>
    <w:basedOn w:val="1"/>
    <w:next w:val="1"/>
    <w:qFormat/>
    <w:locked/>
    <w:uiPriority w:val="39"/>
    <w:pPr>
      <w:ind w:left="2240" w:firstLine="0" w:firstLineChars="0"/>
      <w:jc w:val="left"/>
    </w:pPr>
    <w:rPr>
      <w:rFonts w:ascii="STKaiti" w:hAnsi="STKaiti" w:eastAsia="宋体" w:cs="Times New Roman"/>
      <w:kern w:val="0"/>
      <w:sz w:val="18"/>
      <w:szCs w:val="18"/>
    </w:rPr>
  </w:style>
  <w:style w:type="paragraph" w:styleId="39">
    <w:name w:val="Body Text 2"/>
    <w:basedOn w:val="1"/>
    <w:link w:val="88"/>
    <w:qFormat/>
    <w:uiPriority w:val="0"/>
    <w:pPr>
      <w:spacing w:after="120" w:line="480" w:lineRule="auto"/>
      <w:ind w:firstLine="0" w:firstLineChars="0"/>
    </w:pPr>
    <w:rPr>
      <w:rFonts w:ascii="Times New Roman" w:hAnsi="Times New Roman" w:eastAsia="宋体" w:cs="Times New Roman"/>
      <w:kern w:val="0"/>
      <w:sz w:val="20"/>
      <w:szCs w:val="20"/>
    </w:rPr>
  </w:style>
  <w:style w:type="paragraph" w:styleId="40">
    <w:name w:val="HTML Preformatted"/>
    <w:basedOn w:val="1"/>
    <w:link w:val="8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Cambria" w:eastAsia="宋体"/>
      <w:kern w:val="0"/>
      <w:sz w:val="24"/>
      <w:szCs w:val="24"/>
    </w:rPr>
  </w:style>
  <w:style w:type="paragraph" w:styleId="41">
    <w:name w:val="Normal (Web)"/>
    <w:basedOn w:val="1"/>
    <w:qFormat/>
    <w:uiPriority w:val="0"/>
    <w:pPr>
      <w:widowControl/>
      <w:spacing w:before="100" w:beforeAutospacing="1" w:after="100" w:afterAutospacing="1"/>
      <w:jc w:val="left"/>
    </w:pPr>
    <w:rPr>
      <w:rFonts w:hAnsi="Cambria" w:eastAsia="宋体"/>
      <w:kern w:val="0"/>
      <w:sz w:val="24"/>
      <w:szCs w:val="24"/>
    </w:rPr>
  </w:style>
  <w:style w:type="paragraph" w:styleId="42">
    <w:name w:val="index 1"/>
    <w:basedOn w:val="1"/>
    <w:next w:val="1"/>
    <w:qFormat/>
    <w:uiPriority w:val="0"/>
    <w:pPr>
      <w:spacing w:line="220" w:lineRule="exact"/>
      <w:ind w:firstLine="0" w:firstLineChars="0"/>
      <w:jc w:val="center"/>
    </w:pPr>
    <w:rPr>
      <w:rFonts w:ascii="PMingLiUfalt" w:eastAsia="PMingLiUfalt" w:cs="PMingLiUfalt"/>
      <w:sz w:val="21"/>
      <w:szCs w:val="21"/>
    </w:rPr>
  </w:style>
  <w:style w:type="paragraph" w:styleId="43">
    <w:name w:val="Title"/>
    <w:basedOn w:val="1"/>
    <w:next w:val="1"/>
    <w:link w:val="90"/>
    <w:qFormat/>
    <w:uiPriority w:val="10"/>
    <w:pPr>
      <w:spacing w:before="240" w:after="60"/>
      <w:ind w:firstLine="0" w:firstLineChars="0"/>
      <w:jc w:val="center"/>
      <w:outlineLvl w:val="0"/>
    </w:pPr>
    <w:rPr>
      <w:rFonts w:ascii="???|CS?o｡ﾀ?" w:hAnsi="???|CS?o｡ﾀ?" w:eastAsia="宋体" w:cs="???|CS?o｡ﾀ?"/>
      <w:b/>
      <w:bCs/>
      <w:kern w:val="0"/>
      <w:sz w:val="32"/>
      <w:szCs w:val="32"/>
    </w:rPr>
  </w:style>
  <w:style w:type="paragraph" w:styleId="44">
    <w:name w:val="annotation subject"/>
    <w:basedOn w:val="16"/>
    <w:next w:val="16"/>
    <w:link w:val="76"/>
    <w:qFormat/>
    <w:uiPriority w:val="0"/>
    <w:rPr>
      <w:rFonts w:hAnsi="Times New Roman"/>
      <w:b/>
      <w:bCs/>
      <w:kern w:val="0"/>
    </w:rPr>
  </w:style>
  <w:style w:type="table" w:styleId="46">
    <w:name w:val="Table Grid"/>
    <w:basedOn w:val="45"/>
    <w:qFormat/>
    <w:uiPriority w:val="59"/>
    <w:rPr>
      <w:rFonts w:ascii="楷体_GB2312" w:hAnsi="Cambria" w:eastAsia="楷体_GB2312" w:cs="楷体_GB231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basedOn w:val="47"/>
    <w:qFormat/>
    <w:uiPriority w:val="0"/>
    <w:rPr>
      <w:color w:val="auto"/>
      <w:u w:val="single"/>
    </w:rPr>
  </w:style>
  <w:style w:type="character" w:styleId="51">
    <w:name w:val="Emphasis"/>
    <w:basedOn w:val="47"/>
    <w:qFormat/>
    <w:uiPriority w:val="0"/>
    <w:rPr>
      <w:i/>
      <w:iCs/>
    </w:rPr>
  </w:style>
  <w:style w:type="character" w:styleId="52">
    <w:name w:val="HTML Definition"/>
    <w:basedOn w:val="47"/>
    <w:qFormat/>
    <w:uiPriority w:val="0"/>
  </w:style>
  <w:style w:type="character" w:styleId="53">
    <w:name w:val="HTML Typewriter"/>
    <w:locked/>
    <w:uiPriority w:val="0"/>
    <w:rPr>
      <w:rFonts w:hint="default" w:ascii="monospace" w:hAnsi="monospace" w:eastAsia="monospace" w:cs="monospace"/>
      <w:sz w:val="20"/>
    </w:rPr>
  </w:style>
  <w:style w:type="character" w:styleId="54">
    <w:name w:val="HTML Acronym"/>
    <w:basedOn w:val="47"/>
    <w:locked/>
    <w:uiPriority w:val="0"/>
  </w:style>
  <w:style w:type="character" w:styleId="55">
    <w:name w:val="HTML Variable"/>
    <w:basedOn w:val="47"/>
    <w:qFormat/>
    <w:uiPriority w:val="0"/>
  </w:style>
  <w:style w:type="character" w:styleId="56">
    <w:name w:val="Hyperlink"/>
    <w:basedOn w:val="47"/>
    <w:qFormat/>
    <w:uiPriority w:val="0"/>
    <w:rPr>
      <w:color w:val="0000FF"/>
      <w:u w:val="single"/>
    </w:rPr>
  </w:style>
  <w:style w:type="character" w:styleId="57">
    <w:name w:val="HTML Code"/>
    <w:basedOn w:val="47"/>
    <w:qFormat/>
    <w:uiPriority w:val="0"/>
    <w:rPr>
      <w:rFonts w:ascii="STZhongsong" w:eastAsia="STZhongsong" w:cs="STZhongsong"/>
      <w:sz w:val="20"/>
      <w:szCs w:val="20"/>
    </w:rPr>
  </w:style>
  <w:style w:type="character" w:styleId="58">
    <w:name w:val="annotation reference"/>
    <w:basedOn w:val="47"/>
    <w:qFormat/>
    <w:uiPriority w:val="0"/>
    <w:rPr>
      <w:sz w:val="21"/>
      <w:szCs w:val="21"/>
    </w:rPr>
  </w:style>
  <w:style w:type="character" w:styleId="59">
    <w:name w:val="HTML Cite"/>
    <w:basedOn w:val="47"/>
    <w:qFormat/>
    <w:uiPriority w:val="0"/>
  </w:style>
  <w:style w:type="character" w:styleId="60">
    <w:name w:val="footnote reference"/>
    <w:basedOn w:val="47"/>
    <w:qFormat/>
    <w:uiPriority w:val="0"/>
    <w:rPr>
      <w:vertAlign w:val="superscript"/>
    </w:rPr>
  </w:style>
  <w:style w:type="character" w:styleId="61">
    <w:name w:val="HTML Keyboard"/>
    <w:basedOn w:val="47"/>
    <w:qFormat/>
    <w:uiPriority w:val="0"/>
    <w:rPr>
      <w:rFonts w:ascii="STZhongsong" w:eastAsia="STZhongsong" w:cs="STZhongsong"/>
      <w:sz w:val="20"/>
      <w:szCs w:val="20"/>
    </w:rPr>
  </w:style>
  <w:style w:type="character" w:styleId="62">
    <w:name w:val="HTML Sample"/>
    <w:basedOn w:val="47"/>
    <w:qFormat/>
    <w:uiPriority w:val="0"/>
    <w:rPr>
      <w:rFonts w:ascii="STZhongsong" w:eastAsia="STZhongsong" w:cs="STZhongsong"/>
    </w:rPr>
  </w:style>
  <w:style w:type="character" w:customStyle="1" w:styleId="63">
    <w:name w:val="标题 1 字符1"/>
    <w:basedOn w:val="47"/>
    <w:link w:val="3"/>
    <w:qFormat/>
    <w:locked/>
    <w:uiPriority w:val="0"/>
    <w:rPr>
      <w:rFonts w:ascii="Cambria" w:hAnsi="楷体_GB2312" w:eastAsia="Times New Roman" w:cs="Cambria"/>
      <w:b/>
      <w:bCs/>
      <w:kern w:val="44"/>
      <w:sz w:val="44"/>
      <w:szCs w:val="44"/>
    </w:rPr>
  </w:style>
  <w:style w:type="character" w:customStyle="1" w:styleId="64">
    <w:name w:val="标题 2 字符1"/>
    <w:basedOn w:val="47"/>
    <w:link w:val="4"/>
    <w:qFormat/>
    <w:locked/>
    <w:uiPriority w:val="0"/>
    <w:rPr>
      <w:rFonts w:ascii="STZhongsong" w:hAnsi="STZhongsong" w:eastAsia="华文宋体" w:cs="STZhongsong"/>
      <w:b/>
      <w:bCs/>
      <w:sz w:val="32"/>
      <w:szCs w:val="32"/>
    </w:rPr>
  </w:style>
  <w:style w:type="character" w:customStyle="1" w:styleId="65">
    <w:name w:val="标题 3 字符1"/>
    <w:basedOn w:val="47"/>
    <w:link w:val="5"/>
    <w:qFormat/>
    <w:locked/>
    <w:uiPriority w:val="0"/>
    <w:rPr>
      <w:rFonts w:ascii="楷体_GB2312" w:hAnsi="楷体_GB2312" w:eastAsia="Times New Roman" w:cs="楷体_GB2312"/>
      <w:b/>
      <w:bCs/>
      <w:sz w:val="32"/>
      <w:szCs w:val="32"/>
    </w:rPr>
  </w:style>
  <w:style w:type="character" w:customStyle="1" w:styleId="66">
    <w:name w:val="标题 4 字符1"/>
    <w:basedOn w:val="47"/>
    <w:link w:val="6"/>
    <w:qFormat/>
    <w:locked/>
    <w:uiPriority w:val="0"/>
    <w:rPr>
      <w:rFonts w:ascii="STZhongsong" w:hAnsi="STZhongsong" w:eastAsia="华文宋体" w:cs="STZhongsong"/>
      <w:b/>
      <w:bCs/>
      <w:sz w:val="28"/>
      <w:szCs w:val="28"/>
    </w:rPr>
  </w:style>
  <w:style w:type="character" w:customStyle="1" w:styleId="67">
    <w:name w:val="标题 5 字符1"/>
    <w:basedOn w:val="47"/>
    <w:link w:val="2"/>
    <w:qFormat/>
    <w:locked/>
    <w:uiPriority w:val="0"/>
    <w:rPr>
      <w:rFonts w:ascii="楷体_GB2312" w:hAnsi="楷体_GB2312" w:eastAsia="Times New Roman" w:cs="楷体_GB2312"/>
      <w:b/>
      <w:bCs/>
      <w:sz w:val="28"/>
      <w:szCs w:val="28"/>
    </w:rPr>
  </w:style>
  <w:style w:type="character" w:customStyle="1" w:styleId="68">
    <w:name w:val="标题 6 字符1"/>
    <w:basedOn w:val="47"/>
    <w:link w:val="7"/>
    <w:qFormat/>
    <w:locked/>
    <w:uiPriority w:val="0"/>
    <w:rPr>
      <w:rFonts w:ascii="STZhongsong" w:hAnsi="STZhongsong" w:eastAsia="华文宋体" w:cs="STZhongsong"/>
      <w:b/>
      <w:bCs/>
      <w:kern w:val="0"/>
      <w:sz w:val="24"/>
      <w:szCs w:val="24"/>
    </w:rPr>
  </w:style>
  <w:style w:type="character" w:customStyle="1" w:styleId="69">
    <w:name w:val="标题 7 字符1"/>
    <w:basedOn w:val="47"/>
    <w:link w:val="8"/>
    <w:qFormat/>
    <w:locked/>
    <w:uiPriority w:val="0"/>
    <w:rPr>
      <w:rFonts w:ascii="楷体_GB2312" w:hAnsi="楷体_GB2312" w:eastAsia="Times New Roman" w:cs="楷体_GB2312"/>
      <w:b/>
      <w:bCs/>
      <w:kern w:val="0"/>
      <w:sz w:val="24"/>
      <w:szCs w:val="24"/>
    </w:rPr>
  </w:style>
  <w:style w:type="character" w:customStyle="1" w:styleId="70">
    <w:name w:val="标题 8 字符1"/>
    <w:basedOn w:val="47"/>
    <w:link w:val="9"/>
    <w:qFormat/>
    <w:locked/>
    <w:uiPriority w:val="0"/>
    <w:rPr>
      <w:rFonts w:ascii="STZhongsong" w:hAnsi="STZhongsong" w:eastAsia="华文宋体" w:cs="STZhongsong"/>
      <w:kern w:val="0"/>
      <w:sz w:val="24"/>
      <w:szCs w:val="24"/>
    </w:rPr>
  </w:style>
  <w:style w:type="character" w:customStyle="1" w:styleId="71">
    <w:name w:val="标题 9 字符1"/>
    <w:basedOn w:val="47"/>
    <w:link w:val="10"/>
    <w:qFormat/>
    <w:locked/>
    <w:uiPriority w:val="0"/>
    <w:rPr>
      <w:rFonts w:ascii="STZhongsong" w:hAnsi="STZhongsong" w:eastAsia="华文宋体" w:cs="STZhongsong"/>
      <w:kern w:val="0"/>
      <w:sz w:val="21"/>
      <w:szCs w:val="21"/>
    </w:rPr>
  </w:style>
  <w:style w:type="character" w:customStyle="1" w:styleId="72">
    <w:name w:val="正文文本 字符1"/>
    <w:basedOn w:val="47"/>
    <w:link w:val="18"/>
    <w:qFormat/>
    <w:locked/>
    <w:uiPriority w:val="99"/>
    <w:rPr>
      <w:rFonts w:ascii="Cambria" w:hAnsi="楷体_GB2312" w:eastAsia="Times New Roman" w:cs="Cambria"/>
      <w:color w:val="000000"/>
      <w:sz w:val="28"/>
      <w:szCs w:val="28"/>
    </w:rPr>
  </w:style>
  <w:style w:type="character" w:customStyle="1" w:styleId="73">
    <w:name w:val="正文文本首行缩进 字符1"/>
    <w:basedOn w:val="74"/>
    <w:link w:val="19"/>
    <w:qFormat/>
    <w:locked/>
    <w:uiPriority w:val="0"/>
    <w:rPr>
      <w:kern w:val="2"/>
      <w:sz w:val="24"/>
      <w:szCs w:val="24"/>
    </w:rPr>
  </w:style>
  <w:style w:type="character" w:customStyle="1" w:styleId="74">
    <w:name w:val="正文文本 Char"/>
    <w:qFormat/>
    <w:uiPriority w:val="0"/>
    <w:rPr>
      <w:kern w:val="2"/>
      <w:sz w:val="24"/>
      <w:szCs w:val="24"/>
    </w:rPr>
  </w:style>
  <w:style w:type="character" w:customStyle="1" w:styleId="75">
    <w:name w:val="批注文字 字符"/>
    <w:basedOn w:val="47"/>
    <w:link w:val="16"/>
    <w:qFormat/>
    <w:locked/>
    <w:uiPriority w:val="0"/>
    <w:rPr>
      <w:rFonts w:ascii="Cambria" w:hAnsi="楷体_GB2312" w:eastAsia="Times New Roman" w:cs="Cambria"/>
      <w:sz w:val="20"/>
      <w:szCs w:val="20"/>
    </w:rPr>
  </w:style>
  <w:style w:type="character" w:customStyle="1" w:styleId="76">
    <w:name w:val="批注主题 字符1"/>
    <w:basedOn w:val="75"/>
    <w:link w:val="44"/>
    <w:qFormat/>
    <w:locked/>
    <w:uiPriority w:val="0"/>
    <w:rPr>
      <w:rFonts w:ascii="Cambria" w:hAnsi="楷体_GB2312" w:eastAsia="Times New Roman" w:cs="Cambria"/>
      <w:b/>
      <w:bCs/>
      <w:sz w:val="28"/>
      <w:szCs w:val="28"/>
    </w:rPr>
  </w:style>
  <w:style w:type="character" w:customStyle="1" w:styleId="77">
    <w:name w:val="文档结构图 字符1"/>
    <w:basedOn w:val="47"/>
    <w:link w:val="14"/>
    <w:qFormat/>
    <w:locked/>
    <w:uiPriority w:val="0"/>
    <w:rPr>
      <w:rFonts w:ascii="Cambria" w:eastAsia="Times New Roman" w:cs="Cambria"/>
      <w:sz w:val="28"/>
      <w:szCs w:val="28"/>
      <w:shd w:val="clear" w:color="auto" w:fill="000080"/>
    </w:rPr>
  </w:style>
  <w:style w:type="character" w:customStyle="1" w:styleId="78">
    <w:name w:val="正文文本 3 字符1"/>
    <w:basedOn w:val="47"/>
    <w:link w:val="17"/>
    <w:qFormat/>
    <w:locked/>
    <w:uiPriority w:val="0"/>
    <w:rPr>
      <w:rFonts w:eastAsia="PMingLiUfalt"/>
      <w:sz w:val="16"/>
      <w:szCs w:val="16"/>
    </w:rPr>
  </w:style>
  <w:style w:type="character" w:customStyle="1" w:styleId="79">
    <w:name w:val="正文文本缩进 字符1"/>
    <w:basedOn w:val="47"/>
    <w:link w:val="21"/>
    <w:qFormat/>
    <w:locked/>
    <w:uiPriority w:val="0"/>
    <w:rPr>
      <w:rFonts w:ascii="Cambria" w:hAnsi="Cambria" w:eastAsia="Times New Roman" w:cs="Cambria"/>
      <w:sz w:val="28"/>
      <w:szCs w:val="28"/>
    </w:rPr>
  </w:style>
  <w:style w:type="character" w:customStyle="1" w:styleId="80">
    <w:name w:val="纯文本 字符1"/>
    <w:basedOn w:val="47"/>
    <w:link w:val="26"/>
    <w:qFormat/>
    <w:locked/>
    <w:uiPriority w:val="0"/>
    <w:rPr>
      <w:rFonts w:ascii="Cambria" w:hAnsi="font-weight : 400" w:eastAsia="Times New Roman" w:cs="Cambria"/>
      <w:sz w:val="21"/>
      <w:szCs w:val="21"/>
    </w:rPr>
  </w:style>
  <w:style w:type="character" w:customStyle="1" w:styleId="81">
    <w:name w:val="日期 字符1"/>
    <w:basedOn w:val="47"/>
    <w:link w:val="28"/>
    <w:qFormat/>
    <w:locked/>
    <w:uiPriority w:val="0"/>
    <w:rPr>
      <w:rFonts w:ascii="Cambria" w:eastAsia="Times New Roman" w:cs="Cambria"/>
      <w:sz w:val="28"/>
      <w:szCs w:val="28"/>
    </w:rPr>
  </w:style>
  <w:style w:type="character" w:customStyle="1" w:styleId="82">
    <w:name w:val="正文文本缩进 2 字符1"/>
    <w:basedOn w:val="47"/>
    <w:link w:val="29"/>
    <w:qFormat/>
    <w:locked/>
    <w:uiPriority w:val="0"/>
    <w:rPr>
      <w:rFonts w:ascii="华文宋体" w:eastAsia="华文宋体" w:cs="华文宋体"/>
      <w:sz w:val="24"/>
      <w:szCs w:val="24"/>
    </w:rPr>
  </w:style>
  <w:style w:type="character" w:customStyle="1" w:styleId="83">
    <w:name w:val="批注框文本 字符1"/>
    <w:basedOn w:val="47"/>
    <w:link w:val="30"/>
    <w:qFormat/>
    <w:locked/>
    <w:uiPriority w:val="0"/>
    <w:rPr>
      <w:sz w:val="18"/>
      <w:szCs w:val="18"/>
    </w:rPr>
  </w:style>
  <w:style w:type="character" w:customStyle="1" w:styleId="84">
    <w:name w:val="页脚 字符"/>
    <w:basedOn w:val="47"/>
    <w:link w:val="31"/>
    <w:qFormat/>
    <w:locked/>
    <w:uiPriority w:val="0"/>
    <w:rPr>
      <w:sz w:val="18"/>
      <w:szCs w:val="18"/>
    </w:rPr>
  </w:style>
  <w:style w:type="character" w:customStyle="1" w:styleId="85">
    <w:name w:val="页眉 字符"/>
    <w:basedOn w:val="47"/>
    <w:link w:val="32"/>
    <w:qFormat/>
    <w:locked/>
    <w:uiPriority w:val="99"/>
    <w:rPr>
      <w:sz w:val="18"/>
      <w:szCs w:val="18"/>
    </w:rPr>
  </w:style>
  <w:style w:type="character" w:customStyle="1" w:styleId="86">
    <w:name w:val="副标题 字符1"/>
    <w:basedOn w:val="47"/>
    <w:link w:val="35"/>
    <w:qFormat/>
    <w:locked/>
    <w:uiPriority w:val="11"/>
    <w:rPr>
      <w:rFonts w:ascii="???|CS?o｡ﾀ?" w:eastAsia="???|CS?o｡ﾀ?" w:cs="???|CS?o｡ﾀ?"/>
      <w:b/>
      <w:bCs/>
      <w:kern w:val="28"/>
      <w:sz w:val="32"/>
      <w:szCs w:val="32"/>
    </w:rPr>
  </w:style>
  <w:style w:type="character" w:customStyle="1" w:styleId="87">
    <w:name w:val="正文文本缩进 3 字符1"/>
    <w:basedOn w:val="47"/>
    <w:link w:val="36"/>
    <w:qFormat/>
    <w:locked/>
    <w:uiPriority w:val="0"/>
    <w:rPr>
      <w:rFonts w:ascii="Cambria" w:eastAsia="Times New Roman" w:cs="Cambria"/>
      <w:sz w:val="30"/>
      <w:szCs w:val="30"/>
    </w:rPr>
  </w:style>
  <w:style w:type="character" w:customStyle="1" w:styleId="88">
    <w:name w:val="正文文本 2 字符1"/>
    <w:basedOn w:val="47"/>
    <w:link w:val="39"/>
    <w:qFormat/>
    <w:locked/>
    <w:uiPriority w:val="99"/>
    <w:rPr>
      <w:sz w:val="24"/>
      <w:szCs w:val="24"/>
    </w:rPr>
  </w:style>
  <w:style w:type="character" w:customStyle="1" w:styleId="89">
    <w:name w:val="HTML 预设格式 字符1"/>
    <w:basedOn w:val="47"/>
    <w:link w:val="40"/>
    <w:qFormat/>
    <w:locked/>
    <w:uiPriority w:val="99"/>
    <w:rPr>
      <w:rFonts w:ascii="Cambria" w:hAnsi="Cambria" w:eastAsia="Times New Roman" w:cs="Cambria"/>
      <w:sz w:val="24"/>
      <w:szCs w:val="24"/>
    </w:rPr>
  </w:style>
  <w:style w:type="character" w:customStyle="1" w:styleId="90">
    <w:name w:val="标题 字符1"/>
    <w:basedOn w:val="47"/>
    <w:link w:val="43"/>
    <w:qFormat/>
    <w:locked/>
    <w:uiPriority w:val="10"/>
    <w:rPr>
      <w:rFonts w:ascii="???|CS?o｡ﾀ?" w:eastAsia="???|CS?o｡ﾀ?" w:cs="???|CS?o｡ﾀ?"/>
      <w:b/>
      <w:bCs/>
      <w:sz w:val="32"/>
      <w:szCs w:val="32"/>
    </w:rPr>
  </w:style>
  <w:style w:type="character" w:customStyle="1" w:styleId="91">
    <w:name w:val="标题 1 字符"/>
    <w:basedOn w:val="47"/>
    <w:qFormat/>
    <w:uiPriority w:val="0"/>
    <w:rPr>
      <w:rFonts w:ascii="Cambria" w:hAnsi="楷体_GB2312" w:eastAsia="Times New Roman" w:cs="Cambria"/>
      <w:b/>
      <w:bCs/>
      <w:kern w:val="44"/>
      <w:sz w:val="44"/>
      <w:szCs w:val="44"/>
    </w:rPr>
  </w:style>
  <w:style w:type="character" w:customStyle="1" w:styleId="92">
    <w:name w:val="标题 2 字符"/>
    <w:basedOn w:val="47"/>
    <w:qFormat/>
    <w:uiPriority w:val="0"/>
    <w:rPr>
      <w:rFonts w:ascii="等线 Light" w:hAnsi="等线 Light" w:eastAsia="等线 Light" w:cs="等线 Light"/>
      <w:b/>
      <w:bCs/>
      <w:sz w:val="32"/>
      <w:szCs w:val="32"/>
    </w:rPr>
  </w:style>
  <w:style w:type="character" w:customStyle="1" w:styleId="93">
    <w:name w:val="标题 3 字符"/>
    <w:basedOn w:val="47"/>
    <w:qFormat/>
    <w:uiPriority w:val="0"/>
    <w:rPr>
      <w:rFonts w:ascii="Cambria" w:hAnsi="楷体_GB2312" w:eastAsia="Times New Roman" w:cs="Cambria"/>
      <w:b/>
      <w:bCs/>
      <w:sz w:val="32"/>
      <w:szCs w:val="32"/>
    </w:rPr>
  </w:style>
  <w:style w:type="character" w:customStyle="1" w:styleId="94">
    <w:name w:val="标题 4 字符"/>
    <w:basedOn w:val="47"/>
    <w:qFormat/>
    <w:uiPriority w:val="0"/>
    <w:rPr>
      <w:rFonts w:ascii="等线 Light" w:hAnsi="等线 Light" w:eastAsia="等线 Light" w:cs="等线 Light"/>
      <w:b/>
      <w:bCs/>
      <w:sz w:val="28"/>
      <w:szCs w:val="28"/>
    </w:rPr>
  </w:style>
  <w:style w:type="character" w:customStyle="1" w:styleId="95">
    <w:name w:val="标题 5 字符"/>
    <w:basedOn w:val="47"/>
    <w:qFormat/>
    <w:uiPriority w:val="0"/>
    <w:rPr>
      <w:rFonts w:ascii="Cambria" w:hAnsi="楷体_GB2312" w:eastAsia="Times New Roman" w:cs="Cambria"/>
      <w:b/>
      <w:bCs/>
      <w:sz w:val="28"/>
      <w:szCs w:val="28"/>
    </w:rPr>
  </w:style>
  <w:style w:type="character" w:customStyle="1" w:styleId="96">
    <w:name w:val="标题 6 字符"/>
    <w:basedOn w:val="47"/>
    <w:qFormat/>
    <w:uiPriority w:val="0"/>
    <w:rPr>
      <w:rFonts w:ascii="等线 Light" w:hAnsi="等线 Light" w:eastAsia="等线 Light" w:cs="等线 Light"/>
      <w:b/>
      <w:bCs/>
      <w:sz w:val="24"/>
      <w:szCs w:val="24"/>
    </w:rPr>
  </w:style>
  <w:style w:type="character" w:customStyle="1" w:styleId="97">
    <w:name w:val="标题 7 字符"/>
    <w:basedOn w:val="47"/>
    <w:qFormat/>
    <w:uiPriority w:val="0"/>
    <w:rPr>
      <w:rFonts w:ascii="Cambria" w:hAnsi="楷体_GB2312" w:eastAsia="Times New Roman" w:cs="Cambria"/>
      <w:b/>
      <w:bCs/>
      <w:sz w:val="24"/>
      <w:szCs w:val="24"/>
    </w:rPr>
  </w:style>
  <w:style w:type="character" w:customStyle="1" w:styleId="98">
    <w:name w:val="标题 8 字符"/>
    <w:basedOn w:val="47"/>
    <w:qFormat/>
    <w:uiPriority w:val="0"/>
    <w:rPr>
      <w:rFonts w:ascii="等线 Light" w:hAnsi="等线 Light" w:eastAsia="等线 Light" w:cs="等线 Light"/>
      <w:sz w:val="24"/>
      <w:szCs w:val="24"/>
    </w:rPr>
  </w:style>
  <w:style w:type="character" w:customStyle="1" w:styleId="99">
    <w:name w:val="标题 9 字符"/>
    <w:basedOn w:val="47"/>
    <w:qFormat/>
    <w:uiPriority w:val="0"/>
    <w:rPr>
      <w:rFonts w:ascii="等线 Light" w:hAnsi="等线 Light" w:eastAsia="等线 Light" w:cs="等线 Light"/>
      <w:sz w:val="21"/>
      <w:szCs w:val="21"/>
    </w:rPr>
  </w:style>
  <w:style w:type="paragraph" w:customStyle="1" w:styleId="100">
    <w:name w:val="_Style 36"/>
    <w:basedOn w:val="1"/>
    <w:next w:val="1"/>
    <w:qFormat/>
    <w:uiPriority w:val="99"/>
    <w:pPr>
      <w:ind w:left="2240" w:firstLine="0" w:firstLineChars="0"/>
      <w:jc w:val="left"/>
    </w:pPr>
    <w:rPr>
      <w:rFonts w:ascii="STKaiti" w:hAnsi="Cambria" w:eastAsia="STKaiti" w:cs="STKaiti"/>
      <w:kern w:val="0"/>
      <w:sz w:val="18"/>
      <w:szCs w:val="18"/>
    </w:rPr>
  </w:style>
  <w:style w:type="character" w:customStyle="1" w:styleId="101">
    <w:name w:val="Char Char5"/>
    <w:qFormat/>
    <w:uiPriority w:val="99"/>
    <w:rPr>
      <w:rFonts w:ascii="Cambria" w:cs="Cambria"/>
      <w:kern w:val="2"/>
      <w:sz w:val="28"/>
      <w:szCs w:val="28"/>
    </w:rPr>
  </w:style>
  <w:style w:type="character" w:customStyle="1" w:styleId="102">
    <w:name w:val="明显强调1"/>
    <w:qFormat/>
    <w:uiPriority w:val="0"/>
    <w:rPr>
      <w:b/>
      <w:bCs/>
      <w:i/>
      <w:iCs/>
      <w:color w:val="4F81BD"/>
    </w:rPr>
  </w:style>
  <w:style w:type="character" w:customStyle="1" w:styleId="103">
    <w:name w:val="Char Char12"/>
    <w:qFormat/>
    <w:locked/>
    <w:uiPriority w:val="99"/>
    <w:rPr>
      <w:rFonts w:ascii="Cambria" w:hAnsi="font-weight : 400" w:eastAsia="Times New Roman" w:cs="Cambria"/>
      <w:kern w:val="2"/>
      <w:sz w:val="21"/>
      <w:szCs w:val="21"/>
      <w:lang w:val="en-US" w:eastAsia="zh-CN"/>
    </w:rPr>
  </w:style>
  <w:style w:type="character" w:customStyle="1" w:styleId="104">
    <w:name w:val="纯文本 字符"/>
    <w:basedOn w:val="47"/>
    <w:qFormat/>
    <w:uiPriority w:val="0"/>
    <w:rPr>
      <w:rFonts w:ascii="??" w:hAnsi="Courier New" w:cs="??"/>
      <w:sz w:val="20"/>
      <w:szCs w:val="20"/>
    </w:rPr>
  </w:style>
  <w:style w:type="character" w:customStyle="1" w:styleId="105">
    <w:name w:val="Default Char"/>
    <w:link w:val="106"/>
    <w:qFormat/>
    <w:locked/>
    <w:uiPriority w:val="0"/>
    <w:rPr>
      <w:rFonts w:ascii="Cambria" w:hAnsi="??" w:eastAsia="Times New Roman" w:cs="Cambria"/>
      <w:color w:val="000000"/>
      <w:kern w:val="2"/>
      <w:sz w:val="24"/>
      <w:szCs w:val="24"/>
      <w:lang w:val="en-US" w:eastAsia="zh-CN" w:bidi="ar-SA"/>
    </w:rPr>
  </w:style>
  <w:style w:type="paragraph" w:customStyle="1" w:styleId="106">
    <w:name w:val="Default"/>
    <w:link w:val="105"/>
    <w:qFormat/>
    <w:uiPriority w:val="0"/>
    <w:pPr>
      <w:widowControl w:val="0"/>
      <w:autoSpaceDE w:val="0"/>
      <w:autoSpaceDN w:val="0"/>
      <w:adjustRightInd w:val="0"/>
      <w:ind w:firstLine="200" w:firstLineChars="200"/>
      <w:jc w:val="both"/>
    </w:pPr>
    <w:rPr>
      <w:rFonts w:ascii="Cambria" w:hAnsi="??" w:eastAsia="Times New Roman" w:cs="Cambria"/>
      <w:color w:val="000000"/>
      <w:kern w:val="2"/>
      <w:sz w:val="24"/>
      <w:szCs w:val="24"/>
      <w:lang w:val="en-US" w:eastAsia="zh-CN" w:bidi="ar-SA"/>
    </w:rPr>
  </w:style>
  <w:style w:type="character" w:customStyle="1" w:styleId="107">
    <w:name w:val="普通文字 Char Char3"/>
    <w:qFormat/>
    <w:uiPriority w:val="0"/>
    <w:rPr>
      <w:rFonts w:ascii="Cambria" w:hAnsi="font-weight : 400" w:eastAsia="Times New Roman" w:cs="Cambria"/>
      <w:kern w:val="2"/>
      <w:sz w:val="21"/>
      <w:szCs w:val="21"/>
      <w:lang w:val="en-US" w:eastAsia="zh-CN"/>
    </w:rPr>
  </w:style>
  <w:style w:type="character" w:customStyle="1" w:styleId="108">
    <w:name w:val="Char Char"/>
    <w:qFormat/>
    <w:uiPriority w:val="99"/>
    <w:rPr>
      <w:rFonts w:ascii="Cambria" w:hAnsi="font-weight : 400" w:eastAsia="Times New Roman" w:cs="Cambria"/>
      <w:kern w:val="2"/>
      <w:sz w:val="21"/>
      <w:szCs w:val="21"/>
      <w:lang w:val="en-US" w:eastAsia="zh-CN"/>
    </w:rPr>
  </w:style>
  <w:style w:type="character" w:customStyle="1" w:styleId="109">
    <w:name w:val="文档结构图 字符"/>
    <w:basedOn w:val="47"/>
    <w:qFormat/>
    <w:uiPriority w:val="0"/>
    <w:rPr>
      <w:rFonts w:ascii="Microsoft YaHei UI" w:hAnsi="楷体_GB2312" w:eastAsia="Microsoft YaHei UI" w:cs="Microsoft YaHei UI"/>
      <w:sz w:val="18"/>
      <w:szCs w:val="18"/>
    </w:rPr>
  </w:style>
  <w:style w:type="character" w:customStyle="1" w:styleId="110">
    <w:name w:val="正文文本缩进 3 字符"/>
    <w:basedOn w:val="47"/>
    <w:qFormat/>
    <w:uiPriority w:val="0"/>
    <w:rPr>
      <w:rFonts w:ascii="Cambria" w:hAnsi="楷体_GB2312" w:eastAsia="Times New Roman" w:cs="Cambria"/>
      <w:sz w:val="16"/>
      <w:szCs w:val="16"/>
    </w:rPr>
  </w:style>
  <w:style w:type="character" w:customStyle="1" w:styleId="111">
    <w:name w:val="页眉 Char"/>
    <w:qFormat/>
    <w:locked/>
    <w:uiPriority w:val="99"/>
    <w:rPr>
      <w:rFonts w:ascii="Cambria" w:eastAsia="Times New Roman" w:cs="Cambria"/>
      <w:kern w:val="2"/>
      <w:sz w:val="18"/>
      <w:szCs w:val="18"/>
    </w:rPr>
  </w:style>
  <w:style w:type="character" w:customStyle="1" w:styleId="112">
    <w:name w:val="批注主题 字符"/>
    <w:basedOn w:val="75"/>
    <w:qFormat/>
    <w:uiPriority w:val="0"/>
    <w:rPr>
      <w:rFonts w:ascii="Cambria" w:hAnsi="楷体_GB2312" w:eastAsia="Times New Roman" w:cs="Cambria"/>
      <w:b/>
      <w:bCs/>
      <w:sz w:val="20"/>
      <w:szCs w:val="20"/>
    </w:rPr>
  </w:style>
  <w:style w:type="character" w:customStyle="1" w:styleId="113">
    <w:name w:val="批注文字 Char"/>
    <w:qFormat/>
    <w:uiPriority w:val="0"/>
    <w:rPr>
      <w:rFonts w:ascii="Cambria" w:eastAsia="Times New Roman" w:cs="Cambria"/>
      <w:kern w:val="2"/>
      <w:sz w:val="28"/>
      <w:szCs w:val="28"/>
      <w:lang w:val="en-US" w:eastAsia="zh-CN"/>
    </w:rPr>
  </w:style>
  <w:style w:type="character" w:customStyle="1" w:styleId="114">
    <w:name w:val="日期 字符"/>
    <w:basedOn w:val="47"/>
    <w:qFormat/>
    <w:uiPriority w:val="0"/>
    <w:rPr>
      <w:rFonts w:ascii="Cambria" w:hAnsi="楷体_GB2312" w:eastAsia="Times New Roman" w:cs="Cambria"/>
      <w:sz w:val="20"/>
      <w:szCs w:val="20"/>
    </w:rPr>
  </w:style>
  <w:style w:type="character" w:customStyle="1" w:styleId="115">
    <w:name w:val="批注框文本 字符"/>
    <w:basedOn w:val="47"/>
    <w:qFormat/>
    <w:uiPriority w:val="0"/>
    <w:rPr>
      <w:rFonts w:ascii="Cambria" w:hAnsi="楷体_GB2312" w:eastAsia="Times New Roman" w:cs="Cambria"/>
      <w:sz w:val="18"/>
      <w:szCs w:val="18"/>
    </w:rPr>
  </w:style>
  <w:style w:type="character" w:customStyle="1" w:styleId="116">
    <w:name w:val="Char Char25"/>
    <w:qFormat/>
    <w:uiPriority w:val="99"/>
    <w:rPr>
      <w:rFonts w:ascii="Cambria" w:hAnsi="font-weight : 400" w:eastAsia="Times New Roman" w:cs="Cambria"/>
      <w:kern w:val="2"/>
      <w:sz w:val="21"/>
      <w:szCs w:val="21"/>
      <w:lang w:val="en-US" w:eastAsia="zh-CN"/>
    </w:rPr>
  </w:style>
  <w:style w:type="character" w:customStyle="1" w:styleId="117">
    <w:name w:val="ca-22"/>
    <w:qFormat/>
    <w:uiPriority w:val="0"/>
    <w:rPr>
      <w:rFonts w:ascii="Garamond" w:hAnsi="Garamond" w:cs="Garamond"/>
      <w:b/>
      <w:bCs/>
      <w:sz w:val="20"/>
      <w:szCs w:val="20"/>
    </w:rPr>
  </w:style>
  <w:style w:type="character" w:customStyle="1" w:styleId="118">
    <w:name w:val="页脚 Char"/>
    <w:qFormat/>
    <w:uiPriority w:val="99"/>
    <w:rPr>
      <w:rFonts w:ascii="Cambria" w:eastAsia="Times New Roman" w:cs="Cambria"/>
      <w:kern w:val="2"/>
      <w:sz w:val="18"/>
      <w:szCs w:val="18"/>
    </w:rPr>
  </w:style>
  <w:style w:type="character" w:customStyle="1" w:styleId="119">
    <w:name w:val="HTML 预设格式 字符"/>
    <w:basedOn w:val="47"/>
    <w:qFormat/>
    <w:uiPriority w:val="0"/>
    <w:rPr>
      <w:rFonts w:ascii="Courier New" w:hAnsi="Courier New" w:eastAsia="Times New Roman" w:cs="Courier New"/>
      <w:sz w:val="20"/>
      <w:szCs w:val="20"/>
    </w:rPr>
  </w:style>
  <w:style w:type="character" w:customStyle="1" w:styleId="120">
    <w:name w:val="正文文本缩进 字符"/>
    <w:basedOn w:val="47"/>
    <w:qFormat/>
    <w:uiPriority w:val="0"/>
    <w:rPr>
      <w:rFonts w:ascii="Cambria" w:hAnsi="楷体_GB2312" w:eastAsia="Times New Roman" w:cs="Cambria"/>
      <w:sz w:val="20"/>
      <w:szCs w:val="20"/>
    </w:rPr>
  </w:style>
  <w:style w:type="character" w:customStyle="1" w:styleId="121">
    <w:name w:val="正文文本缩进 2 字符"/>
    <w:basedOn w:val="47"/>
    <w:qFormat/>
    <w:uiPriority w:val="0"/>
    <w:rPr>
      <w:rFonts w:ascii="Cambria" w:hAnsi="楷体_GB2312" w:eastAsia="Times New Roman" w:cs="Cambria"/>
      <w:sz w:val="20"/>
      <w:szCs w:val="20"/>
    </w:rPr>
  </w:style>
  <w:style w:type="character" w:customStyle="1" w:styleId="122">
    <w:name w:val="个人撰写风格"/>
    <w:qFormat/>
    <w:uiPriority w:val="0"/>
    <w:rPr>
      <w:rFonts w:ascii="STZhongsong" w:hAnsi="STZhongsong" w:eastAsia="Times New Roman" w:cs="STZhongsong"/>
      <w:color w:val="auto"/>
      <w:sz w:val="20"/>
      <w:szCs w:val="20"/>
    </w:rPr>
  </w:style>
  <w:style w:type="character" w:customStyle="1" w:styleId="123">
    <w:name w:val="链接"/>
    <w:qFormat/>
    <w:uiPriority w:val="99"/>
    <w:rPr>
      <w:rFonts w:ascii="楷体_GB2312" w:eastAsia="Times New Roman" w:cs="楷体_GB2312"/>
      <w:color w:val="0000FF"/>
      <w:sz w:val="21"/>
      <w:szCs w:val="21"/>
      <w:u w:val="single" w:color="0000FF"/>
      <w:vertAlign w:val="baseline"/>
      <w:lang w:val="en-US" w:eastAsia="zh-CN"/>
    </w:rPr>
  </w:style>
  <w:style w:type="character" w:customStyle="1" w:styleId="124">
    <w:name w:val="个人答复风格"/>
    <w:qFormat/>
    <w:uiPriority w:val="0"/>
    <w:rPr>
      <w:rFonts w:ascii="STZhongsong" w:hAnsi="STZhongsong" w:eastAsia="Times New Roman" w:cs="STZhongsong"/>
      <w:color w:val="auto"/>
      <w:sz w:val="20"/>
      <w:szCs w:val="20"/>
    </w:rPr>
  </w:style>
  <w:style w:type="character" w:customStyle="1" w:styleId="125">
    <w:name w:val="正文文本 字符"/>
    <w:basedOn w:val="47"/>
    <w:qFormat/>
    <w:uiPriority w:val="0"/>
    <w:rPr>
      <w:rFonts w:ascii="Cambria" w:hAnsi="楷体_GB2312" w:eastAsia="Times New Roman" w:cs="Cambria"/>
      <w:sz w:val="20"/>
      <w:szCs w:val="20"/>
    </w:rPr>
  </w:style>
  <w:style w:type="paragraph" w:customStyle="1" w:styleId="126">
    <w:name w:val="Revision1"/>
    <w:qFormat/>
    <w:uiPriority w:val="99"/>
    <w:pPr>
      <w:ind w:firstLine="200" w:firstLineChars="200"/>
      <w:jc w:val="both"/>
    </w:pPr>
    <w:rPr>
      <w:rFonts w:ascii="Cambria" w:hAnsi="楷体_GB2312" w:eastAsia="Times New Roman" w:cs="Cambria"/>
      <w:kern w:val="2"/>
      <w:sz w:val="28"/>
      <w:szCs w:val="28"/>
      <w:lang w:val="en-US" w:eastAsia="zh-CN" w:bidi="ar-SA"/>
    </w:rPr>
  </w:style>
  <w:style w:type="paragraph" w:customStyle="1" w:styleId="127">
    <w:name w:val="p16"/>
    <w:basedOn w:val="1"/>
    <w:qFormat/>
    <w:uiPriority w:val="0"/>
    <w:pPr>
      <w:widowControl/>
    </w:pPr>
    <w:rPr>
      <w:rFonts w:hAnsi="Cambria" w:eastAsia="宋体"/>
      <w:color w:val="000000"/>
      <w:kern w:val="0"/>
      <w:sz w:val="21"/>
      <w:szCs w:val="21"/>
    </w:rPr>
  </w:style>
  <w:style w:type="paragraph" w:customStyle="1" w:styleId="128">
    <w:name w:val="Char Char2"/>
    <w:basedOn w:val="1"/>
    <w:qFormat/>
    <w:uiPriority w:val="0"/>
    <w:rPr>
      <w:rFonts w:ascii="楷体_GB2312" w:hAnsi="Cambria" w:eastAsia="楷体_GB2312" w:cs="楷体_GB2312"/>
      <w:sz w:val="21"/>
      <w:szCs w:val="21"/>
    </w:rPr>
  </w:style>
  <w:style w:type="paragraph" w:customStyle="1" w:styleId="129">
    <w:name w:val="CM52"/>
    <w:basedOn w:val="106"/>
    <w:next w:val="106"/>
    <w:qFormat/>
    <w:uiPriority w:val="0"/>
    <w:pPr>
      <w:spacing w:after="163"/>
    </w:pPr>
    <w:rPr>
      <w:color w:val="auto"/>
    </w:rPr>
  </w:style>
  <w:style w:type="paragraph" w:customStyle="1" w:styleId="130">
    <w:name w:val="CM56"/>
    <w:basedOn w:val="106"/>
    <w:next w:val="106"/>
    <w:qFormat/>
    <w:uiPriority w:val="0"/>
    <w:pPr>
      <w:spacing w:after="115"/>
      <w:ind w:firstLine="0" w:firstLineChars="0"/>
      <w:jc w:val="left"/>
    </w:pPr>
    <w:rPr>
      <w:color w:val="auto"/>
    </w:rPr>
  </w:style>
  <w:style w:type="paragraph" w:customStyle="1" w:styleId="131">
    <w:name w:val="默认段落字体 Para Char"/>
    <w:basedOn w:val="1"/>
    <w:qFormat/>
    <w:uiPriority w:val="0"/>
    <w:pPr>
      <w:tabs>
        <w:tab w:val="left" w:pos="480"/>
        <w:tab w:val="left" w:pos="1080"/>
      </w:tabs>
      <w:ind w:left="480" w:hanging="480"/>
    </w:pPr>
  </w:style>
  <w:style w:type="paragraph" w:customStyle="1" w:styleId="132">
    <w:name w:val="目录标题"/>
    <w:basedOn w:val="1"/>
    <w:next w:val="1"/>
    <w:qFormat/>
    <w:uiPriority w:val="99"/>
    <w:pPr>
      <w:widowControl/>
      <w:spacing w:before="215" w:after="419" w:line="436" w:lineRule="atLeast"/>
      <w:ind w:firstLine="419"/>
      <w:jc w:val="center"/>
      <w:textAlignment w:val="baseline"/>
    </w:pPr>
    <w:rPr>
      <w:rFonts w:ascii="STZhongsong" w:eastAsia="华文宋体" w:cs="STZhongsong"/>
      <w:color w:val="000000"/>
      <w:spacing w:val="283"/>
      <w:kern w:val="0"/>
      <w:sz w:val="42"/>
      <w:szCs w:val="42"/>
      <w:u w:color="000000"/>
    </w:rPr>
  </w:style>
  <w:style w:type="paragraph" w:customStyle="1" w:styleId="133">
    <w:name w:val="p0"/>
    <w:basedOn w:val="1"/>
    <w:qFormat/>
    <w:uiPriority w:val="0"/>
    <w:pPr>
      <w:widowControl/>
    </w:pPr>
    <w:rPr>
      <w:rFonts w:ascii="楷体_GB2312" w:hAnsi="Cambria" w:eastAsia="楷体_GB2312" w:cs="楷体_GB2312"/>
      <w:kern w:val="0"/>
      <w:sz w:val="32"/>
      <w:szCs w:val="32"/>
    </w:rPr>
  </w:style>
  <w:style w:type="paragraph" w:customStyle="1" w:styleId="134">
    <w:name w:val="列表段落1"/>
    <w:basedOn w:val="1"/>
    <w:qFormat/>
    <w:uiPriority w:val="99"/>
    <w:pPr>
      <w:ind w:firstLine="420"/>
    </w:pPr>
  </w:style>
  <w:style w:type="paragraph" w:customStyle="1" w:styleId="135">
    <w:name w:val="节标题"/>
    <w:basedOn w:val="1"/>
    <w:next w:val="136"/>
    <w:qFormat/>
    <w:uiPriority w:val="99"/>
    <w:pPr>
      <w:widowControl/>
      <w:spacing w:line="289" w:lineRule="atLeast"/>
      <w:jc w:val="center"/>
      <w:textAlignment w:val="baseline"/>
    </w:pPr>
    <w:rPr>
      <w:rFonts w:ascii="楷体_GB2312" w:hAnsi="Cambria" w:eastAsia="楷体_GB2312" w:cs="楷体_GB2312"/>
      <w:color w:val="000000"/>
      <w:kern w:val="0"/>
      <w:u w:color="000000"/>
    </w:rPr>
  </w:style>
  <w:style w:type="paragraph" w:customStyle="1" w:styleId="136">
    <w:name w:val="小节标题"/>
    <w:basedOn w:val="1"/>
    <w:next w:val="1"/>
    <w:qFormat/>
    <w:uiPriority w:val="99"/>
    <w:pPr>
      <w:widowControl/>
      <w:spacing w:before="175" w:after="102" w:line="351" w:lineRule="atLeast"/>
      <w:textAlignment w:val="baseline"/>
    </w:pPr>
    <w:rPr>
      <w:rFonts w:ascii="楷体_GB2312" w:eastAsia="华文宋体" w:cs="楷体_GB2312"/>
      <w:color w:val="000000"/>
      <w:kern w:val="0"/>
      <w:sz w:val="21"/>
      <w:szCs w:val="21"/>
      <w:u w:color="000000"/>
    </w:rPr>
  </w:style>
  <w:style w:type="paragraph" w:customStyle="1" w:styleId="137">
    <w:name w:val="Char Char21"/>
    <w:basedOn w:val="1"/>
    <w:qFormat/>
    <w:uiPriority w:val="99"/>
    <w:rPr>
      <w:rFonts w:ascii="楷体_GB2312" w:hAnsi="Cambria" w:eastAsia="楷体_GB2312" w:cs="楷体_GB2312"/>
      <w:sz w:val="21"/>
      <w:szCs w:val="21"/>
    </w:rPr>
  </w:style>
  <w:style w:type="paragraph" w:customStyle="1" w:styleId="138">
    <w:name w:val="CM54"/>
    <w:basedOn w:val="106"/>
    <w:next w:val="106"/>
    <w:qFormat/>
    <w:uiPriority w:val="0"/>
    <w:pPr>
      <w:spacing w:after="633"/>
    </w:pPr>
    <w:rPr>
      <w:color w:val="auto"/>
    </w:rPr>
  </w:style>
  <w:style w:type="paragraph" w:customStyle="1" w:styleId="139">
    <w:name w:val="Char Char Char Char Char Char2 Char Char Char Char"/>
    <w:basedOn w:val="1"/>
    <w:qFormat/>
    <w:uiPriority w:val="99"/>
    <w:rPr>
      <w:rFonts w:ascii="楷体_GB2312" w:hAnsi="Cambria" w:eastAsia="楷体_GB2312" w:cs="楷体_GB2312"/>
      <w:sz w:val="21"/>
      <w:szCs w:val="21"/>
    </w:rPr>
  </w:style>
  <w:style w:type="paragraph" w:customStyle="1" w:styleId="140">
    <w:name w:val="CM4"/>
    <w:basedOn w:val="106"/>
    <w:next w:val="106"/>
    <w:qFormat/>
    <w:uiPriority w:val="0"/>
    <w:pPr>
      <w:ind w:firstLine="0" w:firstLineChars="0"/>
      <w:jc w:val="left"/>
    </w:pPr>
    <w:rPr>
      <w:color w:val="auto"/>
    </w:rPr>
  </w:style>
  <w:style w:type="paragraph" w:customStyle="1" w:styleId="141">
    <w:name w:val="样式2"/>
    <w:basedOn w:val="5"/>
    <w:qFormat/>
    <w:uiPriority w:val="0"/>
    <w:pPr>
      <w:keepNext w:val="0"/>
      <w:keepLines w:val="0"/>
      <w:widowControl/>
      <w:spacing w:before="0" w:after="0" w:line="240" w:lineRule="auto"/>
      <w:ind w:firstLine="0" w:firstLineChars="0"/>
      <w:jc w:val="left"/>
    </w:pPr>
    <w:rPr>
      <w:rFonts w:ascii="Cambria" w:eastAsia="宋体" w:cs="Cambria"/>
      <w:i/>
      <w:iCs/>
      <w:sz w:val="27"/>
      <w:szCs w:val="27"/>
    </w:rPr>
  </w:style>
  <w:style w:type="paragraph" w:customStyle="1" w:styleId="142">
    <w:name w:val="Char Char1 Char Char"/>
    <w:basedOn w:val="1"/>
    <w:qFormat/>
    <w:uiPriority w:val="0"/>
  </w:style>
  <w:style w:type="paragraph" w:customStyle="1" w:styleId="143">
    <w:name w:val="目录3"/>
    <w:basedOn w:val="1"/>
    <w:next w:val="1"/>
    <w:qFormat/>
    <w:uiPriority w:val="99"/>
    <w:pPr>
      <w:widowControl/>
      <w:tabs>
        <w:tab w:val="left" w:leader="dot" w:pos="8503"/>
      </w:tabs>
      <w:spacing w:line="317" w:lineRule="atLeast"/>
      <w:ind w:left="419" w:firstLine="419"/>
      <w:textAlignment w:val="baseline"/>
    </w:pPr>
    <w:rPr>
      <w:rFonts w:ascii="楷体_GB2312" w:hAnsi="Cambria" w:eastAsia="楷体_GB2312" w:cs="楷体_GB2312"/>
      <w:color w:val="000000"/>
      <w:kern w:val="0"/>
      <w:sz w:val="21"/>
      <w:szCs w:val="21"/>
      <w:u w:color="000000"/>
    </w:rPr>
  </w:style>
  <w:style w:type="paragraph" w:customStyle="1" w:styleId="144">
    <w:name w:val="CM27"/>
    <w:basedOn w:val="106"/>
    <w:next w:val="106"/>
    <w:qFormat/>
    <w:uiPriority w:val="0"/>
    <w:pPr>
      <w:spacing w:line="400" w:lineRule="atLeast"/>
      <w:ind w:firstLine="0" w:firstLineChars="0"/>
      <w:jc w:val="left"/>
    </w:pPr>
    <w:rPr>
      <w:color w:val="auto"/>
    </w:rPr>
  </w:style>
  <w:style w:type="paragraph" w:customStyle="1" w:styleId="145">
    <w:name w:val="List Paragraph1"/>
    <w:basedOn w:val="1"/>
    <w:qFormat/>
    <w:uiPriority w:val="0"/>
    <w:pPr>
      <w:ind w:firstLine="420"/>
    </w:pPr>
    <w:rPr>
      <w:rFonts w:ascii="楷体_GB2312" w:hAnsi="Cambria" w:eastAsia="楷体_GB2312" w:cs="楷体_GB2312"/>
      <w:sz w:val="21"/>
      <w:szCs w:val="21"/>
    </w:rPr>
  </w:style>
  <w:style w:type="paragraph" w:customStyle="1" w:styleId="146">
    <w:name w:val="Blockquote"/>
    <w:basedOn w:val="1"/>
    <w:qFormat/>
    <w:uiPriority w:val="0"/>
    <w:pPr>
      <w:autoSpaceDE w:val="0"/>
      <w:autoSpaceDN w:val="0"/>
      <w:adjustRightInd w:val="0"/>
      <w:spacing w:before="100" w:after="100"/>
      <w:ind w:left="360" w:right="360"/>
      <w:jc w:val="left"/>
    </w:pPr>
    <w:rPr>
      <w:rFonts w:ascii="楷体_GB2312" w:hAnsi="Cambria" w:eastAsia="楷体_GB2312" w:cs="楷体_GB2312"/>
      <w:kern w:val="0"/>
      <w:sz w:val="24"/>
      <w:szCs w:val="24"/>
    </w:rPr>
  </w:style>
  <w:style w:type="paragraph" w:customStyle="1" w:styleId="147">
    <w:name w:val="目录4"/>
    <w:basedOn w:val="1"/>
    <w:next w:val="1"/>
    <w:qFormat/>
    <w:uiPriority w:val="99"/>
    <w:pPr>
      <w:widowControl/>
      <w:tabs>
        <w:tab w:val="left" w:leader="dot" w:pos="8503"/>
      </w:tabs>
      <w:spacing w:line="317" w:lineRule="atLeast"/>
      <w:ind w:left="419" w:firstLine="629"/>
      <w:textAlignment w:val="baseline"/>
    </w:pPr>
    <w:rPr>
      <w:rFonts w:ascii="楷体_GB2312" w:hAnsi="Cambria" w:eastAsia="楷体_GB2312" w:cs="楷体_GB2312"/>
      <w:color w:val="000000"/>
      <w:kern w:val="0"/>
      <w:sz w:val="21"/>
      <w:szCs w:val="21"/>
      <w:u w:color="000000"/>
    </w:rPr>
  </w:style>
  <w:style w:type="paragraph" w:customStyle="1" w:styleId="148">
    <w:name w:val="封面标准文稿编辑信息"/>
    <w:qFormat/>
    <w:uiPriority w:val="0"/>
    <w:pPr>
      <w:spacing w:before="180" w:line="180" w:lineRule="exact"/>
      <w:ind w:firstLine="200" w:firstLineChars="200"/>
      <w:jc w:val="center"/>
    </w:pPr>
    <w:rPr>
      <w:rFonts w:ascii="Cambria" w:hAnsi="楷体_GB2312" w:eastAsia="Times New Roman" w:cs="Cambria"/>
      <w:sz w:val="21"/>
      <w:szCs w:val="21"/>
      <w:lang w:val="en-US" w:eastAsia="zh-CN" w:bidi="ar-SA"/>
    </w:rPr>
  </w:style>
  <w:style w:type="paragraph" w:customStyle="1" w:styleId="149">
    <w:name w:val="目录1"/>
    <w:basedOn w:val="1"/>
    <w:next w:val="1"/>
    <w:qFormat/>
    <w:uiPriority w:val="99"/>
    <w:pPr>
      <w:widowControl/>
      <w:tabs>
        <w:tab w:val="left" w:leader="dot" w:pos="8503"/>
      </w:tabs>
      <w:spacing w:after="102" w:line="215" w:lineRule="atLeast"/>
      <w:ind w:firstLine="419"/>
      <w:jc w:val="left"/>
      <w:textAlignment w:val="baseline"/>
    </w:pPr>
    <w:rPr>
      <w:rFonts w:ascii="楷体_GB2312" w:hAnsi="Cambria" w:eastAsia="楷体_GB2312" w:cs="楷体_GB2312"/>
      <w:color w:val="000000"/>
      <w:kern w:val="0"/>
      <w:sz w:val="21"/>
      <w:szCs w:val="21"/>
      <w:u w:color="000000"/>
    </w:rPr>
  </w:style>
  <w:style w:type="paragraph" w:customStyle="1" w:styleId="150">
    <w:name w:val="列出段落1"/>
    <w:basedOn w:val="1"/>
    <w:qFormat/>
    <w:uiPriority w:val="0"/>
    <w:pPr>
      <w:ind w:firstLine="420"/>
    </w:pPr>
  </w:style>
  <w:style w:type="paragraph" w:customStyle="1" w:styleId="151">
    <w:name w:val="CM32"/>
    <w:basedOn w:val="106"/>
    <w:next w:val="106"/>
    <w:qFormat/>
    <w:uiPriority w:val="0"/>
    <w:pPr>
      <w:spacing w:line="400" w:lineRule="atLeast"/>
      <w:ind w:firstLine="0" w:firstLineChars="0"/>
      <w:jc w:val="left"/>
    </w:pPr>
    <w:rPr>
      <w:color w:val="auto"/>
    </w:rPr>
  </w:style>
  <w:style w:type="paragraph" w:customStyle="1" w:styleId="152">
    <w:name w:val="Char"/>
    <w:basedOn w:val="1"/>
    <w:qFormat/>
    <w:uiPriority w:val="0"/>
    <w:pPr>
      <w:ind w:firstLine="0" w:firstLineChars="0"/>
    </w:pPr>
    <w:rPr>
      <w:rFonts w:ascii="Garamond" w:hAnsi="Garamond" w:eastAsia="楷体_GB2312" w:cs="Garamond"/>
      <w:b/>
      <w:bCs/>
      <w:kern w:val="0"/>
      <w:sz w:val="24"/>
      <w:szCs w:val="24"/>
    </w:rPr>
  </w:style>
  <w:style w:type="paragraph" w:customStyle="1" w:styleId="153">
    <w:name w:val="目录2"/>
    <w:basedOn w:val="1"/>
    <w:next w:val="1"/>
    <w:qFormat/>
    <w:uiPriority w:val="99"/>
    <w:pPr>
      <w:widowControl/>
      <w:tabs>
        <w:tab w:val="left" w:leader="dot" w:pos="8503"/>
      </w:tabs>
      <w:spacing w:line="317" w:lineRule="atLeast"/>
      <w:ind w:left="419" w:firstLine="419"/>
      <w:textAlignment w:val="baseline"/>
    </w:pPr>
    <w:rPr>
      <w:rFonts w:ascii="楷体_GB2312" w:hAnsi="Cambria" w:eastAsia="楷体_GB2312" w:cs="楷体_GB2312"/>
      <w:color w:val="000000"/>
      <w:kern w:val="0"/>
      <w:sz w:val="21"/>
      <w:szCs w:val="21"/>
      <w:u w:color="000000"/>
    </w:rPr>
  </w:style>
  <w:style w:type="paragraph" w:customStyle="1" w:styleId="154">
    <w:name w:val="p15"/>
    <w:basedOn w:val="1"/>
    <w:qFormat/>
    <w:uiPriority w:val="0"/>
    <w:pPr>
      <w:widowControl/>
      <w:ind w:firstLine="420"/>
    </w:pPr>
    <w:rPr>
      <w:rFonts w:ascii="STKaiti" w:hAnsi="Cambria" w:eastAsia="STKaiti" w:cs="STKaiti"/>
      <w:kern w:val="0"/>
    </w:rPr>
  </w:style>
  <w:style w:type="paragraph" w:styleId="155">
    <w:name w:val="No Spacing"/>
    <w:link w:val="156"/>
    <w:qFormat/>
    <w:uiPriority w:val="1"/>
    <w:pPr>
      <w:widowControl w:val="0"/>
      <w:ind w:firstLine="200" w:firstLineChars="200"/>
      <w:jc w:val="both"/>
    </w:pPr>
    <w:rPr>
      <w:rFonts w:ascii="STKaiti" w:hAnsi="STKaiti" w:eastAsia="Times New Roman" w:cs="STKaiti"/>
      <w:kern w:val="2"/>
      <w:sz w:val="21"/>
      <w:szCs w:val="22"/>
      <w:lang w:val="en-US" w:eastAsia="zh-CN" w:bidi="ar-SA"/>
    </w:rPr>
  </w:style>
  <w:style w:type="character" w:customStyle="1" w:styleId="156">
    <w:name w:val="无间隔 字符"/>
    <w:link w:val="155"/>
    <w:qFormat/>
    <w:locked/>
    <w:uiPriority w:val="1"/>
    <w:rPr>
      <w:rFonts w:ascii="STKaiti" w:hAnsi="STKaiti" w:eastAsia="Times New Roman" w:cs="STKaiti"/>
      <w:kern w:val="2"/>
      <w:sz w:val="21"/>
      <w:szCs w:val="22"/>
      <w:lang w:val="en-US" w:eastAsia="zh-CN" w:bidi="ar-SA"/>
    </w:rPr>
  </w:style>
  <w:style w:type="paragraph" w:customStyle="1" w:styleId="157">
    <w:name w:val="CM24"/>
    <w:basedOn w:val="106"/>
    <w:next w:val="106"/>
    <w:qFormat/>
    <w:uiPriority w:val="0"/>
    <w:pPr>
      <w:spacing w:line="440" w:lineRule="atLeast"/>
      <w:ind w:firstLine="0" w:firstLineChars="0"/>
      <w:jc w:val="left"/>
    </w:pPr>
    <w:rPr>
      <w:color w:val="auto"/>
    </w:rPr>
  </w:style>
  <w:style w:type="paragraph" w:customStyle="1" w:styleId="158">
    <w:name w:val="文章总标题"/>
    <w:basedOn w:val="1"/>
    <w:next w:val="159"/>
    <w:qFormat/>
    <w:uiPriority w:val="99"/>
    <w:pPr>
      <w:widowControl/>
      <w:spacing w:before="566" w:after="544" w:line="566" w:lineRule="atLeast"/>
      <w:jc w:val="center"/>
      <w:textAlignment w:val="baseline"/>
    </w:pPr>
    <w:rPr>
      <w:rFonts w:ascii="STZhongsong" w:eastAsia="华文宋体" w:cs="STZhongsong"/>
      <w:color w:val="000000"/>
      <w:kern w:val="0"/>
      <w:sz w:val="54"/>
      <w:szCs w:val="54"/>
      <w:u w:color="000000"/>
    </w:rPr>
  </w:style>
  <w:style w:type="paragraph" w:customStyle="1" w:styleId="159">
    <w:name w:val="文章副标题"/>
    <w:basedOn w:val="1"/>
    <w:next w:val="160"/>
    <w:qFormat/>
    <w:uiPriority w:val="99"/>
    <w:pPr>
      <w:widowControl/>
      <w:spacing w:before="187" w:after="175" w:line="374" w:lineRule="atLeast"/>
      <w:jc w:val="center"/>
      <w:textAlignment w:val="baseline"/>
    </w:pPr>
    <w:rPr>
      <w:rFonts w:ascii="楷体_GB2312" w:hAnsi="Cambria" w:eastAsia="楷体_GB2312" w:cs="楷体_GB2312"/>
      <w:color w:val="000000"/>
      <w:kern w:val="0"/>
      <w:sz w:val="36"/>
      <w:szCs w:val="36"/>
      <w:u w:color="000000"/>
    </w:rPr>
  </w:style>
  <w:style w:type="paragraph" w:customStyle="1" w:styleId="160">
    <w:name w:val="章标题"/>
    <w:basedOn w:val="1"/>
    <w:next w:val="135"/>
    <w:qFormat/>
    <w:uiPriority w:val="99"/>
    <w:pPr>
      <w:widowControl/>
      <w:spacing w:before="158" w:after="153" w:line="323" w:lineRule="atLeast"/>
      <w:jc w:val="center"/>
      <w:textAlignment w:val="baseline"/>
    </w:pPr>
    <w:rPr>
      <w:rFonts w:ascii="STZhongsong" w:eastAsia="华文宋体" w:cs="STZhongsong"/>
      <w:color w:val="000000"/>
      <w:kern w:val="0"/>
      <w:sz w:val="31"/>
      <w:szCs w:val="31"/>
      <w:u w:color="000000"/>
    </w:rPr>
  </w:style>
  <w:style w:type="paragraph" w:customStyle="1" w:styleId="161">
    <w:name w:val="Char Char1 Char Char1"/>
    <w:basedOn w:val="1"/>
    <w:qFormat/>
    <w:uiPriority w:val="99"/>
  </w:style>
  <w:style w:type="paragraph" w:customStyle="1" w:styleId="162">
    <w:name w:val="_Style 15"/>
    <w:basedOn w:val="1"/>
    <w:qFormat/>
    <w:uiPriority w:val="0"/>
  </w:style>
  <w:style w:type="character" w:customStyle="1" w:styleId="163">
    <w:name w:val="引用 Char2"/>
    <w:qFormat/>
    <w:uiPriority w:val="29"/>
    <w:rPr>
      <w:rFonts w:ascii="楷体_GB2312" w:hAnsi="楷体_GB2312" w:eastAsia="Times New Roman" w:cs="楷体_GB2312"/>
      <w:i/>
      <w:iCs/>
      <w:color w:val="000000"/>
      <w:sz w:val="24"/>
      <w:szCs w:val="24"/>
    </w:rPr>
  </w:style>
  <w:style w:type="character" w:customStyle="1" w:styleId="164">
    <w:name w:val="正文文本 2 Char2"/>
    <w:qFormat/>
    <w:uiPriority w:val="99"/>
    <w:rPr>
      <w:rFonts w:ascii="Cambria" w:cs="Cambria"/>
      <w:kern w:val="2"/>
      <w:sz w:val="28"/>
      <w:szCs w:val="28"/>
    </w:rPr>
  </w:style>
  <w:style w:type="character" w:customStyle="1" w:styleId="165">
    <w:name w:val="郑梅正文"/>
    <w:qFormat/>
    <w:uiPriority w:val="0"/>
    <w:rPr>
      <w:rFonts w:ascii="楷体_GB2312" w:hAnsi="楷体_GB2312" w:eastAsia="Times New Roman" w:cs="楷体_GB2312"/>
      <w:sz w:val="24"/>
      <w:szCs w:val="24"/>
    </w:rPr>
  </w:style>
  <w:style w:type="character" w:customStyle="1" w:styleId="166">
    <w:name w:val="Definition"/>
    <w:qFormat/>
    <w:uiPriority w:val="0"/>
    <w:rPr>
      <w:i/>
      <w:iCs/>
    </w:rPr>
  </w:style>
  <w:style w:type="character" w:customStyle="1" w:styleId="167">
    <w:name w:val="页眉 Char1"/>
    <w:qFormat/>
    <w:uiPriority w:val="0"/>
    <w:rPr>
      <w:rFonts w:ascii="Cambria" w:hAnsi="Cambria" w:cs="Cambria"/>
      <w:sz w:val="18"/>
      <w:szCs w:val="18"/>
    </w:rPr>
  </w:style>
  <w:style w:type="character" w:customStyle="1" w:styleId="168">
    <w:name w:val="副标题 Char"/>
    <w:qFormat/>
    <w:uiPriority w:val="0"/>
    <w:rPr>
      <w:rFonts w:ascii="???|CS?o｡ﾀ?" w:eastAsia="???|CS?o｡ﾀ?" w:cs="???|CS?o｡ﾀ?"/>
      <w:b/>
      <w:bCs/>
      <w:kern w:val="28"/>
      <w:sz w:val="32"/>
      <w:szCs w:val="32"/>
    </w:rPr>
  </w:style>
  <w:style w:type="character" w:customStyle="1" w:styleId="169">
    <w:name w:val="正文文本 2 字符"/>
    <w:basedOn w:val="47"/>
    <w:qFormat/>
    <w:uiPriority w:val="99"/>
    <w:rPr>
      <w:rFonts w:ascii="Cambria" w:hAnsi="楷体_GB2312" w:eastAsia="Times New Roman" w:cs="Cambria"/>
      <w:sz w:val="20"/>
      <w:szCs w:val="20"/>
    </w:rPr>
  </w:style>
  <w:style w:type="character" w:customStyle="1" w:styleId="170">
    <w:name w:val="纯文本 Char2"/>
    <w:semiHidden/>
    <w:qFormat/>
    <w:uiPriority w:val="99"/>
    <w:rPr>
      <w:rFonts w:ascii="Cambria" w:hAnsi="font-weight : 400" w:eastAsia="Times New Roman" w:cs="Cambria"/>
      <w:sz w:val="21"/>
      <w:szCs w:val="21"/>
    </w:rPr>
  </w:style>
  <w:style w:type="character" w:customStyle="1" w:styleId="171">
    <w:name w:val="正文首行缩进 Char1"/>
    <w:semiHidden/>
    <w:qFormat/>
    <w:uiPriority w:val="99"/>
  </w:style>
  <w:style w:type="character" w:customStyle="1" w:styleId="172">
    <w:name w:val="样式 正文文本 Char Char Char"/>
    <w:qFormat/>
    <w:uiPriority w:val="0"/>
    <w:rPr>
      <w:rFonts w:ascii="STZhongsong" w:hAnsi="STZhongsong" w:eastAsia="Times New Roman" w:cs="STZhongsong"/>
      <w:color w:val="000000"/>
      <w:kern w:val="2"/>
      <w:sz w:val="21"/>
      <w:szCs w:val="21"/>
      <w:lang w:val="en-US" w:eastAsia="zh-CN"/>
    </w:rPr>
  </w:style>
  <w:style w:type="character" w:customStyle="1" w:styleId="173">
    <w:name w:val="font51"/>
    <w:qFormat/>
    <w:uiPriority w:val="0"/>
    <w:rPr>
      <w:rFonts w:ascii="Cambria" w:hAnsi="Cambria" w:eastAsia="Times New Roman" w:cs="Cambria"/>
      <w:color w:val="000000"/>
      <w:sz w:val="20"/>
      <w:szCs w:val="20"/>
      <w:u w:val="none"/>
    </w:rPr>
  </w:style>
  <w:style w:type="character" w:customStyle="1" w:styleId="174">
    <w:name w:val="bds_more"/>
    <w:qFormat/>
    <w:uiPriority w:val="0"/>
    <w:rPr>
      <w:rFonts w:ascii="Cambria" w:hAnsi="Cambria" w:eastAsia="Times New Roman" w:cs="Cambria"/>
    </w:rPr>
  </w:style>
  <w:style w:type="character" w:customStyle="1" w:styleId="175">
    <w:name w:val="样式 正文文本 Char Char"/>
    <w:qFormat/>
    <w:uiPriority w:val="0"/>
    <w:rPr>
      <w:rFonts w:ascii="STZhongsong" w:eastAsia="STZhongsong" w:cs="STZhongsong"/>
      <w:color w:val="000000"/>
      <w:kern w:val="2"/>
      <w:sz w:val="21"/>
      <w:szCs w:val="21"/>
    </w:rPr>
  </w:style>
  <w:style w:type="character" w:customStyle="1" w:styleId="176">
    <w:name w:val="Subtle Emphasis1"/>
    <w:qFormat/>
    <w:uiPriority w:val="99"/>
    <w:rPr>
      <w:i/>
      <w:iCs/>
      <w:color w:val="808080"/>
    </w:rPr>
  </w:style>
  <w:style w:type="character" w:customStyle="1" w:styleId="177">
    <w:name w:val="num"/>
    <w:qFormat/>
    <w:uiPriority w:val="0"/>
    <w:rPr>
      <w:b/>
      <w:bCs/>
      <w:color w:val="auto"/>
    </w:rPr>
  </w:style>
  <w:style w:type="character" w:customStyle="1" w:styleId="178">
    <w:name w:val="批注主题 Char3"/>
    <w:semiHidden/>
    <w:qFormat/>
    <w:uiPriority w:val="99"/>
    <w:rPr>
      <w:rFonts w:ascii="楷体_GB2312" w:hAnsi="楷体_GB2312" w:eastAsia="Times New Roman" w:cs="楷体_GB2312"/>
      <w:b/>
      <w:bCs/>
      <w:sz w:val="24"/>
      <w:szCs w:val="24"/>
    </w:rPr>
  </w:style>
  <w:style w:type="character" w:customStyle="1" w:styleId="179">
    <w:name w:val="手改 Char Char"/>
    <w:qFormat/>
    <w:uiPriority w:val="0"/>
    <w:rPr>
      <w:sz w:val="24"/>
      <w:szCs w:val="24"/>
    </w:rPr>
  </w:style>
  <w:style w:type="character" w:customStyle="1" w:styleId="180">
    <w:name w:val="批注文字 Char Char"/>
    <w:qFormat/>
    <w:uiPriority w:val="0"/>
    <w:rPr>
      <w:rFonts w:ascii="Cambria" w:hAnsi="楷体_GB2312" w:eastAsia="Times New Roman" w:cs="Cambria"/>
      <w:sz w:val="20"/>
      <w:szCs w:val="20"/>
    </w:rPr>
  </w:style>
  <w:style w:type="character" w:customStyle="1" w:styleId="181">
    <w:name w:val="正文＋黑体 Char Char"/>
    <w:qFormat/>
    <w:uiPriority w:val="0"/>
    <w:rPr>
      <w:rFonts w:ascii="STZhongsong" w:hAnsi="STZhongsong" w:eastAsia="华文宋体" w:cs="STZhongsong"/>
      <w:kern w:val="2"/>
      <w:sz w:val="24"/>
      <w:szCs w:val="24"/>
    </w:rPr>
  </w:style>
  <w:style w:type="character" w:customStyle="1" w:styleId="182">
    <w:name w:val="列表编号3 Char"/>
    <w:qFormat/>
    <w:uiPriority w:val="0"/>
    <w:rPr>
      <w:rFonts w:ascii="STZhongsong" w:hAnsi="STZhongsong" w:eastAsia="Times New Roman" w:cs="STZhongsong"/>
      <w:snapToGrid w:val="0"/>
      <w:sz w:val="21"/>
      <w:szCs w:val="21"/>
      <w:lang w:val="en-US" w:eastAsia="zh-CN"/>
    </w:rPr>
  </w:style>
  <w:style w:type="character" w:customStyle="1" w:styleId="183">
    <w:name w:val="标题5 Char Char"/>
    <w:link w:val="184"/>
    <w:qFormat/>
    <w:locked/>
    <w:uiPriority w:val="0"/>
    <w:rPr>
      <w:rFonts w:ascii="STZhongsong" w:eastAsia="STZhongsong" w:cs="STZhongsong"/>
      <w:b/>
      <w:bCs/>
      <w:sz w:val="32"/>
      <w:szCs w:val="32"/>
    </w:rPr>
  </w:style>
  <w:style w:type="paragraph" w:customStyle="1" w:styleId="184">
    <w:name w:val="标题5"/>
    <w:basedOn w:val="5"/>
    <w:link w:val="183"/>
    <w:qFormat/>
    <w:uiPriority w:val="0"/>
    <w:pPr>
      <w:spacing w:line="413" w:lineRule="auto"/>
      <w:ind w:firstLine="0" w:firstLineChars="0"/>
    </w:pPr>
    <w:rPr>
      <w:rFonts w:ascii="STZhongsong" w:hAnsi="Times New Roman" w:eastAsia="STZhongsong" w:cs="Times New Roman"/>
    </w:rPr>
  </w:style>
  <w:style w:type="character" w:customStyle="1" w:styleId="185">
    <w:name w:val="文档结构图 Char3"/>
    <w:semiHidden/>
    <w:qFormat/>
    <w:uiPriority w:val="99"/>
    <w:rPr>
      <w:rFonts w:ascii="Cambria" w:hAnsi="楷体_GB2312" w:eastAsia="Times New Roman" w:cs="Cambria"/>
      <w:sz w:val="18"/>
      <w:szCs w:val="18"/>
    </w:rPr>
  </w:style>
  <w:style w:type="character" w:customStyle="1" w:styleId="186">
    <w:name w:val="Variable"/>
    <w:qFormat/>
    <w:uiPriority w:val="0"/>
    <w:rPr>
      <w:i/>
      <w:iCs/>
    </w:rPr>
  </w:style>
  <w:style w:type="character" w:customStyle="1" w:styleId="187">
    <w:name w:val="引用 Char3"/>
    <w:qFormat/>
    <w:uiPriority w:val="99"/>
    <w:rPr>
      <w:rFonts w:ascii="Cambria" w:cs="Cambria"/>
      <w:i/>
      <w:iCs/>
      <w:color w:val="000000"/>
      <w:kern w:val="2"/>
      <w:sz w:val="28"/>
      <w:szCs w:val="28"/>
    </w:rPr>
  </w:style>
  <w:style w:type="character" w:customStyle="1" w:styleId="188">
    <w:name w:val="style91"/>
    <w:qFormat/>
    <w:uiPriority w:val="0"/>
    <w:rPr>
      <w:sz w:val="24"/>
      <w:szCs w:val="24"/>
    </w:rPr>
  </w:style>
  <w:style w:type="character" w:customStyle="1" w:styleId="189">
    <w:name w:val="text"/>
    <w:basedOn w:val="47"/>
    <w:qFormat/>
    <w:uiPriority w:val="0"/>
  </w:style>
  <w:style w:type="character" w:customStyle="1" w:styleId="190">
    <w:name w:val="a011"/>
    <w:qFormat/>
    <w:uiPriority w:val="0"/>
    <w:rPr>
      <w:sz w:val="21"/>
      <w:szCs w:val="21"/>
      <w:u w:val="none"/>
    </w:rPr>
  </w:style>
  <w:style w:type="character" w:customStyle="1" w:styleId="191">
    <w:name w:val="font71"/>
    <w:qFormat/>
    <w:uiPriority w:val="0"/>
    <w:rPr>
      <w:rFonts w:ascii="楷体_GB2312" w:eastAsia="楷体_GB2312" w:cs="楷体_GB2312"/>
      <w:color w:val="000000"/>
      <w:sz w:val="20"/>
      <w:szCs w:val="20"/>
      <w:u w:val="none"/>
    </w:rPr>
  </w:style>
  <w:style w:type="character" w:customStyle="1" w:styleId="192">
    <w:name w:val="批注框文本 Char1"/>
    <w:qFormat/>
    <w:uiPriority w:val="0"/>
    <w:rPr>
      <w:rFonts w:ascii="Cambria" w:hAnsi="Cambria" w:cs="Cambria"/>
      <w:sz w:val="18"/>
      <w:szCs w:val="18"/>
    </w:rPr>
  </w:style>
  <w:style w:type="character" w:customStyle="1" w:styleId="193">
    <w:name w:val="正文文本缩进 2 Char2"/>
    <w:semiHidden/>
    <w:qFormat/>
    <w:uiPriority w:val="99"/>
    <w:rPr>
      <w:rFonts w:ascii="楷体_GB2312" w:hAnsi="楷体_GB2312" w:eastAsia="Times New Roman" w:cs="楷体_GB2312"/>
      <w:sz w:val="24"/>
      <w:szCs w:val="24"/>
    </w:rPr>
  </w:style>
  <w:style w:type="character" w:customStyle="1" w:styleId="194">
    <w:name w:val="fs-tw Char Char Char"/>
    <w:qFormat/>
    <w:uiPriority w:val="0"/>
    <w:rPr>
      <w:rFonts w:eastAsia="Times New Roman"/>
      <w:sz w:val="24"/>
      <w:szCs w:val="24"/>
      <w:lang w:val="en-US" w:eastAsia="zh-CN"/>
    </w:rPr>
  </w:style>
  <w:style w:type="character" w:customStyle="1" w:styleId="195">
    <w:name w:val="正文文本 2 Char"/>
    <w:qFormat/>
    <w:uiPriority w:val="0"/>
    <w:rPr>
      <w:kern w:val="2"/>
      <w:sz w:val="24"/>
      <w:szCs w:val="24"/>
    </w:rPr>
  </w:style>
  <w:style w:type="character" w:customStyle="1" w:styleId="196">
    <w:name w:val="font81"/>
    <w:qFormat/>
    <w:uiPriority w:val="0"/>
    <w:rPr>
      <w:rFonts w:ascii="??" w:hAnsi="??" w:eastAsia="Times New Roman" w:cs="??"/>
      <w:color w:val="000000"/>
      <w:sz w:val="20"/>
      <w:szCs w:val="20"/>
      <w:u w:val="none"/>
    </w:rPr>
  </w:style>
  <w:style w:type="character" w:customStyle="1" w:styleId="197">
    <w:name w:val="bds_nopic2"/>
    <w:basedOn w:val="47"/>
    <w:qFormat/>
    <w:uiPriority w:val="0"/>
  </w:style>
  <w:style w:type="character" w:customStyle="1" w:styleId="198">
    <w:name w:val="font01"/>
    <w:qFormat/>
    <w:uiPriority w:val="0"/>
    <w:rPr>
      <w:rFonts w:ascii="??" w:hAnsi="??" w:eastAsia="Times New Roman" w:cs="??"/>
      <w:color w:val="000000"/>
      <w:sz w:val="20"/>
      <w:szCs w:val="20"/>
      <w:u w:val="none"/>
    </w:rPr>
  </w:style>
  <w:style w:type="character" w:customStyle="1" w:styleId="199">
    <w:name w:val="Typewriter"/>
    <w:qFormat/>
    <w:uiPriority w:val="0"/>
    <w:rPr>
      <w:rFonts w:ascii="font-weight : 400" w:hAnsi="font-weight : 400" w:cs="font-weight : 400"/>
      <w:sz w:val="20"/>
      <w:szCs w:val="20"/>
    </w:rPr>
  </w:style>
  <w:style w:type="character" w:customStyle="1" w:styleId="200">
    <w:name w:val="正文＋黑体 Char"/>
    <w:link w:val="201"/>
    <w:qFormat/>
    <w:locked/>
    <w:uiPriority w:val="0"/>
    <w:rPr>
      <w:rFonts w:ascii="STZhongsong" w:hAnsi="STZhongsong" w:eastAsia="华文宋体" w:cs="STZhongsong"/>
      <w:sz w:val="24"/>
      <w:szCs w:val="24"/>
    </w:rPr>
  </w:style>
  <w:style w:type="paragraph" w:customStyle="1" w:styleId="201">
    <w:name w:val="正文＋黑体"/>
    <w:basedOn w:val="1"/>
    <w:link w:val="200"/>
    <w:qFormat/>
    <w:uiPriority w:val="0"/>
    <w:pPr>
      <w:spacing w:beforeLines="50" w:afterLines="50"/>
      <w:ind w:firstLine="480"/>
      <w:jc w:val="left"/>
    </w:pPr>
    <w:rPr>
      <w:rFonts w:ascii="STZhongsong" w:hAnsi="STZhongsong" w:eastAsia="华文宋体" w:cs="Times New Roman"/>
      <w:kern w:val="0"/>
      <w:sz w:val="24"/>
      <w:szCs w:val="24"/>
    </w:rPr>
  </w:style>
  <w:style w:type="character" w:customStyle="1" w:styleId="202">
    <w:name w:val="Subtle Reference1"/>
    <w:qFormat/>
    <w:uiPriority w:val="99"/>
    <w:rPr>
      <w:smallCaps/>
      <w:color w:val="auto"/>
      <w:u w:val="single"/>
    </w:rPr>
  </w:style>
  <w:style w:type="character" w:customStyle="1" w:styleId="203">
    <w:name w:val="font161"/>
    <w:qFormat/>
    <w:uiPriority w:val="0"/>
    <w:rPr>
      <w:b/>
      <w:bCs/>
      <w:sz w:val="32"/>
      <w:szCs w:val="32"/>
    </w:rPr>
  </w:style>
  <w:style w:type="character" w:customStyle="1" w:styleId="204">
    <w:name w:val="font111"/>
    <w:qFormat/>
    <w:uiPriority w:val="0"/>
    <w:rPr>
      <w:rFonts w:ascii="Cambria" w:hAnsi="Cambria" w:eastAsia="Times New Roman" w:cs="Cambria"/>
      <w:color w:val="000000"/>
      <w:sz w:val="20"/>
      <w:szCs w:val="20"/>
      <w:u w:val="none"/>
    </w:rPr>
  </w:style>
  <w:style w:type="character" w:customStyle="1" w:styleId="205">
    <w:name w:val="日期 Char3"/>
    <w:semiHidden/>
    <w:qFormat/>
    <w:uiPriority w:val="99"/>
    <w:rPr>
      <w:rFonts w:ascii="楷体_GB2312" w:hAnsi="楷体_GB2312" w:eastAsia="Times New Roman" w:cs="楷体_GB2312"/>
      <w:sz w:val="24"/>
      <w:szCs w:val="24"/>
    </w:rPr>
  </w:style>
  <w:style w:type="character" w:customStyle="1" w:styleId="206">
    <w:name w:val="CODE"/>
    <w:qFormat/>
    <w:uiPriority w:val="0"/>
    <w:rPr>
      <w:rFonts w:ascii="font-weight : 400" w:hAnsi="font-weight : 400" w:cs="font-weight : 400"/>
      <w:sz w:val="20"/>
      <w:szCs w:val="20"/>
    </w:rPr>
  </w:style>
  <w:style w:type="character" w:customStyle="1" w:styleId="207">
    <w:name w:val="font11"/>
    <w:qFormat/>
    <w:uiPriority w:val="0"/>
    <w:rPr>
      <w:rFonts w:ascii="Cambria" w:hAnsi="Cambria" w:eastAsia="Times New Roman" w:cs="Cambria"/>
      <w:color w:val="000000"/>
      <w:sz w:val="20"/>
      <w:szCs w:val="20"/>
      <w:u w:val="none"/>
    </w:rPr>
  </w:style>
  <w:style w:type="character" w:customStyle="1" w:styleId="208">
    <w:name w:val="文档结构图 Char1"/>
    <w:qFormat/>
    <w:uiPriority w:val="0"/>
    <w:rPr>
      <w:rFonts w:ascii="Cambria" w:hAnsi="Cambria" w:cs="Cambria"/>
      <w:sz w:val="18"/>
      <w:szCs w:val="18"/>
    </w:rPr>
  </w:style>
  <w:style w:type="character" w:customStyle="1" w:styleId="209">
    <w:name w:val="明显引用 Char1"/>
    <w:qFormat/>
    <w:uiPriority w:val="0"/>
    <w:rPr>
      <w:b/>
      <w:bCs/>
      <w:i/>
      <w:iCs/>
      <w:color w:val="4F81BD"/>
      <w:kern w:val="2"/>
      <w:sz w:val="24"/>
      <w:szCs w:val="24"/>
    </w:rPr>
  </w:style>
  <w:style w:type="character" w:customStyle="1" w:styleId="210">
    <w:name w:val="标题 3 Char1"/>
    <w:qFormat/>
    <w:uiPriority w:val="0"/>
    <w:rPr>
      <w:rFonts w:ascii="楷体_GB2312" w:hAnsi="楷体_GB2312" w:eastAsia="Times New Roman" w:cs="楷体_GB2312"/>
      <w:b/>
      <w:bCs/>
      <w:sz w:val="32"/>
      <w:szCs w:val="32"/>
    </w:rPr>
  </w:style>
  <w:style w:type="character" w:customStyle="1" w:styleId="211">
    <w:name w:val="表格 Char Char"/>
    <w:qFormat/>
    <w:uiPriority w:val="0"/>
    <w:rPr>
      <w:rFonts w:ascii="Cambria" w:cs="Cambria"/>
      <w:color w:val="000000"/>
      <w:kern w:val="2"/>
      <w:sz w:val="21"/>
      <w:szCs w:val="21"/>
    </w:rPr>
  </w:style>
  <w:style w:type="character" w:customStyle="1" w:styleId="212">
    <w:name w:val="正文文本 Char1"/>
    <w:qFormat/>
    <w:uiPriority w:val="0"/>
    <w:rPr>
      <w:rFonts w:ascii="Cambria" w:cs="Cambria"/>
      <w:color w:val="000000"/>
      <w:kern w:val="2"/>
      <w:sz w:val="28"/>
      <w:szCs w:val="28"/>
    </w:rPr>
  </w:style>
  <w:style w:type="character" w:customStyle="1" w:styleId="213">
    <w:name w:val="Char Char17"/>
    <w:qFormat/>
    <w:uiPriority w:val="0"/>
    <w:rPr>
      <w:rFonts w:ascii="???|CS?o｡ﾀ?" w:hAnsi="???|CS?o｡ﾀ?" w:eastAsia="Times New Roman" w:cs="???|CS?o｡ﾀ?"/>
      <w:b/>
      <w:bCs/>
      <w:kern w:val="2"/>
      <w:sz w:val="32"/>
      <w:szCs w:val="32"/>
    </w:rPr>
  </w:style>
  <w:style w:type="character" w:customStyle="1" w:styleId="214">
    <w:name w:val="font101"/>
    <w:qFormat/>
    <w:uiPriority w:val="0"/>
    <w:rPr>
      <w:rFonts w:ascii="Cambria" w:hAnsi="Cambria" w:eastAsia="Times New Roman" w:cs="Cambria"/>
      <w:color w:val="000000"/>
      <w:sz w:val="20"/>
      <w:szCs w:val="20"/>
      <w:u w:val="none"/>
    </w:rPr>
  </w:style>
  <w:style w:type="character" w:customStyle="1" w:styleId="215">
    <w:name w:val="Keyboard"/>
    <w:qFormat/>
    <w:uiPriority w:val="0"/>
    <w:rPr>
      <w:rFonts w:ascii="font-weight : 400" w:hAnsi="font-weight : 400" w:cs="font-weight : 400"/>
      <w:b/>
      <w:bCs/>
      <w:sz w:val="20"/>
      <w:szCs w:val="20"/>
    </w:rPr>
  </w:style>
  <w:style w:type="character" w:customStyle="1" w:styleId="216">
    <w:name w:val="表格 Char"/>
    <w:link w:val="217"/>
    <w:qFormat/>
    <w:locked/>
    <w:uiPriority w:val="0"/>
    <w:rPr>
      <w:rFonts w:ascii="Cambria" w:cs="Cambria"/>
      <w:color w:val="000000"/>
    </w:rPr>
  </w:style>
  <w:style w:type="paragraph" w:customStyle="1" w:styleId="217">
    <w:name w:val="表格"/>
    <w:basedOn w:val="1"/>
    <w:link w:val="216"/>
    <w:qFormat/>
    <w:uiPriority w:val="0"/>
    <w:pPr>
      <w:spacing w:line="240" w:lineRule="atLeast"/>
      <w:ind w:firstLine="0" w:firstLineChars="0"/>
      <w:jc w:val="center"/>
    </w:pPr>
    <w:rPr>
      <w:rFonts w:hAnsi="Times New Roman" w:eastAsia="宋体" w:cs="Times New Roman"/>
      <w:color w:val="000000"/>
      <w:kern w:val="0"/>
      <w:sz w:val="20"/>
      <w:szCs w:val="20"/>
    </w:rPr>
  </w:style>
  <w:style w:type="character" w:customStyle="1" w:styleId="218">
    <w:name w:val="fs-tw Char Char"/>
    <w:link w:val="219"/>
    <w:qFormat/>
    <w:locked/>
    <w:uiPriority w:val="0"/>
    <w:rPr>
      <w:rFonts w:ascii="??" w:hAnsi="??" w:cs="??"/>
      <w:kern w:val="2"/>
      <w:sz w:val="24"/>
      <w:szCs w:val="24"/>
      <w:lang w:val="en-US" w:eastAsia="zh-CN" w:bidi="ar-SA"/>
    </w:rPr>
  </w:style>
  <w:style w:type="paragraph" w:customStyle="1" w:styleId="219">
    <w:name w:val="fs-tw Char"/>
    <w:link w:val="218"/>
    <w:qFormat/>
    <w:uiPriority w:val="0"/>
    <w:pPr>
      <w:jc w:val="both"/>
    </w:pPr>
    <w:rPr>
      <w:rFonts w:ascii="??" w:hAnsi="??" w:eastAsia="宋体" w:cs="??"/>
      <w:kern w:val="2"/>
      <w:sz w:val="24"/>
      <w:szCs w:val="24"/>
      <w:lang w:val="en-US" w:eastAsia="zh-CN" w:bidi="ar-SA"/>
    </w:rPr>
  </w:style>
  <w:style w:type="character" w:customStyle="1" w:styleId="220">
    <w:name w:val="批注引用1"/>
    <w:qFormat/>
    <w:uiPriority w:val="0"/>
    <w:rPr>
      <w:sz w:val="21"/>
      <w:szCs w:val="21"/>
    </w:rPr>
  </w:style>
  <w:style w:type="character" w:customStyle="1" w:styleId="221">
    <w:name w:val="Intense Emphasis1"/>
    <w:qFormat/>
    <w:uiPriority w:val="99"/>
    <w:rPr>
      <w:b/>
      <w:bCs/>
      <w:i/>
      <w:iCs/>
      <w:color w:val="4F81BD"/>
    </w:rPr>
  </w:style>
  <w:style w:type="character" w:customStyle="1" w:styleId="222">
    <w:name w:val="页脚 Char1"/>
    <w:qFormat/>
    <w:uiPriority w:val="0"/>
    <w:rPr>
      <w:rFonts w:ascii="Cambria" w:hAnsi="Cambria" w:eastAsia="Times New Roman" w:cs="Cambria"/>
      <w:sz w:val="18"/>
      <w:szCs w:val="18"/>
    </w:rPr>
  </w:style>
  <w:style w:type="character" w:customStyle="1" w:styleId="223">
    <w:name w:val="样式 正文文本 Char"/>
    <w:link w:val="224"/>
    <w:qFormat/>
    <w:locked/>
    <w:uiPriority w:val="0"/>
    <w:rPr>
      <w:rFonts w:ascii="STZhongsong" w:eastAsia="STZhongsong" w:cs="STZhongsong"/>
      <w:color w:val="000000"/>
    </w:rPr>
  </w:style>
  <w:style w:type="paragraph" w:customStyle="1" w:styleId="224">
    <w:name w:val="样式 正文文本"/>
    <w:basedOn w:val="1"/>
    <w:link w:val="223"/>
    <w:qFormat/>
    <w:uiPriority w:val="0"/>
    <w:pPr>
      <w:adjustRightInd w:val="0"/>
      <w:snapToGrid w:val="0"/>
      <w:spacing w:line="400" w:lineRule="exact"/>
      <w:ind w:firstLine="0" w:firstLineChars="0"/>
    </w:pPr>
    <w:rPr>
      <w:rFonts w:ascii="STZhongsong" w:hAnsi="Times New Roman" w:eastAsia="STZhongsong" w:cs="Times New Roman"/>
      <w:color w:val="000000"/>
      <w:kern w:val="0"/>
      <w:sz w:val="20"/>
      <w:szCs w:val="20"/>
    </w:rPr>
  </w:style>
  <w:style w:type="character" w:customStyle="1" w:styleId="225">
    <w:name w:val="正文文本缩进 2 Char1"/>
    <w:semiHidden/>
    <w:qFormat/>
    <w:uiPriority w:val="99"/>
    <w:rPr>
      <w:kern w:val="2"/>
      <w:sz w:val="24"/>
      <w:szCs w:val="24"/>
    </w:rPr>
  </w:style>
  <w:style w:type="character" w:customStyle="1" w:styleId="226">
    <w:name w:val="标题 字符"/>
    <w:basedOn w:val="47"/>
    <w:qFormat/>
    <w:uiPriority w:val="10"/>
    <w:rPr>
      <w:rFonts w:ascii="等线 Light" w:hAnsi="等线 Light" w:eastAsia="等线 Light" w:cs="等线 Light"/>
      <w:b/>
      <w:bCs/>
      <w:sz w:val="32"/>
      <w:szCs w:val="32"/>
    </w:rPr>
  </w:style>
  <w:style w:type="character" w:customStyle="1" w:styleId="227">
    <w:name w:val="副标题 字符"/>
    <w:basedOn w:val="47"/>
    <w:qFormat/>
    <w:uiPriority w:val="11"/>
    <w:rPr>
      <w:b/>
      <w:bCs/>
      <w:kern w:val="28"/>
      <w:sz w:val="32"/>
      <w:szCs w:val="32"/>
    </w:rPr>
  </w:style>
  <w:style w:type="character" w:customStyle="1" w:styleId="228">
    <w:name w:val="zbggmain style9"/>
    <w:qFormat/>
    <w:uiPriority w:val="0"/>
  </w:style>
  <w:style w:type="character" w:customStyle="1" w:styleId="229">
    <w:name w:val="font61"/>
    <w:qFormat/>
    <w:uiPriority w:val="0"/>
    <w:rPr>
      <w:rFonts w:ascii="??" w:hAnsi="??" w:eastAsia="Times New Roman" w:cs="??"/>
      <w:color w:val="000000"/>
      <w:sz w:val="20"/>
      <w:szCs w:val="20"/>
      <w:u w:val="none"/>
    </w:rPr>
  </w:style>
  <w:style w:type="character" w:customStyle="1" w:styleId="230">
    <w:name w:val="正文文本 3 字符"/>
    <w:basedOn w:val="47"/>
    <w:qFormat/>
    <w:uiPriority w:val="0"/>
    <w:rPr>
      <w:rFonts w:ascii="Cambria" w:hAnsi="楷体_GB2312" w:eastAsia="Times New Roman" w:cs="Cambria"/>
      <w:sz w:val="16"/>
      <w:szCs w:val="16"/>
    </w:rPr>
  </w:style>
  <w:style w:type="character" w:customStyle="1" w:styleId="231">
    <w:name w:val="批注文字 Char3"/>
    <w:qFormat/>
    <w:uiPriority w:val="0"/>
    <w:rPr>
      <w:rFonts w:ascii="楷体_GB2312" w:hAnsi="楷体_GB2312" w:eastAsia="Times New Roman" w:cs="楷体_GB2312"/>
      <w:sz w:val="24"/>
      <w:szCs w:val="24"/>
    </w:rPr>
  </w:style>
  <w:style w:type="character" w:customStyle="1" w:styleId="232">
    <w:name w:val="图表标题 Char Char"/>
    <w:qFormat/>
    <w:uiPriority w:val="0"/>
    <w:rPr>
      <w:rFonts w:ascii="STZhongsong" w:hAnsi="STZhongsong" w:eastAsia="华文宋体" w:cs="STZhongsong"/>
      <w:kern w:val="2"/>
      <w:sz w:val="24"/>
      <w:szCs w:val="24"/>
    </w:rPr>
  </w:style>
  <w:style w:type="character" w:customStyle="1" w:styleId="233">
    <w:name w:val="引用 Char"/>
    <w:qFormat/>
    <w:locked/>
    <w:uiPriority w:val="99"/>
    <w:rPr>
      <w:i/>
      <w:iCs/>
      <w:color w:val="000000"/>
    </w:rPr>
  </w:style>
  <w:style w:type="paragraph" w:styleId="234">
    <w:name w:val="Quote"/>
    <w:basedOn w:val="1"/>
    <w:next w:val="1"/>
    <w:link w:val="235"/>
    <w:qFormat/>
    <w:uiPriority w:val="0"/>
    <w:pPr>
      <w:ind w:firstLine="0" w:firstLineChars="0"/>
    </w:pPr>
    <w:rPr>
      <w:rFonts w:ascii="Times New Roman" w:hAnsi="Times New Roman" w:eastAsia="宋体" w:cs="Times New Roman"/>
      <w:i/>
      <w:iCs/>
      <w:color w:val="000000"/>
      <w:kern w:val="0"/>
      <w:sz w:val="20"/>
      <w:szCs w:val="20"/>
    </w:rPr>
  </w:style>
  <w:style w:type="character" w:customStyle="1" w:styleId="235">
    <w:name w:val="引用 字符1"/>
    <w:basedOn w:val="47"/>
    <w:link w:val="234"/>
    <w:qFormat/>
    <w:uiPriority w:val="0"/>
    <w:rPr>
      <w:rFonts w:ascii="Cambria" w:hAnsi="楷体_GB2312" w:eastAsia="Times New Roman" w:cs="Cambria"/>
      <w:i/>
      <w:iCs/>
      <w:color w:val="000000"/>
      <w:sz w:val="28"/>
      <w:szCs w:val="28"/>
    </w:rPr>
  </w:style>
  <w:style w:type="character" w:customStyle="1" w:styleId="236">
    <w:name w:val="引用 字符"/>
    <w:basedOn w:val="47"/>
    <w:qFormat/>
    <w:uiPriority w:val="0"/>
    <w:rPr>
      <w:rFonts w:ascii="Cambria" w:hAnsi="楷体_GB2312" w:eastAsia="Times New Roman" w:cs="Cambria"/>
      <w:i/>
      <w:iCs/>
      <w:color w:val="auto"/>
      <w:sz w:val="20"/>
      <w:szCs w:val="20"/>
    </w:rPr>
  </w:style>
  <w:style w:type="character" w:customStyle="1" w:styleId="237">
    <w:name w:val="legend"/>
    <w:qFormat/>
    <w:uiPriority w:val="0"/>
    <w:rPr>
      <w:color w:val="auto"/>
      <w:shd w:val="clear" w:color="auto" w:fill="FFFFFF"/>
    </w:rPr>
  </w:style>
  <w:style w:type="character" w:customStyle="1" w:styleId="238">
    <w:name w:val="正文缩进 字符"/>
    <w:link w:val="12"/>
    <w:qFormat/>
    <w:locked/>
    <w:uiPriority w:val="0"/>
    <w:rPr>
      <w:sz w:val="24"/>
      <w:szCs w:val="24"/>
    </w:rPr>
  </w:style>
  <w:style w:type="character" w:customStyle="1" w:styleId="239">
    <w:name w:val="标题 Char3"/>
    <w:qFormat/>
    <w:uiPriority w:val="10"/>
    <w:rPr>
      <w:rFonts w:ascii="???|CS?o｡ﾀ?" w:hAnsi="???|CS?o｡ﾀ?" w:eastAsia="Times New Roman" w:cs="???|CS?o｡ﾀ?"/>
      <w:b/>
      <w:bCs/>
      <w:kern w:val="0"/>
      <w:sz w:val="32"/>
      <w:szCs w:val="32"/>
    </w:rPr>
  </w:style>
  <w:style w:type="character" w:customStyle="1" w:styleId="240">
    <w:name w:val="font31"/>
    <w:qFormat/>
    <w:uiPriority w:val="0"/>
    <w:rPr>
      <w:rFonts w:ascii="仿宋" w:hAnsi="仿宋" w:eastAsia="仿宋" w:cs="仿宋"/>
      <w:color w:val="000000"/>
      <w:sz w:val="20"/>
      <w:szCs w:val="20"/>
      <w:u w:val="none"/>
    </w:rPr>
  </w:style>
  <w:style w:type="character" w:customStyle="1" w:styleId="241">
    <w:name w:val="Sample"/>
    <w:qFormat/>
    <w:uiPriority w:val="0"/>
    <w:rPr>
      <w:rFonts w:ascii="font-weight : 400" w:hAnsi="font-weight : 400" w:cs="font-weight : 400"/>
    </w:rPr>
  </w:style>
  <w:style w:type="character" w:customStyle="1" w:styleId="242">
    <w:name w:val="批注文字 Char1"/>
    <w:qFormat/>
    <w:uiPriority w:val="0"/>
    <w:rPr>
      <w:rFonts w:eastAsia="Times New Roman"/>
    </w:rPr>
  </w:style>
  <w:style w:type="character" w:customStyle="1" w:styleId="243">
    <w:name w:val="标题4 Char Char"/>
    <w:link w:val="244"/>
    <w:qFormat/>
    <w:locked/>
    <w:uiPriority w:val="0"/>
    <w:rPr>
      <w:rFonts w:ascii="STZhongsong" w:eastAsia="STZhongsong" w:cs="STZhongsong"/>
      <w:b/>
      <w:bCs/>
      <w:sz w:val="32"/>
      <w:szCs w:val="32"/>
    </w:rPr>
  </w:style>
  <w:style w:type="paragraph" w:customStyle="1" w:styleId="244">
    <w:name w:val="标题4"/>
    <w:basedOn w:val="4"/>
    <w:next w:val="23"/>
    <w:link w:val="243"/>
    <w:qFormat/>
    <w:uiPriority w:val="0"/>
    <w:pPr>
      <w:spacing w:line="413" w:lineRule="auto"/>
      <w:ind w:firstLine="0" w:firstLineChars="0"/>
    </w:pPr>
    <w:rPr>
      <w:rFonts w:hAnsi="Times New Roman" w:eastAsia="STZhongsong" w:cs="Times New Roman"/>
    </w:rPr>
  </w:style>
  <w:style w:type="character" w:customStyle="1" w:styleId="245">
    <w:name w:val="bds_more2"/>
    <w:basedOn w:val="47"/>
    <w:qFormat/>
    <w:uiPriority w:val="0"/>
  </w:style>
  <w:style w:type="character" w:customStyle="1" w:styleId="246">
    <w:name w:val="font21"/>
    <w:qFormat/>
    <w:uiPriority w:val="0"/>
    <w:rPr>
      <w:rFonts w:ascii="??" w:hAnsi="??" w:eastAsia="Times New Roman" w:cs="??"/>
      <w:color w:val="000000"/>
      <w:sz w:val="20"/>
      <w:szCs w:val="20"/>
      <w:u w:val="none"/>
    </w:rPr>
  </w:style>
  <w:style w:type="character" w:customStyle="1" w:styleId="247">
    <w:name w:val="标题 4 Char1"/>
    <w:qFormat/>
    <w:uiPriority w:val="0"/>
    <w:rPr>
      <w:rFonts w:ascii="STZhongsong" w:hAnsi="STZhongsong" w:eastAsia="华文宋体" w:cs="STZhongsong"/>
      <w:b/>
      <w:bCs/>
      <w:kern w:val="0"/>
      <w:sz w:val="28"/>
      <w:szCs w:val="28"/>
    </w:rPr>
  </w:style>
  <w:style w:type="character" w:customStyle="1" w:styleId="248">
    <w:name w:val="副标题 Char3"/>
    <w:qFormat/>
    <w:uiPriority w:val="11"/>
    <w:rPr>
      <w:rFonts w:ascii="???|CS?o｡ﾀ?" w:eastAsia="???|CS?o｡ﾀ?" w:cs="???|CS?o｡ﾀ?"/>
      <w:b/>
      <w:bCs/>
      <w:kern w:val="28"/>
      <w:sz w:val="32"/>
      <w:szCs w:val="32"/>
    </w:rPr>
  </w:style>
  <w:style w:type="character" w:customStyle="1" w:styleId="249">
    <w:name w:val="正文首行缩进 Char2"/>
    <w:qFormat/>
    <w:uiPriority w:val="0"/>
    <w:rPr>
      <w:rFonts w:ascii="Cambria" w:cs="Cambria"/>
      <w:color w:val="000000"/>
      <w:kern w:val="2"/>
      <w:sz w:val="28"/>
      <w:szCs w:val="28"/>
    </w:rPr>
  </w:style>
  <w:style w:type="character" w:customStyle="1" w:styleId="250">
    <w:name w:val="明显引用 Char"/>
    <w:qFormat/>
    <w:locked/>
    <w:uiPriority w:val="99"/>
    <w:rPr>
      <w:b/>
      <w:bCs/>
      <w:i/>
      <w:iCs/>
      <w:color w:val="4F81BD"/>
    </w:rPr>
  </w:style>
  <w:style w:type="paragraph" w:styleId="251">
    <w:name w:val="Intense Quote"/>
    <w:basedOn w:val="1"/>
    <w:next w:val="1"/>
    <w:link w:val="252"/>
    <w:qFormat/>
    <w:uiPriority w:val="0"/>
    <w:pPr>
      <w:pBdr>
        <w:bottom w:val="single" w:color="4F81BD" w:sz="4" w:space="4"/>
      </w:pBdr>
      <w:spacing w:before="200" w:after="280"/>
      <w:ind w:left="936" w:right="936" w:firstLine="0" w:firstLineChars="0"/>
    </w:pPr>
    <w:rPr>
      <w:rFonts w:ascii="Times New Roman" w:hAnsi="Times New Roman" w:eastAsia="宋体" w:cs="Times New Roman"/>
      <w:b/>
      <w:bCs/>
      <w:i/>
      <w:iCs/>
      <w:color w:val="4F81BD"/>
      <w:kern w:val="0"/>
      <w:sz w:val="20"/>
      <w:szCs w:val="20"/>
    </w:rPr>
  </w:style>
  <w:style w:type="character" w:customStyle="1" w:styleId="252">
    <w:name w:val="明显引用 字符1"/>
    <w:basedOn w:val="47"/>
    <w:link w:val="251"/>
    <w:qFormat/>
    <w:uiPriority w:val="0"/>
    <w:rPr>
      <w:rFonts w:ascii="Cambria" w:hAnsi="楷体_GB2312" w:eastAsia="Times New Roman" w:cs="Cambria"/>
      <w:b/>
      <w:bCs/>
      <w:i/>
      <w:iCs/>
      <w:color w:val="4F81BD"/>
      <w:sz w:val="28"/>
      <w:szCs w:val="28"/>
    </w:rPr>
  </w:style>
  <w:style w:type="character" w:customStyle="1" w:styleId="253">
    <w:name w:val="明显引用 字符"/>
    <w:basedOn w:val="47"/>
    <w:qFormat/>
    <w:uiPriority w:val="0"/>
    <w:rPr>
      <w:rFonts w:ascii="Cambria" w:hAnsi="楷体_GB2312" w:eastAsia="Times New Roman" w:cs="Cambria"/>
      <w:i/>
      <w:iCs/>
      <w:color w:val="auto"/>
      <w:sz w:val="20"/>
      <w:szCs w:val="20"/>
    </w:rPr>
  </w:style>
  <w:style w:type="character" w:customStyle="1" w:styleId="254">
    <w:name w:val="图表标题 Char"/>
    <w:link w:val="255"/>
    <w:qFormat/>
    <w:locked/>
    <w:uiPriority w:val="0"/>
    <w:rPr>
      <w:rFonts w:ascii="STZhongsong" w:hAnsi="STZhongsong" w:eastAsia="华文宋体" w:cs="STZhongsong"/>
      <w:sz w:val="24"/>
      <w:szCs w:val="24"/>
    </w:rPr>
  </w:style>
  <w:style w:type="paragraph" w:customStyle="1" w:styleId="255">
    <w:name w:val="图表标题"/>
    <w:basedOn w:val="13"/>
    <w:link w:val="254"/>
    <w:qFormat/>
    <w:uiPriority w:val="0"/>
    <w:pPr>
      <w:spacing w:line="600" w:lineRule="exact"/>
      <w:jc w:val="center"/>
    </w:pPr>
    <w:rPr>
      <w:rFonts w:ascii="STZhongsong" w:hAnsi="STZhongsong" w:eastAsia="华文宋体" w:cs="Times New Roman"/>
      <w:kern w:val="0"/>
      <w:sz w:val="24"/>
      <w:szCs w:val="24"/>
    </w:rPr>
  </w:style>
  <w:style w:type="character" w:customStyle="1" w:styleId="256">
    <w:name w:val="bds_nopic"/>
    <w:basedOn w:val="47"/>
    <w:qFormat/>
    <w:uiPriority w:val="0"/>
  </w:style>
  <w:style w:type="character" w:customStyle="1" w:styleId="257">
    <w:name w:val="标题 Char1"/>
    <w:qFormat/>
    <w:uiPriority w:val="0"/>
    <w:rPr>
      <w:rFonts w:ascii="???|CS?o｡ﾀ?" w:eastAsia="???|CS?o｡ﾀ?" w:cs="???|CS?o｡ﾀ?"/>
      <w:b/>
      <w:bCs/>
      <w:kern w:val="2"/>
      <w:sz w:val="32"/>
      <w:szCs w:val="32"/>
    </w:rPr>
  </w:style>
  <w:style w:type="character" w:customStyle="1" w:styleId="258">
    <w:name w:val="apple-style-span"/>
    <w:qFormat/>
    <w:uiPriority w:val="0"/>
  </w:style>
  <w:style w:type="character" w:customStyle="1" w:styleId="259">
    <w:name w:val="Char Char171"/>
    <w:qFormat/>
    <w:uiPriority w:val="99"/>
    <w:rPr>
      <w:rFonts w:ascii="???|CS?o｡ﾀ?" w:hAnsi="???|CS?o｡ﾀ?" w:eastAsia="Times New Roman" w:cs="???|CS?o｡ﾀ?"/>
      <w:b/>
      <w:bCs/>
      <w:kern w:val="2"/>
      <w:sz w:val="32"/>
      <w:szCs w:val="32"/>
    </w:rPr>
  </w:style>
  <w:style w:type="character" w:customStyle="1" w:styleId="260">
    <w:name w:val="sect1.2.3 Char"/>
    <w:qFormat/>
    <w:uiPriority w:val="0"/>
    <w:rPr>
      <w:rFonts w:eastAsia="Times New Roman"/>
      <w:b/>
      <w:bCs/>
      <w:sz w:val="32"/>
      <w:szCs w:val="32"/>
      <w:lang w:val="en-US" w:eastAsia="zh-CN"/>
    </w:rPr>
  </w:style>
  <w:style w:type="character" w:customStyle="1" w:styleId="261">
    <w:name w:val="标题 2 Char1"/>
    <w:qFormat/>
    <w:uiPriority w:val="0"/>
    <w:rPr>
      <w:rFonts w:ascii="STZhongsong" w:hAnsi="STZhongsong" w:eastAsia="华文宋体" w:cs="STZhongsong"/>
      <w:b/>
      <w:bCs/>
      <w:sz w:val="32"/>
      <w:szCs w:val="32"/>
    </w:rPr>
  </w:style>
  <w:style w:type="character" w:customStyle="1" w:styleId="262">
    <w:name w:val="Comment"/>
    <w:qFormat/>
    <w:uiPriority w:val="0"/>
    <w:rPr>
      <w:vanish/>
    </w:rPr>
  </w:style>
  <w:style w:type="character" w:customStyle="1" w:styleId="263">
    <w:name w:val="标题 1 Char1"/>
    <w:qFormat/>
    <w:uiPriority w:val="0"/>
    <w:rPr>
      <w:rFonts w:ascii="Cambria" w:hAnsi="Cambria" w:eastAsia="Times New Roman" w:cs="Cambria"/>
      <w:b/>
      <w:bCs/>
      <w:kern w:val="44"/>
      <w:sz w:val="44"/>
      <w:szCs w:val="44"/>
    </w:rPr>
  </w:style>
  <w:style w:type="character" w:customStyle="1" w:styleId="264">
    <w:name w:val="引用 Char1"/>
    <w:qFormat/>
    <w:uiPriority w:val="0"/>
    <w:rPr>
      <w:i/>
      <w:iCs/>
      <w:color w:val="000000"/>
      <w:kern w:val="2"/>
      <w:sz w:val="24"/>
      <w:szCs w:val="24"/>
    </w:rPr>
  </w:style>
  <w:style w:type="character" w:customStyle="1" w:styleId="265">
    <w:name w:val="textcontents"/>
    <w:qFormat/>
    <w:uiPriority w:val="0"/>
  </w:style>
  <w:style w:type="character" w:customStyle="1" w:styleId="266">
    <w:name w:val="标题 Char4"/>
    <w:qFormat/>
    <w:uiPriority w:val="10"/>
    <w:rPr>
      <w:rFonts w:ascii="???|CS?o｡ﾀ?" w:eastAsia="???|CS?o｡ﾀ?" w:cs="???|CS?o｡ﾀ?"/>
      <w:b/>
      <w:bCs/>
      <w:kern w:val="2"/>
      <w:sz w:val="32"/>
      <w:szCs w:val="32"/>
    </w:rPr>
  </w:style>
  <w:style w:type="character" w:customStyle="1" w:styleId="267">
    <w:name w:val="CITE"/>
    <w:qFormat/>
    <w:uiPriority w:val="0"/>
    <w:rPr>
      <w:i/>
      <w:iCs/>
    </w:rPr>
  </w:style>
  <w:style w:type="character" w:customStyle="1" w:styleId="268">
    <w:name w:val="副标题 Char1"/>
    <w:qFormat/>
    <w:uiPriority w:val="0"/>
    <w:rPr>
      <w:rFonts w:ascii="???|CS?o｡ﾀ?" w:eastAsia="???|CS?o｡ﾀ?" w:cs="???|CS?o｡ﾀ?"/>
      <w:b/>
      <w:bCs/>
      <w:kern w:val="28"/>
      <w:sz w:val="32"/>
      <w:szCs w:val="32"/>
    </w:rPr>
  </w:style>
  <w:style w:type="character" w:customStyle="1" w:styleId="269">
    <w:name w:val="bds_more1"/>
    <w:basedOn w:val="47"/>
    <w:qFormat/>
    <w:uiPriority w:val="0"/>
  </w:style>
  <w:style w:type="character" w:customStyle="1" w:styleId="270">
    <w:name w:val="无间距字符"/>
    <w:link w:val="271"/>
    <w:qFormat/>
    <w:locked/>
    <w:uiPriority w:val="0"/>
    <w:rPr>
      <w:rFonts w:ascii="??" w:hAnsi="??" w:cs="??"/>
      <w:kern w:val="2"/>
      <w:sz w:val="22"/>
      <w:szCs w:val="22"/>
      <w:lang w:val="en-US" w:eastAsia="zh-CN" w:bidi="ar-SA"/>
    </w:rPr>
  </w:style>
  <w:style w:type="paragraph" w:customStyle="1" w:styleId="271">
    <w:name w:val="无间距"/>
    <w:link w:val="270"/>
    <w:qFormat/>
    <w:uiPriority w:val="0"/>
    <w:rPr>
      <w:rFonts w:ascii="??" w:hAnsi="??" w:eastAsia="宋体" w:cs="??"/>
      <w:kern w:val="2"/>
      <w:sz w:val="22"/>
      <w:szCs w:val="22"/>
      <w:lang w:val="en-US" w:eastAsia="zh-CN" w:bidi="ar-SA"/>
    </w:rPr>
  </w:style>
  <w:style w:type="character" w:customStyle="1" w:styleId="272">
    <w:name w:val="h Char"/>
    <w:qFormat/>
    <w:uiPriority w:val="0"/>
    <w:rPr>
      <w:sz w:val="18"/>
      <w:szCs w:val="18"/>
    </w:rPr>
  </w:style>
  <w:style w:type="character" w:customStyle="1" w:styleId="273">
    <w:name w:val="HTML Markup"/>
    <w:qFormat/>
    <w:uiPriority w:val="0"/>
    <w:rPr>
      <w:vanish/>
      <w:color w:val="FF0000"/>
    </w:rPr>
  </w:style>
  <w:style w:type="character" w:customStyle="1" w:styleId="274">
    <w:name w:val="Book Title1"/>
    <w:qFormat/>
    <w:uiPriority w:val="99"/>
    <w:rPr>
      <w:b/>
      <w:bCs/>
      <w:smallCaps/>
      <w:spacing w:val="5"/>
    </w:rPr>
  </w:style>
  <w:style w:type="character" w:customStyle="1" w:styleId="275">
    <w:name w:val="Intense Reference1"/>
    <w:qFormat/>
    <w:uiPriority w:val="99"/>
    <w:rPr>
      <w:b/>
      <w:bCs/>
      <w:smallCaps/>
      <w:color w:val="auto"/>
      <w:spacing w:val="5"/>
      <w:u w:val="single"/>
    </w:rPr>
  </w:style>
  <w:style w:type="character" w:customStyle="1" w:styleId="276">
    <w:name w:val="批注主题 Char1"/>
    <w:qFormat/>
    <w:uiPriority w:val="0"/>
    <w:rPr>
      <w:rFonts w:eastAsia="Times New Roman"/>
      <w:b/>
      <w:bCs/>
      <w:sz w:val="24"/>
      <w:szCs w:val="24"/>
    </w:rPr>
  </w:style>
  <w:style w:type="character" w:customStyle="1" w:styleId="277">
    <w:name w:val="纯文本 Char1"/>
    <w:qFormat/>
    <w:uiPriority w:val="0"/>
    <w:rPr>
      <w:rFonts w:ascii="Cambria" w:hAnsi="font-weight : 400" w:eastAsia="Times New Roman" w:cs="Cambria"/>
      <w:kern w:val="2"/>
      <w:sz w:val="21"/>
      <w:szCs w:val="21"/>
    </w:rPr>
  </w:style>
  <w:style w:type="character" w:customStyle="1" w:styleId="278">
    <w:name w:val="明显引用 Char3"/>
    <w:qFormat/>
    <w:uiPriority w:val="99"/>
    <w:rPr>
      <w:rFonts w:ascii="Cambria" w:cs="Cambria"/>
      <w:b/>
      <w:bCs/>
      <w:i/>
      <w:iCs/>
      <w:color w:val="4F81BD"/>
      <w:kern w:val="2"/>
      <w:sz w:val="28"/>
      <w:szCs w:val="28"/>
    </w:rPr>
  </w:style>
  <w:style w:type="character" w:customStyle="1" w:styleId="279">
    <w:name w:val="font41"/>
    <w:qFormat/>
    <w:uiPriority w:val="0"/>
    <w:rPr>
      <w:rFonts w:ascii="Wingdings" w:hAnsi="Wingdings" w:eastAsia="Times New Roman" w:cs="Wingdings"/>
      <w:color w:val="000000"/>
      <w:sz w:val="21"/>
      <w:szCs w:val="21"/>
      <w:u w:val="none"/>
    </w:rPr>
  </w:style>
  <w:style w:type="character" w:customStyle="1" w:styleId="280">
    <w:name w:val="页码1"/>
    <w:qFormat/>
    <w:uiPriority w:val="0"/>
  </w:style>
  <w:style w:type="character" w:customStyle="1" w:styleId="281">
    <w:name w:val="日期 Char1"/>
    <w:qFormat/>
    <w:uiPriority w:val="0"/>
    <w:rPr>
      <w:rFonts w:ascii="Cambria" w:hAnsi="Cambria" w:cs="Cambria"/>
      <w:sz w:val="28"/>
      <w:szCs w:val="28"/>
    </w:rPr>
  </w:style>
  <w:style w:type="character" w:customStyle="1" w:styleId="282">
    <w:name w:val="明显引用 Char2"/>
    <w:qFormat/>
    <w:uiPriority w:val="30"/>
    <w:rPr>
      <w:rFonts w:ascii="楷体_GB2312" w:hAnsi="楷体_GB2312" w:eastAsia="Times New Roman" w:cs="楷体_GB2312"/>
      <w:b/>
      <w:bCs/>
      <w:i/>
      <w:iCs/>
      <w:color w:val="4F81BD"/>
      <w:sz w:val="24"/>
      <w:szCs w:val="24"/>
    </w:rPr>
  </w:style>
  <w:style w:type="character" w:customStyle="1" w:styleId="283">
    <w:name w:val="★表格 Char"/>
    <w:link w:val="284"/>
    <w:qFormat/>
    <w:locked/>
    <w:uiPriority w:val="0"/>
    <w:rPr>
      <w:rFonts w:ascii="STZhongsong" w:eastAsia="STZhongsong" w:cs="STZhongsong"/>
    </w:rPr>
  </w:style>
  <w:style w:type="paragraph" w:customStyle="1" w:styleId="284">
    <w:name w:val="★表格"/>
    <w:basedOn w:val="1"/>
    <w:link w:val="283"/>
    <w:qFormat/>
    <w:uiPriority w:val="0"/>
    <w:pPr>
      <w:ind w:firstLine="0" w:firstLineChars="0"/>
      <w:jc w:val="center"/>
    </w:pPr>
    <w:rPr>
      <w:rFonts w:ascii="STZhongsong" w:hAnsi="Times New Roman" w:eastAsia="STZhongsong" w:cs="Times New Roman"/>
      <w:kern w:val="0"/>
      <w:sz w:val="20"/>
      <w:szCs w:val="20"/>
    </w:rPr>
  </w:style>
  <w:style w:type="character" w:customStyle="1" w:styleId="285">
    <w:name w:val="bds_nopic1"/>
    <w:basedOn w:val="47"/>
    <w:qFormat/>
    <w:uiPriority w:val="0"/>
  </w:style>
  <w:style w:type="character" w:customStyle="1" w:styleId="286">
    <w:name w:val="正文文本 Char3"/>
    <w:semiHidden/>
    <w:qFormat/>
    <w:uiPriority w:val="99"/>
    <w:rPr>
      <w:rFonts w:ascii="楷体_GB2312" w:hAnsi="楷体_GB2312" w:eastAsia="Times New Roman" w:cs="楷体_GB2312"/>
      <w:sz w:val="24"/>
      <w:szCs w:val="24"/>
    </w:rPr>
  </w:style>
  <w:style w:type="character" w:customStyle="1" w:styleId="287">
    <w:name w:val="标题 Char"/>
    <w:qFormat/>
    <w:uiPriority w:val="0"/>
    <w:rPr>
      <w:rFonts w:ascii="???|CS?o｡ﾀ?" w:eastAsia="???|CS?o｡ﾀ?" w:cs="???|CS?o｡ﾀ?"/>
      <w:b/>
      <w:bCs/>
      <w:sz w:val="32"/>
      <w:szCs w:val="32"/>
    </w:rPr>
  </w:style>
  <w:style w:type="paragraph" w:customStyle="1" w:styleId="288">
    <w:name w:val="Char Char11"/>
    <w:basedOn w:val="1"/>
    <w:qFormat/>
    <w:uiPriority w:val="99"/>
    <w:pPr>
      <w:ind w:firstLine="0" w:firstLineChars="0"/>
    </w:pPr>
    <w:rPr>
      <w:rFonts w:ascii="楷体_GB2312" w:hAnsi="Cambria" w:eastAsia="楷体_GB2312" w:cs="楷体_GB2312"/>
      <w:sz w:val="21"/>
      <w:szCs w:val="21"/>
    </w:rPr>
  </w:style>
  <w:style w:type="paragraph" w:customStyle="1" w:styleId="289">
    <w:name w:val="blockquote"/>
    <w:basedOn w:val="1"/>
    <w:qFormat/>
    <w:uiPriority w:val="0"/>
    <w:pPr>
      <w:widowControl/>
      <w:spacing w:before="100" w:beforeAutospacing="1" w:after="100" w:afterAutospacing="1"/>
      <w:ind w:firstLine="0" w:firstLineChars="0"/>
      <w:jc w:val="left"/>
    </w:pPr>
    <w:rPr>
      <w:rFonts w:hAnsi="Cambria" w:eastAsia="宋体"/>
      <w:kern w:val="0"/>
      <w:sz w:val="24"/>
      <w:szCs w:val="24"/>
    </w:rPr>
  </w:style>
  <w:style w:type="character" w:customStyle="1" w:styleId="290">
    <w:name w:val="正文首行缩进 Char3"/>
    <w:basedOn w:val="72"/>
    <w:qFormat/>
    <w:uiPriority w:val="0"/>
    <w:rPr>
      <w:rFonts w:ascii="Cambria" w:hAnsi="楷体_GB2312" w:eastAsia="Times New Roman" w:cs="Cambria"/>
      <w:color w:val="000000"/>
      <w:sz w:val="28"/>
      <w:szCs w:val="28"/>
    </w:rPr>
  </w:style>
  <w:style w:type="paragraph" w:customStyle="1" w:styleId="291">
    <w:name w:val="修订1"/>
    <w:qFormat/>
    <w:uiPriority w:val="0"/>
    <w:rPr>
      <w:rFonts w:ascii="楷体_GB2312" w:hAnsi="Cambria" w:eastAsia="楷体_GB2312" w:cs="楷体_GB2312"/>
      <w:kern w:val="2"/>
      <w:sz w:val="21"/>
      <w:szCs w:val="21"/>
      <w:lang w:val="en-US" w:eastAsia="zh-CN" w:bidi="ar-SA"/>
    </w:rPr>
  </w:style>
  <w:style w:type="paragraph" w:customStyle="1" w:styleId="292">
    <w:name w:val="CM96"/>
    <w:basedOn w:val="106"/>
    <w:next w:val="106"/>
    <w:qFormat/>
    <w:uiPriority w:val="0"/>
    <w:pPr>
      <w:spacing w:after="298"/>
      <w:ind w:firstLine="0" w:firstLineChars="0"/>
      <w:jc w:val="left"/>
    </w:pPr>
    <w:rPr>
      <w:color w:val="auto"/>
    </w:rPr>
  </w:style>
  <w:style w:type="paragraph" w:customStyle="1" w:styleId="293">
    <w:name w:val="Address"/>
    <w:basedOn w:val="1"/>
    <w:next w:val="1"/>
    <w:qFormat/>
    <w:uiPriority w:val="0"/>
    <w:pPr>
      <w:autoSpaceDE w:val="0"/>
      <w:autoSpaceDN w:val="0"/>
      <w:adjustRightInd w:val="0"/>
      <w:ind w:firstLine="0" w:firstLineChars="0"/>
      <w:jc w:val="left"/>
    </w:pPr>
    <w:rPr>
      <w:rFonts w:ascii="楷体_GB2312" w:hAnsi="Cambria" w:eastAsia="楷体_GB2312" w:cs="楷体_GB2312"/>
      <w:i/>
      <w:iCs/>
      <w:kern w:val="0"/>
      <w:sz w:val="24"/>
      <w:szCs w:val="24"/>
    </w:rPr>
  </w:style>
  <w:style w:type="paragraph" w:customStyle="1" w:styleId="294">
    <w:name w:val="表格文字"/>
    <w:basedOn w:val="1"/>
    <w:qFormat/>
    <w:uiPriority w:val="0"/>
    <w:pPr>
      <w:adjustRightInd w:val="0"/>
      <w:spacing w:line="420" w:lineRule="atLeast"/>
      <w:ind w:firstLine="0" w:firstLineChars="0"/>
      <w:jc w:val="left"/>
      <w:textAlignment w:val="baseline"/>
    </w:pPr>
    <w:rPr>
      <w:rFonts w:ascii="楷体_GB2312" w:hAnsi="Cambria" w:eastAsia="楷体_GB2312" w:cs="楷体_GB2312"/>
      <w:kern w:val="0"/>
      <w:sz w:val="21"/>
      <w:szCs w:val="21"/>
    </w:rPr>
  </w:style>
  <w:style w:type="character" w:customStyle="1" w:styleId="295">
    <w:name w:val="正文文本 3 Char1"/>
    <w:qFormat/>
    <w:uiPriority w:val="0"/>
    <w:rPr>
      <w:rFonts w:ascii="Cambria" w:cs="Cambria"/>
      <w:kern w:val="2"/>
      <w:sz w:val="16"/>
      <w:szCs w:val="16"/>
    </w:rPr>
  </w:style>
  <w:style w:type="paragraph" w:customStyle="1" w:styleId="296">
    <w:name w:val="Definition Term"/>
    <w:basedOn w:val="1"/>
    <w:next w:val="297"/>
    <w:qFormat/>
    <w:uiPriority w:val="0"/>
    <w:pPr>
      <w:autoSpaceDE w:val="0"/>
      <w:autoSpaceDN w:val="0"/>
      <w:adjustRightInd w:val="0"/>
      <w:ind w:firstLine="0" w:firstLineChars="0"/>
      <w:jc w:val="left"/>
    </w:pPr>
    <w:rPr>
      <w:rFonts w:ascii="楷体_GB2312" w:hAnsi="Cambria" w:eastAsia="楷体_GB2312" w:cs="楷体_GB2312"/>
      <w:kern w:val="0"/>
      <w:sz w:val="24"/>
      <w:szCs w:val="24"/>
    </w:rPr>
  </w:style>
  <w:style w:type="paragraph" w:customStyle="1" w:styleId="297">
    <w:name w:val="Definition List"/>
    <w:basedOn w:val="1"/>
    <w:next w:val="296"/>
    <w:qFormat/>
    <w:uiPriority w:val="0"/>
    <w:pPr>
      <w:autoSpaceDE w:val="0"/>
      <w:autoSpaceDN w:val="0"/>
      <w:adjustRightInd w:val="0"/>
      <w:ind w:left="360" w:firstLine="0" w:firstLineChars="0"/>
      <w:jc w:val="left"/>
    </w:pPr>
    <w:rPr>
      <w:rFonts w:ascii="楷体_GB2312" w:hAnsi="Cambria" w:eastAsia="楷体_GB2312" w:cs="楷体_GB2312"/>
      <w:kern w:val="0"/>
      <w:sz w:val="24"/>
      <w:szCs w:val="24"/>
    </w:rPr>
  </w:style>
  <w:style w:type="paragraph" w:customStyle="1" w:styleId="298">
    <w:name w:val="文档结构图1"/>
    <w:basedOn w:val="1"/>
    <w:qFormat/>
    <w:uiPriority w:val="0"/>
    <w:pPr>
      <w:ind w:firstLine="0" w:firstLineChars="0"/>
    </w:pPr>
    <w:rPr>
      <w:rFonts w:hAnsi="Cambria" w:eastAsia="宋体"/>
      <w:kern w:val="0"/>
      <w:sz w:val="18"/>
      <w:szCs w:val="18"/>
    </w:rPr>
  </w:style>
  <w:style w:type="character" w:customStyle="1" w:styleId="299">
    <w:name w:val="明显引用 Char4"/>
    <w:qFormat/>
    <w:uiPriority w:val="99"/>
    <w:rPr>
      <w:rFonts w:ascii="Cambria" w:cs="Cambria"/>
      <w:b/>
      <w:bCs/>
      <w:i/>
      <w:iCs/>
      <w:color w:val="4F81BD"/>
      <w:kern w:val="2"/>
      <w:sz w:val="28"/>
      <w:szCs w:val="28"/>
    </w:rPr>
  </w:style>
  <w:style w:type="paragraph" w:customStyle="1" w:styleId="300">
    <w:name w:val="样式1"/>
    <w:basedOn w:val="1"/>
    <w:next w:val="6"/>
    <w:qFormat/>
    <w:uiPriority w:val="0"/>
    <w:pPr>
      <w:spacing w:line="360" w:lineRule="auto"/>
      <w:ind w:firstLine="420"/>
    </w:pPr>
    <w:rPr>
      <w:rFonts w:hAnsi="Cambria" w:eastAsia="宋体"/>
      <w:sz w:val="21"/>
      <w:szCs w:val="21"/>
    </w:rPr>
  </w:style>
  <w:style w:type="paragraph" w:customStyle="1" w:styleId="301">
    <w:name w:val="CM25"/>
    <w:basedOn w:val="106"/>
    <w:next w:val="106"/>
    <w:qFormat/>
    <w:uiPriority w:val="0"/>
    <w:pPr>
      <w:spacing w:line="440" w:lineRule="atLeast"/>
      <w:ind w:firstLine="0" w:firstLineChars="0"/>
      <w:jc w:val="left"/>
    </w:pPr>
    <w:rPr>
      <w:color w:val="auto"/>
    </w:rPr>
  </w:style>
  <w:style w:type="paragraph" w:customStyle="1" w:styleId="302">
    <w:name w:val="纯文本1"/>
    <w:basedOn w:val="1"/>
    <w:qFormat/>
    <w:uiPriority w:val="0"/>
    <w:pPr>
      <w:ind w:firstLine="0" w:firstLineChars="0"/>
    </w:pPr>
    <w:rPr>
      <w:rFonts w:hAnsi="font-weight : 400"/>
      <w:sz w:val="21"/>
      <w:szCs w:val="21"/>
    </w:rPr>
  </w:style>
  <w:style w:type="paragraph" w:customStyle="1" w:styleId="303">
    <w:name w:val="批注主题 Char Char"/>
    <w:basedOn w:val="16"/>
    <w:next w:val="16"/>
    <w:qFormat/>
    <w:uiPriority w:val="0"/>
    <w:pPr>
      <w:adjustRightInd w:val="0"/>
      <w:snapToGrid w:val="0"/>
      <w:ind w:firstLine="0" w:firstLineChars="0"/>
    </w:pPr>
    <w:rPr>
      <w:rFonts w:ascii="STKaiti" w:hAnsi="Cambria" w:eastAsia="STKaiti" w:cs="STKaiti"/>
      <w:b/>
      <w:bCs/>
      <w:sz w:val="21"/>
      <w:szCs w:val="21"/>
    </w:rPr>
  </w:style>
  <w:style w:type="character" w:customStyle="1" w:styleId="304">
    <w:name w:val="副标题 Char4"/>
    <w:qFormat/>
    <w:uiPriority w:val="0"/>
    <w:rPr>
      <w:rFonts w:ascii="???|CS?o｡ﾀ?" w:eastAsia="???|CS?o｡ﾀ?" w:cs="???|CS?o｡ﾀ?"/>
      <w:b/>
      <w:bCs/>
      <w:kern w:val="28"/>
      <w:sz w:val="32"/>
      <w:szCs w:val="32"/>
    </w:rPr>
  </w:style>
  <w:style w:type="paragraph" w:customStyle="1" w:styleId="305">
    <w:name w:val="列出段落2"/>
    <w:basedOn w:val="1"/>
    <w:qFormat/>
    <w:uiPriority w:val="0"/>
    <w:pPr>
      <w:ind w:firstLine="420"/>
    </w:pPr>
    <w:rPr>
      <w:rFonts w:hAnsi="Cambria" w:eastAsia="宋体"/>
      <w:kern w:val="0"/>
    </w:rPr>
  </w:style>
  <w:style w:type="paragraph" w:customStyle="1" w:styleId="306">
    <w:name w:val="CM99"/>
    <w:basedOn w:val="106"/>
    <w:next w:val="106"/>
    <w:qFormat/>
    <w:uiPriority w:val="0"/>
    <w:pPr>
      <w:spacing w:after="443"/>
      <w:ind w:firstLine="0" w:firstLineChars="0"/>
      <w:jc w:val="left"/>
    </w:pPr>
    <w:rPr>
      <w:color w:val="auto"/>
    </w:rPr>
  </w:style>
  <w:style w:type="character" w:customStyle="1" w:styleId="307">
    <w:name w:val="正文文本 2 Char3"/>
    <w:qFormat/>
    <w:uiPriority w:val="0"/>
    <w:rPr>
      <w:rFonts w:ascii="Cambria" w:cs="Cambria"/>
      <w:kern w:val="2"/>
      <w:sz w:val="28"/>
      <w:szCs w:val="28"/>
    </w:rPr>
  </w:style>
  <w:style w:type="character" w:customStyle="1" w:styleId="308">
    <w:name w:val="标题 Char5"/>
    <w:qFormat/>
    <w:uiPriority w:val="0"/>
    <w:rPr>
      <w:rFonts w:ascii="???|CS?o｡ﾀ?" w:eastAsia="???|CS?o｡ﾀ?" w:cs="???|CS?o｡ﾀ?"/>
      <w:b/>
      <w:bCs/>
      <w:kern w:val="2"/>
      <w:sz w:val="32"/>
      <w:szCs w:val="32"/>
    </w:rPr>
  </w:style>
  <w:style w:type="paragraph" w:customStyle="1" w:styleId="309">
    <w:name w:val="样式 标题 2 + Times New Roman 四号 非加粗 段前: 5 磅 段后: 0 磅 行距: 固定值 20..."/>
    <w:basedOn w:val="4"/>
    <w:uiPriority w:val="0"/>
    <w:pPr>
      <w:spacing w:before="100" w:after="0" w:line="400" w:lineRule="exact"/>
      <w:ind w:firstLine="0" w:firstLineChars="0"/>
    </w:pPr>
    <w:rPr>
      <w:rFonts w:ascii="楷体_GB2312" w:hAnsi="楷体_GB2312" w:cs="楷体_GB2312"/>
      <w:b w:val="0"/>
      <w:bCs w:val="0"/>
      <w:sz w:val="28"/>
      <w:szCs w:val="28"/>
    </w:rPr>
  </w:style>
  <w:style w:type="paragraph" w:customStyle="1" w:styleId="310">
    <w:name w:val="表内文字"/>
    <w:basedOn w:val="1"/>
    <w:qFormat/>
    <w:uiPriority w:val="0"/>
    <w:pPr>
      <w:spacing w:line="500" w:lineRule="atLeast"/>
      <w:ind w:firstLine="0" w:firstLineChars="0"/>
      <w:jc w:val="center"/>
    </w:pPr>
    <w:rPr>
      <w:rFonts w:ascii="STZhongsong" w:hAnsi="Cambria" w:eastAsia="STZhongsong" w:cs="STZhongsong"/>
    </w:rPr>
  </w:style>
  <w:style w:type="paragraph" w:customStyle="1" w:styleId="311">
    <w:name w:val="样式 标题 3 + (中文) 黑体 小四 非加粗 段前: 7.8 磅 段后: 0 磅 行距: 固定值 20 磅"/>
    <w:basedOn w:val="5"/>
    <w:qFormat/>
    <w:uiPriority w:val="0"/>
    <w:pPr>
      <w:spacing w:before="0" w:after="0" w:line="400" w:lineRule="exact"/>
      <w:ind w:firstLine="137" w:firstLineChars="49"/>
    </w:pPr>
    <w:rPr>
      <w:rFonts w:ascii="华文宋体" w:eastAsia="华文宋体" w:cs="华文宋体"/>
      <w:b w:val="0"/>
      <w:bCs w:val="0"/>
      <w:sz w:val="24"/>
      <w:szCs w:val="24"/>
    </w:rPr>
  </w:style>
  <w:style w:type="paragraph" w:customStyle="1" w:styleId="312">
    <w:name w:val="TOC 标题1"/>
    <w:basedOn w:val="3"/>
    <w:next w:val="1"/>
    <w:qFormat/>
    <w:uiPriority w:val="0"/>
    <w:pPr>
      <w:widowControl/>
      <w:adjustRightInd w:val="0"/>
      <w:snapToGrid w:val="0"/>
      <w:spacing w:before="480" w:after="0" w:line="276" w:lineRule="auto"/>
      <w:ind w:firstLine="0" w:firstLineChars="0"/>
      <w:jc w:val="left"/>
      <w:outlineLvl w:val="9"/>
    </w:pPr>
    <w:rPr>
      <w:rFonts w:ascii="???|CS?o｡ﾀ?" w:hAnsi="Cambria" w:eastAsia="???|CS?o｡ﾀ?" w:cs="???|CS?o｡ﾀ?"/>
      <w:color w:val="365F91"/>
      <w:kern w:val="0"/>
      <w:sz w:val="28"/>
      <w:szCs w:val="28"/>
    </w:rPr>
  </w:style>
  <w:style w:type="paragraph" w:customStyle="1" w:styleId="313">
    <w:name w:val="z-Top of Form1"/>
    <w:next w:val="1"/>
    <w:qFormat/>
    <w:uiPriority w:val="99"/>
    <w:pPr>
      <w:widowControl w:val="0"/>
      <w:pBdr>
        <w:bottom w:val="double" w:color="000000" w:sz="2" w:space="0"/>
      </w:pBdr>
      <w:autoSpaceDE w:val="0"/>
      <w:autoSpaceDN w:val="0"/>
      <w:adjustRightInd w:val="0"/>
      <w:jc w:val="center"/>
    </w:pPr>
    <w:rPr>
      <w:rFonts w:ascii="STZhongsong" w:hAnsi="Cambria" w:eastAsia="STZhongsong" w:cs="STZhongsong"/>
      <w:vanish/>
      <w:sz w:val="16"/>
      <w:szCs w:val="16"/>
      <w:lang w:val="en-US" w:eastAsia="zh-CN" w:bidi="ar-SA"/>
    </w:rPr>
  </w:style>
  <w:style w:type="paragraph" w:customStyle="1" w:styleId="314">
    <w:name w:val="默认段落字体 Para Char Char Char Char"/>
    <w:basedOn w:val="1"/>
    <w:uiPriority w:val="0"/>
    <w:pPr>
      <w:ind w:firstLine="0" w:firstLineChars="0"/>
    </w:pPr>
    <w:rPr>
      <w:rFonts w:ascii="楷体_GB2312" w:hAnsi="Cambria" w:eastAsia="楷体_GB2312" w:cs="楷体_GB2312"/>
      <w:sz w:val="21"/>
      <w:szCs w:val="21"/>
    </w:rPr>
  </w:style>
  <w:style w:type="paragraph" w:customStyle="1" w:styleId="315">
    <w:name w:val="1"/>
    <w:basedOn w:val="1"/>
    <w:qFormat/>
    <w:uiPriority w:val="0"/>
    <w:pPr>
      <w:ind w:firstLine="0" w:firstLineChars="0"/>
    </w:pPr>
    <w:rPr>
      <w:rFonts w:ascii="楷体_GB2312" w:hAnsi="Cambria" w:eastAsia="楷体_GB2312" w:cs="楷体_GB2312"/>
      <w:sz w:val="21"/>
      <w:szCs w:val="21"/>
    </w:rPr>
  </w:style>
  <w:style w:type="paragraph" w:customStyle="1" w:styleId="316">
    <w:name w:val="空半行"/>
    <w:basedOn w:val="1"/>
    <w:qFormat/>
    <w:uiPriority w:val="0"/>
    <w:pPr>
      <w:adjustRightInd w:val="0"/>
      <w:spacing w:line="120" w:lineRule="exact"/>
      <w:ind w:firstLine="0" w:firstLineChars="0"/>
      <w:textAlignment w:val="baseline"/>
    </w:pPr>
    <w:rPr>
      <w:rFonts w:ascii="楷体_GB2312" w:eastAsia="PMingLiUfalt" w:cs="楷体_GB2312"/>
      <w:color w:val="FFFFFF"/>
      <w:kern w:val="0"/>
      <w:sz w:val="30"/>
      <w:szCs w:val="30"/>
    </w:rPr>
  </w:style>
  <w:style w:type="paragraph" w:customStyle="1" w:styleId="317">
    <w:name w:val="彩色列表 - 强调文字颜色 11"/>
    <w:basedOn w:val="1"/>
    <w:qFormat/>
    <w:uiPriority w:val="0"/>
    <w:pPr>
      <w:adjustRightInd w:val="0"/>
      <w:snapToGrid w:val="0"/>
      <w:spacing w:line="312" w:lineRule="auto"/>
      <w:ind w:firstLine="420"/>
      <w:jc w:val="left"/>
    </w:pPr>
    <w:rPr>
      <w:rFonts w:ascii="STKaiti" w:hAnsi="Cambria" w:eastAsia="STKaiti" w:cs="STKaiti"/>
    </w:rPr>
  </w:style>
  <w:style w:type="paragraph" w:customStyle="1" w:styleId="318">
    <w:name w:val="CM57"/>
    <w:basedOn w:val="106"/>
    <w:next w:val="106"/>
    <w:qFormat/>
    <w:uiPriority w:val="0"/>
    <w:pPr>
      <w:ind w:firstLine="0" w:firstLineChars="0"/>
      <w:jc w:val="left"/>
    </w:pPr>
    <w:rPr>
      <w:rFonts w:ascii="楷体_GB2312" w:cs="楷体_GB2312"/>
      <w:color w:val="auto"/>
    </w:rPr>
  </w:style>
  <w:style w:type="paragraph" w:customStyle="1" w:styleId="319">
    <w:name w:val="H3"/>
    <w:basedOn w:val="1"/>
    <w:next w:val="1"/>
    <w:qFormat/>
    <w:uiPriority w:val="0"/>
    <w:pPr>
      <w:keepNext/>
      <w:autoSpaceDE w:val="0"/>
      <w:autoSpaceDN w:val="0"/>
      <w:adjustRightInd w:val="0"/>
      <w:spacing w:before="100" w:after="100"/>
      <w:ind w:firstLine="0" w:firstLineChars="0"/>
      <w:jc w:val="left"/>
      <w:outlineLvl w:val="3"/>
    </w:pPr>
    <w:rPr>
      <w:rFonts w:ascii="楷体_GB2312" w:hAnsi="Cambria" w:eastAsia="楷体_GB2312" w:cs="楷体_GB2312"/>
      <w:b/>
      <w:bCs/>
      <w:kern w:val="0"/>
    </w:rPr>
  </w:style>
  <w:style w:type="paragraph" w:customStyle="1" w:styleId="320">
    <w:name w:val="flNote"/>
    <w:basedOn w:val="1"/>
    <w:uiPriority w:val="0"/>
    <w:pPr>
      <w:adjustRightInd w:val="0"/>
      <w:spacing w:before="320" w:after="160" w:line="360" w:lineRule="atLeast"/>
      <w:ind w:firstLine="0" w:firstLineChars="0"/>
      <w:jc w:val="center"/>
      <w:textAlignment w:val="baseline"/>
    </w:pPr>
    <w:rPr>
      <w:rFonts w:ascii="STZhongsong" w:eastAsia="华文宋体" w:cs="STZhongsong"/>
      <w:kern w:val="0"/>
      <w:sz w:val="30"/>
      <w:szCs w:val="30"/>
    </w:rPr>
  </w:style>
  <w:style w:type="paragraph" w:customStyle="1" w:styleId="321">
    <w:name w:val="CM5"/>
    <w:basedOn w:val="106"/>
    <w:next w:val="106"/>
    <w:qFormat/>
    <w:uiPriority w:val="0"/>
    <w:pPr>
      <w:spacing w:line="180" w:lineRule="atLeast"/>
      <w:ind w:firstLine="0" w:firstLineChars="0"/>
      <w:jc w:val="left"/>
    </w:pPr>
    <w:rPr>
      <w:rFonts w:ascii="楷体_GB2312" w:cs="楷体_GB2312"/>
      <w:color w:val="auto"/>
    </w:rPr>
  </w:style>
  <w:style w:type="paragraph" w:customStyle="1" w:styleId="322">
    <w:name w:val="CM7"/>
    <w:basedOn w:val="106"/>
    <w:next w:val="106"/>
    <w:qFormat/>
    <w:uiPriority w:val="0"/>
    <w:pPr>
      <w:spacing w:line="191" w:lineRule="atLeast"/>
      <w:ind w:firstLine="0" w:firstLineChars="0"/>
      <w:jc w:val="left"/>
    </w:pPr>
    <w:rPr>
      <w:rFonts w:ascii="楷体_GB2312" w:cs="楷体_GB2312"/>
      <w:color w:val="auto"/>
    </w:rPr>
  </w:style>
  <w:style w:type="paragraph" w:customStyle="1" w:styleId="323">
    <w:name w:val="目次、标准名称标题"/>
    <w:basedOn w:val="1"/>
    <w:next w:val="324"/>
    <w:qFormat/>
    <w:uiPriority w:val="0"/>
    <w:pPr>
      <w:widowControl/>
      <w:shd w:val="clear" w:color="FFFFFF" w:fill="FFFFFF"/>
      <w:spacing w:before="640" w:after="560" w:line="460" w:lineRule="exact"/>
      <w:ind w:firstLine="0" w:firstLineChars="0"/>
      <w:jc w:val="center"/>
      <w:outlineLvl w:val="0"/>
    </w:pPr>
    <w:rPr>
      <w:rFonts w:ascii="华文宋体" w:eastAsia="华文宋体" w:cs="华文宋体"/>
      <w:kern w:val="0"/>
      <w:sz w:val="32"/>
      <w:szCs w:val="32"/>
    </w:rPr>
  </w:style>
  <w:style w:type="paragraph" w:customStyle="1" w:styleId="324">
    <w:name w:val="段"/>
    <w:qFormat/>
    <w:uiPriority w:val="0"/>
    <w:pPr>
      <w:autoSpaceDE w:val="0"/>
      <w:autoSpaceDN w:val="0"/>
      <w:ind w:firstLine="200" w:firstLineChars="200"/>
      <w:jc w:val="both"/>
    </w:pPr>
    <w:rPr>
      <w:rFonts w:ascii="Cambria" w:hAnsi="楷体_GB2312" w:eastAsia="Times New Roman" w:cs="Cambria"/>
      <w:sz w:val="21"/>
      <w:szCs w:val="21"/>
      <w:lang w:val="en-US" w:eastAsia="zh-CN" w:bidi="ar-SA"/>
    </w:rPr>
  </w:style>
  <w:style w:type="paragraph" w:customStyle="1" w:styleId="325">
    <w:name w:val="修订2"/>
    <w:qFormat/>
    <w:uiPriority w:val="99"/>
    <w:rPr>
      <w:rFonts w:ascii="楷体_GB2312" w:hAnsi="Cambria" w:eastAsia="楷体_GB2312" w:cs="楷体_GB2312"/>
      <w:kern w:val="2"/>
      <w:sz w:val="21"/>
      <w:szCs w:val="21"/>
      <w:lang w:val="en-US" w:eastAsia="zh-CN" w:bidi="ar-SA"/>
    </w:rPr>
  </w:style>
  <w:style w:type="paragraph" w:customStyle="1" w:styleId="326">
    <w:name w:val="普通 (Web)"/>
    <w:basedOn w:val="1"/>
    <w:qFormat/>
    <w:uiPriority w:val="0"/>
    <w:pPr>
      <w:widowControl/>
      <w:spacing w:before="100" w:after="100"/>
      <w:ind w:firstLine="0" w:firstLineChars="0"/>
      <w:jc w:val="left"/>
    </w:pPr>
    <w:rPr>
      <w:rFonts w:hAnsi="Cambria" w:eastAsia="宋体"/>
      <w:kern w:val="0"/>
      <w:sz w:val="24"/>
      <w:szCs w:val="24"/>
    </w:rPr>
  </w:style>
  <w:style w:type="paragraph" w:customStyle="1" w:styleId="327">
    <w:name w:val="H6"/>
    <w:basedOn w:val="1"/>
    <w:next w:val="1"/>
    <w:qFormat/>
    <w:uiPriority w:val="0"/>
    <w:pPr>
      <w:keepNext/>
      <w:autoSpaceDE w:val="0"/>
      <w:autoSpaceDN w:val="0"/>
      <w:adjustRightInd w:val="0"/>
      <w:spacing w:before="100" w:after="100"/>
      <w:ind w:firstLine="0" w:firstLineChars="0"/>
      <w:jc w:val="left"/>
      <w:outlineLvl w:val="6"/>
    </w:pPr>
    <w:rPr>
      <w:rFonts w:ascii="楷体_GB2312" w:hAnsi="Cambria" w:eastAsia="楷体_GB2312" w:cs="楷体_GB2312"/>
      <w:b/>
      <w:bCs/>
      <w:kern w:val="0"/>
      <w:sz w:val="16"/>
      <w:szCs w:val="16"/>
    </w:rPr>
  </w:style>
  <w:style w:type="paragraph" w:customStyle="1" w:styleId="328">
    <w:name w:val="Char Char Char Char"/>
    <w:basedOn w:val="1"/>
    <w:qFormat/>
    <w:uiPriority w:val="0"/>
    <w:pPr>
      <w:ind w:firstLine="0" w:firstLineChars="0"/>
    </w:pPr>
    <w:rPr>
      <w:rFonts w:ascii="Garamond" w:hAnsi="Garamond" w:eastAsia="宋体" w:cs="Garamond"/>
      <w:sz w:val="24"/>
      <w:szCs w:val="24"/>
    </w:rPr>
  </w:style>
  <w:style w:type="paragraph" w:customStyle="1" w:styleId="329">
    <w:name w:val="TOC Heading1"/>
    <w:basedOn w:val="3"/>
    <w:next w:val="1"/>
    <w:qFormat/>
    <w:uiPriority w:val="99"/>
    <w:pPr>
      <w:spacing w:line="576" w:lineRule="auto"/>
      <w:ind w:firstLine="0" w:firstLineChars="0"/>
      <w:outlineLvl w:val="9"/>
    </w:pPr>
    <w:rPr>
      <w:rFonts w:ascii="STKaiti" w:hAnsi="Cambria" w:eastAsia="STKaiti" w:cs="STKaiti"/>
    </w:rPr>
  </w:style>
  <w:style w:type="paragraph" w:customStyle="1" w:styleId="330">
    <w:name w:val="正文 New"/>
    <w:qFormat/>
    <w:uiPriority w:val="0"/>
    <w:pPr>
      <w:widowControl w:val="0"/>
      <w:jc w:val="both"/>
    </w:pPr>
    <w:rPr>
      <w:rFonts w:ascii="楷体_GB2312" w:hAnsi="Cambria" w:eastAsia="楷体_GB2312" w:cs="楷体_GB2312"/>
      <w:kern w:val="2"/>
      <w:sz w:val="21"/>
      <w:szCs w:val="21"/>
      <w:lang w:val="en-US" w:eastAsia="zh-CN" w:bidi="ar-SA"/>
    </w:rPr>
  </w:style>
  <w:style w:type="paragraph" w:customStyle="1" w:styleId="331">
    <w:name w:val="Char Char Char2 Char"/>
    <w:basedOn w:val="1"/>
    <w:qFormat/>
    <w:uiPriority w:val="0"/>
    <w:pPr>
      <w:tabs>
        <w:tab w:val="left" w:pos="360"/>
      </w:tabs>
      <w:ind w:left="360" w:hanging="360" w:firstLineChars="0"/>
    </w:pPr>
    <w:rPr>
      <w:rFonts w:ascii="楷体_GB2312" w:hAnsi="Cambria" w:eastAsia="楷体_GB2312" w:cs="楷体_GB2312"/>
      <w:sz w:val="21"/>
      <w:szCs w:val="21"/>
    </w:rPr>
  </w:style>
  <w:style w:type="paragraph" w:customStyle="1" w:styleId="332">
    <w:name w:val="Char Char Char"/>
    <w:basedOn w:val="1"/>
    <w:qFormat/>
    <w:uiPriority w:val="0"/>
    <w:pPr>
      <w:ind w:firstLine="0" w:firstLineChars="0"/>
    </w:pPr>
    <w:rPr>
      <w:rFonts w:ascii="Garamond" w:hAnsi="Garamond" w:eastAsia="宋体" w:cs="Garamond"/>
      <w:sz w:val="24"/>
      <w:szCs w:val="24"/>
    </w:rPr>
  </w:style>
  <w:style w:type="paragraph" w:customStyle="1" w:styleId="333">
    <w:name w:val="6'"/>
    <w:basedOn w:val="1"/>
    <w:qFormat/>
    <w:uiPriority w:val="0"/>
    <w:pPr>
      <w:autoSpaceDE w:val="0"/>
      <w:autoSpaceDN w:val="0"/>
      <w:adjustRightInd w:val="0"/>
      <w:snapToGrid w:val="0"/>
      <w:spacing w:line="320" w:lineRule="exact"/>
      <w:ind w:firstLine="0" w:firstLineChars="0"/>
      <w:jc w:val="center"/>
      <w:textAlignment w:val="baseline"/>
    </w:pPr>
    <w:rPr>
      <w:rFonts w:ascii="楷体_GB2312" w:hAnsi="Cambria" w:eastAsia="楷体_GB2312" w:cs="楷体_GB2312"/>
      <w:spacing w:val="20"/>
      <w:kern w:val="28"/>
      <w:sz w:val="21"/>
      <w:szCs w:val="21"/>
    </w:rPr>
  </w:style>
  <w:style w:type="paragraph" w:customStyle="1" w:styleId="334">
    <w:name w:val="批注主题1"/>
    <w:basedOn w:val="16"/>
    <w:next w:val="16"/>
    <w:qFormat/>
    <w:uiPriority w:val="0"/>
    <w:pPr>
      <w:ind w:firstLine="0" w:firstLineChars="0"/>
    </w:pPr>
    <w:rPr>
      <w:rFonts w:ascii="STKaiti" w:hAnsi="Cambria" w:eastAsia="STKaiti" w:cs="STKaiti"/>
      <w:b/>
      <w:bCs/>
      <w:sz w:val="21"/>
      <w:szCs w:val="21"/>
    </w:rPr>
  </w:style>
  <w:style w:type="paragraph" w:customStyle="1" w:styleId="33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ind w:firstLine="0" w:firstLineChars="0"/>
      <w:jc w:val="left"/>
    </w:pPr>
    <w:rPr>
      <w:rFonts w:ascii="font-weight : 400" w:hAnsi="font-weight : 400" w:eastAsia="宋体" w:cs="font-weight : 400"/>
      <w:kern w:val="0"/>
      <w:sz w:val="20"/>
      <w:szCs w:val="20"/>
    </w:rPr>
  </w:style>
  <w:style w:type="paragraph" w:customStyle="1" w:styleId="336">
    <w:name w:val="H5"/>
    <w:basedOn w:val="1"/>
    <w:next w:val="1"/>
    <w:qFormat/>
    <w:uiPriority w:val="0"/>
    <w:pPr>
      <w:keepNext/>
      <w:autoSpaceDE w:val="0"/>
      <w:autoSpaceDN w:val="0"/>
      <w:adjustRightInd w:val="0"/>
      <w:spacing w:before="100" w:after="100"/>
      <w:ind w:firstLine="0" w:firstLineChars="0"/>
      <w:jc w:val="left"/>
      <w:outlineLvl w:val="5"/>
    </w:pPr>
    <w:rPr>
      <w:rFonts w:ascii="楷体_GB2312" w:hAnsi="Cambria" w:eastAsia="楷体_GB2312" w:cs="楷体_GB2312"/>
      <w:b/>
      <w:bCs/>
      <w:kern w:val="0"/>
      <w:sz w:val="20"/>
      <w:szCs w:val="20"/>
    </w:rPr>
  </w:style>
  <w:style w:type="paragraph" w:customStyle="1" w:styleId="337">
    <w:name w:val="内文正文"/>
    <w:qFormat/>
    <w:uiPriority w:val="0"/>
    <w:pPr>
      <w:autoSpaceDE w:val="0"/>
      <w:autoSpaceDN w:val="0"/>
      <w:spacing w:line="400" w:lineRule="exact"/>
      <w:ind w:firstLine="200" w:firstLineChars="200"/>
      <w:jc w:val="both"/>
      <w:textAlignment w:val="bottom"/>
    </w:pPr>
    <w:rPr>
      <w:rFonts w:ascii="Cambria" w:hAnsi="@华文中宋" w:eastAsia="Times New Roman" w:cs="Cambria"/>
      <w:sz w:val="21"/>
      <w:szCs w:val="21"/>
      <w:lang w:val="en-US" w:eastAsia="zh-CN" w:bidi="ar-SA"/>
    </w:rPr>
  </w:style>
  <w:style w:type="paragraph" w:customStyle="1" w:styleId="338">
    <w:name w:val="正文首行缩进2字"/>
    <w:basedOn w:val="1"/>
    <w:qFormat/>
    <w:uiPriority w:val="0"/>
    <w:pPr>
      <w:spacing w:before="100" w:beforeAutospacing="1" w:after="100" w:afterAutospacing="1"/>
      <w:ind w:firstLine="560"/>
    </w:pPr>
    <w:rPr>
      <w:rFonts w:ascii="楷体_GB2312" w:hAnsi="Cambria" w:eastAsia="楷体_GB2312" w:cs="楷体_GB2312"/>
      <w:kern w:val="0"/>
    </w:rPr>
  </w:style>
  <w:style w:type="paragraph" w:customStyle="1" w:styleId="339">
    <w:name w:val="CM60"/>
    <w:basedOn w:val="106"/>
    <w:next w:val="106"/>
    <w:qFormat/>
    <w:uiPriority w:val="0"/>
    <w:pPr>
      <w:ind w:firstLine="0" w:firstLineChars="0"/>
      <w:jc w:val="left"/>
    </w:pPr>
    <w:rPr>
      <w:rFonts w:ascii="楷体_GB2312" w:cs="楷体_GB2312"/>
      <w:color w:val="auto"/>
    </w:rPr>
  </w:style>
  <w:style w:type="paragraph" w:customStyle="1" w:styleId="340">
    <w:name w:val="Char Char Char Char Char Char Char Char Char"/>
    <w:basedOn w:val="1"/>
    <w:qFormat/>
    <w:uiPriority w:val="0"/>
    <w:pPr>
      <w:widowControl/>
      <w:spacing w:after="160" w:line="240" w:lineRule="exact"/>
      <w:ind w:firstLine="0" w:firstLineChars="0"/>
      <w:jc w:val="left"/>
    </w:pPr>
    <w:rPr>
      <w:rFonts w:ascii="楷体_GB2312" w:hAnsi="Cambria" w:eastAsia="楷体_GB2312" w:cs="楷体_GB2312"/>
      <w:sz w:val="21"/>
      <w:szCs w:val="21"/>
    </w:rPr>
  </w:style>
  <w:style w:type="paragraph" w:customStyle="1" w:styleId="341">
    <w:name w:val="Char Char Char Char11"/>
    <w:basedOn w:val="1"/>
    <w:qFormat/>
    <w:uiPriority w:val="99"/>
    <w:pPr>
      <w:widowControl/>
      <w:spacing w:after="160" w:line="240" w:lineRule="exact"/>
      <w:ind w:firstLine="0" w:firstLineChars="0"/>
      <w:jc w:val="left"/>
    </w:pPr>
    <w:rPr>
      <w:rFonts w:ascii="STZhongsong" w:hAnsi="STZhongsong" w:eastAsia="楷体_GB2312" w:cs="STZhongsong"/>
      <w:b/>
      <w:bCs/>
      <w:kern w:val="0"/>
      <w:sz w:val="24"/>
      <w:szCs w:val="24"/>
      <w:lang w:eastAsia="en-US"/>
    </w:rPr>
  </w:style>
  <w:style w:type="paragraph" w:customStyle="1" w:styleId="342">
    <w:name w:val="z-Bottom of Form1"/>
    <w:next w:val="1"/>
    <w:qFormat/>
    <w:uiPriority w:val="99"/>
    <w:pPr>
      <w:widowControl w:val="0"/>
      <w:pBdr>
        <w:top w:val="double" w:color="000000" w:sz="2" w:space="0"/>
      </w:pBdr>
      <w:autoSpaceDE w:val="0"/>
      <w:autoSpaceDN w:val="0"/>
      <w:adjustRightInd w:val="0"/>
      <w:jc w:val="center"/>
    </w:pPr>
    <w:rPr>
      <w:rFonts w:ascii="STZhongsong" w:hAnsi="Cambria" w:eastAsia="STZhongsong" w:cs="STZhongsong"/>
      <w:vanish/>
      <w:sz w:val="16"/>
      <w:szCs w:val="16"/>
      <w:lang w:val="en-US" w:eastAsia="zh-CN" w:bidi="ar-SA"/>
    </w:rPr>
  </w:style>
  <w:style w:type="paragraph" w:customStyle="1" w:styleId="343">
    <w:name w:val="CM44"/>
    <w:basedOn w:val="106"/>
    <w:next w:val="106"/>
    <w:uiPriority w:val="0"/>
    <w:pPr>
      <w:spacing w:line="440" w:lineRule="atLeast"/>
      <w:ind w:firstLine="0" w:firstLineChars="0"/>
      <w:jc w:val="left"/>
    </w:pPr>
    <w:rPr>
      <w:color w:val="auto"/>
    </w:rPr>
  </w:style>
  <w:style w:type="paragraph" w:customStyle="1" w:styleId="344">
    <w:name w:val="纯文本2"/>
    <w:basedOn w:val="1"/>
    <w:qFormat/>
    <w:uiPriority w:val="99"/>
    <w:pPr>
      <w:adjustRightInd w:val="0"/>
      <w:snapToGrid w:val="0"/>
      <w:spacing w:line="288" w:lineRule="auto"/>
    </w:pPr>
    <w:rPr>
      <w:rFonts w:hAnsi="font-weight : 400"/>
      <w:sz w:val="21"/>
      <w:szCs w:val="21"/>
    </w:rPr>
  </w:style>
  <w:style w:type="paragraph" w:customStyle="1" w:styleId="345">
    <w:name w:val="正文文本 21"/>
    <w:basedOn w:val="1"/>
    <w:qFormat/>
    <w:uiPriority w:val="0"/>
    <w:pPr>
      <w:spacing w:after="120" w:line="480" w:lineRule="auto"/>
      <w:ind w:firstLine="0" w:firstLineChars="0"/>
    </w:pPr>
    <w:rPr>
      <w:rFonts w:ascii="楷体_GB2312" w:hAnsi="Cambria" w:eastAsia="楷体_GB2312" w:cs="楷体_GB2312"/>
      <w:sz w:val="21"/>
      <w:szCs w:val="21"/>
    </w:rPr>
  </w:style>
  <w:style w:type="paragraph" w:customStyle="1" w:styleId="346">
    <w:name w:val="Char Char Char Char1"/>
    <w:basedOn w:val="1"/>
    <w:qFormat/>
    <w:uiPriority w:val="0"/>
    <w:pPr>
      <w:ind w:firstLine="0" w:firstLineChars="0"/>
    </w:pPr>
    <w:rPr>
      <w:rFonts w:ascii="楷体_GB2312" w:hAnsi="Cambria" w:eastAsia="楷体_GB2312" w:cs="楷体_GB2312"/>
      <w:sz w:val="21"/>
      <w:szCs w:val="21"/>
    </w:rPr>
  </w:style>
  <w:style w:type="paragraph" w:customStyle="1" w:styleId="347">
    <w:name w:val="H2"/>
    <w:basedOn w:val="1"/>
    <w:next w:val="1"/>
    <w:qFormat/>
    <w:uiPriority w:val="0"/>
    <w:pPr>
      <w:keepNext/>
      <w:autoSpaceDE w:val="0"/>
      <w:autoSpaceDN w:val="0"/>
      <w:adjustRightInd w:val="0"/>
      <w:spacing w:before="100" w:after="100"/>
      <w:ind w:firstLine="0" w:firstLineChars="0"/>
      <w:jc w:val="left"/>
      <w:outlineLvl w:val="2"/>
    </w:pPr>
    <w:rPr>
      <w:rFonts w:ascii="楷体_GB2312" w:hAnsi="Cambria" w:eastAsia="楷体_GB2312" w:cs="楷体_GB2312"/>
      <w:b/>
      <w:bCs/>
      <w:kern w:val="0"/>
      <w:sz w:val="36"/>
      <w:szCs w:val="36"/>
    </w:rPr>
  </w:style>
  <w:style w:type="paragraph" w:customStyle="1" w:styleId="348">
    <w:name w:val="日期1"/>
    <w:basedOn w:val="1"/>
    <w:next w:val="1"/>
    <w:qFormat/>
    <w:uiPriority w:val="0"/>
    <w:pPr>
      <w:ind w:left="100" w:leftChars="2500" w:firstLine="0" w:firstLineChars="0"/>
    </w:pPr>
    <w:rPr>
      <w:rFonts w:hAnsi="Cambria" w:eastAsia="宋体"/>
      <w:kern w:val="0"/>
    </w:rPr>
  </w:style>
  <w:style w:type="paragraph" w:customStyle="1" w:styleId="349">
    <w:name w:val="Char11"/>
    <w:basedOn w:val="1"/>
    <w:uiPriority w:val="99"/>
    <w:pPr>
      <w:tabs>
        <w:tab w:val="left" w:pos="360"/>
      </w:tabs>
      <w:ind w:firstLine="0" w:firstLineChars="0"/>
    </w:pPr>
    <w:rPr>
      <w:rFonts w:ascii="楷体_GB2312" w:hAnsi="Cambria" w:eastAsia="楷体_GB2312" w:cs="楷体_GB2312"/>
      <w:sz w:val="24"/>
      <w:szCs w:val="24"/>
    </w:rPr>
  </w:style>
  <w:style w:type="paragraph" w:customStyle="1" w:styleId="350">
    <w:name w:val="正文 + 小三"/>
    <w:basedOn w:val="1"/>
    <w:qFormat/>
    <w:uiPriority w:val="0"/>
    <w:pPr>
      <w:ind w:firstLine="0" w:firstLineChars="0"/>
    </w:pPr>
    <w:rPr>
      <w:rFonts w:hAnsi="Cambria" w:eastAsia="宋体"/>
      <w:sz w:val="30"/>
      <w:szCs w:val="30"/>
    </w:rPr>
  </w:style>
  <w:style w:type="paragraph" w:customStyle="1" w:styleId="351">
    <w:name w:val="CM3"/>
    <w:basedOn w:val="106"/>
    <w:next w:val="106"/>
    <w:qFormat/>
    <w:uiPriority w:val="0"/>
    <w:pPr>
      <w:ind w:firstLine="0" w:firstLineChars="0"/>
      <w:jc w:val="left"/>
    </w:pPr>
    <w:rPr>
      <w:rFonts w:ascii="楷体_GB2312" w:cs="楷体_GB2312"/>
      <w:color w:val="auto"/>
    </w:rPr>
  </w:style>
  <w:style w:type="paragraph" w:customStyle="1" w:styleId="352">
    <w:name w:val="Char1 Char Char Char"/>
    <w:basedOn w:val="1"/>
    <w:qFormat/>
    <w:uiPriority w:val="0"/>
    <w:pPr>
      <w:ind w:firstLine="0" w:firstLineChars="0"/>
    </w:pPr>
    <w:rPr>
      <w:rFonts w:ascii="楷体_GB2312" w:hAnsi="Cambria" w:eastAsia="楷体_GB2312" w:cs="楷体_GB2312"/>
      <w:sz w:val="21"/>
      <w:szCs w:val="21"/>
    </w:rPr>
  </w:style>
  <w:style w:type="paragraph" w:customStyle="1" w:styleId="353">
    <w:name w:val="目录文字"/>
    <w:basedOn w:val="1"/>
    <w:qFormat/>
    <w:uiPriority w:val="0"/>
    <w:pPr>
      <w:widowControl/>
      <w:spacing w:line="480" w:lineRule="auto"/>
      <w:ind w:firstLine="0" w:firstLineChars="0"/>
      <w:jc w:val="left"/>
    </w:pPr>
    <w:rPr>
      <w:rFonts w:hAnsi="Cambria" w:eastAsia="宋体"/>
      <w:kern w:val="0"/>
      <w:sz w:val="24"/>
      <w:szCs w:val="24"/>
    </w:rPr>
  </w:style>
  <w:style w:type="paragraph" w:customStyle="1" w:styleId="354">
    <w:name w:val="四级目录 Char Char Char Char Char"/>
    <w:next w:val="1"/>
    <w:uiPriority w:val="0"/>
    <w:pPr>
      <w:spacing w:line="360" w:lineRule="auto"/>
      <w:ind w:left="200" w:leftChars="200"/>
    </w:pPr>
    <w:rPr>
      <w:rFonts w:ascii="楷体_GB2312" w:hAnsi="Cambria" w:eastAsia="楷体_GB2312" w:cs="楷体_GB2312"/>
      <w:lang w:val="en-US" w:eastAsia="zh-CN" w:bidi="ar-SA"/>
    </w:rPr>
  </w:style>
  <w:style w:type="paragraph" w:customStyle="1" w:styleId="355">
    <w:name w:val="H1"/>
    <w:basedOn w:val="1"/>
    <w:next w:val="1"/>
    <w:qFormat/>
    <w:uiPriority w:val="0"/>
    <w:pPr>
      <w:keepNext/>
      <w:autoSpaceDE w:val="0"/>
      <w:autoSpaceDN w:val="0"/>
      <w:adjustRightInd w:val="0"/>
      <w:spacing w:before="100" w:after="100"/>
      <w:ind w:firstLine="0" w:firstLineChars="0"/>
      <w:jc w:val="left"/>
      <w:outlineLvl w:val="1"/>
    </w:pPr>
    <w:rPr>
      <w:rFonts w:ascii="楷体_GB2312" w:hAnsi="Cambria" w:eastAsia="楷体_GB2312" w:cs="楷体_GB2312"/>
      <w:b/>
      <w:bCs/>
      <w:kern w:val="36"/>
      <w:sz w:val="48"/>
      <w:szCs w:val="48"/>
    </w:rPr>
  </w:style>
  <w:style w:type="paragraph" w:customStyle="1" w:styleId="356">
    <w:name w:val="正文 + 仿宋_GB2312"/>
    <w:basedOn w:val="1"/>
    <w:qFormat/>
    <w:uiPriority w:val="0"/>
    <w:pPr>
      <w:widowControl/>
      <w:adjustRightInd w:val="0"/>
      <w:snapToGrid w:val="0"/>
      <w:spacing w:line="360" w:lineRule="exact"/>
      <w:ind w:left="480" w:firstLine="0" w:firstLineChars="0"/>
      <w:textAlignment w:val="baseline"/>
    </w:pPr>
    <w:rPr>
      <w:rFonts w:ascii="PMingLiUfalt" w:eastAsia="PMingLiUfalt" w:cs="PMingLiUfalt"/>
      <w:kern w:val="0"/>
      <w:sz w:val="21"/>
      <w:szCs w:val="21"/>
    </w:rPr>
  </w:style>
  <w:style w:type="paragraph" w:customStyle="1" w:styleId="357">
    <w:name w:val="Char1"/>
    <w:basedOn w:val="1"/>
    <w:qFormat/>
    <w:uiPriority w:val="0"/>
    <w:pPr>
      <w:tabs>
        <w:tab w:val="left" w:pos="360"/>
      </w:tabs>
      <w:ind w:firstLine="0" w:firstLineChars="0"/>
    </w:pPr>
    <w:rPr>
      <w:rFonts w:ascii="楷体_GB2312" w:hAnsi="Cambria" w:eastAsia="楷体_GB2312" w:cs="楷体_GB2312"/>
      <w:sz w:val="24"/>
      <w:szCs w:val="24"/>
    </w:rPr>
  </w:style>
  <w:style w:type="paragraph" w:customStyle="1" w:styleId="358">
    <w:name w:val="CM2"/>
    <w:basedOn w:val="106"/>
    <w:next w:val="106"/>
    <w:qFormat/>
    <w:uiPriority w:val="0"/>
    <w:pPr>
      <w:spacing w:line="188" w:lineRule="atLeast"/>
      <w:ind w:firstLine="0" w:firstLineChars="0"/>
      <w:jc w:val="left"/>
    </w:pPr>
    <w:rPr>
      <w:rFonts w:ascii="楷体_GB2312" w:cs="楷体_GB2312"/>
      <w:color w:val="auto"/>
    </w:rPr>
  </w:style>
  <w:style w:type="paragraph" w:customStyle="1" w:styleId="359">
    <w:name w:val="简单回函地址"/>
    <w:basedOn w:val="1"/>
    <w:qFormat/>
    <w:uiPriority w:val="0"/>
    <w:pPr>
      <w:ind w:firstLine="0" w:firstLineChars="0"/>
    </w:pPr>
    <w:rPr>
      <w:rFonts w:ascii="楷体_GB2312" w:hAnsi="Cambria" w:eastAsia="楷体_GB2312" w:cs="楷体_GB2312"/>
    </w:rPr>
  </w:style>
  <w:style w:type="paragraph" w:customStyle="1" w:styleId="360">
    <w:name w:val="CM37"/>
    <w:basedOn w:val="106"/>
    <w:next w:val="106"/>
    <w:qFormat/>
    <w:uiPriority w:val="0"/>
    <w:pPr>
      <w:ind w:firstLine="0" w:firstLineChars="0"/>
      <w:jc w:val="left"/>
    </w:pPr>
    <w:rPr>
      <w:rFonts w:ascii="楷体_GB2312" w:cs="楷体_GB2312"/>
      <w:color w:val="auto"/>
    </w:rPr>
  </w:style>
  <w:style w:type="paragraph" w:customStyle="1" w:styleId="361">
    <w:name w:val="Char Char Char Char12"/>
    <w:basedOn w:val="1"/>
    <w:qFormat/>
    <w:uiPriority w:val="99"/>
    <w:pPr>
      <w:ind w:firstLine="0" w:firstLineChars="0"/>
    </w:pPr>
    <w:rPr>
      <w:rFonts w:ascii="楷体_GB2312" w:hAnsi="Cambria" w:eastAsia="楷体_GB2312" w:cs="楷体_GB2312"/>
      <w:sz w:val="21"/>
      <w:szCs w:val="21"/>
    </w:rPr>
  </w:style>
  <w:style w:type="paragraph" w:customStyle="1" w:styleId="362">
    <w:name w:val="H4"/>
    <w:basedOn w:val="1"/>
    <w:next w:val="1"/>
    <w:qFormat/>
    <w:uiPriority w:val="0"/>
    <w:pPr>
      <w:keepNext/>
      <w:autoSpaceDE w:val="0"/>
      <w:autoSpaceDN w:val="0"/>
      <w:adjustRightInd w:val="0"/>
      <w:spacing w:before="100" w:after="100"/>
      <w:ind w:firstLine="0" w:firstLineChars="0"/>
      <w:jc w:val="left"/>
      <w:outlineLvl w:val="4"/>
    </w:pPr>
    <w:rPr>
      <w:rFonts w:ascii="楷体_GB2312" w:hAnsi="Cambria" w:eastAsia="楷体_GB2312" w:cs="楷体_GB2312"/>
      <w:b/>
      <w:bCs/>
      <w:kern w:val="0"/>
      <w:sz w:val="24"/>
      <w:szCs w:val="24"/>
    </w:rPr>
  </w:style>
  <w:style w:type="paragraph" w:customStyle="1" w:styleId="363">
    <w:name w:val="样式 样式 样式1 + 首行缩进:  2 字符 + 左侧:  0.74 厘米"/>
    <w:basedOn w:val="1"/>
    <w:qFormat/>
    <w:uiPriority w:val="0"/>
    <w:pPr>
      <w:spacing w:line="360" w:lineRule="exact"/>
      <w:ind w:firstLine="0" w:firstLineChars="0"/>
    </w:pPr>
    <w:rPr>
      <w:rFonts w:ascii="STZhongsong" w:hAnsi="Cambria" w:eastAsia="STZhongsong" w:cs="STZhongsong"/>
      <w:sz w:val="21"/>
      <w:szCs w:val="21"/>
    </w:rPr>
  </w:style>
  <w:style w:type="paragraph" w:customStyle="1" w:styleId="364">
    <w:name w:val="Char Char Char Char Char Char Char"/>
    <w:basedOn w:val="1"/>
    <w:qFormat/>
    <w:uiPriority w:val="0"/>
    <w:pPr>
      <w:ind w:firstLine="0" w:firstLineChars="0"/>
    </w:pPr>
    <w:rPr>
      <w:rFonts w:ascii="楷体_GB2312" w:hAnsi="Cambria" w:eastAsia="楷体_GB2312" w:cs="楷体_GB2312"/>
      <w:kern w:val="0"/>
      <w:sz w:val="24"/>
      <w:szCs w:val="24"/>
    </w:rPr>
  </w:style>
  <w:style w:type="paragraph" w:customStyle="1" w:styleId="365">
    <w:name w:val="Char Char Char Char Char Char Char1"/>
    <w:basedOn w:val="1"/>
    <w:qFormat/>
    <w:uiPriority w:val="99"/>
    <w:pPr>
      <w:numPr>
        <w:ilvl w:val="0"/>
        <w:numId w:val="1"/>
      </w:numPr>
      <w:ind w:firstLine="0" w:firstLineChars="0"/>
    </w:pPr>
    <w:rPr>
      <w:rFonts w:ascii="楷体_GB2312" w:hAnsi="Cambria" w:eastAsia="楷体_GB2312" w:cs="楷体_GB2312"/>
      <w:sz w:val="21"/>
      <w:szCs w:val="21"/>
    </w:rPr>
  </w:style>
  <w:style w:type="paragraph" w:customStyle="1" w:styleId="366">
    <w:name w:val="Char Char1"/>
    <w:basedOn w:val="1"/>
    <w:qFormat/>
    <w:uiPriority w:val="0"/>
    <w:pPr>
      <w:ind w:firstLine="0" w:firstLineChars="0"/>
    </w:pPr>
    <w:rPr>
      <w:rFonts w:ascii="Garamond" w:hAnsi="Garamond" w:eastAsia="宋体" w:cs="Garamond"/>
      <w:sz w:val="24"/>
      <w:szCs w:val="24"/>
    </w:rPr>
  </w:style>
  <w:style w:type="paragraph" w:customStyle="1" w:styleId="367">
    <w:name w:val="普通(网站)1"/>
    <w:basedOn w:val="1"/>
    <w:qFormat/>
    <w:uiPriority w:val="0"/>
    <w:pPr>
      <w:widowControl/>
      <w:spacing w:before="100" w:beforeAutospacing="1" w:after="100" w:afterAutospacing="1"/>
      <w:ind w:firstLine="0" w:firstLineChars="0"/>
      <w:jc w:val="left"/>
    </w:pPr>
    <w:rPr>
      <w:rFonts w:ascii="黑体" w:hAnsi="Cambria" w:eastAsia="黑体" w:cs="黑体"/>
      <w:kern w:val="0"/>
      <w:sz w:val="24"/>
      <w:szCs w:val="24"/>
    </w:rPr>
  </w:style>
  <w:style w:type="paragraph" w:customStyle="1" w:styleId="368">
    <w:name w:val="样式 标题 1 + 黑体 三号 非加粗 居中 段前: 6 磅 段后: 6 磅 行距: 固定值 20 磅"/>
    <w:basedOn w:val="3"/>
    <w:qFormat/>
    <w:uiPriority w:val="0"/>
    <w:pPr>
      <w:spacing w:before="120" w:after="120" w:line="400" w:lineRule="exact"/>
      <w:ind w:firstLine="0" w:firstLineChars="0"/>
      <w:jc w:val="center"/>
    </w:pPr>
    <w:rPr>
      <w:rFonts w:ascii="华文宋体" w:hAnsi="华文宋体" w:eastAsia="华文宋体" w:cs="华文宋体"/>
      <w:b w:val="0"/>
      <w:bCs w:val="0"/>
      <w:sz w:val="32"/>
      <w:szCs w:val="32"/>
    </w:rPr>
  </w:style>
  <w:style w:type="paragraph" w:customStyle="1" w:styleId="369">
    <w:name w:val="目录"/>
    <w:basedOn w:val="1"/>
    <w:qFormat/>
    <w:uiPriority w:val="0"/>
    <w:pPr>
      <w:widowControl/>
      <w:ind w:firstLine="0" w:firstLineChars="0"/>
      <w:jc w:val="center"/>
    </w:pPr>
    <w:rPr>
      <w:b/>
      <w:bCs/>
      <w:kern w:val="0"/>
      <w:sz w:val="36"/>
      <w:szCs w:val="36"/>
    </w:rPr>
  </w:style>
  <w:style w:type="paragraph" w:customStyle="1" w:styleId="370">
    <w:name w:val="样式 左侧:  0 厘米 悬挂缩进: 5 字符 段后: 6 磅 行距: 固定值 15 磅"/>
    <w:basedOn w:val="1"/>
    <w:qFormat/>
    <w:uiPriority w:val="0"/>
    <w:pPr>
      <w:numPr>
        <w:ilvl w:val="0"/>
        <w:numId w:val="2"/>
      </w:numPr>
      <w:tabs>
        <w:tab w:val="left" w:pos="567"/>
      </w:tabs>
      <w:spacing w:after="120" w:line="300" w:lineRule="exact"/>
      <w:ind w:left="600" w:hanging="600" w:hangingChars="600"/>
    </w:pPr>
    <w:rPr>
      <w:rFonts w:ascii="楷体_GB2312" w:hAnsi="Cambria" w:eastAsia="楷体_GB2312" w:cs="楷体_GB2312"/>
      <w:sz w:val="21"/>
      <w:szCs w:val="21"/>
    </w:rPr>
  </w:style>
  <w:style w:type="character" w:customStyle="1" w:styleId="371">
    <w:name w:val="引用 Char4"/>
    <w:uiPriority w:val="99"/>
    <w:rPr>
      <w:rFonts w:ascii="Cambria" w:cs="Cambria"/>
      <w:i/>
      <w:iCs/>
      <w:color w:val="000000"/>
      <w:kern w:val="2"/>
      <w:sz w:val="28"/>
      <w:szCs w:val="28"/>
    </w:rPr>
  </w:style>
  <w:style w:type="paragraph" w:customStyle="1" w:styleId="372">
    <w:name w:val="内文"/>
    <w:qFormat/>
    <w:uiPriority w:val="0"/>
    <w:pPr>
      <w:adjustRightInd w:val="0"/>
      <w:snapToGrid w:val="0"/>
      <w:spacing w:line="400" w:lineRule="exact"/>
      <w:ind w:firstLine="200" w:firstLineChars="200"/>
      <w:jc w:val="both"/>
    </w:pPr>
    <w:rPr>
      <w:rFonts w:ascii="STZhongsong" w:hAnsi="Cambria" w:eastAsia="STZhongsong" w:cs="STZhongsong"/>
      <w:kern w:val="2"/>
      <w:sz w:val="21"/>
      <w:szCs w:val="21"/>
      <w:lang w:val="en-US" w:eastAsia="zh-CN" w:bidi="ar-SA"/>
    </w:rPr>
  </w:style>
  <w:style w:type="character" w:customStyle="1" w:styleId="373">
    <w:name w:val="Char Char6"/>
    <w:qFormat/>
    <w:uiPriority w:val="0"/>
    <w:rPr>
      <w:rFonts w:ascii="华文宋体" w:hAnsi="Cambria" w:eastAsia="华文宋体" w:cs="华文宋体"/>
      <w:kern w:val="2"/>
      <w:sz w:val="28"/>
      <w:szCs w:val="28"/>
      <w:lang w:val="en-US" w:eastAsia="zh-CN"/>
    </w:rPr>
  </w:style>
  <w:style w:type="character" w:customStyle="1" w:styleId="374">
    <w:name w:val="Char Char61"/>
    <w:qFormat/>
    <w:uiPriority w:val="99"/>
    <w:rPr>
      <w:rFonts w:ascii="华文宋体" w:hAnsi="Cambria" w:eastAsia="华文宋体" w:cs="华文宋体"/>
      <w:kern w:val="2"/>
      <w:sz w:val="28"/>
      <w:szCs w:val="28"/>
      <w:lang w:val="en-US" w:eastAsia="zh-CN"/>
    </w:rPr>
  </w:style>
  <w:style w:type="character" w:customStyle="1" w:styleId="375">
    <w:name w:val="fontstyle01"/>
    <w:qFormat/>
    <w:uiPriority w:val="0"/>
    <w:rPr>
      <w:rFonts w:ascii="Arial" w:hAnsi="Arial" w:cs="Arial"/>
      <w:color w:val="000000"/>
      <w:sz w:val="28"/>
      <w:szCs w:val="28"/>
    </w:rPr>
  </w:style>
  <w:style w:type="paragraph" w:styleId="376">
    <w:name w:val="List Paragraph"/>
    <w:basedOn w:val="1"/>
    <w:qFormat/>
    <w:uiPriority w:val="34"/>
    <w:pPr>
      <w:ind w:firstLine="420"/>
    </w:pPr>
  </w:style>
  <w:style w:type="character" w:customStyle="1" w:styleId="377">
    <w:name w:val="正文文本首行缩进 字符"/>
    <w:basedOn w:val="125"/>
    <w:qFormat/>
    <w:uiPriority w:val="0"/>
    <w:rPr>
      <w:rFonts w:ascii="Cambria" w:hAnsi="楷体_GB2312" w:eastAsia="Times New Roman" w:cs="Cambria"/>
      <w:sz w:val="20"/>
      <w:szCs w:val="20"/>
    </w:rPr>
  </w:style>
  <w:style w:type="paragraph" w:customStyle="1" w:styleId="378">
    <w:name w:val="Char Char Char Char Char Char Char Char Char Char Char Char Char Char Char Char Char Char Char Char Char Char Char Char Char Char Char Char Char Char Char Char Char"/>
    <w:basedOn w:val="1"/>
    <w:uiPriority w:val="99"/>
    <w:pPr>
      <w:widowControl/>
      <w:spacing w:after="160" w:line="240" w:lineRule="exact"/>
      <w:ind w:firstLine="0" w:firstLineChars="0"/>
      <w:jc w:val="left"/>
    </w:pPr>
    <w:rPr>
      <w:rFonts w:ascii="Verdana" w:hAnsi="Verdana" w:eastAsia="仿宋_GB2312" w:cs="Verdana"/>
      <w:kern w:val="0"/>
      <w:sz w:val="24"/>
      <w:szCs w:val="24"/>
      <w:lang w:eastAsia="en-US"/>
    </w:rPr>
  </w:style>
  <w:style w:type="character" w:customStyle="1" w:styleId="379">
    <w:name w:val="不明显强调1"/>
    <w:qFormat/>
    <w:uiPriority w:val="0"/>
    <w:rPr>
      <w:i/>
      <w:iCs/>
      <w:color w:val="808080"/>
    </w:rPr>
  </w:style>
  <w:style w:type="character" w:customStyle="1" w:styleId="380">
    <w:name w:val="明显参考1"/>
    <w:qFormat/>
    <w:uiPriority w:val="0"/>
    <w:rPr>
      <w:b/>
      <w:bCs/>
      <w:smallCaps/>
      <w:color w:val="C0504D"/>
      <w:spacing w:val="5"/>
      <w:u w:val="single"/>
    </w:rPr>
  </w:style>
  <w:style w:type="character" w:customStyle="1" w:styleId="381">
    <w:name w:val="批注文字 字符1"/>
    <w:qFormat/>
    <w:uiPriority w:val="0"/>
    <w:rPr>
      <w:rFonts w:ascii="Cambria" w:eastAsia="Cambria"/>
      <w:kern w:val="2"/>
      <w:sz w:val="28"/>
      <w:lang w:val="en-US" w:eastAsia="zh-CN" w:bidi="ar-SA"/>
    </w:rPr>
  </w:style>
  <w:style w:type="character" w:customStyle="1" w:styleId="382">
    <w:name w:val="Char Char62"/>
    <w:qFormat/>
    <w:uiPriority w:val="0"/>
    <w:rPr>
      <w:rFonts w:ascii="华文宋体" w:hAnsi="Cambria" w:eastAsia="华文宋体"/>
      <w:bCs/>
      <w:kern w:val="2"/>
      <w:sz w:val="28"/>
      <w:szCs w:val="28"/>
      <w:lang w:val="en-US" w:eastAsia="zh-CN" w:bidi="ar-SA"/>
    </w:rPr>
  </w:style>
  <w:style w:type="character" w:customStyle="1" w:styleId="383">
    <w:name w:val="Char Char3"/>
    <w:qFormat/>
    <w:uiPriority w:val="0"/>
    <w:rPr>
      <w:rFonts w:ascii="Cambria" w:hAnsi="font-weight : 400" w:eastAsia="Cambria" w:cs="font-weight : 400"/>
      <w:kern w:val="2"/>
      <w:sz w:val="21"/>
      <w:szCs w:val="21"/>
      <w:lang w:val="en-US" w:eastAsia="zh-CN" w:bidi="ar-SA"/>
    </w:rPr>
  </w:style>
  <w:style w:type="character" w:customStyle="1" w:styleId="384">
    <w:name w:val="Char Char51"/>
    <w:uiPriority w:val="0"/>
    <w:rPr>
      <w:rFonts w:ascii="Cambria"/>
      <w:kern w:val="2"/>
      <w:sz w:val="28"/>
    </w:rPr>
  </w:style>
  <w:style w:type="character" w:customStyle="1" w:styleId="385">
    <w:name w:val="Char Char172"/>
    <w:qFormat/>
    <w:uiPriority w:val="0"/>
    <w:rPr>
      <w:rFonts w:ascii="???|CS?o｡ﾀ?" w:hAnsi="???|CS?o｡ﾀ?" w:eastAsia="Cambria" w:cs="楷体_GB2312"/>
      <w:b/>
      <w:bCs/>
      <w:kern w:val="2"/>
      <w:sz w:val="32"/>
      <w:szCs w:val="32"/>
    </w:rPr>
  </w:style>
  <w:style w:type="character" w:customStyle="1" w:styleId="386">
    <w:name w:val="明显强调2"/>
    <w:qFormat/>
    <w:uiPriority w:val="0"/>
    <w:rPr>
      <w:b/>
      <w:bCs/>
      <w:i/>
      <w:iCs/>
      <w:color w:val="4F81BD"/>
    </w:rPr>
  </w:style>
  <w:style w:type="character" w:customStyle="1" w:styleId="387">
    <w:name w:val="书籍标题1"/>
    <w:qFormat/>
    <w:uiPriority w:val="0"/>
    <w:rPr>
      <w:b/>
      <w:bCs/>
      <w:smallCaps/>
      <w:spacing w:val="5"/>
    </w:rPr>
  </w:style>
  <w:style w:type="character" w:customStyle="1" w:styleId="388">
    <w:name w:val="Char Char121"/>
    <w:qFormat/>
    <w:locked/>
    <w:uiPriority w:val="0"/>
    <w:rPr>
      <w:rFonts w:ascii="Cambria" w:hAnsi="font-weight : 400" w:eastAsia="Cambria" w:cs="font-weight : 400"/>
      <w:kern w:val="2"/>
      <w:sz w:val="21"/>
      <w:szCs w:val="21"/>
      <w:lang w:val="en-US" w:eastAsia="zh-CN" w:bidi="ar-SA"/>
    </w:rPr>
  </w:style>
  <w:style w:type="character" w:customStyle="1" w:styleId="389">
    <w:name w:val="Char Char251"/>
    <w:uiPriority w:val="0"/>
    <w:rPr>
      <w:rFonts w:ascii="Cambria" w:hAnsi="font-weight : 400" w:eastAsia="Cambria" w:cs="font-weight : 400"/>
      <w:kern w:val="2"/>
      <w:sz w:val="21"/>
      <w:szCs w:val="21"/>
      <w:lang w:val="en-US" w:eastAsia="zh-CN" w:bidi="ar-SA"/>
    </w:rPr>
  </w:style>
  <w:style w:type="character" w:customStyle="1" w:styleId="390">
    <w:name w:val="不明显参考1"/>
    <w:qFormat/>
    <w:uiPriority w:val="0"/>
    <w:rPr>
      <w:smallCaps/>
      <w:color w:val="C0504D"/>
      <w:u w:val="single"/>
    </w:rPr>
  </w:style>
  <w:style w:type="paragraph" w:customStyle="1" w:styleId="391">
    <w:name w:val="修订3"/>
    <w:qFormat/>
    <w:uiPriority w:val="99"/>
    <w:pPr>
      <w:ind w:firstLine="200" w:firstLineChars="200"/>
      <w:jc w:val="both"/>
    </w:pPr>
    <w:rPr>
      <w:rFonts w:ascii="Cambria" w:hAnsi="Times New Roman" w:eastAsia="宋体" w:cs="Times New Roman"/>
      <w:kern w:val="2"/>
      <w:sz w:val="28"/>
      <w:lang w:val="en-US" w:eastAsia="zh-CN" w:bidi="ar-SA"/>
    </w:rPr>
  </w:style>
  <w:style w:type="paragraph" w:customStyle="1" w:styleId="392">
    <w:name w:val="List Paragraph2"/>
    <w:basedOn w:val="1"/>
    <w:qFormat/>
    <w:uiPriority w:val="0"/>
    <w:pPr>
      <w:ind w:firstLine="420"/>
    </w:pPr>
    <w:rPr>
      <w:rFonts w:hAnsi="Times New Roman" w:eastAsia="宋体" w:cs="Times New Roman"/>
      <w:szCs w:val="20"/>
    </w:rPr>
  </w:style>
  <w:style w:type="paragraph" w:customStyle="1" w:styleId="393">
    <w:name w:val="Char Char Char Char Char Char2 Char Char Char Char1"/>
    <w:basedOn w:val="1"/>
    <w:qFormat/>
    <w:uiPriority w:val="0"/>
    <w:rPr>
      <w:rFonts w:ascii="楷体_GB2312" w:hAnsi="Times New Roman" w:eastAsia="宋体" w:cs="Times New Roman"/>
      <w:sz w:val="21"/>
      <w:szCs w:val="20"/>
    </w:rPr>
  </w:style>
  <w:style w:type="paragraph" w:customStyle="1" w:styleId="394">
    <w:name w:val="Char Char Char Char Char Char Char2"/>
    <w:basedOn w:val="1"/>
    <w:qFormat/>
    <w:uiPriority w:val="0"/>
    <w:pPr>
      <w:ind w:firstLine="0" w:firstLineChars="0"/>
    </w:pPr>
    <w:rPr>
      <w:rFonts w:ascii="楷体_GB2312" w:hAnsi="Times New Roman" w:eastAsia="宋体" w:cs="Times New Roman"/>
      <w:kern w:val="0"/>
      <w:sz w:val="24"/>
      <w:szCs w:val="20"/>
    </w:rPr>
  </w:style>
  <w:style w:type="paragraph" w:customStyle="1" w:styleId="395">
    <w:name w:val="纯文本3"/>
    <w:basedOn w:val="1"/>
    <w:qFormat/>
    <w:uiPriority w:val="0"/>
    <w:pPr>
      <w:adjustRightInd w:val="0"/>
      <w:snapToGrid w:val="0"/>
      <w:spacing w:line="288" w:lineRule="auto"/>
    </w:pPr>
    <w:rPr>
      <w:rFonts w:hAnsi="font-weight : 400" w:eastAsia="宋体" w:cs="Times New Roman"/>
      <w:sz w:val="21"/>
      <w:szCs w:val="24"/>
    </w:rPr>
  </w:style>
  <w:style w:type="paragraph" w:customStyle="1" w:styleId="396">
    <w:name w:val="Char Char Char Char13"/>
    <w:basedOn w:val="1"/>
    <w:qFormat/>
    <w:uiPriority w:val="0"/>
    <w:pPr>
      <w:ind w:firstLine="0" w:firstLineChars="0"/>
    </w:pPr>
    <w:rPr>
      <w:rFonts w:ascii="楷体_GB2312" w:hAnsi="Times New Roman" w:eastAsia="宋体" w:cs="Times New Roman"/>
      <w:sz w:val="21"/>
      <w:szCs w:val="24"/>
    </w:rPr>
  </w:style>
  <w:style w:type="paragraph" w:customStyle="1" w:styleId="397">
    <w:name w:val="z-Top of Form"/>
    <w:next w:val="1"/>
    <w:qFormat/>
    <w:uiPriority w:val="0"/>
    <w:pPr>
      <w:widowControl w:val="0"/>
      <w:pBdr>
        <w:bottom w:val="double" w:color="000000" w:sz="2" w:space="0"/>
      </w:pBdr>
      <w:autoSpaceDE w:val="0"/>
      <w:autoSpaceDN w:val="0"/>
      <w:adjustRightInd w:val="0"/>
      <w:jc w:val="center"/>
    </w:pPr>
    <w:rPr>
      <w:rFonts w:ascii="STZhongsong" w:hAnsi="STZhongsong" w:eastAsia="宋体" w:cs="Times New Roman"/>
      <w:vanish/>
      <w:sz w:val="16"/>
      <w:lang w:val="en-US" w:eastAsia="zh-CN" w:bidi="ar-SA"/>
    </w:rPr>
  </w:style>
  <w:style w:type="paragraph" w:customStyle="1" w:styleId="398">
    <w:name w:val="z-Bottom of Form"/>
    <w:next w:val="1"/>
    <w:qFormat/>
    <w:uiPriority w:val="0"/>
    <w:pPr>
      <w:widowControl w:val="0"/>
      <w:pBdr>
        <w:top w:val="double" w:color="000000" w:sz="2" w:space="0"/>
      </w:pBdr>
      <w:autoSpaceDE w:val="0"/>
      <w:autoSpaceDN w:val="0"/>
      <w:adjustRightInd w:val="0"/>
      <w:jc w:val="center"/>
    </w:pPr>
    <w:rPr>
      <w:rFonts w:ascii="STZhongsong" w:hAnsi="STZhongsong" w:eastAsia="宋体" w:cs="Times New Roman"/>
      <w:vanish/>
      <w:sz w:val="16"/>
      <w:lang w:val="en-US" w:eastAsia="zh-CN" w:bidi="ar-SA"/>
    </w:rPr>
  </w:style>
  <w:style w:type="paragraph" w:customStyle="1" w:styleId="399">
    <w:name w:val="TOC 标题2"/>
    <w:basedOn w:val="3"/>
    <w:next w:val="1"/>
    <w:qFormat/>
    <w:uiPriority w:val="0"/>
    <w:pPr>
      <w:spacing w:line="576" w:lineRule="auto"/>
      <w:ind w:firstLine="0" w:firstLineChars="0"/>
      <w:outlineLvl w:val="9"/>
    </w:pPr>
    <w:rPr>
      <w:rFonts w:ascii="STKaiti" w:hAnsi="STKaiti" w:eastAsia="宋体" w:cs="Times New Roman"/>
    </w:rPr>
  </w:style>
  <w:style w:type="paragraph" w:customStyle="1" w:styleId="400">
    <w:name w:val="Char Char1 Char Char2"/>
    <w:basedOn w:val="1"/>
    <w:qFormat/>
    <w:uiPriority w:val="0"/>
    <w:rPr>
      <w:rFonts w:hAnsi="Times New Roman" w:eastAsia="宋体" w:cs="Times New Roman"/>
      <w:szCs w:val="20"/>
    </w:rPr>
  </w:style>
  <w:style w:type="paragraph" w:customStyle="1" w:styleId="401">
    <w:name w:val="Char2"/>
    <w:basedOn w:val="1"/>
    <w:qFormat/>
    <w:uiPriority w:val="0"/>
    <w:pPr>
      <w:ind w:firstLine="0" w:firstLineChars="0"/>
    </w:pPr>
    <w:rPr>
      <w:rFonts w:ascii="Garamond" w:hAnsi="Garamond" w:eastAsia="楷体_GB2312" w:cs="Times New Roman"/>
      <w:b/>
      <w:bCs/>
      <w:kern w:val="0"/>
      <w:sz w:val="24"/>
      <w:szCs w:val="20"/>
    </w:rPr>
  </w:style>
  <w:style w:type="paragraph" w:customStyle="1" w:styleId="402">
    <w:name w:val="Char Char22"/>
    <w:basedOn w:val="1"/>
    <w:qFormat/>
    <w:uiPriority w:val="0"/>
    <w:rPr>
      <w:rFonts w:ascii="楷体_GB2312" w:hAnsi="Times New Roman" w:eastAsia="宋体" w:cs="Times New Roman"/>
      <w:sz w:val="21"/>
      <w:szCs w:val="24"/>
    </w:rPr>
  </w:style>
  <w:style w:type="paragraph" w:customStyle="1" w:styleId="403">
    <w:name w:val="Char Char Char Char2"/>
    <w:basedOn w:val="1"/>
    <w:qFormat/>
    <w:uiPriority w:val="0"/>
    <w:pPr>
      <w:ind w:firstLine="0" w:firstLineChars="0"/>
    </w:pPr>
    <w:rPr>
      <w:rFonts w:ascii="Garamond" w:hAnsi="Garamond" w:eastAsia="宋体" w:cs="Times New Roman"/>
      <w:sz w:val="24"/>
      <w:szCs w:val="20"/>
    </w:rPr>
  </w:style>
  <w:style w:type="paragraph" w:customStyle="1" w:styleId="404">
    <w:name w:val="Revision2"/>
    <w:qFormat/>
    <w:uiPriority w:val="0"/>
    <w:rPr>
      <w:rFonts w:ascii="Times New Roman" w:hAnsi="Times New Roman" w:eastAsia="宋体" w:cs="Times New Roman"/>
      <w:kern w:val="2"/>
      <w:sz w:val="21"/>
      <w:szCs w:val="24"/>
      <w:lang w:val="en-US" w:eastAsia="zh-CN" w:bidi="ar-SA"/>
    </w:rPr>
  </w:style>
  <w:style w:type="character" w:customStyle="1" w:styleId="405">
    <w:name w:val="正文缩进 Char"/>
    <w:qFormat/>
    <w:uiPriority w:val="0"/>
    <w:rPr>
      <w:kern w:val="2"/>
      <w:sz w:val="21"/>
      <w:szCs w:val="24"/>
    </w:rPr>
  </w:style>
  <w:style w:type="paragraph" w:customStyle="1" w:styleId="406">
    <w:name w:val="Other|1"/>
    <w:basedOn w:val="1"/>
    <w:qFormat/>
    <w:uiPriority w:val="0"/>
    <w:rPr>
      <w:rFonts w:ascii="MingLiU" w:hAnsi="MingLiU" w:eastAsia="MingLiU" w:cs="MingLiU"/>
      <w:sz w:val="18"/>
      <w:szCs w:val="18"/>
      <w:lang w:val="zh-TW" w:eastAsia="zh-TW" w:bidi="zh-TW"/>
    </w:rPr>
  </w:style>
  <w:style w:type="character" w:customStyle="1" w:styleId="407">
    <w:name w:val="apple-converted-space"/>
    <w:uiPriority w:val="0"/>
    <w:rPr>
      <w:rFonts w:ascii="Tahoma" w:hAnsi="Tahoma"/>
      <w:b/>
      <w:bCs/>
      <w:sz w:val="24"/>
      <w:szCs w:val="20"/>
    </w:rPr>
  </w:style>
  <w:style w:type="character" w:customStyle="1" w:styleId="408">
    <w:name w:val="16"/>
    <w:uiPriority w:val="0"/>
    <w:rPr>
      <w:rFonts w:hint="default" w:ascii="Tahoma" w:hAnsi="Tahoma" w:cs="Times New Roman"/>
      <w:b/>
      <w:bCs/>
      <w:sz w:val="24"/>
      <w:szCs w:val="24"/>
    </w:rPr>
  </w:style>
  <w:style w:type="character" w:customStyle="1" w:styleId="409">
    <w:name w:val="15"/>
    <w:uiPriority w:val="0"/>
    <w:rPr>
      <w:rFonts w:hint="default" w:ascii="MicrosoftYaHei" w:hAnsi="MicrosoftYaHei"/>
      <w:color w:val="FFFFFF"/>
      <w:sz w:val="22"/>
      <w:szCs w:val="22"/>
    </w:rPr>
  </w:style>
  <w:style w:type="character" w:customStyle="1" w:styleId="410">
    <w:name w:val="10"/>
    <w:uiPriority w:val="0"/>
    <w:rPr>
      <w:rFonts w:hint="default" w:ascii="Tahoma" w:hAnsi="Tahoma" w:cs="Tahoma"/>
      <w:b/>
      <w:bCs/>
      <w:sz w:val="24"/>
      <w:szCs w:val="24"/>
    </w:rPr>
  </w:style>
  <w:style w:type="paragraph" w:customStyle="1" w:styleId="411">
    <w:name w:val="Char Char1 Char"/>
    <w:basedOn w:val="1"/>
    <w:uiPriority w:val="0"/>
    <w:pPr>
      <w:ind w:firstLine="0" w:firstLineChars="0"/>
    </w:pPr>
    <w:rPr>
      <w:rFonts w:ascii="Times New Roman" w:hAnsi="Times New Roman" w:eastAsia="宋体" w:cs="Times New Roman"/>
      <w:sz w:val="21"/>
      <w:szCs w:val="24"/>
    </w:rPr>
  </w:style>
  <w:style w:type="paragraph" w:customStyle="1" w:styleId="412">
    <w:name w:val="BodyTextIndent"/>
    <w:basedOn w:val="1"/>
    <w:qFormat/>
    <w:uiPriority w:val="0"/>
    <w:pPr>
      <w:spacing w:after="120"/>
      <w:ind w:left="420" w:leftChars="200" w:firstLine="0" w:firstLineChars="0"/>
      <w:textAlignment w:val="baseline"/>
    </w:pPr>
    <w:rPr>
      <w:rFonts w:ascii="Times New Roman" w:hAnsi="Times New Roman" w:eastAsia="宋体" w:cs="Times New Roman"/>
      <w:color w:val="000000"/>
      <w:sz w:val="21"/>
      <w:szCs w:val="24"/>
    </w:rPr>
  </w:style>
  <w:style w:type="paragraph" w:customStyle="1" w:styleId="413">
    <w:name w:val="BodyText1I2"/>
    <w:basedOn w:val="412"/>
    <w:qFormat/>
    <w:uiPriority w:val="0"/>
    <w:pPr>
      <w:ind w:firstLine="420" w:firstLineChars="200"/>
    </w:pPr>
  </w:style>
  <w:style w:type="paragraph" w:customStyle="1" w:styleId="414">
    <w:name w:val="Char3"/>
    <w:basedOn w:val="1"/>
    <w:uiPriority w:val="0"/>
    <w:pPr>
      <w:ind w:firstLine="0" w:firstLineChars="0"/>
    </w:pPr>
    <w:rPr>
      <w:rFonts w:ascii="Tahoma" w:hAnsi="Tahoma" w:cs="Times New Roman"/>
      <w:b/>
      <w:bCs/>
      <w:kern w:val="0"/>
      <w:sz w:val="24"/>
      <w:szCs w:val="20"/>
    </w:rPr>
  </w:style>
  <w:style w:type="paragraph" w:customStyle="1" w:styleId="415">
    <w:name w:val="正文1"/>
    <w:basedOn w:val="1"/>
    <w:uiPriority w:val="0"/>
    <w:pPr>
      <w:wordWrap w:val="0"/>
      <w:ind w:firstLine="0" w:firstLineChars="0"/>
    </w:pPr>
    <w:rPr>
      <w:rFonts w:ascii="Times New Roman" w:hAnsi="Times New Roman" w:eastAsia="宋体" w:cs="Times New Roman"/>
      <w:sz w:val="21"/>
      <w:szCs w:val="21"/>
    </w:rPr>
  </w:style>
  <w:style w:type="paragraph" w:customStyle="1" w:styleId="416">
    <w:name w:val="[Normal]"/>
    <w:qFormat/>
    <w:uiPriority w:val="0"/>
    <w:rPr>
      <w:rFonts w:ascii="宋体" w:hAnsi="宋体" w:eastAsia="宋体" w:cs="Times New Roman"/>
      <w:sz w:val="24"/>
      <w:szCs w:val="22"/>
      <w:lang w:val="zh-CN" w:eastAsia="zh-CN" w:bidi="ar-SA"/>
    </w:rPr>
  </w:style>
  <w:style w:type="paragraph" w:customStyle="1" w:styleId="417">
    <w:name w:val="_Style 5"/>
    <w:basedOn w:val="1"/>
    <w:uiPriority w:val="0"/>
    <w:pPr>
      <w:ind w:firstLine="0" w:firstLineChars="0"/>
    </w:pPr>
    <w:rPr>
      <w:rFonts w:ascii="Tahoma" w:hAnsi="Tahoma" w:eastAsia="宋体" w:cs="Times New Roman"/>
      <w:b/>
      <w:bCs/>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emf"/><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F2E858-07AC-4709-AD48-0787AB2FBE95}">
  <ds:schemaRefs/>
</ds:datastoreItem>
</file>

<file path=docProps/app.xml><?xml version="1.0" encoding="utf-8"?>
<Properties xmlns="http://schemas.openxmlformats.org/officeDocument/2006/extended-properties" xmlns:vt="http://schemas.openxmlformats.org/officeDocument/2006/docPropsVTypes">
  <Template>Normal</Template>
  <Pages>134</Pages>
  <Words>14234</Words>
  <Characters>81136</Characters>
  <Lines>676</Lines>
  <Paragraphs>190</Paragraphs>
  <TotalTime>1</TotalTime>
  <ScaleCrop>false</ScaleCrop>
  <LinksUpToDate>false</LinksUpToDate>
  <CharactersWithSpaces>95180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2020-10-30T00:54:00Z</dcterms:created>
  <dc:creator>忠玉 苏</dc:creator>
  <cp:lastModifiedBy>NTKO</cp:lastModifiedBy>
  <cp:lastPrinted>2020-05-29T02:51:00Z</cp:lastPrinted>
  <dcterms:modified xsi:type="dcterms:W3CDTF">2020-10-30T01:49:29Z</dcterms:modified>
  <dc:title>平阳县昆阳镇E-01地块、E-03地块、E-15地块、E-16地块，三退屋A02-2地块（二期）及老城片C-26-1地块安置房工程设计、采购、施工（EPC）总承包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