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71"/>
        <w:ind w:left="116"/>
        <w:jc w:val="center"/>
        <w:rPr>
          <w:b/>
          <w:sz w:val="32"/>
          <w:szCs w:val="32"/>
        </w:rPr>
      </w:pPr>
      <w:r>
        <w:rPr>
          <w:rFonts w:hint="eastAsia"/>
          <w:b/>
          <w:sz w:val="32"/>
          <w:szCs w:val="32"/>
          <w:lang w:val="en-US" w:eastAsia="zh-CN"/>
        </w:rPr>
        <w:t xml:space="preserve">第五章 </w:t>
      </w:r>
      <w:r>
        <w:rPr>
          <w:b/>
          <w:sz w:val="32"/>
          <w:szCs w:val="32"/>
        </w:rPr>
        <w:t>工程量清单</w:t>
      </w:r>
    </w:p>
    <w:p>
      <w:pPr>
        <w:pStyle w:val="13"/>
        <w:numPr>
          <w:ilvl w:val="2"/>
          <w:numId w:val="1"/>
        </w:numPr>
        <w:tabs>
          <w:tab w:val="left" w:pos="868"/>
        </w:tabs>
        <w:spacing w:before="150"/>
        <w:jc w:val="left"/>
        <w:rPr>
          <w:rFonts w:ascii="Arial" w:eastAsia="Arial"/>
          <w:b/>
          <w:szCs w:val="24"/>
        </w:rPr>
      </w:pPr>
      <w:r>
        <w:rPr>
          <w:rFonts w:hint="eastAsia" w:ascii="Microsoft JhengHei" w:eastAsia="Microsoft JhengHei"/>
          <w:b/>
          <w:spacing w:val="-1"/>
          <w:szCs w:val="24"/>
        </w:rPr>
        <w:t>工程量清单编制说明</w:t>
      </w:r>
      <w:r>
        <w:rPr>
          <w:rFonts w:ascii="Arial" w:eastAsia="Arial"/>
          <w:b/>
          <w:w w:val="180"/>
          <w:szCs w:val="24"/>
        </w:rPr>
        <w:t xml:space="preserve"> </w:t>
      </w:r>
    </w:p>
    <w:p>
      <w:pPr>
        <w:pStyle w:val="13"/>
        <w:numPr>
          <w:ilvl w:val="3"/>
          <w:numId w:val="1"/>
        </w:numPr>
        <w:tabs>
          <w:tab w:val="left" w:pos="867"/>
        </w:tabs>
        <w:spacing w:before="11" w:line="324" w:lineRule="auto"/>
        <w:ind w:right="532" w:firstLine="360"/>
        <w:jc w:val="both"/>
        <w:rPr>
          <w:sz w:val="20"/>
          <w:szCs w:val="24"/>
        </w:rPr>
      </w:pPr>
      <w:r>
        <w:rPr>
          <w:sz w:val="20"/>
          <w:szCs w:val="24"/>
        </w:rPr>
        <w:t>本工程量清单是根据招标文件中包括的有合同约束力的工程量清单计量规则、图纸以及有关工程量清单的国家</w:t>
      </w:r>
      <w:r>
        <w:rPr>
          <w:spacing w:val="-2"/>
          <w:sz w:val="20"/>
          <w:szCs w:val="24"/>
        </w:rPr>
        <w:t>标准、行业标准、地方标准、合同条款中约定的其他规则编制。约定计量规则中没有的子目，其工程量按照有合同约束</w:t>
      </w:r>
      <w:r>
        <w:rPr>
          <w:sz w:val="20"/>
          <w:szCs w:val="24"/>
        </w:rPr>
        <w:t>力的图纸所标示尺寸的理论净量计算。计量采用中华人民共和国法定计量单位</w:t>
      </w:r>
      <w:r>
        <w:rPr>
          <w:rFonts w:hint="eastAsia"/>
          <w:sz w:val="20"/>
          <w:szCs w:val="24"/>
        </w:rPr>
        <w:t>。</w:t>
      </w:r>
      <w:r>
        <w:rPr>
          <w:sz w:val="20"/>
          <w:szCs w:val="24"/>
        </w:rPr>
        <w:t xml:space="preserve"> </w:t>
      </w:r>
    </w:p>
    <w:p>
      <w:pPr>
        <w:pStyle w:val="13"/>
        <w:numPr>
          <w:ilvl w:val="3"/>
          <w:numId w:val="1"/>
        </w:numPr>
        <w:tabs>
          <w:tab w:val="left" w:pos="867"/>
        </w:tabs>
        <w:spacing w:line="324" w:lineRule="auto"/>
        <w:ind w:right="440" w:firstLine="360"/>
        <w:rPr>
          <w:sz w:val="20"/>
          <w:szCs w:val="24"/>
        </w:rPr>
      </w:pPr>
      <w:r>
        <w:rPr>
          <w:spacing w:val="-1"/>
          <w:sz w:val="20"/>
          <w:szCs w:val="24"/>
        </w:rPr>
        <w:t>本工程量清单应与</w:t>
      </w:r>
      <w:r>
        <w:rPr>
          <w:sz w:val="20"/>
          <w:szCs w:val="24"/>
        </w:rPr>
        <w:t>DB33/T</w:t>
      </w:r>
      <w:r>
        <w:rPr>
          <w:spacing w:val="-45"/>
          <w:sz w:val="20"/>
          <w:szCs w:val="24"/>
        </w:rPr>
        <w:t xml:space="preserve"> </w:t>
      </w:r>
      <w:r>
        <w:rPr>
          <w:spacing w:val="-9"/>
          <w:sz w:val="20"/>
          <w:szCs w:val="24"/>
        </w:rPr>
        <w:t>628.1</w:t>
      </w:r>
      <w:r>
        <w:rPr>
          <w:spacing w:val="-1"/>
          <w:sz w:val="20"/>
          <w:szCs w:val="24"/>
        </w:rPr>
        <w:t>《交通建设工程工程量清单计价规范 第</w:t>
      </w:r>
      <w:r>
        <w:rPr>
          <w:sz w:val="20"/>
          <w:szCs w:val="24"/>
        </w:rPr>
        <w:t>1</w:t>
      </w:r>
      <w:r>
        <w:rPr>
          <w:spacing w:val="-15"/>
          <w:sz w:val="20"/>
          <w:szCs w:val="24"/>
        </w:rPr>
        <w:t xml:space="preserve">部分：公路工程》(下称《地方标准》)、招标文件中的投标人须知、通用合同条款、专用合同条款、技术规范、图纸等一起阅读和理解。 </w:t>
      </w:r>
    </w:p>
    <w:p>
      <w:pPr>
        <w:pStyle w:val="13"/>
        <w:numPr>
          <w:ilvl w:val="3"/>
          <w:numId w:val="1"/>
        </w:numPr>
        <w:tabs>
          <w:tab w:val="left" w:pos="867"/>
        </w:tabs>
        <w:spacing w:before="1" w:line="324" w:lineRule="auto"/>
        <w:ind w:right="446" w:firstLine="360"/>
        <w:rPr>
          <w:sz w:val="20"/>
          <w:szCs w:val="24"/>
        </w:rPr>
      </w:pPr>
      <w:r>
        <w:rPr>
          <w:sz w:val="20"/>
          <w:szCs w:val="24"/>
        </w:rPr>
        <w:t>本工程量清单中所列工程数量是估算的或设计的预计数量，仅作为投标报价的共同基础，不能作为最终结算与</w:t>
      </w:r>
      <w:r>
        <w:rPr>
          <w:spacing w:val="-8"/>
          <w:sz w:val="20"/>
          <w:szCs w:val="24"/>
        </w:rPr>
        <w:t>支付的依据。实际支付应按实际完成的工程量，由承包人按计价规范、技术规范规定的计量方法，以监理人认可的尺寸、</w:t>
      </w:r>
      <w:r>
        <w:rPr>
          <w:spacing w:val="-2"/>
          <w:sz w:val="20"/>
          <w:szCs w:val="24"/>
        </w:rPr>
        <w:t xml:space="preserve">断面、数量计量，按工程量清单的单价和总额价计算支付金额；或者，根据具体情况，按相应合同条款的规定，由监理人确定的单价或总额价计算支付额。 </w:t>
      </w:r>
    </w:p>
    <w:p>
      <w:pPr>
        <w:pStyle w:val="13"/>
        <w:numPr>
          <w:ilvl w:val="3"/>
          <w:numId w:val="1"/>
        </w:numPr>
        <w:tabs>
          <w:tab w:val="left" w:pos="867"/>
        </w:tabs>
        <w:spacing w:before="3" w:line="324" w:lineRule="auto"/>
        <w:ind w:right="527" w:firstLine="360"/>
        <w:rPr>
          <w:sz w:val="20"/>
          <w:szCs w:val="24"/>
        </w:rPr>
      </w:pPr>
      <w:r>
        <w:rPr>
          <w:sz w:val="20"/>
          <w:szCs w:val="24"/>
        </w:rPr>
        <w:t xml:space="preserve">工程量清单各章是按《地方标准》的相应章次编号的，因此，工程量清单中各章子目的工程量计量、工程内容等应与《地方标准》相应章节的工程量计量、工程内容结合起来理解或解释。 </w:t>
      </w:r>
    </w:p>
    <w:p>
      <w:pPr>
        <w:pStyle w:val="13"/>
        <w:numPr>
          <w:ilvl w:val="3"/>
          <w:numId w:val="1"/>
        </w:numPr>
        <w:tabs>
          <w:tab w:val="left" w:pos="867"/>
        </w:tabs>
        <w:spacing w:line="324" w:lineRule="auto"/>
        <w:ind w:right="527" w:firstLine="360"/>
        <w:rPr>
          <w:sz w:val="20"/>
          <w:szCs w:val="24"/>
        </w:rPr>
      </w:pPr>
      <w:r>
        <w:rPr>
          <w:sz w:val="20"/>
          <w:szCs w:val="24"/>
        </w:rPr>
        <w:t xml:space="preserve">对作业和材料的一般说明或规定，未重复写入工程量清单内，在给工程量清单各子目标价前，应参阅《地方标准》的有关内容。 </w:t>
      </w:r>
    </w:p>
    <w:p>
      <w:pPr>
        <w:pStyle w:val="13"/>
        <w:numPr>
          <w:ilvl w:val="3"/>
          <w:numId w:val="1"/>
        </w:numPr>
        <w:tabs>
          <w:tab w:val="left" w:pos="867"/>
        </w:tabs>
        <w:spacing w:before="1" w:line="324" w:lineRule="auto"/>
        <w:ind w:right="539" w:firstLine="360"/>
        <w:rPr>
          <w:sz w:val="20"/>
          <w:szCs w:val="24"/>
        </w:rPr>
      </w:pPr>
      <w:r>
        <w:rPr>
          <w:sz w:val="20"/>
          <w:szCs w:val="24"/>
        </w:rPr>
        <w:t xml:space="preserve">工程量清单中所列工程量的变动，丝毫不会降低或影响合同条款的效力，也不免除承包人按规定的标准进行施工和修复缺陷的责任。 </w:t>
      </w:r>
    </w:p>
    <w:p>
      <w:pPr>
        <w:pStyle w:val="13"/>
        <w:numPr>
          <w:ilvl w:val="3"/>
          <w:numId w:val="1"/>
        </w:numPr>
        <w:tabs>
          <w:tab w:val="left" w:pos="867"/>
        </w:tabs>
        <w:spacing w:before="1" w:line="324" w:lineRule="auto"/>
        <w:ind w:right="535" w:firstLine="360"/>
        <w:rPr>
          <w:sz w:val="20"/>
          <w:szCs w:val="24"/>
        </w:rPr>
      </w:pPr>
      <w:r>
        <w:rPr>
          <w:sz w:val="20"/>
          <w:szCs w:val="24"/>
        </w:rPr>
        <w:t>图纸中所列的工程数量表及数量汇总表仅是提供资料，不是工程量清单的外延。当图纸与工程量清单所列数量不一致时，以工程量清单所列数量作为报价的依据</w:t>
      </w:r>
      <w:r>
        <w:rPr>
          <w:rFonts w:hint="eastAsia"/>
          <w:sz w:val="20"/>
          <w:szCs w:val="24"/>
        </w:rPr>
        <w:t>。</w:t>
      </w:r>
      <w:r>
        <w:rPr>
          <w:sz w:val="20"/>
          <w:szCs w:val="24"/>
        </w:rPr>
        <w:t xml:space="preserve"> </w:t>
      </w:r>
    </w:p>
    <w:p>
      <w:pPr>
        <w:pStyle w:val="2"/>
        <w:numPr>
          <w:ilvl w:val="2"/>
          <w:numId w:val="1"/>
        </w:numPr>
        <w:tabs>
          <w:tab w:val="left" w:pos="868"/>
        </w:tabs>
        <w:spacing w:line="303" w:lineRule="exact"/>
        <w:jc w:val="left"/>
        <w:rPr>
          <w:rFonts w:ascii="Arial" w:eastAsia="Arial"/>
          <w:sz w:val="22"/>
          <w:szCs w:val="22"/>
        </w:rPr>
      </w:pPr>
      <w:r>
        <w:rPr>
          <w:spacing w:val="-1"/>
          <w:sz w:val="22"/>
          <w:szCs w:val="22"/>
        </w:rPr>
        <w:t>工程量清单计价说明</w:t>
      </w:r>
      <w:r>
        <w:rPr>
          <w:rFonts w:ascii="Arial" w:eastAsia="Arial"/>
          <w:w w:val="180"/>
          <w:sz w:val="22"/>
          <w:szCs w:val="22"/>
        </w:rPr>
        <w:t xml:space="preserve"> </w:t>
      </w:r>
    </w:p>
    <w:p>
      <w:pPr>
        <w:pStyle w:val="13"/>
        <w:numPr>
          <w:ilvl w:val="3"/>
          <w:numId w:val="1"/>
        </w:numPr>
        <w:tabs>
          <w:tab w:val="left" w:pos="867"/>
        </w:tabs>
        <w:spacing w:before="11"/>
        <w:ind w:left="866"/>
        <w:rPr>
          <w:sz w:val="20"/>
          <w:szCs w:val="24"/>
        </w:rPr>
      </w:pPr>
      <w:r>
        <w:rPr>
          <w:spacing w:val="-1"/>
          <w:sz w:val="20"/>
          <w:szCs w:val="24"/>
        </w:rPr>
        <w:t xml:space="preserve">工程量清单中的每一子目须填入单价或价格，且只允许有一个报价。 </w:t>
      </w:r>
    </w:p>
    <w:p>
      <w:pPr>
        <w:pStyle w:val="13"/>
        <w:numPr>
          <w:ilvl w:val="3"/>
          <w:numId w:val="1"/>
        </w:numPr>
        <w:tabs>
          <w:tab w:val="left" w:pos="867"/>
        </w:tabs>
        <w:spacing w:before="82" w:line="324" w:lineRule="auto"/>
        <w:ind w:right="444" w:firstLine="360"/>
        <w:rPr>
          <w:sz w:val="20"/>
          <w:szCs w:val="24"/>
        </w:rPr>
      </w:pPr>
      <w:r>
        <w:rPr>
          <w:spacing w:val="-4"/>
          <w:sz w:val="20"/>
          <w:szCs w:val="24"/>
        </w:rPr>
        <w:t>除非合同另有规定，工程量清单中有标价的单价和总额价均已包括了为实施和完成合同工程所需的劳务、材料、</w:t>
      </w:r>
      <w:r>
        <w:rPr>
          <w:sz w:val="20"/>
          <w:szCs w:val="24"/>
        </w:rPr>
        <w:t xml:space="preserve">机械、质检（自检）、安装、调试、缺陷修复、管理、保险（工程一切险和第三方责任险除外）、税费、利润等费用， 以及合同明示或暗示的所有责任、义务和一般风险。 </w:t>
      </w:r>
    </w:p>
    <w:p>
      <w:pPr>
        <w:pStyle w:val="13"/>
        <w:numPr>
          <w:ilvl w:val="3"/>
          <w:numId w:val="1"/>
        </w:numPr>
        <w:tabs>
          <w:tab w:val="left" w:pos="867"/>
        </w:tabs>
        <w:spacing w:line="324" w:lineRule="auto"/>
        <w:ind w:right="534" w:firstLine="360"/>
        <w:rPr>
          <w:sz w:val="20"/>
          <w:szCs w:val="24"/>
        </w:rPr>
      </w:pPr>
      <w:r>
        <w:rPr>
          <w:sz w:val="20"/>
          <w:szCs w:val="24"/>
        </w:rPr>
        <w:t xml:space="preserve">工程量清单投标人没有填入单价或总额价的子目，其费用应视为已包括在工程量清单的其他单价或总额价中， 承包人必须按监理人指令完成工程量清单中未填入单价或总额价的工程子目，但不能得到结算与支付。 </w:t>
      </w:r>
    </w:p>
    <w:p>
      <w:pPr>
        <w:pStyle w:val="13"/>
        <w:numPr>
          <w:ilvl w:val="3"/>
          <w:numId w:val="1"/>
        </w:numPr>
        <w:tabs>
          <w:tab w:val="left" w:pos="867"/>
        </w:tabs>
        <w:spacing w:before="1" w:line="324" w:lineRule="auto"/>
        <w:ind w:right="527" w:firstLine="360"/>
        <w:jc w:val="both"/>
        <w:rPr>
          <w:sz w:val="20"/>
          <w:szCs w:val="24"/>
        </w:rPr>
      </w:pPr>
      <w:r>
        <w:rPr>
          <w:sz w:val="20"/>
          <w:szCs w:val="24"/>
        </w:rPr>
        <w:t>除工程量清单漏项或设计变更引起新的工程量清单项（子）目外，符合合同条款、计价规范、技术规范规定的全部费用（包括暂估价等的管理费、税金）应认为已被计入有标价的工程量清单所列各项（子）目之中，未列项（子</w:t>
      </w:r>
      <w:r>
        <w:rPr>
          <w:spacing w:val="-13"/>
          <w:sz w:val="20"/>
          <w:szCs w:val="24"/>
        </w:rPr>
        <w:t xml:space="preserve">） </w:t>
      </w:r>
      <w:r>
        <w:rPr>
          <w:sz w:val="20"/>
          <w:szCs w:val="24"/>
        </w:rPr>
        <w:t xml:space="preserve">目不予计量的工作，其费用应视为已分摊在本合同工程的有关项（子）目的单价或总额价之中。 </w:t>
      </w:r>
    </w:p>
    <w:p>
      <w:pPr>
        <w:pStyle w:val="13"/>
        <w:numPr>
          <w:ilvl w:val="3"/>
          <w:numId w:val="1"/>
        </w:numPr>
        <w:tabs>
          <w:tab w:val="left" w:pos="867"/>
        </w:tabs>
        <w:spacing w:line="324" w:lineRule="auto"/>
        <w:ind w:right="531" w:firstLine="360"/>
        <w:rPr>
          <w:sz w:val="20"/>
          <w:szCs w:val="24"/>
        </w:rPr>
      </w:pPr>
      <w:r>
        <w:rPr>
          <w:sz w:val="20"/>
          <w:szCs w:val="24"/>
        </w:rPr>
        <w:t xml:space="preserve">对于符合要求的投标文件，在签订合同协议书前，如发现工程量清单中有计算方面的算术性差错，应按投标人须知规定予以处理。 </w:t>
      </w:r>
    </w:p>
    <w:p>
      <w:pPr>
        <w:pStyle w:val="13"/>
        <w:numPr>
          <w:ilvl w:val="3"/>
          <w:numId w:val="1"/>
        </w:numPr>
        <w:tabs>
          <w:tab w:val="left" w:pos="867"/>
        </w:tabs>
        <w:spacing w:line="324" w:lineRule="auto"/>
        <w:ind w:right="539" w:firstLine="360"/>
        <w:rPr>
          <w:sz w:val="20"/>
          <w:szCs w:val="24"/>
        </w:rPr>
      </w:pPr>
      <w:r>
        <w:rPr>
          <w:sz w:val="20"/>
          <w:szCs w:val="24"/>
        </w:rPr>
        <w:t xml:space="preserve">承包人用于本合同工程的各类装备的提供、运输、维护、拆卸、拼装等支付的费用，已包含在工程量清单的单价与总额价之中。 </w:t>
      </w:r>
    </w:p>
    <w:p>
      <w:pPr>
        <w:pStyle w:val="13"/>
        <w:numPr>
          <w:ilvl w:val="3"/>
          <w:numId w:val="1"/>
        </w:numPr>
        <w:tabs>
          <w:tab w:val="left" w:pos="867"/>
        </w:tabs>
        <w:spacing w:before="3"/>
        <w:ind w:left="866"/>
        <w:rPr>
          <w:sz w:val="24"/>
          <w:szCs w:val="24"/>
        </w:rPr>
        <w:sectPr>
          <w:type w:val="continuous"/>
          <w:pgSz w:w="11910" w:h="16840"/>
          <w:pgMar w:top="1340" w:right="880" w:bottom="280" w:left="900" w:header="720" w:footer="720" w:gutter="0"/>
          <w:cols w:space="720" w:num="1"/>
        </w:sectPr>
      </w:pPr>
      <w:r>
        <w:rPr>
          <w:spacing w:val="-1"/>
          <w:sz w:val="20"/>
          <w:szCs w:val="24"/>
        </w:rPr>
        <w:t>工程量清单中各项金额均以人民币</w:t>
      </w:r>
      <w:r>
        <w:rPr>
          <w:sz w:val="20"/>
          <w:szCs w:val="24"/>
        </w:rPr>
        <w:t xml:space="preserve">（元）结算，有特殊规定的从其规定。 </w:t>
      </w:r>
    </w:p>
    <w:p>
      <w:pPr>
        <w:pStyle w:val="5"/>
        <w:spacing w:before="5"/>
        <w:rPr>
          <w:sz w:val="20"/>
          <w:szCs w:val="20"/>
        </w:rPr>
      </w:pPr>
    </w:p>
    <w:p>
      <w:pPr>
        <w:pStyle w:val="13"/>
        <w:numPr>
          <w:ilvl w:val="3"/>
          <w:numId w:val="1"/>
        </w:numPr>
        <w:tabs>
          <w:tab w:val="left" w:pos="1150"/>
        </w:tabs>
        <w:spacing w:before="75" w:line="324" w:lineRule="auto"/>
        <w:ind w:left="516" w:right="161" w:firstLine="360"/>
        <w:rPr>
          <w:spacing w:val="7"/>
          <w:sz w:val="20"/>
          <w:szCs w:val="24"/>
        </w:rPr>
      </w:pPr>
      <w:r>
        <w:rPr>
          <w:spacing w:val="-4"/>
          <w:sz w:val="20"/>
          <w:szCs w:val="24"/>
        </w:rPr>
        <w:t xml:space="preserve">在工程量清单中标明的暂列金额，除合同另有规定外，应由监理人按相应合同条款的规定，结合工程具体情况， </w:t>
      </w:r>
      <w:r>
        <w:rPr>
          <w:spacing w:val="7"/>
          <w:sz w:val="20"/>
          <w:szCs w:val="24"/>
        </w:rPr>
        <w:t>报发包人批准后指令全部或部分地使用，或者根本不予动用。暂列金额（不含计日工总额）的数量及拟用子目的说</w:t>
      </w:r>
      <w:r>
        <w:rPr>
          <w:sz w:val="20"/>
          <w:szCs w:val="24"/>
        </w:rPr>
        <w:t>明</w:t>
      </w:r>
      <w:r>
        <w:rPr>
          <w:rFonts w:hint="eastAsia"/>
          <w:sz w:val="20"/>
          <w:szCs w:val="24"/>
        </w:rPr>
        <w:t>：</w:t>
      </w:r>
      <w:r>
        <w:rPr>
          <w:rFonts w:hint="eastAsia"/>
          <w:sz w:val="20"/>
          <w:szCs w:val="24"/>
          <w:u w:val="single"/>
          <w:lang w:val="en-US"/>
        </w:rPr>
        <w:t>3%</w:t>
      </w:r>
      <w:r>
        <w:rPr>
          <w:rFonts w:hint="eastAsia"/>
          <w:sz w:val="20"/>
          <w:szCs w:val="24"/>
        </w:rPr>
        <w:t>。</w:t>
      </w:r>
      <w:r>
        <w:rPr>
          <w:sz w:val="20"/>
          <w:szCs w:val="24"/>
        </w:rPr>
        <w:t xml:space="preserve"> </w:t>
      </w:r>
    </w:p>
    <w:p>
      <w:pPr>
        <w:pStyle w:val="13"/>
        <w:numPr>
          <w:ilvl w:val="3"/>
          <w:numId w:val="1"/>
        </w:numPr>
        <w:tabs>
          <w:tab w:val="left" w:pos="1150"/>
        </w:tabs>
        <w:spacing w:before="75" w:line="324" w:lineRule="auto"/>
        <w:ind w:left="516" w:right="161" w:firstLine="360"/>
        <w:rPr>
          <w:color w:val="FF0000"/>
          <w:spacing w:val="-4"/>
          <w:sz w:val="20"/>
          <w:szCs w:val="24"/>
        </w:rPr>
      </w:pPr>
      <w:r>
        <w:rPr>
          <w:color w:val="FF0000"/>
          <w:spacing w:val="-4"/>
          <w:sz w:val="20"/>
          <w:szCs w:val="24"/>
        </w:rPr>
        <w:t xml:space="preserve"> 暂估价的数量及拟用子目的说明 ：</w:t>
      </w:r>
      <w:r>
        <w:rPr>
          <w:rFonts w:hint="eastAsia"/>
          <w:color w:val="FF0000"/>
          <w:spacing w:val="-4"/>
          <w:sz w:val="20"/>
          <w:szCs w:val="24"/>
        </w:rPr>
        <w:t>102-4，信息化系统（暂估价），暂估价</w:t>
      </w:r>
      <w:r>
        <w:rPr>
          <w:rFonts w:hint="eastAsia"/>
          <w:color w:val="FF0000"/>
          <w:spacing w:val="-4"/>
          <w:sz w:val="20"/>
          <w:szCs w:val="24"/>
          <w:lang w:val="en-US" w:eastAsia="zh-CN"/>
        </w:rPr>
        <w:t>50</w:t>
      </w:r>
      <w:r>
        <w:rPr>
          <w:rFonts w:hint="eastAsia"/>
          <w:color w:val="FF0000"/>
          <w:spacing w:val="-4"/>
          <w:sz w:val="20"/>
          <w:szCs w:val="24"/>
        </w:rPr>
        <w:t>万元</w:t>
      </w:r>
      <w:r>
        <w:rPr>
          <w:color w:val="FF0000"/>
          <w:spacing w:val="-4"/>
          <w:sz w:val="20"/>
          <w:szCs w:val="24"/>
        </w:rPr>
        <w:t>。</w:t>
      </w:r>
    </w:p>
    <w:p>
      <w:pPr>
        <w:pStyle w:val="13"/>
        <w:numPr>
          <w:ilvl w:val="3"/>
          <w:numId w:val="1"/>
        </w:numPr>
        <w:tabs>
          <w:tab w:val="left" w:pos="1150"/>
        </w:tabs>
        <w:spacing w:before="75" w:line="324" w:lineRule="auto"/>
        <w:ind w:left="516" w:right="161" w:firstLine="360"/>
        <w:rPr>
          <w:rFonts w:hint="eastAsia"/>
          <w:color w:val="FF0000"/>
          <w:spacing w:val="-4"/>
          <w:sz w:val="20"/>
          <w:szCs w:val="24"/>
        </w:rPr>
      </w:pPr>
      <w:r>
        <w:rPr>
          <w:rFonts w:hint="eastAsia"/>
          <w:color w:val="FF0000"/>
          <w:spacing w:val="-4"/>
          <w:sz w:val="20"/>
          <w:szCs w:val="24"/>
        </w:rPr>
        <w:t>本项目所有牵涉到非适用性材料（包括但不限于淤泥、钻渣等）外运及消纳等相关费用其费用包含在相关工程清单子目综合单价中，不单独计量。</w:t>
      </w:r>
    </w:p>
    <w:p>
      <w:pPr>
        <w:pStyle w:val="13"/>
        <w:numPr>
          <w:ilvl w:val="3"/>
          <w:numId w:val="1"/>
        </w:numPr>
        <w:tabs>
          <w:tab w:val="left" w:pos="1150"/>
        </w:tabs>
        <w:spacing w:before="75" w:line="324" w:lineRule="auto"/>
        <w:ind w:left="516" w:right="161" w:firstLine="360"/>
        <w:rPr>
          <w:color w:val="FF0000"/>
          <w:spacing w:val="-4"/>
          <w:sz w:val="20"/>
          <w:szCs w:val="24"/>
        </w:rPr>
      </w:pPr>
      <w:r>
        <w:rPr>
          <w:rFonts w:hint="eastAsia"/>
          <w:color w:val="FF0000"/>
          <w:spacing w:val="-4"/>
          <w:sz w:val="20"/>
          <w:szCs w:val="24"/>
        </w:rPr>
        <w:t>203-1-2-2机械开挖石方应严格根据设计所示范围实施，超出设计部分（包括工程量）不予计量。</w:t>
      </w:r>
    </w:p>
    <w:p>
      <w:pPr>
        <w:pStyle w:val="13"/>
        <w:numPr>
          <w:ilvl w:val="3"/>
          <w:numId w:val="1"/>
        </w:numPr>
        <w:tabs>
          <w:tab w:val="left" w:pos="1150"/>
        </w:tabs>
        <w:spacing w:before="75" w:line="324" w:lineRule="auto"/>
        <w:ind w:left="516" w:right="161" w:firstLine="360"/>
        <w:rPr>
          <w:rFonts w:hint="eastAsia"/>
          <w:color w:val="FF0000"/>
          <w:spacing w:val="-4"/>
          <w:sz w:val="20"/>
          <w:szCs w:val="24"/>
        </w:rPr>
      </w:pPr>
      <w:r>
        <w:rPr>
          <w:rFonts w:hint="eastAsia"/>
          <w:color w:val="FF0000"/>
          <w:spacing w:val="-4"/>
          <w:sz w:val="20"/>
          <w:szCs w:val="24"/>
        </w:rPr>
        <w:t>本项目路基开挖的土石方及隧道开挖的洞渣等必须优先满足本工程路基填方、边坡防护等的需要，多余弃碴归承包人所有，同时弃方不得随意废弃或擅自处置，应堆放至发包人认可的位置（不论运距远近、运输费用全部计入相关子目中，不另计超运距运费），承包人在履行相关职能部门的报批程序后，方可开展施工，弃土场所采取的复绿、复耕、排水及防护等措施须达到相关部门的环评、水保、土地等验收标准，承包人所采取的所有措施以及因此增加的费用已包括在投标价之中，发包人不在另行支付。</w:t>
      </w:r>
    </w:p>
    <w:p>
      <w:pPr>
        <w:pStyle w:val="13"/>
        <w:numPr>
          <w:ilvl w:val="3"/>
          <w:numId w:val="1"/>
        </w:numPr>
        <w:tabs>
          <w:tab w:val="left" w:pos="1150"/>
        </w:tabs>
        <w:spacing w:before="75" w:line="324" w:lineRule="auto"/>
        <w:ind w:left="516" w:right="161" w:firstLine="360"/>
        <w:rPr>
          <w:color w:val="FF0000"/>
          <w:spacing w:val="-4"/>
          <w:sz w:val="20"/>
          <w:szCs w:val="24"/>
        </w:rPr>
      </w:pPr>
      <w:r>
        <w:rPr>
          <w:rFonts w:hint="eastAsia"/>
          <w:color w:val="FF0000"/>
          <w:spacing w:val="-4"/>
          <w:sz w:val="20"/>
          <w:szCs w:val="24"/>
        </w:rPr>
        <w:t>投标人应充分考虑爆破施工中所采用雷管的类型和爆破相关政策的规定，施工过程中采用工业电子雷管（包括但不限于电子雷管、数码雷管、数码电子雷管等）产生的费用变化发包人不另行支付。</w:t>
      </w:r>
    </w:p>
    <w:p>
      <w:pPr>
        <w:pStyle w:val="13"/>
        <w:tabs>
          <w:tab w:val="left" w:pos="1150"/>
        </w:tabs>
        <w:spacing w:before="11"/>
        <w:ind w:left="1150" w:firstLine="0"/>
        <w:rPr>
          <w:sz w:val="20"/>
          <w:szCs w:val="24"/>
        </w:rPr>
      </w:pPr>
      <w:r>
        <w:rPr>
          <w:rFonts w:hint="eastAsia"/>
          <w:b/>
        </w:rPr>
        <w:t>3．</w:t>
      </w:r>
      <w:r>
        <w:rPr>
          <w:b/>
        </w:rPr>
        <w:t>工程量计价规则（</w:t>
      </w:r>
      <w:r>
        <w:rPr>
          <w:b/>
          <w:spacing w:val="-2"/>
        </w:rPr>
        <w:t>修改或增列</w:t>
      </w:r>
      <w:r>
        <w:rPr>
          <w:spacing w:val="-2"/>
        </w:rPr>
        <w:t>）</w:t>
      </w:r>
    </w:p>
    <w:p>
      <w:pPr>
        <w:pStyle w:val="13"/>
        <w:tabs>
          <w:tab w:val="left" w:pos="1150"/>
        </w:tabs>
        <w:spacing w:before="81"/>
        <w:ind w:left="1150" w:firstLine="0"/>
        <w:rPr>
          <w:sz w:val="20"/>
          <w:szCs w:val="24"/>
        </w:rPr>
      </w:pPr>
      <w:r>
        <w:rPr>
          <w:rFonts w:hint="eastAsia"/>
          <w:spacing w:val="-1"/>
          <w:sz w:val="20"/>
          <w:szCs w:val="24"/>
        </w:rPr>
        <w:t>3.1</w:t>
      </w:r>
      <w:r>
        <w:rPr>
          <w:spacing w:val="-1"/>
          <w:sz w:val="20"/>
          <w:szCs w:val="24"/>
        </w:rPr>
        <w:t xml:space="preserve">修改使用《地方标准》以及增列的清单子目，其计价规则在此处单独列出： </w:t>
      </w:r>
    </w:p>
    <w:tbl>
      <w:tblPr>
        <w:tblStyle w:val="9"/>
        <w:tblpPr w:leftFromText="180" w:rightFromText="180" w:vertAnchor="text" w:horzAnchor="page" w:tblpX="935" w:tblpY="60"/>
        <w:tblOverlap w:val="never"/>
        <w:tblW w:w="1035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49"/>
        <w:gridCol w:w="2503"/>
        <w:gridCol w:w="845"/>
        <w:gridCol w:w="2582"/>
        <w:gridCol w:w="28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 w:hRule="atLeast"/>
        </w:trPr>
        <w:tc>
          <w:tcPr>
            <w:tcW w:w="1549" w:type="dxa"/>
            <w:vAlign w:val="center"/>
          </w:tcPr>
          <w:p>
            <w:pPr>
              <w:pStyle w:val="5"/>
              <w:jc w:val="center"/>
              <w:rPr>
                <w:sz w:val="21"/>
                <w:szCs w:val="20"/>
                <w:lang w:val="en-US"/>
              </w:rPr>
            </w:pPr>
            <w:r>
              <w:rPr>
                <w:rFonts w:hint="eastAsia"/>
                <w:sz w:val="21"/>
                <w:szCs w:val="20"/>
                <w:lang w:val="en-US"/>
              </w:rPr>
              <w:t>清单子目编码</w:t>
            </w:r>
          </w:p>
        </w:tc>
        <w:tc>
          <w:tcPr>
            <w:tcW w:w="2503" w:type="dxa"/>
            <w:vAlign w:val="center"/>
          </w:tcPr>
          <w:p>
            <w:pPr>
              <w:pStyle w:val="5"/>
              <w:jc w:val="center"/>
              <w:rPr>
                <w:sz w:val="21"/>
                <w:szCs w:val="20"/>
                <w:lang w:val="en-US"/>
              </w:rPr>
            </w:pPr>
            <w:r>
              <w:rPr>
                <w:rFonts w:hint="eastAsia"/>
                <w:sz w:val="21"/>
                <w:szCs w:val="20"/>
                <w:lang w:val="en-US"/>
              </w:rPr>
              <w:t>清单子目名称</w:t>
            </w:r>
          </w:p>
        </w:tc>
        <w:tc>
          <w:tcPr>
            <w:tcW w:w="845" w:type="dxa"/>
            <w:vAlign w:val="center"/>
          </w:tcPr>
          <w:p>
            <w:pPr>
              <w:pStyle w:val="5"/>
              <w:jc w:val="center"/>
              <w:rPr>
                <w:sz w:val="21"/>
                <w:szCs w:val="20"/>
                <w:lang w:val="en-US"/>
              </w:rPr>
            </w:pPr>
            <w:r>
              <w:rPr>
                <w:rFonts w:hint="eastAsia"/>
                <w:sz w:val="21"/>
                <w:szCs w:val="20"/>
                <w:lang w:val="en-US"/>
              </w:rPr>
              <w:t>单位</w:t>
            </w:r>
          </w:p>
        </w:tc>
        <w:tc>
          <w:tcPr>
            <w:tcW w:w="2582" w:type="dxa"/>
            <w:vAlign w:val="center"/>
          </w:tcPr>
          <w:p>
            <w:pPr>
              <w:pStyle w:val="5"/>
              <w:jc w:val="center"/>
              <w:rPr>
                <w:sz w:val="21"/>
                <w:szCs w:val="20"/>
                <w:lang w:val="en-US"/>
              </w:rPr>
            </w:pPr>
            <w:r>
              <w:rPr>
                <w:rFonts w:hint="eastAsia"/>
                <w:sz w:val="21"/>
                <w:szCs w:val="20"/>
                <w:lang w:val="en-US"/>
              </w:rPr>
              <w:t>工程量计量</w:t>
            </w:r>
          </w:p>
        </w:tc>
        <w:tc>
          <w:tcPr>
            <w:tcW w:w="2877" w:type="dxa"/>
            <w:vAlign w:val="center"/>
          </w:tcPr>
          <w:p>
            <w:pPr>
              <w:pStyle w:val="5"/>
              <w:jc w:val="both"/>
              <w:rPr>
                <w:sz w:val="21"/>
                <w:szCs w:val="20"/>
                <w:lang w:val="en-US"/>
              </w:rPr>
            </w:pPr>
            <w:r>
              <w:rPr>
                <w:rFonts w:hint="eastAsia"/>
                <w:sz w:val="21"/>
                <w:szCs w:val="20"/>
                <w:lang w:val="en-US"/>
              </w:rPr>
              <w:t>工程内容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102-3</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安全生产费</w:t>
            </w:r>
          </w:p>
        </w:tc>
        <w:tc>
          <w:tcPr>
            <w:tcW w:w="845" w:type="dxa"/>
            <w:vAlign w:val="center"/>
          </w:tcPr>
          <w:p>
            <w:pPr>
              <w:pStyle w:val="5"/>
              <w:jc w:val="center"/>
              <w:rPr>
                <w:sz w:val="21"/>
                <w:szCs w:val="20"/>
                <w:lang w:val="en-US"/>
              </w:rPr>
            </w:pPr>
            <w:r>
              <w:rPr>
                <w:rFonts w:hint="eastAsia"/>
                <w:sz w:val="21"/>
                <w:szCs w:val="20"/>
                <w:lang w:val="en-US"/>
              </w:rPr>
              <w:t>总额</w:t>
            </w:r>
          </w:p>
        </w:tc>
        <w:tc>
          <w:tcPr>
            <w:tcW w:w="2582" w:type="dxa"/>
            <w:vAlign w:val="center"/>
          </w:tcPr>
          <w:p>
            <w:pPr>
              <w:pStyle w:val="14"/>
              <w:ind w:left="110" w:leftChars="50" w:right="110" w:rightChars="50"/>
              <w:jc w:val="both"/>
              <w:rPr>
                <w:rFonts w:cs="Times New Roman"/>
                <w:sz w:val="18"/>
                <w:szCs w:val="18"/>
              </w:rPr>
            </w:pPr>
            <w:r>
              <w:rPr>
                <w:rFonts w:cs="Times New Roman"/>
                <w:sz w:val="18"/>
                <w:szCs w:val="18"/>
              </w:rPr>
              <w:t>1.按合同价费用以总额为单</w:t>
            </w:r>
          </w:p>
          <w:p>
            <w:pPr>
              <w:pStyle w:val="14"/>
              <w:ind w:left="110" w:leftChars="50" w:right="110" w:rightChars="50"/>
              <w:jc w:val="both"/>
              <w:rPr>
                <w:rFonts w:cs="Times New Roman"/>
                <w:sz w:val="18"/>
                <w:szCs w:val="18"/>
              </w:rPr>
            </w:pPr>
            <w:r>
              <w:rPr>
                <w:rFonts w:hint="eastAsia" w:cs="Times New Roman"/>
                <w:sz w:val="18"/>
                <w:szCs w:val="18"/>
              </w:rPr>
              <w:t>位计量</w:t>
            </w:r>
          </w:p>
          <w:p>
            <w:pPr>
              <w:pStyle w:val="14"/>
              <w:ind w:left="110" w:leftChars="50" w:right="110" w:rightChars="50"/>
              <w:jc w:val="both"/>
              <w:rPr>
                <w:rFonts w:cs="Times New Roman"/>
                <w:sz w:val="18"/>
                <w:szCs w:val="18"/>
              </w:rPr>
            </w:pPr>
            <w:r>
              <w:rPr>
                <w:rFonts w:cs="Times New Roman"/>
                <w:sz w:val="18"/>
                <w:szCs w:val="18"/>
              </w:rPr>
              <w:t>2.由发包人根据监理人对工</w:t>
            </w:r>
          </w:p>
          <w:p>
            <w:pPr>
              <w:pStyle w:val="14"/>
              <w:ind w:left="110" w:leftChars="50" w:right="110" w:rightChars="50"/>
              <w:jc w:val="both"/>
              <w:rPr>
                <w:rFonts w:cs="Times New Roman"/>
                <w:sz w:val="18"/>
                <w:szCs w:val="18"/>
              </w:rPr>
            </w:pPr>
            <w:r>
              <w:rPr>
                <w:rFonts w:hint="eastAsia" w:cs="Times New Roman"/>
                <w:sz w:val="18"/>
                <w:szCs w:val="18"/>
              </w:rPr>
              <w:t>程安全生产情况的签字确认</w:t>
            </w:r>
          </w:p>
          <w:p>
            <w:pPr>
              <w:pStyle w:val="14"/>
              <w:ind w:left="110" w:leftChars="50" w:right="110" w:rightChars="50"/>
              <w:jc w:val="both"/>
              <w:rPr>
                <w:rFonts w:cs="Times New Roman"/>
                <w:sz w:val="18"/>
                <w:szCs w:val="18"/>
              </w:rPr>
            </w:pPr>
            <w:r>
              <w:rPr>
                <w:rFonts w:hint="eastAsia" w:cs="Times New Roman"/>
                <w:sz w:val="18"/>
                <w:szCs w:val="18"/>
              </w:rPr>
              <w:t>进行支付</w:t>
            </w:r>
          </w:p>
          <w:p>
            <w:pPr>
              <w:pStyle w:val="14"/>
              <w:ind w:left="110" w:leftChars="50" w:right="110" w:rightChars="50"/>
              <w:jc w:val="both"/>
              <w:rPr>
                <w:rFonts w:cs="Times New Roman"/>
                <w:sz w:val="18"/>
                <w:szCs w:val="18"/>
              </w:rPr>
            </w:pPr>
            <w:r>
              <w:rPr>
                <w:rFonts w:cs="Times New Roman"/>
                <w:sz w:val="18"/>
                <w:szCs w:val="18"/>
              </w:rPr>
              <w:t>3.已列入 102-5 节交通管制</w:t>
            </w:r>
          </w:p>
          <w:p>
            <w:pPr>
              <w:pStyle w:val="14"/>
              <w:ind w:left="110" w:leftChars="50" w:right="110" w:rightChars="50"/>
              <w:jc w:val="both"/>
              <w:rPr>
                <w:rFonts w:cs="Times New Roman"/>
                <w:sz w:val="18"/>
                <w:szCs w:val="18"/>
              </w:rPr>
            </w:pPr>
            <w:r>
              <w:rPr>
                <w:rFonts w:hint="eastAsia" w:cs="Times New Roman"/>
                <w:sz w:val="18"/>
                <w:szCs w:val="18"/>
              </w:rPr>
              <w:t>的安全生产有关费用不应在</w:t>
            </w:r>
          </w:p>
          <w:p>
            <w:pPr>
              <w:pStyle w:val="14"/>
              <w:ind w:left="110" w:leftChars="50" w:right="110" w:rightChars="50"/>
              <w:jc w:val="both"/>
              <w:rPr>
                <w:rFonts w:cs="Times New Roman"/>
                <w:sz w:val="18"/>
                <w:szCs w:val="18"/>
              </w:rPr>
            </w:pPr>
            <w:r>
              <w:rPr>
                <w:rFonts w:hint="eastAsia" w:cs="Times New Roman"/>
                <w:sz w:val="18"/>
                <w:szCs w:val="18"/>
              </w:rPr>
              <w:t>本子目计量</w:t>
            </w:r>
          </w:p>
        </w:tc>
        <w:tc>
          <w:tcPr>
            <w:tcW w:w="2877" w:type="dxa"/>
            <w:vAlign w:val="center"/>
          </w:tcPr>
          <w:p>
            <w:pPr>
              <w:pStyle w:val="14"/>
              <w:spacing w:line="300" w:lineRule="exact"/>
              <w:ind w:left="110" w:leftChars="50" w:right="110" w:rightChars="50"/>
              <w:jc w:val="both"/>
              <w:rPr>
                <w:rFonts w:cs="Times New Roman"/>
                <w:sz w:val="18"/>
                <w:szCs w:val="18"/>
              </w:rPr>
            </w:pPr>
            <w:r>
              <w:rPr>
                <w:rFonts w:cs="Times New Roman"/>
                <w:sz w:val="18"/>
                <w:szCs w:val="18"/>
              </w:rPr>
              <w:t>.设置、完善、改造和维护安全</w:t>
            </w:r>
            <w:r>
              <w:rPr>
                <w:rFonts w:hint="eastAsia" w:cs="Times New Roman"/>
                <w:sz w:val="18"/>
                <w:szCs w:val="18"/>
              </w:rPr>
              <w:t>防护设施设备（不含大型临时设施、机械设备等“三同时”要求初期投入的安全设施）支出；</w:t>
            </w:r>
          </w:p>
          <w:p>
            <w:pPr>
              <w:pStyle w:val="14"/>
              <w:spacing w:line="300" w:lineRule="exact"/>
              <w:ind w:left="110" w:leftChars="50" w:right="110" w:rightChars="50"/>
              <w:jc w:val="both"/>
              <w:rPr>
                <w:rFonts w:cs="Times New Roman"/>
                <w:sz w:val="18"/>
                <w:szCs w:val="18"/>
              </w:rPr>
            </w:pPr>
            <w:r>
              <w:rPr>
                <w:rFonts w:cs="Times New Roman"/>
                <w:sz w:val="18"/>
                <w:szCs w:val="18"/>
              </w:rPr>
              <w:t>2.配备、维护、保养应急救援器</w:t>
            </w:r>
            <w:r>
              <w:rPr>
                <w:rFonts w:hint="eastAsia" w:cs="Times New Roman"/>
                <w:sz w:val="18"/>
                <w:szCs w:val="18"/>
              </w:rPr>
              <w:t>材、设备支出和应急演练支出；</w:t>
            </w:r>
          </w:p>
          <w:p>
            <w:pPr>
              <w:pStyle w:val="14"/>
              <w:spacing w:line="300" w:lineRule="exact"/>
              <w:ind w:left="110" w:leftChars="50" w:right="110" w:rightChars="50"/>
              <w:jc w:val="both"/>
              <w:rPr>
                <w:rFonts w:cs="Times New Roman"/>
                <w:sz w:val="18"/>
                <w:szCs w:val="18"/>
              </w:rPr>
            </w:pPr>
            <w:r>
              <w:rPr>
                <w:rFonts w:cs="Times New Roman"/>
                <w:sz w:val="18"/>
                <w:szCs w:val="18"/>
              </w:rPr>
              <w:t>3.开展重大风险（危险源）和事</w:t>
            </w:r>
            <w:r>
              <w:rPr>
                <w:rFonts w:hint="eastAsia" w:cs="Times New Roman"/>
                <w:sz w:val="18"/>
                <w:szCs w:val="18"/>
              </w:rPr>
              <w:t>故隐患评估、监测监控等支出；</w:t>
            </w:r>
          </w:p>
          <w:p>
            <w:pPr>
              <w:pStyle w:val="14"/>
              <w:spacing w:line="300" w:lineRule="exact"/>
              <w:ind w:left="110" w:leftChars="50" w:right="110" w:rightChars="50"/>
              <w:jc w:val="both"/>
              <w:rPr>
                <w:rFonts w:cs="Times New Roman"/>
                <w:sz w:val="18"/>
                <w:szCs w:val="18"/>
              </w:rPr>
            </w:pPr>
            <w:r>
              <w:rPr>
                <w:rFonts w:cs="Times New Roman"/>
                <w:sz w:val="18"/>
                <w:szCs w:val="18"/>
              </w:rPr>
              <w:t>4.安全生产检查、咨询、评价（不</w:t>
            </w:r>
            <w:r>
              <w:rPr>
                <w:rFonts w:hint="eastAsia" w:cs="Times New Roman"/>
                <w:sz w:val="18"/>
                <w:szCs w:val="18"/>
              </w:rPr>
              <w:t>包括新建、改建、扩建项目安全</w:t>
            </w:r>
          </w:p>
          <w:p>
            <w:pPr>
              <w:pStyle w:val="14"/>
              <w:spacing w:line="300" w:lineRule="exact"/>
              <w:ind w:left="110" w:leftChars="50" w:right="110" w:rightChars="50"/>
              <w:jc w:val="both"/>
              <w:rPr>
                <w:rFonts w:cs="Times New Roman"/>
                <w:sz w:val="18"/>
                <w:szCs w:val="18"/>
              </w:rPr>
            </w:pPr>
            <w:r>
              <w:rPr>
                <w:rFonts w:hint="eastAsia" w:cs="Times New Roman"/>
                <w:sz w:val="18"/>
                <w:szCs w:val="18"/>
              </w:rPr>
              <w:t>评价）支出；</w:t>
            </w:r>
          </w:p>
          <w:p>
            <w:pPr>
              <w:pStyle w:val="14"/>
              <w:spacing w:line="300" w:lineRule="exact"/>
              <w:ind w:left="110" w:leftChars="50" w:right="110" w:rightChars="50"/>
              <w:jc w:val="both"/>
              <w:rPr>
                <w:rFonts w:cs="Times New Roman"/>
                <w:sz w:val="18"/>
                <w:szCs w:val="18"/>
              </w:rPr>
            </w:pPr>
            <w:r>
              <w:rPr>
                <w:rFonts w:cs="Times New Roman"/>
                <w:sz w:val="18"/>
                <w:szCs w:val="18"/>
              </w:rPr>
              <w:t>5.配备和更新现场作业人员安</w:t>
            </w:r>
            <w:r>
              <w:rPr>
                <w:rFonts w:hint="eastAsia" w:cs="Times New Roman"/>
                <w:sz w:val="18"/>
                <w:szCs w:val="18"/>
              </w:rPr>
              <w:t>全防护用品支出；</w:t>
            </w:r>
          </w:p>
          <w:p>
            <w:pPr>
              <w:pStyle w:val="14"/>
              <w:spacing w:line="300" w:lineRule="exact"/>
              <w:ind w:left="110" w:leftChars="50" w:right="110" w:rightChars="50"/>
              <w:jc w:val="both"/>
              <w:rPr>
                <w:rFonts w:cs="Times New Roman"/>
                <w:sz w:val="18"/>
                <w:szCs w:val="18"/>
              </w:rPr>
            </w:pPr>
            <w:r>
              <w:rPr>
                <w:rFonts w:cs="Times New Roman"/>
                <w:sz w:val="18"/>
                <w:szCs w:val="18"/>
              </w:rPr>
              <w:t>6.安全生产宣传、教育、培训支</w:t>
            </w:r>
            <w:r>
              <w:rPr>
                <w:rFonts w:hint="eastAsia" w:cs="Times New Roman"/>
                <w:sz w:val="18"/>
                <w:szCs w:val="18"/>
              </w:rPr>
              <w:t>出；</w:t>
            </w:r>
          </w:p>
          <w:p>
            <w:pPr>
              <w:pStyle w:val="14"/>
              <w:spacing w:line="300" w:lineRule="exact"/>
              <w:ind w:left="110" w:leftChars="50" w:right="110" w:rightChars="50"/>
              <w:jc w:val="both"/>
              <w:rPr>
                <w:rFonts w:cs="Times New Roman"/>
                <w:sz w:val="18"/>
                <w:szCs w:val="18"/>
              </w:rPr>
            </w:pPr>
            <w:r>
              <w:rPr>
                <w:rFonts w:cs="Times New Roman"/>
                <w:sz w:val="18"/>
                <w:szCs w:val="18"/>
              </w:rPr>
              <w:t>7.安全生产适用的新技术、新标</w:t>
            </w:r>
            <w:r>
              <w:rPr>
                <w:rFonts w:hint="eastAsia" w:cs="Times New Roman"/>
                <w:sz w:val="18"/>
                <w:szCs w:val="18"/>
              </w:rPr>
              <w:t>准、新工艺、新装备的推广应用</w:t>
            </w:r>
          </w:p>
          <w:p>
            <w:pPr>
              <w:pStyle w:val="14"/>
              <w:spacing w:line="300" w:lineRule="exact"/>
              <w:ind w:left="110" w:leftChars="50" w:right="110" w:rightChars="50"/>
              <w:jc w:val="both"/>
              <w:rPr>
                <w:rFonts w:cs="Times New Roman"/>
                <w:sz w:val="18"/>
                <w:szCs w:val="18"/>
              </w:rPr>
            </w:pPr>
            <w:r>
              <w:rPr>
                <w:rFonts w:hint="eastAsia" w:cs="Times New Roman"/>
                <w:sz w:val="18"/>
                <w:szCs w:val="18"/>
              </w:rPr>
              <w:t>支出；</w:t>
            </w:r>
          </w:p>
          <w:p>
            <w:pPr>
              <w:pStyle w:val="14"/>
              <w:spacing w:line="300" w:lineRule="exact"/>
              <w:ind w:left="110" w:leftChars="50" w:right="110" w:rightChars="50"/>
              <w:jc w:val="both"/>
              <w:rPr>
                <w:rFonts w:cs="Times New Roman"/>
                <w:sz w:val="18"/>
                <w:szCs w:val="18"/>
              </w:rPr>
            </w:pPr>
            <w:r>
              <w:rPr>
                <w:rFonts w:cs="Times New Roman"/>
                <w:sz w:val="18"/>
                <w:szCs w:val="18"/>
              </w:rPr>
              <w:t>8.安全设施以及特种设备检测</w:t>
            </w:r>
            <w:r>
              <w:rPr>
                <w:rFonts w:hint="eastAsia" w:cs="Times New Roman"/>
                <w:sz w:val="18"/>
                <w:szCs w:val="18"/>
              </w:rPr>
              <w:t>检验支出；</w:t>
            </w:r>
          </w:p>
          <w:p>
            <w:pPr>
              <w:pStyle w:val="14"/>
              <w:spacing w:line="300" w:lineRule="exact"/>
              <w:ind w:left="110" w:leftChars="50" w:right="110" w:rightChars="50"/>
              <w:jc w:val="both"/>
              <w:rPr>
                <w:rFonts w:cs="Times New Roman"/>
                <w:sz w:val="18"/>
                <w:szCs w:val="18"/>
              </w:rPr>
            </w:pPr>
            <w:r>
              <w:rPr>
                <w:rFonts w:cs="Times New Roman"/>
                <w:sz w:val="18"/>
                <w:szCs w:val="18"/>
              </w:rPr>
              <w:t>9.安全生产责任险</w:t>
            </w:r>
          </w:p>
          <w:p>
            <w:pPr>
              <w:pStyle w:val="14"/>
              <w:spacing w:line="300" w:lineRule="exact"/>
              <w:ind w:left="110" w:leftChars="50" w:right="110" w:rightChars="50"/>
              <w:jc w:val="both"/>
              <w:rPr>
                <w:rFonts w:cs="Times New Roman"/>
                <w:sz w:val="18"/>
                <w:szCs w:val="18"/>
              </w:rPr>
            </w:pPr>
            <w:r>
              <w:rPr>
                <w:rFonts w:cs="Times New Roman"/>
                <w:sz w:val="18"/>
                <w:szCs w:val="18"/>
              </w:rPr>
              <w:t>10.其他与安全生产直接相关的</w:t>
            </w:r>
            <w:r>
              <w:rPr>
                <w:rFonts w:hint="eastAsia" w:cs="Times New Roman"/>
                <w:sz w:val="18"/>
                <w:szCs w:val="18"/>
              </w:rPr>
              <w:t>支出。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102-5</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交通管制</w:t>
            </w:r>
          </w:p>
        </w:tc>
        <w:tc>
          <w:tcPr>
            <w:tcW w:w="845" w:type="dxa"/>
            <w:vAlign w:val="center"/>
          </w:tcPr>
          <w:p>
            <w:pPr>
              <w:pStyle w:val="5"/>
              <w:jc w:val="center"/>
              <w:rPr>
                <w:sz w:val="21"/>
                <w:szCs w:val="20"/>
                <w:lang w:val="en-US"/>
              </w:rPr>
            </w:pPr>
            <w:r>
              <w:rPr>
                <w:rFonts w:hint="eastAsia"/>
                <w:sz w:val="21"/>
                <w:szCs w:val="20"/>
                <w:lang w:val="en-US"/>
              </w:rPr>
              <w:t>总额</w:t>
            </w:r>
          </w:p>
        </w:tc>
        <w:tc>
          <w:tcPr>
            <w:tcW w:w="2582" w:type="dxa"/>
            <w:vAlign w:val="center"/>
          </w:tcPr>
          <w:p>
            <w:pPr>
              <w:pStyle w:val="14"/>
              <w:ind w:left="110" w:leftChars="50" w:right="110" w:rightChars="50"/>
              <w:jc w:val="both"/>
              <w:rPr>
                <w:rFonts w:cs="Times New Roman"/>
                <w:sz w:val="18"/>
                <w:szCs w:val="18"/>
              </w:rPr>
            </w:pPr>
            <w:r>
              <w:rPr>
                <w:rFonts w:hint="eastAsia" w:cs="Times New Roman"/>
                <w:sz w:val="18"/>
                <w:szCs w:val="18"/>
              </w:rPr>
              <w:t>1.以总额为单位计量</w:t>
            </w:r>
          </w:p>
          <w:p>
            <w:pPr>
              <w:pStyle w:val="14"/>
              <w:ind w:left="110" w:leftChars="50" w:right="110" w:rightChars="50"/>
              <w:jc w:val="both"/>
              <w:rPr>
                <w:rFonts w:cs="Times New Roman"/>
                <w:sz w:val="18"/>
                <w:szCs w:val="18"/>
              </w:rPr>
            </w:pPr>
            <w:r>
              <w:rPr>
                <w:rFonts w:hint="eastAsia" w:cs="Times New Roman"/>
                <w:sz w:val="18"/>
                <w:szCs w:val="18"/>
              </w:rPr>
              <w:t>2.每1/3交通管制期支付总额的30%，交工证书签发之后，支付剩余10%</w:t>
            </w:r>
          </w:p>
          <w:p>
            <w:pPr>
              <w:pStyle w:val="14"/>
              <w:ind w:left="110" w:leftChars="50" w:right="110" w:rightChars="50"/>
              <w:jc w:val="both"/>
              <w:rPr>
                <w:rFonts w:cs="Times New Roman"/>
                <w:sz w:val="18"/>
                <w:szCs w:val="18"/>
              </w:rPr>
            </w:pPr>
            <w:r>
              <w:rPr>
                <w:rFonts w:cs="Times New Roman"/>
                <w:sz w:val="18"/>
                <w:szCs w:val="18"/>
              </w:rPr>
              <w:t>3.不区分陆上与水上交通管</w:t>
            </w:r>
            <w:r>
              <w:rPr>
                <w:rFonts w:hint="eastAsia" w:cs="Times New Roman"/>
                <w:sz w:val="18"/>
                <w:szCs w:val="18"/>
              </w:rPr>
              <w:t>制</w:t>
            </w:r>
          </w:p>
        </w:tc>
        <w:tc>
          <w:tcPr>
            <w:tcW w:w="2877" w:type="dxa"/>
            <w:vAlign w:val="center"/>
          </w:tcPr>
          <w:p>
            <w:pPr>
              <w:pStyle w:val="14"/>
              <w:spacing w:line="300" w:lineRule="exact"/>
              <w:ind w:left="110" w:leftChars="50" w:right="110" w:rightChars="50"/>
              <w:jc w:val="both"/>
              <w:rPr>
                <w:rFonts w:cs="Times New Roman"/>
                <w:sz w:val="18"/>
                <w:szCs w:val="18"/>
              </w:rPr>
            </w:pPr>
            <w:r>
              <w:rPr>
                <w:rFonts w:cs="Times New Roman"/>
                <w:sz w:val="18"/>
                <w:szCs w:val="18"/>
              </w:rPr>
              <w:t>1.边施工边通车的新建和改扩</w:t>
            </w:r>
            <w:r>
              <w:rPr>
                <w:rFonts w:hint="eastAsia" w:cs="Times New Roman"/>
                <w:sz w:val="18"/>
                <w:szCs w:val="18"/>
              </w:rPr>
              <w:t>建工程实施中，为疏导交通流所需的施工现场通行隔离设施（围档及其照明、喷淋系统）费用</w:t>
            </w:r>
          </w:p>
          <w:p>
            <w:pPr>
              <w:pStyle w:val="14"/>
              <w:spacing w:line="300" w:lineRule="exact"/>
              <w:ind w:left="110" w:leftChars="50" w:right="110" w:rightChars="50"/>
              <w:jc w:val="both"/>
              <w:rPr>
                <w:rFonts w:cs="Times New Roman"/>
                <w:sz w:val="18"/>
                <w:szCs w:val="18"/>
              </w:rPr>
            </w:pPr>
            <w:r>
              <w:rPr>
                <w:rFonts w:cs="Times New Roman"/>
                <w:sz w:val="18"/>
                <w:szCs w:val="18"/>
              </w:rPr>
              <w:t>2.交通组织保畅等费用</w:t>
            </w:r>
          </w:p>
          <w:p>
            <w:pPr>
              <w:pStyle w:val="14"/>
              <w:spacing w:line="300" w:lineRule="exact"/>
              <w:ind w:left="110" w:leftChars="50" w:right="110" w:rightChars="50"/>
              <w:jc w:val="both"/>
              <w:rPr>
                <w:rFonts w:cs="Times New Roman"/>
                <w:sz w:val="18"/>
                <w:szCs w:val="18"/>
              </w:rPr>
            </w:pPr>
            <w:r>
              <w:rPr>
                <w:rFonts w:cs="Times New Roman"/>
                <w:sz w:val="18"/>
                <w:szCs w:val="18"/>
              </w:rPr>
              <w:t>3.包括向第三方支付的管理和</w:t>
            </w:r>
            <w:r>
              <w:rPr>
                <w:rFonts w:hint="eastAsia" w:cs="Times New Roman"/>
                <w:sz w:val="18"/>
                <w:szCs w:val="18"/>
              </w:rPr>
              <w:t>协调费用</w:t>
            </w:r>
          </w:p>
          <w:p>
            <w:pPr>
              <w:pStyle w:val="14"/>
              <w:spacing w:line="300" w:lineRule="exact"/>
              <w:ind w:left="110" w:leftChars="50" w:right="110" w:rightChars="50"/>
              <w:jc w:val="both"/>
              <w:rPr>
                <w:rFonts w:cs="Times New Roman"/>
                <w:sz w:val="18"/>
                <w:szCs w:val="18"/>
              </w:rPr>
            </w:pPr>
            <w:r>
              <w:rPr>
                <w:rFonts w:cs="Times New Roman"/>
                <w:sz w:val="18"/>
                <w:szCs w:val="18"/>
              </w:rPr>
              <w:t>4.方案评估费用</w:t>
            </w:r>
          </w:p>
          <w:p>
            <w:pPr>
              <w:pStyle w:val="14"/>
              <w:spacing w:line="300" w:lineRule="exact"/>
              <w:ind w:left="110" w:leftChars="50" w:right="110" w:rightChars="50"/>
              <w:jc w:val="both"/>
              <w:rPr>
                <w:rFonts w:cs="Times New Roman"/>
                <w:sz w:val="18"/>
                <w:szCs w:val="18"/>
              </w:rPr>
            </w:pPr>
            <w:r>
              <w:rPr>
                <w:rFonts w:cs="Times New Roman"/>
                <w:sz w:val="18"/>
                <w:szCs w:val="18"/>
              </w:rPr>
              <w:t>5.媒体、公告等宣传费用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103-1</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临时道路、桥梁修建、养护与拆除（包括原道路、桥梁的养护）</w:t>
            </w:r>
          </w:p>
        </w:tc>
        <w:tc>
          <w:tcPr>
            <w:tcW w:w="845" w:type="dxa"/>
            <w:vAlign w:val="center"/>
          </w:tcPr>
          <w:p>
            <w:pPr>
              <w:pStyle w:val="5"/>
              <w:jc w:val="center"/>
              <w:rPr>
                <w:sz w:val="21"/>
                <w:szCs w:val="20"/>
                <w:lang w:val="en-US"/>
              </w:rPr>
            </w:pPr>
          </w:p>
        </w:tc>
        <w:tc>
          <w:tcPr>
            <w:tcW w:w="2582" w:type="dxa"/>
            <w:vAlign w:val="center"/>
          </w:tcPr>
          <w:p>
            <w:pPr>
              <w:pStyle w:val="14"/>
              <w:ind w:left="110" w:leftChars="50" w:right="110" w:rightChars="50"/>
              <w:jc w:val="both"/>
              <w:rPr>
                <w:rFonts w:cs="Times New Roman"/>
                <w:sz w:val="18"/>
                <w:szCs w:val="18"/>
              </w:rPr>
            </w:pPr>
            <w:r>
              <w:rPr>
                <w:rFonts w:cs="Times New Roman"/>
                <w:sz w:val="18"/>
                <w:szCs w:val="18"/>
              </w:rPr>
              <w:t>1.以总额为单位计量</w:t>
            </w:r>
          </w:p>
          <w:p>
            <w:pPr>
              <w:pStyle w:val="14"/>
              <w:ind w:left="110" w:leftChars="50" w:right="110" w:rightChars="50"/>
              <w:jc w:val="both"/>
              <w:rPr>
                <w:rFonts w:cs="Times New Roman"/>
                <w:sz w:val="18"/>
                <w:szCs w:val="18"/>
              </w:rPr>
            </w:pPr>
            <w:r>
              <w:rPr>
                <w:rFonts w:cs="Times New Roman"/>
                <w:sz w:val="18"/>
                <w:szCs w:val="18"/>
              </w:rPr>
              <w:t>2.临时工程完工后，由监</w:t>
            </w:r>
            <w:r>
              <w:rPr>
                <w:rFonts w:hint="eastAsia" w:cs="Times New Roman"/>
                <w:sz w:val="18"/>
                <w:szCs w:val="18"/>
              </w:rPr>
              <w:t>理人验</w:t>
            </w:r>
            <w:r>
              <w:rPr>
                <w:rFonts w:cs="Times New Roman"/>
                <w:sz w:val="18"/>
                <w:szCs w:val="18"/>
              </w:rPr>
              <w:t>收合格后分期支</w:t>
            </w:r>
            <w:r>
              <w:rPr>
                <w:rFonts w:hint="eastAsia" w:cs="Times New Roman"/>
                <w:sz w:val="18"/>
                <w:szCs w:val="18"/>
              </w:rPr>
              <w:t>付，所报总额的</w:t>
            </w:r>
            <w:r>
              <w:rPr>
                <w:rFonts w:cs="Times New Roman"/>
                <w:sz w:val="18"/>
                <w:szCs w:val="18"/>
              </w:rPr>
              <w:t>80％，应</w:t>
            </w:r>
            <w:r>
              <w:rPr>
                <w:rFonts w:hint="eastAsia" w:cs="Times New Roman"/>
                <w:sz w:val="18"/>
                <w:szCs w:val="18"/>
              </w:rPr>
              <w:t>在第</w:t>
            </w:r>
            <w:r>
              <w:rPr>
                <w:rFonts w:cs="Times New Roman"/>
                <w:sz w:val="18"/>
                <w:szCs w:val="18"/>
              </w:rPr>
              <w:t xml:space="preserve"> 1 次至第4次进度付</w:t>
            </w:r>
            <w:r>
              <w:rPr>
                <w:rFonts w:hint="eastAsia" w:cs="Times New Roman"/>
                <w:sz w:val="18"/>
                <w:szCs w:val="18"/>
              </w:rPr>
              <w:t>款证书中，以</w:t>
            </w:r>
            <w:r>
              <w:rPr>
                <w:rFonts w:cs="Times New Roman"/>
                <w:sz w:val="18"/>
                <w:szCs w:val="18"/>
              </w:rPr>
              <w:t xml:space="preserve"> 4 次等额予</w:t>
            </w:r>
            <w:r>
              <w:rPr>
                <w:rFonts w:hint="eastAsia" w:cs="Times New Roman"/>
                <w:sz w:val="18"/>
                <w:szCs w:val="18"/>
              </w:rPr>
              <w:t>以支付；所报总价中余下的</w:t>
            </w:r>
            <w:r>
              <w:rPr>
                <w:rFonts w:cs="Times New Roman"/>
                <w:sz w:val="18"/>
                <w:szCs w:val="18"/>
              </w:rPr>
              <w:t xml:space="preserve"> 20％，待交工验收证书</w:t>
            </w:r>
            <w:r>
              <w:rPr>
                <w:rFonts w:hint="eastAsia" w:cs="Times New Roman"/>
                <w:sz w:val="18"/>
                <w:szCs w:val="18"/>
              </w:rPr>
              <w:t>颁发后支付</w:t>
            </w:r>
          </w:p>
        </w:tc>
        <w:tc>
          <w:tcPr>
            <w:tcW w:w="2877" w:type="dxa"/>
            <w:vAlign w:val="center"/>
          </w:tcPr>
          <w:p>
            <w:pPr>
              <w:pStyle w:val="14"/>
              <w:spacing w:line="300" w:lineRule="exact"/>
              <w:ind w:left="110" w:leftChars="50" w:right="110" w:rightChars="50"/>
              <w:jc w:val="both"/>
              <w:rPr>
                <w:rFonts w:cs="Times New Roman"/>
                <w:sz w:val="18"/>
                <w:szCs w:val="18"/>
              </w:rPr>
            </w:pPr>
            <w:r>
              <w:rPr>
                <w:rFonts w:cs="Times New Roman"/>
                <w:sz w:val="18"/>
                <w:szCs w:val="18"/>
              </w:rPr>
              <w:t>1.按合同条款及图纸规定完</w:t>
            </w:r>
            <w:r>
              <w:rPr>
                <w:rFonts w:hint="eastAsia" w:cs="Times New Roman"/>
                <w:sz w:val="18"/>
                <w:szCs w:val="18"/>
              </w:rPr>
              <w:t>成临时道路、桥梁（临时栈桥）及与此相关的安全设施的修建、养护与拆除清理</w:t>
            </w:r>
          </w:p>
          <w:p>
            <w:pPr>
              <w:pStyle w:val="14"/>
              <w:spacing w:line="300" w:lineRule="exact"/>
              <w:ind w:left="110" w:leftChars="50" w:right="110" w:rightChars="50"/>
              <w:jc w:val="both"/>
              <w:rPr>
                <w:rFonts w:cs="Times New Roman"/>
                <w:sz w:val="18"/>
                <w:szCs w:val="18"/>
              </w:rPr>
            </w:pPr>
            <w:r>
              <w:rPr>
                <w:rFonts w:cs="Times New Roman"/>
                <w:sz w:val="18"/>
                <w:szCs w:val="18"/>
              </w:rPr>
              <w:t>2.按合同条款要求完成原道</w:t>
            </w:r>
            <w:r>
              <w:rPr>
                <w:rFonts w:hint="eastAsia" w:cs="Times New Roman"/>
                <w:sz w:val="18"/>
                <w:szCs w:val="18"/>
              </w:rPr>
              <w:t>路、桥梁涵洞的养护、恢复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104-1</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承包人驻地建设</w:t>
            </w:r>
          </w:p>
          <w:p>
            <w:pPr>
              <w:pStyle w:val="14"/>
              <w:ind w:left="110" w:leftChars="50" w:right="110" w:rightChars="50"/>
              <w:jc w:val="both"/>
              <w:rPr>
                <w:rFonts w:cs="Times New Roman"/>
                <w:sz w:val="18"/>
                <w:szCs w:val="18"/>
              </w:rPr>
            </w:pPr>
            <w:r>
              <w:rPr>
                <w:rFonts w:hint="eastAsia" w:cs="Times New Roman"/>
                <w:sz w:val="18"/>
                <w:szCs w:val="18"/>
              </w:rPr>
              <w:t>（</w:t>
            </w:r>
            <w:r>
              <w:rPr>
                <w:rFonts w:cs="Times New Roman"/>
                <w:sz w:val="18"/>
                <w:szCs w:val="18"/>
              </w:rPr>
              <w:t>含标准化工地</w:t>
            </w:r>
            <w:r>
              <w:rPr>
                <w:rFonts w:hint="eastAsia" w:cs="Times New Roman"/>
                <w:sz w:val="18"/>
                <w:szCs w:val="18"/>
              </w:rPr>
              <w:t>建设）</w:t>
            </w:r>
          </w:p>
        </w:tc>
        <w:tc>
          <w:tcPr>
            <w:tcW w:w="845" w:type="dxa"/>
            <w:vAlign w:val="center"/>
          </w:tcPr>
          <w:p>
            <w:pPr>
              <w:pStyle w:val="5"/>
              <w:jc w:val="center"/>
              <w:rPr>
                <w:sz w:val="21"/>
                <w:szCs w:val="20"/>
                <w:lang w:val="en-US"/>
              </w:rPr>
            </w:pPr>
            <w:r>
              <w:rPr>
                <w:rFonts w:hint="eastAsia"/>
                <w:sz w:val="21"/>
                <w:szCs w:val="20"/>
                <w:lang w:val="en-US"/>
              </w:rPr>
              <w:t>总额</w:t>
            </w:r>
          </w:p>
        </w:tc>
        <w:tc>
          <w:tcPr>
            <w:tcW w:w="2582" w:type="dxa"/>
            <w:vAlign w:val="center"/>
          </w:tcPr>
          <w:p>
            <w:pPr>
              <w:pStyle w:val="14"/>
              <w:ind w:left="110" w:leftChars="50" w:right="110" w:rightChars="50"/>
              <w:jc w:val="both"/>
              <w:rPr>
                <w:rFonts w:cs="Times New Roman"/>
                <w:sz w:val="18"/>
                <w:szCs w:val="18"/>
              </w:rPr>
            </w:pPr>
            <w:r>
              <w:rPr>
                <w:rFonts w:cs="Times New Roman"/>
                <w:sz w:val="18"/>
                <w:szCs w:val="18"/>
              </w:rPr>
              <w:t>1.以总额为单位计量</w:t>
            </w:r>
          </w:p>
          <w:p>
            <w:pPr>
              <w:pStyle w:val="14"/>
              <w:ind w:left="110" w:leftChars="50" w:right="110" w:rightChars="50"/>
              <w:jc w:val="both"/>
              <w:rPr>
                <w:rFonts w:cs="Times New Roman"/>
                <w:sz w:val="18"/>
                <w:szCs w:val="18"/>
              </w:rPr>
            </w:pPr>
            <w:r>
              <w:rPr>
                <w:rFonts w:cs="Times New Roman"/>
                <w:sz w:val="18"/>
                <w:szCs w:val="18"/>
              </w:rPr>
              <w:t>2.按公路工程施工标准化</w:t>
            </w:r>
          </w:p>
          <w:p>
            <w:pPr>
              <w:pStyle w:val="14"/>
              <w:ind w:left="110" w:leftChars="50" w:right="110" w:rightChars="50"/>
              <w:jc w:val="both"/>
              <w:rPr>
                <w:rFonts w:cs="Times New Roman"/>
                <w:sz w:val="18"/>
                <w:szCs w:val="18"/>
              </w:rPr>
            </w:pPr>
            <w:r>
              <w:rPr>
                <w:rFonts w:hint="eastAsia" w:cs="Times New Roman"/>
                <w:sz w:val="18"/>
                <w:szCs w:val="18"/>
              </w:rPr>
              <w:t>建设有关规定和招标文件</w:t>
            </w:r>
          </w:p>
          <w:p>
            <w:pPr>
              <w:pStyle w:val="14"/>
              <w:ind w:left="110" w:leftChars="50" w:right="110" w:rightChars="50"/>
              <w:jc w:val="both"/>
              <w:rPr>
                <w:rFonts w:cs="Times New Roman"/>
                <w:sz w:val="18"/>
                <w:szCs w:val="18"/>
              </w:rPr>
            </w:pPr>
            <w:r>
              <w:rPr>
                <w:rFonts w:hint="eastAsia" w:cs="Times New Roman"/>
                <w:sz w:val="18"/>
                <w:szCs w:val="18"/>
              </w:rPr>
              <w:t>要求建设完成，经监理人</w:t>
            </w:r>
          </w:p>
          <w:p>
            <w:pPr>
              <w:pStyle w:val="14"/>
              <w:ind w:left="110" w:leftChars="50" w:right="110" w:rightChars="50"/>
              <w:jc w:val="both"/>
              <w:rPr>
                <w:rFonts w:cs="Times New Roman"/>
                <w:sz w:val="18"/>
                <w:szCs w:val="18"/>
              </w:rPr>
            </w:pPr>
            <w:r>
              <w:rPr>
                <w:rFonts w:hint="eastAsia" w:cs="Times New Roman"/>
                <w:sz w:val="18"/>
                <w:szCs w:val="18"/>
              </w:rPr>
              <w:t>现场核实后分期计量，完</w:t>
            </w:r>
          </w:p>
          <w:p>
            <w:pPr>
              <w:pStyle w:val="14"/>
              <w:ind w:left="110" w:leftChars="50" w:right="110" w:rightChars="50"/>
              <w:jc w:val="both"/>
              <w:rPr>
                <w:rFonts w:cs="Times New Roman"/>
                <w:sz w:val="18"/>
                <w:szCs w:val="18"/>
              </w:rPr>
            </w:pPr>
            <w:r>
              <w:rPr>
                <w:rFonts w:hint="eastAsia" w:cs="Times New Roman"/>
                <w:sz w:val="18"/>
                <w:szCs w:val="18"/>
              </w:rPr>
              <w:t>工后先</w:t>
            </w:r>
            <w:r>
              <w:rPr>
                <w:rFonts w:cs="Times New Roman"/>
                <w:sz w:val="18"/>
                <w:szCs w:val="18"/>
              </w:rPr>
              <w:t xml:space="preserve"> 计量 所报 总额的75%；再按每 1/3 工期支付</w:t>
            </w:r>
            <w:r>
              <w:rPr>
                <w:rFonts w:hint="eastAsia" w:cs="Times New Roman"/>
                <w:sz w:val="18"/>
                <w:szCs w:val="18"/>
              </w:rPr>
              <w:t>所报总额的</w:t>
            </w:r>
            <w:r>
              <w:rPr>
                <w:rFonts w:cs="Times New Roman"/>
                <w:sz w:val="18"/>
                <w:szCs w:val="18"/>
              </w:rPr>
              <w:t xml:space="preserve"> 5%；最后所报</w:t>
            </w:r>
            <w:r>
              <w:rPr>
                <w:rFonts w:hint="eastAsia" w:cs="Times New Roman"/>
                <w:sz w:val="18"/>
                <w:szCs w:val="18"/>
              </w:rPr>
              <w:t>总额中余下的</w:t>
            </w:r>
            <w:r>
              <w:rPr>
                <w:rFonts w:cs="Times New Roman"/>
                <w:sz w:val="18"/>
                <w:szCs w:val="18"/>
              </w:rPr>
              <w:t xml:space="preserve"> 10%，应在</w:t>
            </w:r>
          </w:p>
          <w:p>
            <w:pPr>
              <w:pStyle w:val="14"/>
              <w:ind w:left="110" w:leftChars="50" w:right="110" w:rightChars="50"/>
              <w:jc w:val="both"/>
              <w:rPr>
                <w:rFonts w:cs="Times New Roman"/>
                <w:sz w:val="18"/>
                <w:szCs w:val="18"/>
              </w:rPr>
            </w:pPr>
            <w:r>
              <w:rPr>
                <w:rFonts w:hint="eastAsia" w:cs="Times New Roman"/>
                <w:sz w:val="18"/>
                <w:szCs w:val="18"/>
              </w:rPr>
              <w:t>承包人驻地和标准化工地</w:t>
            </w:r>
          </w:p>
          <w:p>
            <w:pPr>
              <w:pStyle w:val="14"/>
              <w:ind w:left="110" w:leftChars="50" w:right="110" w:rightChars="50"/>
              <w:jc w:val="both"/>
              <w:rPr>
                <w:rFonts w:cs="Times New Roman"/>
                <w:sz w:val="18"/>
                <w:szCs w:val="18"/>
              </w:rPr>
            </w:pPr>
            <w:r>
              <w:rPr>
                <w:rFonts w:hint="eastAsia" w:cs="Times New Roman"/>
                <w:sz w:val="18"/>
                <w:szCs w:val="18"/>
              </w:rPr>
              <w:t>建设已经移走、清除或移</w:t>
            </w:r>
          </w:p>
          <w:p>
            <w:pPr>
              <w:pStyle w:val="14"/>
              <w:ind w:left="110" w:leftChars="50" w:right="110" w:rightChars="50"/>
              <w:jc w:val="both"/>
              <w:rPr>
                <w:rFonts w:cs="Times New Roman"/>
                <w:sz w:val="18"/>
                <w:szCs w:val="18"/>
              </w:rPr>
            </w:pPr>
            <w:r>
              <w:rPr>
                <w:rFonts w:hint="eastAsia" w:cs="Times New Roman"/>
                <w:sz w:val="18"/>
                <w:szCs w:val="18"/>
              </w:rPr>
              <w:t>交，并经验收合格后予以</w:t>
            </w:r>
          </w:p>
          <w:p>
            <w:pPr>
              <w:pStyle w:val="14"/>
              <w:ind w:left="110" w:leftChars="50" w:right="110" w:rightChars="50"/>
              <w:jc w:val="both"/>
              <w:rPr>
                <w:rFonts w:cs="Times New Roman"/>
                <w:sz w:val="18"/>
                <w:szCs w:val="18"/>
              </w:rPr>
            </w:pPr>
            <w:r>
              <w:rPr>
                <w:rFonts w:hint="eastAsia" w:cs="Times New Roman"/>
                <w:sz w:val="18"/>
                <w:szCs w:val="18"/>
              </w:rPr>
              <w:t>计量</w:t>
            </w:r>
          </w:p>
        </w:tc>
        <w:tc>
          <w:tcPr>
            <w:tcW w:w="2877" w:type="dxa"/>
            <w:vAlign w:val="center"/>
          </w:tcPr>
          <w:p>
            <w:pPr>
              <w:pStyle w:val="14"/>
              <w:spacing w:line="300" w:lineRule="exact"/>
              <w:ind w:left="110" w:leftChars="50" w:right="110" w:rightChars="50"/>
              <w:jc w:val="both"/>
              <w:rPr>
                <w:rFonts w:cs="Times New Roman"/>
                <w:sz w:val="18"/>
                <w:szCs w:val="18"/>
              </w:rPr>
            </w:pPr>
            <w:r>
              <w:rPr>
                <w:rFonts w:cs="Times New Roman"/>
                <w:sz w:val="18"/>
                <w:szCs w:val="18"/>
              </w:rPr>
              <w:t>1.承包人驻地建设，包括施工</w:t>
            </w:r>
            <w:r>
              <w:rPr>
                <w:rFonts w:hint="eastAsia" w:cs="Times New Roman"/>
                <w:sz w:val="18"/>
                <w:szCs w:val="18"/>
              </w:rPr>
              <w:t>与管理所需的办公室、住房以及配套医疗卫生与消防设施等的建设、管理与维护</w:t>
            </w:r>
          </w:p>
          <w:p>
            <w:pPr>
              <w:pStyle w:val="14"/>
              <w:spacing w:line="300" w:lineRule="exact"/>
              <w:ind w:left="110" w:leftChars="50" w:right="110" w:rightChars="50"/>
              <w:jc w:val="both"/>
              <w:rPr>
                <w:rFonts w:cs="Times New Roman"/>
                <w:sz w:val="18"/>
                <w:szCs w:val="18"/>
              </w:rPr>
            </w:pPr>
            <w:r>
              <w:rPr>
                <w:rFonts w:cs="Times New Roman"/>
                <w:sz w:val="18"/>
                <w:szCs w:val="18"/>
              </w:rPr>
              <w:t>2.工地试验室的建设、管理与</w:t>
            </w:r>
            <w:r>
              <w:rPr>
                <w:rFonts w:hint="eastAsia" w:cs="Times New Roman"/>
                <w:sz w:val="18"/>
                <w:szCs w:val="18"/>
              </w:rPr>
              <w:t>维护</w:t>
            </w:r>
          </w:p>
          <w:p>
            <w:pPr>
              <w:pStyle w:val="14"/>
              <w:spacing w:line="300" w:lineRule="exact"/>
              <w:ind w:left="110" w:leftChars="50" w:right="110" w:rightChars="50"/>
              <w:jc w:val="both"/>
              <w:rPr>
                <w:rFonts w:cs="Times New Roman"/>
                <w:sz w:val="18"/>
                <w:szCs w:val="18"/>
              </w:rPr>
            </w:pPr>
            <w:r>
              <w:rPr>
                <w:rFonts w:cs="Times New Roman"/>
                <w:sz w:val="18"/>
                <w:szCs w:val="18"/>
              </w:rPr>
              <w:t>3.水泥混凝土拌和站、路面基</w:t>
            </w:r>
            <w:r>
              <w:rPr>
                <w:rFonts w:hint="eastAsia" w:cs="Times New Roman"/>
                <w:sz w:val="18"/>
                <w:szCs w:val="18"/>
              </w:rPr>
              <w:t>层混合料拌和站、沥青混合料</w:t>
            </w:r>
          </w:p>
          <w:p>
            <w:pPr>
              <w:pStyle w:val="14"/>
              <w:spacing w:line="300" w:lineRule="exact"/>
              <w:ind w:left="110" w:leftChars="50" w:right="110" w:rightChars="50"/>
              <w:jc w:val="both"/>
              <w:rPr>
                <w:rFonts w:cs="Times New Roman"/>
                <w:sz w:val="18"/>
                <w:szCs w:val="18"/>
              </w:rPr>
            </w:pPr>
            <w:r>
              <w:rPr>
                <w:rFonts w:hint="eastAsia" w:cs="Times New Roman"/>
                <w:sz w:val="18"/>
                <w:szCs w:val="18"/>
              </w:rPr>
              <w:t>拌和站、灰土拌和厂的建设、管理、维护和场地道路的硬化等</w:t>
            </w:r>
          </w:p>
          <w:p>
            <w:pPr>
              <w:pStyle w:val="14"/>
              <w:spacing w:line="300" w:lineRule="exact"/>
              <w:ind w:left="110" w:leftChars="50" w:right="110" w:rightChars="50"/>
              <w:jc w:val="both"/>
              <w:rPr>
                <w:rFonts w:cs="Times New Roman"/>
                <w:sz w:val="18"/>
                <w:szCs w:val="18"/>
              </w:rPr>
            </w:pPr>
            <w:r>
              <w:rPr>
                <w:rFonts w:cs="Times New Roman"/>
                <w:sz w:val="18"/>
                <w:szCs w:val="18"/>
              </w:rPr>
              <w:t>4.标准化钢筋加工场的建设、</w:t>
            </w:r>
            <w:r>
              <w:rPr>
                <w:rFonts w:hint="eastAsia" w:cs="Times New Roman"/>
                <w:sz w:val="18"/>
                <w:szCs w:val="18"/>
              </w:rPr>
              <w:t>管理与维护</w:t>
            </w:r>
          </w:p>
          <w:p>
            <w:pPr>
              <w:pStyle w:val="14"/>
              <w:spacing w:line="300" w:lineRule="exact"/>
              <w:ind w:left="110" w:leftChars="50" w:right="110" w:rightChars="50"/>
              <w:jc w:val="both"/>
              <w:rPr>
                <w:rFonts w:cs="Times New Roman"/>
                <w:sz w:val="18"/>
                <w:szCs w:val="18"/>
              </w:rPr>
            </w:pPr>
            <w:r>
              <w:rPr>
                <w:rFonts w:cs="Times New Roman"/>
                <w:sz w:val="18"/>
                <w:szCs w:val="18"/>
              </w:rPr>
              <w:t>5.预制梁（板）场、小型构件</w:t>
            </w:r>
            <w:r>
              <w:rPr>
                <w:rFonts w:hint="eastAsia" w:cs="Times New Roman"/>
                <w:sz w:val="18"/>
                <w:szCs w:val="18"/>
              </w:rPr>
              <w:t>的建设、管理与维护，包括场地硬化、预制台座、存梁台座、场地道路、场地地基处理等</w:t>
            </w:r>
          </w:p>
          <w:p>
            <w:pPr>
              <w:pStyle w:val="14"/>
              <w:spacing w:line="300" w:lineRule="exact"/>
              <w:ind w:left="110" w:leftChars="50" w:right="110" w:rightChars="50"/>
              <w:jc w:val="both"/>
              <w:rPr>
                <w:rFonts w:cs="Times New Roman"/>
                <w:sz w:val="18"/>
                <w:szCs w:val="18"/>
              </w:rPr>
            </w:pPr>
            <w:r>
              <w:rPr>
                <w:rFonts w:cs="Times New Roman"/>
                <w:sz w:val="18"/>
                <w:szCs w:val="18"/>
              </w:rPr>
              <w:t>6.钢材、水泥、砂石料等堆放</w:t>
            </w:r>
            <w:r>
              <w:rPr>
                <w:rFonts w:hint="eastAsia" w:cs="Times New Roman"/>
                <w:sz w:val="18"/>
                <w:szCs w:val="18"/>
              </w:rPr>
              <w:t>场地以及其他标准化场地，包括标准化材料仓储等其他标准化场地的建设、管理与维护</w:t>
            </w:r>
          </w:p>
          <w:p>
            <w:pPr>
              <w:pStyle w:val="14"/>
              <w:spacing w:line="300" w:lineRule="exact"/>
              <w:ind w:left="110" w:leftChars="50" w:right="110" w:rightChars="50"/>
              <w:jc w:val="both"/>
              <w:rPr>
                <w:rFonts w:cs="Times New Roman"/>
                <w:sz w:val="18"/>
                <w:szCs w:val="18"/>
              </w:rPr>
            </w:pPr>
            <w:r>
              <w:rPr>
                <w:rFonts w:cs="Times New Roman"/>
                <w:sz w:val="18"/>
                <w:szCs w:val="18"/>
              </w:rPr>
              <w:t>7.承包人驻地及标准化工地</w:t>
            </w:r>
            <w:r>
              <w:rPr>
                <w:rFonts w:hint="eastAsia" w:cs="Times New Roman"/>
                <w:sz w:val="18"/>
                <w:szCs w:val="18"/>
              </w:rPr>
              <w:t>的防护、围墙等</w:t>
            </w:r>
          </w:p>
          <w:p>
            <w:pPr>
              <w:pStyle w:val="14"/>
              <w:spacing w:line="300" w:lineRule="exact"/>
              <w:ind w:left="110" w:leftChars="50" w:right="110" w:rightChars="50"/>
              <w:jc w:val="both"/>
              <w:rPr>
                <w:rFonts w:cs="Times New Roman"/>
                <w:sz w:val="18"/>
                <w:szCs w:val="18"/>
              </w:rPr>
            </w:pPr>
            <w:r>
              <w:rPr>
                <w:rFonts w:cs="Times New Roman"/>
                <w:sz w:val="18"/>
                <w:szCs w:val="18"/>
              </w:rPr>
              <w:t>8.工程交工时，按照合同或协</w:t>
            </w:r>
            <w:r>
              <w:rPr>
                <w:rFonts w:hint="eastAsia" w:cs="Times New Roman"/>
                <w:sz w:val="18"/>
                <w:szCs w:val="18"/>
              </w:rPr>
              <w:t>议要求将驻地拆除、清理、恢复原貌或移交</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 w:hRule="atLeast"/>
        </w:trPr>
        <w:tc>
          <w:tcPr>
            <w:tcW w:w="1549" w:type="dxa"/>
            <w:vAlign w:val="center"/>
          </w:tcPr>
          <w:p>
            <w:pPr>
              <w:pStyle w:val="14"/>
              <w:ind w:left="110" w:leftChars="50" w:right="110" w:rightChars="50"/>
              <w:jc w:val="center"/>
              <w:rPr>
                <w:rFonts w:cs="Times New Roman"/>
                <w:sz w:val="18"/>
                <w:szCs w:val="18"/>
              </w:rPr>
            </w:pPr>
            <w:r>
              <w:rPr>
                <w:rFonts w:cs="Times New Roman"/>
                <w:sz w:val="18"/>
                <w:szCs w:val="18"/>
              </w:rPr>
              <w:t>203-1-2-2</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机械</w:t>
            </w:r>
            <w:r>
              <w:rPr>
                <w:rFonts w:cs="Times New Roman"/>
                <w:sz w:val="18"/>
                <w:szCs w:val="18"/>
              </w:rPr>
              <w:t>开挖石方</w:t>
            </w:r>
          </w:p>
        </w:tc>
        <w:tc>
          <w:tcPr>
            <w:tcW w:w="845" w:type="dxa"/>
            <w:vAlign w:val="center"/>
          </w:tcPr>
          <w:p>
            <w:pPr>
              <w:pStyle w:val="14"/>
              <w:ind w:left="110" w:leftChars="50" w:right="110" w:rightChars="50"/>
              <w:jc w:val="center"/>
              <w:rPr>
                <w:rFonts w:cs="Times New Roman"/>
                <w:position w:val="-9"/>
                <w:sz w:val="18"/>
                <w:szCs w:val="18"/>
              </w:rPr>
            </w:pPr>
            <w:r>
              <w:rPr>
                <w:rFonts w:cs="Times New Roman"/>
                <w:position w:val="-9"/>
                <w:sz w:val="18"/>
                <w:szCs w:val="18"/>
              </w:rPr>
              <w:t>m³</w:t>
            </w:r>
          </w:p>
        </w:tc>
        <w:tc>
          <w:tcPr>
            <w:tcW w:w="2582" w:type="dxa"/>
            <w:vAlign w:val="center"/>
          </w:tcPr>
          <w:p>
            <w:pPr>
              <w:pStyle w:val="14"/>
              <w:ind w:left="110" w:leftChars="50" w:right="110" w:rightChars="50"/>
              <w:jc w:val="both"/>
              <w:rPr>
                <w:rFonts w:cs="Times New Roman"/>
                <w:sz w:val="18"/>
                <w:szCs w:val="18"/>
              </w:rPr>
            </w:pPr>
            <w:r>
              <w:rPr>
                <w:rFonts w:cs="Times New Roman"/>
                <w:sz w:val="18"/>
                <w:szCs w:val="18"/>
              </w:rPr>
              <w:t>1.</w:t>
            </w:r>
            <w:r>
              <w:rPr>
                <w:rFonts w:hint="eastAsia" w:cs="Times New Roman"/>
                <w:sz w:val="18"/>
                <w:szCs w:val="18"/>
              </w:rPr>
              <w:t>开挖数量包括</w:t>
            </w:r>
            <w:r>
              <w:rPr>
                <w:rFonts w:cs="Times New Roman"/>
                <w:sz w:val="18"/>
                <w:szCs w:val="18"/>
              </w:rPr>
              <w:t>边沟、排水沟、截水沟，</w:t>
            </w:r>
            <w:r>
              <w:rPr>
                <w:rFonts w:hint="eastAsia" w:cs="Times New Roman"/>
                <w:sz w:val="18"/>
                <w:szCs w:val="18"/>
              </w:rPr>
              <w:t>应以经监理人校核批准的横断面地面线和土石分界的补充测量为基础，依据路基设计横断面图，采用平均断面面积法计算，按照天然密实体积以立方米为单位计量</w:t>
            </w:r>
          </w:p>
          <w:p>
            <w:pPr>
              <w:pStyle w:val="14"/>
              <w:ind w:left="110" w:leftChars="50" w:right="110" w:rightChars="50"/>
              <w:jc w:val="both"/>
              <w:rPr>
                <w:rFonts w:cs="Times New Roman"/>
                <w:sz w:val="18"/>
                <w:szCs w:val="18"/>
              </w:rPr>
            </w:pPr>
            <w:r>
              <w:rPr>
                <w:rFonts w:hint="eastAsia" w:cs="Times New Roman"/>
                <w:sz w:val="18"/>
                <w:szCs w:val="18"/>
              </w:rPr>
              <w:t>2</w:t>
            </w:r>
            <w:r>
              <w:rPr>
                <w:rFonts w:cs="Times New Roman"/>
                <w:sz w:val="18"/>
                <w:szCs w:val="18"/>
              </w:rPr>
              <w:t>.弃土场的绿化、防护工程、排水设施在相应章节内计量</w:t>
            </w:r>
          </w:p>
          <w:p>
            <w:pPr>
              <w:pStyle w:val="14"/>
              <w:ind w:left="110" w:leftChars="50" w:right="110" w:rightChars="50"/>
              <w:jc w:val="both"/>
              <w:rPr>
                <w:rFonts w:cs="Times New Roman"/>
                <w:sz w:val="18"/>
                <w:szCs w:val="18"/>
              </w:rPr>
            </w:pPr>
            <w:r>
              <w:rPr>
                <w:rFonts w:hint="eastAsia" w:cs="Times New Roman"/>
                <w:sz w:val="18"/>
                <w:szCs w:val="18"/>
              </w:rPr>
              <w:t>3．机械开挖石方包括静态爆破石方</w:t>
            </w:r>
          </w:p>
        </w:tc>
        <w:tc>
          <w:tcPr>
            <w:tcW w:w="2877" w:type="dxa"/>
            <w:vAlign w:val="center"/>
          </w:tcPr>
          <w:p>
            <w:pPr>
              <w:pStyle w:val="14"/>
              <w:ind w:left="110" w:leftChars="50" w:right="110" w:rightChars="50"/>
              <w:jc w:val="both"/>
              <w:rPr>
                <w:rFonts w:cs="Times New Roman"/>
                <w:sz w:val="18"/>
                <w:szCs w:val="18"/>
              </w:rPr>
            </w:pPr>
            <w:r>
              <w:rPr>
                <w:rFonts w:cs="Times New Roman"/>
                <w:sz w:val="18"/>
                <w:szCs w:val="18"/>
              </w:rPr>
              <w:t>1.机械开挖</w:t>
            </w:r>
            <w:r>
              <w:rPr>
                <w:rFonts w:hint="eastAsia" w:cs="Times New Roman"/>
                <w:sz w:val="18"/>
                <w:szCs w:val="18"/>
              </w:rPr>
              <w:t>、静态开挖</w:t>
            </w:r>
          </w:p>
          <w:p>
            <w:pPr>
              <w:pStyle w:val="14"/>
              <w:ind w:left="110" w:leftChars="50" w:right="110" w:rightChars="50"/>
              <w:jc w:val="both"/>
              <w:rPr>
                <w:rFonts w:cs="Times New Roman"/>
                <w:sz w:val="18"/>
                <w:szCs w:val="18"/>
              </w:rPr>
            </w:pPr>
            <w:r>
              <w:rPr>
                <w:rFonts w:cs="Times New Roman"/>
                <w:sz w:val="18"/>
                <w:szCs w:val="18"/>
              </w:rPr>
              <w:t>2.挖、装、运输、卸车；</w:t>
            </w:r>
          </w:p>
          <w:p>
            <w:pPr>
              <w:pStyle w:val="14"/>
              <w:ind w:left="110" w:leftChars="50" w:right="110" w:rightChars="50"/>
              <w:jc w:val="both"/>
              <w:rPr>
                <w:rFonts w:cs="Times New Roman"/>
                <w:sz w:val="18"/>
                <w:szCs w:val="18"/>
              </w:rPr>
            </w:pPr>
            <w:r>
              <w:rPr>
                <w:rFonts w:cs="Times New Roman"/>
                <w:sz w:val="18"/>
                <w:szCs w:val="18"/>
              </w:rPr>
              <w:t>3.填料分理、弃土整型、压实</w:t>
            </w:r>
          </w:p>
          <w:p>
            <w:pPr>
              <w:pStyle w:val="14"/>
              <w:ind w:left="110" w:leftChars="50" w:right="110" w:rightChars="50"/>
              <w:jc w:val="both"/>
              <w:rPr>
                <w:rFonts w:cs="Times New Roman"/>
                <w:sz w:val="18"/>
                <w:szCs w:val="18"/>
              </w:rPr>
            </w:pPr>
            <w:r>
              <w:rPr>
                <w:rFonts w:cs="Times New Roman"/>
                <w:sz w:val="18"/>
                <w:szCs w:val="18"/>
              </w:rPr>
              <w:t>4.施工排水处理；</w:t>
            </w:r>
          </w:p>
          <w:p>
            <w:pPr>
              <w:pStyle w:val="14"/>
              <w:ind w:left="110" w:leftChars="50" w:right="110" w:rightChars="50"/>
              <w:jc w:val="both"/>
              <w:rPr>
                <w:rFonts w:cs="Times New Roman"/>
                <w:sz w:val="18"/>
                <w:szCs w:val="18"/>
              </w:rPr>
            </w:pPr>
            <w:r>
              <w:rPr>
                <w:rFonts w:cs="Times New Roman"/>
                <w:sz w:val="18"/>
                <w:szCs w:val="18"/>
              </w:rPr>
              <w:t>5.边坡整修、路床顶面凿平或填平压实、路床清理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 w:hRule="atLeast"/>
        </w:trPr>
        <w:tc>
          <w:tcPr>
            <w:tcW w:w="1549" w:type="dxa"/>
            <w:vAlign w:val="center"/>
          </w:tcPr>
          <w:p>
            <w:pPr>
              <w:pStyle w:val="14"/>
              <w:ind w:left="110" w:leftChars="50" w:right="110" w:rightChars="50"/>
              <w:jc w:val="center"/>
              <w:rPr>
                <w:rFonts w:cs="Times New Roman"/>
                <w:sz w:val="18"/>
                <w:szCs w:val="18"/>
              </w:rPr>
            </w:pPr>
            <w:r>
              <w:rPr>
                <w:rFonts w:cs="Times New Roman"/>
                <w:sz w:val="18"/>
                <w:szCs w:val="18"/>
              </w:rPr>
              <w:t>203-2-</w:t>
            </w:r>
            <w:r>
              <w:rPr>
                <w:rFonts w:hint="eastAsia" w:cs="Times New Roman"/>
                <w:sz w:val="18"/>
                <w:szCs w:val="18"/>
              </w:rPr>
              <w:t>7</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挖土石方</w:t>
            </w:r>
            <w:r>
              <w:rPr>
                <w:rFonts w:cs="Times New Roman"/>
                <w:sz w:val="18"/>
                <w:szCs w:val="18"/>
              </w:rPr>
              <w:t>(不含机械开挖石方)</w:t>
            </w:r>
          </w:p>
        </w:tc>
        <w:tc>
          <w:tcPr>
            <w:tcW w:w="845" w:type="dxa"/>
            <w:vAlign w:val="center"/>
          </w:tcPr>
          <w:p>
            <w:pPr>
              <w:pStyle w:val="14"/>
              <w:ind w:left="110" w:leftChars="50" w:right="110" w:rightChars="50"/>
              <w:jc w:val="center"/>
              <w:rPr>
                <w:rFonts w:cs="Times New Roman"/>
                <w:position w:val="-9"/>
                <w:sz w:val="18"/>
                <w:szCs w:val="18"/>
              </w:rPr>
            </w:pPr>
            <w:r>
              <w:rPr>
                <w:rFonts w:cs="Times New Roman"/>
                <w:position w:val="-9"/>
                <w:sz w:val="18"/>
                <w:szCs w:val="18"/>
              </w:rPr>
              <w:t>m³</w:t>
            </w:r>
          </w:p>
        </w:tc>
        <w:tc>
          <w:tcPr>
            <w:tcW w:w="2582" w:type="dxa"/>
            <w:vAlign w:val="center"/>
          </w:tcPr>
          <w:p>
            <w:pPr>
              <w:pStyle w:val="14"/>
              <w:ind w:left="110" w:leftChars="50" w:right="110" w:rightChars="50"/>
              <w:jc w:val="both"/>
              <w:rPr>
                <w:rFonts w:cs="Times New Roman"/>
                <w:sz w:val="18"/>
                <w:szCs w:val="18"/>
              </w:rPr>
            </w:pPr>
            <w:r>
              <w:rPr>
                <w:rFonts w:cs="Times New Roman"/>
                <w:sz w:val="18"/>
                <w:szCs w:val="18"/>
              </w:rPr>
              <w:t>1.</w:t>
            </w:r>
            <w:r>
              <w:rPr>
                <w:rFonts w:hint="eastAsia" w:cs="Times New Roman"/>
                <w:sz w:val="18"/>
                <w:szCs w:val="18"/>
              </w:rPr>
              <w:t>开挖数量包括</w:t>
            </w:r>
            <w:r>
              <w:rPr>
                <w:rFonts w:cs="Times New Roman"/>
                <w:sz w:val="18"/>
                <w:szCs w:val="18"/>
              </w:rPr>
              <w:t>边沟、排水沟、截水沟，</w:t>
            </w:r>
            <w:r>
              <w:rPr>
                <w:rFonts w:hint="eastAsia" w:cs="Times New Roman"/>
                <w:sz w:val="18"/>
                <w:szCs w:val="18"/>
              </w:rPr>
              <w:t>应以经监理人校核批准的横断面地面线和土石分界的补充测量为基础，依据路基设计横断面图，采用平均断面面积法计算，按照天然密实体积以立方米为单位计量</w:t>
            </w:r>
          </w:p>
          <w:p>
            <w:pPr>
              <w:pStyle w:val="14"/>
              <w:ind w:left="110" w:leftChars="50" w:right="110" w:rightChars="50"/>
              <w:jc w:val="both"/>
              <w:rPr>
                <w:rFonts w:cs="Times New Roman"/>
                <w:sz w:val="18"/>
                <w:szCs w:val="18"/>
              </w:rPr>
            </w:pPr>
            <w:r>
              <w:rPr>
                <w:rFonts w:cs="Times New Roman"/>
                <w:sz w:val="18"/>
                <w:szCs w:val="18"/>
              </w:rPr>
              <w:t>2.路床顶面以下挖松深300mm 再压实作为挖土方的附属工作，不另行计量</w:t>
            </w:r>
          </w:p>
          <w:p>
            <w:pPr>
              <w:pStyle w:val="14"/>
              <w:ind w:left="110" w:leftChars="50" w:right="110" w:rightChars="50"/>
              <w:jc w:val="both"/>
              <w:rPr>
                <w:rFonts w:cs="Times New Roman"/>
                <w:sz w:val="18"/>
                <w:szCs w:val="18"/>
              </w:rPr>
            </w:pPr>
            <w:r>
              <w:rPr>
                <w:rFonts w:cs="Times New Roman"/>
                <w:sz w:val="18"/>
                <w:szCs w:val="18"/>
              </w:rPr>
              <w:t>3.弃土场的绿化、防护工程、排水设施在相应章节内计量</w:t>
            </w:r>
          </w:p>
        </w:tc>
        <w:tc>
          <w:tcPr>
            <w:tcW w:w="2877" w:type="dxa"/>
            <w:vAlign w:val="center"/>
          </w:tcPr>
          <w:p>
            <w:pPr>
              <w:pStyle w:val="14"/>
              <w:ind w:left="110" w:leftChars="50" w:right="110" w:rightChars="50"/>
              <w:jc w:val="both"/>
              <w:rPr>
                <w:rFonts w:cs="Times New Roman"/>
                <w:sz w:val="18"/>
                <w:szCs w:val="18"/>
              </w:rPr>
            </w:pPr>
            <w:r>
              <w:rPr>
                <w:rFonts w:cs="Times New Roman"/>
                <w:sz w:val="18"/>
                <w:szCs w:val="18"/>
              </w:rPr>
              <w:t>1. 石方爆破、</w:t>
            </w:r>
          </w:p>
          <w:p>
            <w:pPr>
              <w:pStyle w:val="14"/>
              <w:ind w:left="110" w:leftChars="50" w:right="110" w:rightChars="50"/>
              <w:jc w:val="both"/>
              <w:rPr>
                <w:rFonts w:cs="Times New Roman"/>
                <w:sz w:val="18"/>
                <w:szCs w:val="18"/>
              </w:rPr>
            </w:pPr>
            <w:r>
              <w:rPr>
                <w:rFonts w:cs="Times New Roman"/>
                <w:sz w:val="18"/>
                <w:szCs w:val="18"/>
              </w:rPr>
              <w:t>2.挖、装、运输、卸车</w:t>
            </w:r>
          </w:p>
          <w:p>
            <w:pPr>
              <w:pStyle w:val="14"/>
              <w:ind w:left="110" w:leftChars="50" w:right="110" w:rightChars="50"/>
              <w:jc w:val="both"/>
              <w:rPr>
                <w:rFonts w:cs="Times New Roman"/>
                <w:sz w:val="18"/>
                <w:szCs w:val="18"/>
              </w:rPr>
            </w:pPr>
            <w:r>
              <w:rPr>
                <w:rFonts w:cs="Times New Roman"/>
                <w:sz w:val="18"/>
                <w:szCs w:val="18"/>
              </w:rPr>
              <w:t>3.填料分理、弃土整型、压实</w:t>
            </w:r>
          </w:p>
          <w:p>
            <w:pPr>
              <w:pStyle w:val="14"/>
              <w:ind w:left="110" w:leftChars="50" w:right="110" w:rightChars="50"/>
              <w:jc w:val="both"/>
              <w:rPr>
                <w:rFonts w:cs="Times New Roman"/>
                <w:sz w:val="18"/>
                <w:szCs w:val="18"/>
              </w:rPr>
            </w:pPr>
            <w:r>
              <w:rPr>
                <w:rFonts w:cs="Times New Roman"/>
                <w:sz w:val="18"/>
                <w:szCs w:val="18"/>
              </w:rPr>
              <w:t>4.施工排水处理</w:t>
            </w:r>
          </w:p>
          <w:p>
            <w:pPr>
              <w:pStyle w:val="14"/>
              <w:ind w:left="110" w:leftChars="50" w:right="110" w:rightChars="50"/>
              <w:jc w:val="both"/>
              <w:rPr>
                <w:rFonts w:cs="Times New Roman"/>
                <w:sz w:val="18"/>
                <w:szCs w:val="18"/>
              </w:rPr>
            </w:pPr>
            <w:r>
              <w:rPr>
                <w:rFonts w:cs="Times New Roman"/>
                <w:sz w:val="18"/>
                <w:szCs w:val="18"/>
              </w:rPr>
              <w:t>5.边坡整修、路床顶面以下挖松深 300mm 再压实、或路床顶面凿平或填平压实、路床清理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204-1-9-2</w:t>
            </w:r>
          </w:p>
        </w:tc>
        <w:tc>
          <w:tcPr>
            <w:tcW w:w="2503" w:type="dxa"/>
            <w:vAlign w:val="center"/>
          </w:tcPr>
          <w:p>
            <w:pPr>
              <w:pStyle w:val="14"/>
              <w:ind w:left="110" w:leftChars="50" w:right="110" w:rightChars="50"/>
              <w:jc w:val="both"/>
              <w:rPr>
                <w:rFonts w:cs="Times New Roman"/>
                <w:sz w:val="18"/>
                <w:szCs w:val="18"/>
              </w:rPr>
            </w:pPr>
            <w:r>
              <w:rPr>
                <w:rFonts w:cs="Times New Roman"/>
                <w:sz w:val="18"/>
                <w:szCs w:val="18"/>
              </w:rPr>
              <w:t>C20混凝土垫层</w:t>
            </w:r>
          </w:p>
        </w:tc>
        <w:tc>
          <w:tcPr>
            <w:tcW w:w="845" w:type="dxa"/>
            <w:vAlign w:val="center"/>
          </w:tcPr>
          <w:p>
            <w:pPr>
              <w:pStyle w:val="5"/>
              <w:jc w:val="center"/>
              <w:rPr>
                <w:sz w:val="21"/>
                <w:szCs w:val="20"/>
              </w:rPr>
            </w:pPr>
            <w:r>
              <w:rPr>
                <w:rFonts w:hint="eastAsia"/>
                <w:sz w:val="21"/>
                <w:szCs w:val="20"/>
                <w:lang w:val="en-US"/>
              </w:rPr>
              <w:t>m³</w:t>
            </w:r>
          </w:p>
        </w:tc>
        <w:tc>
          <w:tcPr>
            <w:tcW w:w="2582" w:type="dxa"/>
            <w:vAlign w:val="center"/>
          </w:tcPr>
          <w:p>
            <w:pPr>
              <w:pStyle w:val="14"/>
              <w:ind w:left="110" w:leftChars="50" w:right="110" w:rightChars="50"/>
              <w:jc w:val="both"/>
              <w:rPr>
                <w:rFonts w:cs="Times New Roman"/>
                <w:sz w:val="18"/>
                <w:szCs w:val="18"/>
              </w:rPr>
            </w:pPr>
            <w:r>
              <w:rPr>
                <w:rFonts w:hint="eastAsia" w:cs="Times New Roman"/>
                <w:sz w:val="18"/>
                <w:szCs w:val="18"/>
              </w:rPr>
              <w:t>桥头搭板混凝土垫层据图纸所示位置及断面尺寸，按照不同强度等级混凝土铺筑体积以立方米</w:t>
            </w:r>
          </w:p>
          <w:p>
            <w:pPr>
              <w:pStyle w:val="14"/>
              <w:ind w:left="110" w:leftChars="50" w:right="110" w:rightChars="50"/>
              <w:jc w:val="both"/>
              <w:rPr>
                <w:rFonts w:cs="Times New Roman"/>
                <w:sz w:val="18"/>
                <w:szCs w:val="18"/>
              </w:rPr>
            </w:pPr>
            <w:r>
              <w:rPr>
                <w:rFonts w:hint="eastAsia" w:cs="Times New Roman"/>
                <w:sz w:val="18"/>
                <w:szCs w:val="18"/>
              </w:rPr>
              <w:t>为单位计量</w:t>
            </w:r>
          </w:p>
        </w:tc>
        <w:tc>
          <w:tcPr>
            <w:tcW w:w="2877" w:type="dxa"/>
            <w:vAlign w:val="center"/>
          </w:tcPr>
          <w:p>
            <w:pPr>
              <w:pStyle w:val="14"/>
              <w:spacing w:line="300" w:lineRule="exact"/>
              <w:ind w:left="110" w:leftChars="50" w:right="110" w:rightChars="50"/>
              <w:jc w:val="both"/>
              <w:rPr>
                <w:rFonts w:cs="Times New Roman"/>
                <w:sz w:val="18"/>
                <w:szCs w:val="18"/>
              </w:rPr>
            </w:pPr>
            <w:r>
              <w:rPr>
                <w:rFonts w:hint="eastAsia" w:cs="Times New Roman"/>
                <w:sz w:val="18"/>
                <w:szCs w:val="18"/>
              </w:rPr>
              <w:t>1</w:t>
            </w:r>
            <w:r>
              <w:rPr>
                <w:rFonts w:cs="Times New Roman"/>
                <w:sz w:val="18"/>
                <w:szCs w:val="18"/>
              </w:rPr>
              <w:t>.模板制作、安装、拆除</w:t>
            </w:r>
          </w:p>
          <w:p>
            <w:pPr>
              <w:pStyle w:val="14"/>
              <w:spacing w:line="300" w:lineRule="exact"/>
              <w:ind w:left="110" w:leftChars="50" w:right="110" w:rightChars="50"/>
              <w:jc w:val="both"/>
              <w:rPr>
                <w:rFonts w:cs="Times New Roman"/>
                <w:sz w:val="18"/>
                <w:szCs w:val="18"/>
              </w:rPr>
            </w:pPr>
            <w:r>
              <w:rPr>
                <w:rFonts w:hint="eastAsia" w:cs="Times New Roman"/>
                <w:sz w:val="18"/>
                <w:szCs w:val="18"/>
              </w:rPr>
              <w:t>2</w:t>
            </w:r>
            <w:r>
              <w:rPr>
                <w:rFonts w:cs="Times New Roman"/>
                <w:sz w:val="18"/>
                <w:szCs w:val="18"/>
              </w:rPr>
              <w:t>.混凝土拌和、运输、浇</w:t>
            </w:r>
          </w:p>
          <w:p>
            <w:pPr>
              <w:pStyle w:val="14"/>
              <w:spacing w:line="300" w:lineRule="exact"/>
              <w:ind w:left="110" w:leftChars="50" w:right="110" w:rightChars="50"/>
              <w:jc w:val="both"/>
              <w:rPr>
                <w:rFonts w:cs="Times New Roman"/>
                <w:sz w:val="18"/>
                <w:szCs w:val="18"/>
              </w:rPr>
            </w:pPr>
            <w:r>
              <w:rPr>
                <w:rFonts w:hint="eastAsia" w:cs="Times New Roman"/>
                <w:sz w:val="18"/>
                <w:szCs w:val="18"/>
              </w:rPr>
              <w:t>筑、养护</w:t>
            </w:r>
          </w:p>
          <w:p>
            <w:pPr>
              <w:pStyle w:val="14"/>
              <w:spacing w:line="300" w:lineRule="exact"/>
              <w:ind w:left="110" w:leftChars="50" w:right="110" w:rightChars="50"/>
              <w:jc w:val="both"/>
              <w:rPr>
                <w:rFonts w:cs="Times New Roman"/>
                <w:sz w:val="18"/>
                <w:szCs w:val="18"/>
              </w:rPr>
            </w:pPr>
            <w:r>
              <w:rPr>
                <w:rFonts w:hint="eastAsia" w:cs="Times New Roman"/>
                <w:sz w:val="18"/>
                <w:szCs w:val="18"/>
              </w:rPr>
              <w:t>3</w:t>
            </w:r>
            <w:r>
              <w:rPr>
                <w:rFonts w:cs="Times New Roman"/>
                <w:sz w:val="18"/>
                <w:szCs w:val="18"/>
              </w:rPr>
              <w:t>.清理现场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207-5</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渗（盲）沟</w:t>
            </w:r>
          </w:p>
        </w:tc>
        <w:tc>
          <w:tcPr>
            <w:tcW w:w="845" w:type="dxa"/>
            <w:vAlign w:val="center"/>
          </w:tcPr>
          <w:p>
            <w:pPr>
              <w:pStyle w:val="5"/>
              <w:jc w:val="center"/>
              <w:rPr>
                <w:sz w:val="21"/>
                <w:szCs w:val="20"/>
              </w:rPr>
            </w:pPr>
          </w:p>
        </w:tc>
        <w:tc>
          <w:tcPr>
            <w:tcW w:w="2582" w:type="dxa"/>
            <w:vAlign w:val="center"/>
          </w:tcPr>
          <w:p>
            <w:pPr>
              <w:pStyle w:val="5"/>
              <w:jc w:val="both"/>
              <w:rPr>
                <w:rFonts w:cs="Times New Roman"/>
              </w:rPr>
            </w:pPr>
            <w:r>
              <w:rPr>
                <w:rFonts w:hint="eastAsia" w:cs="Times New Roman"/>
              </w:rPr>
              <w:t>依据图纸所示位置及断面尺寸，分不同类型及规格的渗（盲）沟，按长度以米为单位计量</w:t>
            </w:r>
          </w:p>
        </w:tc>
        <w:tc>
          <w:tcPr>
            <w:tcW w:w="2877" w:type="dxa"/>
            <w:vAlign w:val="center"/>
          </w:tcPr>
          <w:p>
            <w:pPr>
              <w:pStyle w:val="14"/>
              <w:spacing w:line="300" w:lineRule="exact"/>
              <w:ind w:left="110" w:leftChars="50" w:right="110" w:rightChars="50"/>
              <w:jc w:val="both"/>
              <w:rPr>
                <w:rFonts w:cs="Times New Roman"/>
                <w:sz w:val="18"/>
                <w:szCs w:val="18"/>
              </w:rPr>
            </w:pPr>
            <w:r>
              <w:rPr>
                <w:rFonts w:hint="eastAsia" w:cs="Times New Roman"/>
                <w:sz w:val="18"/>
                <w:szCs w:val="18"/>
              </w:rPr>
              <w:t>1.基础开挖</w:t>
            </w:r>
          </w:p>
          <w:p>
            <w:pPr>
              <w:pStyle w:val="14"/>
              <w:spacing w:line="300" w:lineRule="exact"/>
              <w:ind w:left="110" w:leftChars="50" w:right="110" w:rightChars="50"/>
              <w:jc w:val="both"/>
              <w:rPr>
                <w:rFonts w:cs="Times New Roman"/>
                <w:sz w:val="18"/>
                <w:szCs w:val="18"/>
              </w:rPr>
            </w:pPr>
            <w:r>
              <w:rPr>
                <w:rFonts w:hint="eastAsia" w:cs="Times New Roman"/>
                <w:sz w:val="18"/>
                <w:szCs w:val="18"/>
              </w:rPr>
              <w:t>2.进出水口处理</w:t>
            </w:r>
          </w:p>
          <w:p>
            <w:pPr>
              <w:pStyle w:val="14"/>
              <w:spacing w:line="300" w:lineRule="exact"/>
              <w:ind w:left="110" w:leftChars="50" w:right="110" w:rightChars="50"/>
              <w:jc w:val="both"/>
              <w:rPr>
                <w:rFonts w:cs="Times New Roman"/>
                <w:sz w:val="18"/>
                <w:szCs w:val="18"/>
              </w:rPr>
            </w:pPr>
            <w:r>
              <w:rPr>
                <w:rFonts w:hint="eastAsia" w:cs="Times New Roman"/>
                <w:sz w:val="18"/>
                <w:szCs w:val="18"/>
              </w:rPr>
              <w:t>3.铺设防渗材料(包括土工材料)</w:t>
            </w:r>
          </w:p>
          <w:p>
            <w:pPr>
              <w:pStyle w:val="14"/>
              <w:spacing w:line="300" w:lineRule="exact"/>
              <w:ind w:left="110" w:leftChars="50" w:right="110" w:rightChars="50"/>
              <w:jc w:val="both"/>
              <w:rPr>
                <w:rFonts w:cs="Times New Roman"/>
                <w:sz w:val="18"/>
                <w:szCs w:val="18"/>
              </w:rPr>
            </w:pPr>
            <w:r>
              <w:rPr>
                <w:rFonts w:hint="eastAsia" w:cs="Times New Roman"/>
                <w:sz w:val="18"/>
                <w:szCs w:val="18"/>
              </w:rPr>
              <w:t>4.铺设透水管及泄水管（包括横向排水管连接</w:t>
            </w:r>
            <w:r>
              <w:rPr>
                <w:rFonts w:cs="Times New Roman"/>
                <w:sz w:val="18"/>
                <w:szCs w:val="18"/>
              </w:rPr>
              <w:t>）</w:t>
            </w:r>
            <w:r>
              <w:rPr>
                <w:rFonts w:hint="eastAsia" w:cs="Times New Roman"/>
                <w:sz w:val="18"/>
                <w:szCs w:val="18"/>
              </w:rPr>
              <w:t xml:space="preserve"> </w:t>
            </w:r>
          </w:p>
          <w:p>
            <w:pPr>
              <w:pStyle w:val="14"/>
              <w:spacing w:line="300" w:lineRule="exact"/>
              <w:ind w:left="110" w:leftChars="50" w:right="110" w:rightChars="50"/>
              <w:jc w:val="both"/>
              <w:rPr>
                <w:rFonts w:cs="Times New Roman"/>
                <w:sz w:val="18"/>
                <w:szCs w:val="18"/>
              </w:rPr>
            </w:pPr>
            <w:r>
              <w:rPr>
                <w:rFonts w:hint="eastAsia" w:cs="Times New Roman"/>
                <w:sz w:val="18"/>
                <w:szCs w:val="18"/>
              </w:rPr>
              <w:t>5.填料填筑及夯实</w:t>
            </w:r>
          </w:p>
          <w:p>
            <w:pPr>
              <w:pStyle w:val="14"/>
              <w:spacing w:line="300" w:lineRule="exact"/>
              <w:ind w:left="110" w:leftChars="50" w:right="110" w:rightChars="50"/>
              <w:jc w:val="both"/>
              <w:rPr>
                <w:rFonts w:cs="Times New Roman"/>
                <w:sz w:val="18"/>
                <w:szCs w:val="18"/>
              </w:rPr>
            </w:pPr>
            <w:r>
              <w:rPr>
                <w:rFonts w:hint="eastAsia" w:cs="Times New Roman"/>
                <w:sz w:val="18"/>
                <w:szCs w:val="18"/>
              </w:rPr>
              <w:t>6.设置反滤层</w:t>
            </w:r>
          </w:p>
          <w:p>
            <w:pPr>
              <w:pStyle w:val="14"/>
              <w:spacing w:line="300" w:lineRule="exact"/>
              <w:ind w:left="110" w:leftChars="50" w:right="110" w:rightChars="50"/>
              <w:jc w:val="both"/>
              <w:rPr>
                <w:rFonts w:cs="Times New Roman"/>
                <w:sz w:val="18"/>
                <w:szCs w:val="18"/>
              </w:rPr>
            </w:pPr>
            <w:r>
              <w:rPr>
                <w:rFonts w:hint="eastAsia" w:cs="Times New Roman"/>
                <w:sz w:val="18"/>
                <w:szCs w:val="18"/>
              </w:rPr>
              <w:t>7.设置封闭层</w:t>
            </w:r>
          </w:p>
          <w:p>
            <w:pPr>
              <w:pStyle w:val="14"/>
              <w:spacing w:line="300" w:lineRule="exact"/>
              <w:ind w:left="110" w:leftChars="50" w:right="110" w:rightChars="50"/>
              <w:jc w:val="both"/>
              <w:rPr>
                <w:rFonts w:cs="Times New Roman"/>
                <w:sz w:val="18"/>
                <w:szCs w:val="18"/>
              </w:rPr>
            </w:pPr>
            <w:r>
              <w:rPr>
                <w:rFonts w:hint="eastAsia" w:cs="Times New Roman"/>
                <w:sz w:val="18"/>
                <w:szCs w:val="18"/>
              </w:rPr>
              <w:t>8.现场清理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209-4-1-6</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C20片石混凝土</w:t>
            </w:r>
          </w:p>
        </w:tc>
        <w:tc>
          <w:tcPr>
            <w:tcW w:w="845" w:type="dxa"/>
            <w:vAlign w:val="center"/>
          </w:tcPr>
          <w:p>
            <w:pPr>
              <w:pStyle w:val="5"/>
              <w:jc w:val="center"/>
              <w:rPr>
                <w:sz w:val="21"/>
                <w:szCs w:val="20"/>
              </w:rPr>
            </w:pPr>
            <w:r>
              <w:rPr>
                <w:rFonts w:hint="eastAsia"/>
                <w:sz w:val="21"/>
                <w:szCs w:val="20"/>
                <w:lang w:val="en-US"/>
              </w:rPr>
              <w:t>m³</w:t>
            </w:r>
          </w:p>
        </w:tc>
        <w:tc>
          <w:tcPr>
            <w:tcW w:w="2582" w:type="dxa"/>
            <w:vAlign w:val="center"/>
          </w:tcPr>
          <w:p>
            <w:pPr>
              <w:pStyle w:val="14"/>
              <w:ind w:left="110" w:leftChars="50" w:right="110" w:rightChars="50"/>
              <w:jc w:val="both"/>
              <w:rPr>
                <w:rFonts w:cs="Times New Roman"/>
                <w:sz w:val="18"/>
                <w:szCs w:val="18"/>
              </w:rPr>
            </w:pPr>
            <w:r>
              <w:rPr>
                <w:rFonts w:cs="Times New Roman"/>
                <w:sz w:val="18"/>
                <w:szCs w:val="18"/>
              </w:rPr>
              <w:t>1.依据图纸所示位置和断面尺寸，按不同强度等级混凝土体积以立方米为单位计量</w:t>
            </w:r>
          </w:p>
          <w:p>
            <w:pPr>
              <w:pStyle w:val="14"/>
              <w:ind w:left="110" w:leftChars="50" w:right="110" w:rightChars="50"/>
              <w:jc w:val="both"/>
              <w:rPr>
                <w:rFonts w:cs="Times New Roman"/>
                <w:sz w:val="18"/>
                <w:szCs w:val="18"/>
              </w:rPr>
            </w:pPr>
            <w:r>
              <w:rPr>
                <w:rFonts w:cs="Times New Roman"/>
                <w:sz w:val="18"/>
                <w:szCs w:val="18"/>
              </w:rPr>
              <w:t>2.不扣除沉降缝、泄水孔、预埋件所占体积</w:t>
            </w:r>
          </w:p>
          <w:p>
            <w:pPr>
              <w:pStyle w:val="14"/>
              <w:ind w:left="110" w:leftChars="50" w:right="110" w:rightChars="50"/>
              <w:jc w:val="both"/>
              <w:rPr>
                <w:rFonts w:cs="Times New Roman"/>
                <w:sz w:val="18"/>
                <w:szCs w:val="18"/>
              </w:rPr>
            </w:pPr>
            <w:r>
              <w:rPr>
                <w:rFonts w:hint="eastAsia" w:cs="Times New Roman"/>
                <w:sz w:val="18"/>
                <w:szCs w:val="18"/>
              </w:rPr>
              <w:t>3.三维复合排水网作为附属工作不另行计量。</w:t>
            </w:r>
          </w:p>
        </w:tc>
        <w:tc>
          <w:tcPr>
            <w:tcW w:w="2877" w:type="dxa"/>
            <w:vAlign w:val="center"/>
          </w:tcPr>
          <w:p>
            <w:pPr>
              <w:pStyle w:val="14"/>
              <w:ind w:left="110" w:leftChars="50" w:right="110" w:rightChars="50"/>
              <w:jc w:val="both"/>
              <w:rPr>
                <w:rFonts w:cs="Times New Roman"/>
                <w:sz w:val="18"/>
                <w:szCs w:val="18"/>
              </w:rPr>
            </w:pPr>
            <w:r>
              <w:rPr>
                <w:rFonts w:cs="Times New Roman"/>
                <w:sz w:val="18"/>
                <w:szCs w:val="18"/>
              </w:rPr>
              <w:t>1.基坑开挖、清理、平整、夯实</w:t>
            </w:r>
          </w:p>
          <w:p>
            <w:pPr>
              <w:pStyle w:val="14"/>
              <w:ind w:left="110" w:leftChars="50" w:right="110" w:rightChars="50"/>
              <w:jc w:val="both"/>
              <w:rPr>
                <w:rFonts w:cs="Times New Roman"/>
                <w:sz w:val="18"/>
                <w:szCs w:val="18"/>
              </w:rPr>
            </w:pPr>
            <w:r>
              <w:rPr>
                <w:rFonts w:cs="Times New Roman"/>
                <w:sz w:val="18"/>
                <w:szCs w:val="18"/>
              </w:rPr>
              <w:t>2.模板制作、安装、拆除</w:t>
            </w:r>
          </w:p>
          <w:p>
            <w:pPr>
              <w:pStyle w:val="14"/>
              <w:ind w:left="110" w:leftChars="50" w:right="110" w:rightChars="50"/>
              <w:jc w:val="both"/>
              <w:rPr>
                <w:rFonts w:cs="Times New Roman"/>
                <w:sz w:val="18"/>
                <w:szCs w:val="18"/>
              </w:rPr>
            </w:pPr>
            <w:r>
              <w:rPr>
                <w:rFonts w:cs="Times New Roman"/>
                <w:sz w:val="18"/>
                <w:szCs w:val="18"/>
              </w:rPr>
              <w:t>3.混凝土拌和、运输、浇筑、养护</w:t>
            </w:r>
          </w:p>
          <w:p>
            <w:pPr>
              <w:pStyle w:val="14"/>
              <w:ind w:left="110" w:leftChars="50" w:right="110" w:rightChars="50"/>
              <w:jc w:val="both"/>
              <w:rPr>
                <w:rFonts w:cs="Times New Roman"/>
                <w:sz w:val="18"/>
                <w:szCs w:val="18"/>
              </w:rPr>
            </w:pPr>
            <w:r>
              <w:rPr>
                <w:rFonts w:cs="Times New Roman"/>
                <w:sz w:val="18"/>
                <w:szCs w:val="18"/>
              </w:rPr>
              <w:t>4.泄水孔及其滤水层、沉降缝设置</w:t>
            </w:r>
          </w:p>
          <w:p>
            <w:pPr>
              <w:pStyle w:val="14"/>
              <w:ind w:left="110" w:leftChars="50" w:right="110" w:rightChars="50"/>
              <w:jc w:val="both"/>
              <w:rPr>
                <w:rFonts w:cs="Times New Roman"/>
                <w:sz w:val="18"/>
                <w:szCs w:val="18"/>
              </w:rPr>
            </w:pPr>
            <w:r>
              <w:rPr>
                <w:rFonts w:cs="Times New Roman"/>
                <w:sz w:val="18"/>
                <w:szCs w:val="18"/>
              </w:rPr>
              <w:t>5.墙背填料分层填筑</w:t>
            </w:r>
          </w:p>
          <w:p>
            <w:pPr>
              <w:pStyle w:val="14"/>
              <w:ind w:left="110" w:leftChars="50" w:right="110" w:rightChars="50"/>
              <w:jc w:val="both"/>
              <w:rPr>
                <w:rFonts w:cs="Times New Roman"/>
                <w:sz w:val="18"/>
                <w:szCs w:val="18"/>
              </w:rPr>
            </w:pPr>
            <w:r>
              <w:rPr>
                <w:rFonts w:cs="Times New Roman"/>
                <w:sz w:val="18"/>
                <w:szCs w:val="18"/>
              </w:rPr>
              <w:t>6.清理，弃方处理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212-2-1</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喷射混凝土防护边坡</w:t>
            </w:r>
          </w:p>
        </w:tc>
        <w:tc>
          <w:tcPr>
            <w:tcW w:w="845" w:type="dxa"/>
            <w:vAlign w:val="center"/>
          </w:tcPr>
          <w:p>
            <w:pPr>
              <w:pStyle w:val="5"/>
              <w:jc w:val="center"/>
              <w:rPr>
                <w:sz w:val="21"/>
                <w:szCs w:val="20"/>
              </w:rPr>
            </w:pPr>
            <w:r>
              <w:rPr>
                <w:rFonts w:hint="eastAsia"/>
                <w:sz w:val="21"/>
                <w:szCs w:val="20"/>
                <w:lang w:val="en-US"/>
              </w:rPr>
              <w:t>m³</w:t>
            </w:r>
          </w:p>
        </w:tc>
        <w:tc>
          <w:tcPr>
            <w:tcW w:w="2582" w:type="dxa"/>
            <w:vAlign w:val="center"/>
          </w:tcPr>
          <w:p>
            <w:pPr>
              <w:pStyle w:val="14"/>
              <w:ind w:left="110" w:leftChars="50" w:right="110" w:rightChars="50"/>
              <w:jc w:val="both"/>
              <w:rPr>
                <w:rFonts w:cs="Times New Roman"/>
                <w:sz w:val="18"/>
                <w:szCs w:val="18"/>
              </w:rPr>
            </w:pPr>
            <w:r>
              <w:rPr>
                <w:rFonts w:cs="Times New Roman"/>
                <w:sz w:val="18"/>
                <w:szCs w:val="18"/>
              </w:rPr>
              <w:t>依据图纸所示位置及混凝土浆强度等级，按照喷射混凝土防护体积以立方米为单位计量</w:t>
            </w:r>
          </w:p>
        </w:tc>
        <w:tc>
          <w:tcPr>
            <w:tcW w:w="2877" w:type="dxa"/>
            <w:vAlign w:val="center"/>
          </w:tcPr>
          <w:p>
            <w:pPr>
              <w:pStyle w:val="14"/>
              <w:ind w:left="110" w:leftChars="50" w:right="110" w:rightChars="50"/>
              <w:jc w:val="both"/>
              <w:rPr>
                <w:rFonts w:cs="Times New Roman"/>
                <w:sz w:val="18"/>
                <w:szCs w:val="18"/>
              </w:rPr>
            </w:pPr>
            <w:r>
              <w:rPr>
                <w:rFonts w:cs="Times New Roman"/>
                <w:sz w:val="18"/>
                <w:szCs w:val="18"/>
              </w:rPr>
              <w:t>1.岩面清理</w:t>
            </w:r>
          </w:p>
          <w:p>
            <w:pPr>
              <w:pStyle w:val="14"/>
              <w:ind w:left="110" w:leftChars="50" w:right="110" w:rightChars="50"/>
              <w:jc w:val="both"/>
              <w:rPr>
                <w:rFonts w:cs="Times New Roman"/>
                <w:sz w:val="18"/>
                <w:szCs w:val="18"/>
              </w:rPr>
            </w:pPr>
            <w:r>
              <w:rPr>
                <w:rFonts w:cs="Times New Roman"/>
                <w:sz w:val="18"/>
                <w:szCs w:val="18"/>
              </w:rPr>
              <w:t>2.设备安装与拆除</w:t>
            </w:r>
          </w:p>
          <w:p>
            <w:pPr>
              <w:pStyle w:val="14"/>
              <w:ind w:left="110" w:leftChars="50" w:right="110" w:rightChars="50"/>
              <w:jc w:val="both"/>
              <w:rPr>
                <w:rFonts w:cs="Times New Roman"/>
                <w:sz w:val="18"/>
                <w:szCs w:val="18"/>
              </w:rPr>
            </w:pPr>
            <w:r>
              <w:rPr>
                <w:rFonts w:cs="Times New Roman"/>
                <w:sz w:val="18"/>
                <w:szCs w:val="18"/>
              </w:rPr>
              <w:t>3.混凝土拌制</w:t>
            </w:r>
          </w:p>
          <w:p>
            <w:pPr>
              <w:pStyle w:val="14"/>
              <w:ind w:left="110" w:leftChars="50" w:right="110" w:rightChars="50"/>
              <w:jc w:val="both"/>
              <w:rPr>
                <w:rFonts w:cs="Times New Roman"/>
                <w:sz w:val="18"/>
                <w:szCs w:val="18"/>
              </w:rPr>
            </w:pPr>
            <w:r>
              <w:rPr>
                <w:rFonts w:cs="Times New Roman"/>
                <w:sz w:val="18"/>
                <w:szCs w:val="18"/>
              </w:rPr>
              <w:t>4.喷射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rFonts w:cs="Arial"/>
                <w:color w:val="000000"/>
                <w:sz w:val="16"/>
                <w:szCs w:val="16"/>
              </w:rPr>
            </w:pPr>
            <w:r>
              <w:rPr>
                <w:rFonts w:hint="eastAsia" w:cs="Times New Roman"/>
                <w:sz w:val="18"/>
                <w:szCs w:val="18"/>
              </w:rPr>
              <w:t>214-1-1-3</w:t>
            </w:r>
          </w:p>
        </w:tc>
        <w:tc>
          <w:tcPr>
            <w:tcW w:w="2503" w:type="dxa"/>
            <w:vAlign w:val="center"/>
          </w:tcPr>
          <w:p>
            <w:pPr>
              <w:jc w:val="both"/>
              <w:rPr>
                <w:rFonts w:cs="Arial"/>
                <w:color w:val="000000"/>
                <w:sz w:val="16"/>
                <w:szCs w:val="16"/>
              </w:rPr>
            </w:pPr>
            <w:r>
              <w:rPr>
                <w:rFonts w:hint="eastAsia" w:cs="Times New Roman"/>
                <w:sz w:val="18"/>
                <w:szCs w:val="18"/>
              </w:rPr>
              <w:t>C30混凝土</w:t>
            </w:r>
          </w:p>
        </w:tc>
        <w:tc>
          <w:tcPr>
            <w:tcW w:w="845" w:type="dxa"/>
            <w:vAlign w:val="center"/>
          </w:tcPr>
          <w:p>
            <w:pPr>
              <w:pStyle w:val="5"/>
              <w:jc w:val="center"/>
              <w:rPr>
                <w:sz w:val="21"/>
                <w:szCs w:val="20"/>
                <w:lang w:val="en-US"/>
              </w:rPr>
            </w:pPr>
            <w:r>
              <w:rPr>
                <w:sz w:val="21"/>
                <w:szCs w:val="20"/>
                <w:lang w:val="en-US"/>
              </w:rPr>
              <w:t>m³</w:t>
            </w:r>
          </w:p>
        </w:tc>
        <w:tc>
          <w:tcPr>
            <w:tcW w:w="2582" w:type="dxa"/>
            <w:vAlign w:val="center"/>
          </w:tcPr>
          <w:p>
            <w:pPr>
              <w:pStyle w:val="14"/>
              <w:ind w:left="110" w:leftChars="50" w:right="110" w:rightChars="50"/>
              <w:jc w:val="both"/>
              <w:rPr>
                <w:rFonts w:cs="Times New Roman"/>
                <w:sz w:val="18"/>
                <w:szCs w:val="18"/>
              </w:rPr>
            </w:pPr>
            <w:r>
              <w:rPr>
                <w:rFonts w:cs="Times New Roman"/>
                <w:sz w:val="18"/>
                <w:szCs w:val="18"/>
              </w:rPr>
              <w:t>1.依据图纸所示位置及断面尺寸，按照不同强度等级混凝土体积以立方米为单位计量</w:t>
            </w:r>
          </w:p>
          <w:p>
            <w:pPr>
              <w:pStyle w:val="14"/>
              <w:ind w:left="110" w:leftChars="50" w:right="110" w:rightChars="50"/>
              <w:jc w:val="both"/>
              <w:rPr>
                <w:rFonts w:cs="Times New Roman"/>
                <w:sz w:val="18"/>
                <w:szCs w:val="18"/>
              </w:rPr>
            </w:pPr>
            <w:r>
              <w:rPr>
                <w:rFonts w:cs="Times New Roman"/>
                <w:sz w:val="18"/>
                <w:szCs w:val="18"/>
              </w:rPr>
              <w:t>2.护壁混凝土及护壁（锁口）钢筋为混凝土的附属工作，不另行计量</w:t>
            </w:r>
          </w:p>
        </w:tc>
        <w:tc>
          <w:tcPr>
            <w:tcW w:w="2877" w:type="dxa"/>
            <w:vAlign w:val="center"/>
          </w:tcPr>
          <w:p>
            <w:pPr>
              <w:pStyle w:val="14"/>
              <w:ind w:left="110" w:leftChars="50" w:right="110" w:rightChars="50"/>
              <w:jc w:val="both"/>
              <w:rPr>
                <w:rFonts w:cs="Times New Roman"/>
                <w:sz w:val="18"/>
                <w:szCs w:val="18"/>
              </w:rPr>
            </w:pPr>
            <w:r>
              <w:rPr>
                <w:rFonts w:cs="Times New Roman"/>
                <w:sz w:val="18"/>
                <w:szCs w:val="18"/>
              </w:rPr>
              <w:t>1.场地清理</w:t>
            </w:r>
          </w:p>
          <w:p>
            <w:pPr>
              <w:pStyle w:val="14"/>
              <w:ind w:left="110" w:leftChars="50" w:right="110" w:rightChars="50"/>
              <w:jc w:val="both"/>
              <w:rPr>
                <w:rFonts w:cs="Times New Roman"/>
                <w:sz w:val="18"/>
                <w:szCs w:val="18"/>
              </w:rPr>
            </w:pPr>
            <w:r>
              <w:rPr>
                <w:rFonts w:cs="Times New Roman"/>
                <w:sz w:val="18"/>
                <w:szCs w:val="18"/>
              </w:rPr>
              <w:t>2.成孔</w:t>
            </w:r>
          </w:p>
          <w:p>
            <w:pPr>
              <w:pStyle w:val="14"/>
              <w:ind w:left="110" w:leftChars="50" w:right="110" w:rightChars="50"/>
              <w:jc w:val="both"/>
              <w:rPr>
                <w:rFonts w:cs="Times New Roman"/>
                <w:sz w:val="18"/>
                <w:szCs w:val="18"/>
              </w:rPr>
            </w:pPr>
            <w:r>
              <w:rPr>
                <w:rFonts w:cs="Times New Roman"/>
                <w:sz w:val="18"/>
                <w:szCs w:val="18"/>
              </w:rPr>
              <w:t>3.模板制作、安装、拆除</w:t>
            </w:r>
          </w:p>
          <w:p>
            <w:pPr>
              <w:pStyle w:val="14"/>
              <w:ind w:left="110" w:leftChars="50" w:right="110" w:rightChars="50"/>
              <w:jc w:val="both"/>
              <w:rPr>
                <w:rFonts w:cs="Times New Roman"/>
                <w:sz w:val="18"/>
                <w:szCs w:val="18"/>
              </w:rPr>
            </w:pPr>
            <w:r>
              <w:rPr>
                <w:rFonts w:cs="Times New Roman"/>
                <w:sz w:val="18"/>
                <w:szCs w:val="18"/>
              </w:rPr>
              <w:t>4.护壁及桩身混凝土制作、运输、浇筑、养护</w:t>
            </w:r>
          </w:p>
          <w:p>
            <w:pPr>
              <w:pStyle w:val="14"/>
              <w:ind w:left="110" w:leftChars="50" w:right="110" w:rightChars="50"/>
              <w:jc w:val="both"/>
              <w:rPr>
                <w:rFonts w:cs="Times New Roman"/>
                <w:sz w:val="18"/>
                <w:szCs w:val="18"/>
              </w:rPr>
            </w:pPr>
            <w:r>
              <w:rPr>
                <w:rFonts w:cs="Times New Roman"/>
                <w:sz w:val="18"/>
                <w:szCs w:val="18"/>
              </w:rPr>
              <w:t>5.桩的无损检测</w:t>
            </w:r>
          </w:p>
          <w:p>
            <w:pPr>
              <w:pStyle w:val="14"/>
              <w:ind w:left="110" w:leftChars="50" w:right="110" w:rightChars="50"/>
              <w:jc w:val="both"/>
              <w:rPr>
                <w:rFonts w:cs="Times New Roman"/>
                <w:sz w:val="18"/>
                <w:szCs w:val="18"/>
              </w:rPr>
            </w:pPr>
            <w:r>
              <w:rPr>
                <w:rFonts w:cs="Times New Roman"/>
                <w:sz w:val="18"/>
                <w:szCs w:val="18"/>
              </w:rPr>
              <w:t>6.清理现场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rFonts w:cs="Arial"/>
                <w:color w:val="000000"/>
                <w:sz w:val="16"/>
                <w:szCs w:val="16"/>
              </w:rPr>
            </w:pPr>
            <w:r>
              <w:rPr>
                <w:rFonts w:hint="eastAsia" w:cs="Times New Roman"/>
                <w:sz w:val="18"/>
                <w:szCs w:val="18"/>
              </w:rPr>
              <w:t>214-2-1-3</w:t>
            </w:r>
          </w:p>
        </w:tc>
        <w:tc>
          <w:tcPr>
            <w:tcW w:w="2503" w:type="dxa"/>
            <w:vAlign w:val="center"/>
          </w:tcPr>
          <w:p>
            <w:pPr>
              <w:jc w:val="both"/>
              <w:rPr>
                <w:rFonts w:cs="Arial"/>
                <w:color w:val="000000"/>
                <w:sz w:val="16"/>
                <w:szCs w:val="16"/>
              </w:rPr>
            </w:pPr>
            <w:r>
              <w:rPr>
                <w:rFonts w:hint="eastAsia" w:cs="Times New Roman"/>
                <w:sz w:val="18"/>
                <w:szCs w:val="18"/>
              </w:rPr>
              <w:t>C30混凝土(挡土板)</w:t>
            </w:r>
          </w:p>
        </w:tc>
        <w:tc>
          <w:tcPr>
            <w:tcW w:w="845" w:type="dxa"/>
            <w:vAlign w:val="center"/>
          </w:tcPr>
          <w:p>
            <w:pPr>
              <w:jc w:val="center"/>
              <w:rPr>
                <w:rFonts w:cs="Arial"/>
                <w:color w:val="000000"/>
                <w:sz w:val="16"/>
                <w:szCs w:val="16"/>
              </w:rPr>
            </w:pPr>
            <w:r>
              <w:rPr>
                <w:sz w:val="21"/>
                <w:szCs w:val="20"/>
                <w:lang w:val="en-US"/>
              </w:rPr>
              <w:t>m³</w:t>
            </w:r>
          </w:p>
        </w:tc>
        <w:tc>
          <w:tcPr>
            <w:tcW w:w="2582" w:type="dxa"/>
            <w:vAlign w:val="center"/>
          </w:tcPr>
          <w:p>
            <w:pPr>
              <w:pStyle w:val="14"/>
              <w:ind w:left="110" w:leftChars="50" w:right="110" w:rightChars="50"/>
              <w:jc w:val="both"/>
              <w:rPr>
                <w:rFonts w:cs="Times New Roman"/>
                <w:sz w:val="18"/>
                <w:szCs w:val="18"/>
              </w:rPr>
            </w:pPr>
            <w:r>
              <w:rPr>
                <w:rFonts w:hint="eastAsia" w:cs="Times New Roman"/>
                <w:sz w:val="18"/>
                <w:szCs w:val="18"/>
              </w:rPr>
              <w:t>1．</w:t>
            </w:r>
            <w:r>
              <w:rPr>
                <w:rFonts w:cs="Times New Roman"/>
                <w:sz w:val="18"/>
                <w:szCs w:val="18"/>
              </w:rPr>
              <w:t>依据图纸所示位置及断面尺寸，按照不同强度等级混凝土体积以立方米为单</w:t>
            </w:r>
            <w:r>
              <w:rPr>
                <w:rFonts w:hint="eastAsia" w:cs="Times New Roman"/>
                <w:sz w:val="18"/>
                <w:szCs w:val="18"/>
              </w:rPr>
              <w:t>位计量</w:t>
            </w:r>
          </w:p>
          <w:p>
            <w:pPr>
              <w:pStyle w:val="14"/>
              <w:ind w:left="110" w:leftChars="50" w:right="110" w:rightChars="50"/>
              <w:jc w:val="both"/>
              <w:rPr>
                <w:rFonts w:cs="Times New Roman"/>
                <w:sz w:val="18"/>
                <w:szCs w:val="18"/>
              </w:rPr>
            </w:pPr>
            <w:r>
              <w:rPr>
                <w:rFonts w:cs="Times New Roman"/>
                <w:sz w:val="18"/>
                <w:szCs w:val="18"/>
              </w:rPr>
              <w:t>2.清宕渣回填、土工布、砂砾反滤层为挡土板混凝土的附属工作，不另行计量</w:t>
            </w:r>
          </w:p>
        </w:tc>
        <w:tc>
          <w:tcPr>
            <w:tcW w:w="2877" w:type="dxa"/>
            <w:vAlign w:val="center"/>
          </w:tcPr>
          <w:p>
            <w:pPr>
              <w:pStyle w:val="14"/>
              <w:ind w:left="110" w:leftChars="50" w:right="110" w:rightChars="50"/>
              <w:jc w:val="both"/>
              <w:rPr>
                <w:rFonts w:cs="Times New Roman"/>
                <w:sz w:val="18"/>
                <w:szCs w:val="18"/>
              </w:rPr>
            </w:pPr>
            <w:r>
              <w:rPr>
                <w:rFonts w:cs="Times New Roman"/>
                <w:sz w:val="18"/>
                <w:szCs w:val="18"/>
              </w:rPr>
              <w:t>1.沟槽开挖</w:t>
            </w:r>
          </w:p>
          <w:p>
            <w:pPr>
              <w:pStyle w:val="14"/>
              <w:ind w:left="110" w:leftChars="50" w:right="110" w:rightChars="50"/>
              <w:jc w:val="both"/>
              <w:rPr>
                <w:rFonts w:cs="Times New Roman"/>
                <w:sz w:val="18"/>
                <w:szCs w:val="18"/>
              </w:rPr>
            </w:pPr>
            <w:r>
              <w:rPr>
                <w:rFonts w:cs="Times New Roman"/>
                <w:sz w:val="18"/>
                <w:szCs w:val="18"/>
              </w:rPr>
              <w:t>2.预制件预制、运输、装卸</w:t>
            </w:r>
          </w:p>
          <w:p>
            <w:pPr>
              <w:pStyle w:val="14"/>
              <w:ind w:left="110" w:leftChars="50" w:right="110" w:rightChars="50"/>
              <w:jc w:val="both"/>
              <w:rPr>
                <w:rFonts w:cs="Times New Roman"/>
                <w:sz w:val="18"/>
                <w:szCs w:val="18"/>
              </w:rPr>
            </w:pPr>
            <w:r>
              <w:rPr>
                <w:rFonts w:cs="Times New Roman"/>
                <w:sz w:val="18"/>
                <w:szCs w:val="18"/>
              </w:rPr>
              <w:t>3.预制件安装</w:t>
            </w:r>
          </w:p>
          <w:p>
            <w:pPr>
              <w:pStyle w:val="14"/>
              <w:ind w:left="110" w:leftChars="50" w:right="110" w:rightChars="50"/>
              <w:jc w:val="both"/>
              <w:rPr>
                <w:rFonts w:cs="Times New Roman"/>
                <w:sz w:val="18"/>
                <w:szCs w:val="18"/>
              </w:rPr>
            </w:pPr>
            <w:r>
              <w:rPr>
                <w:rFonts w:cs="Times New Roman"/>
                <w:sz w:val="18"/>
                <w:szCs w:val="18"/>
              </w:rPr>
              <w:t>4.墙背回填及墙背排水系统施工</w:t>
            </w:r>
          </w:p>
          <w:p>
            <w:pPr>
              <w:pStyle w:val="14"/>
              <w:ind w:left="110" w:leftChars="50" w:right="110" w:rightChars="50"/>
              <w:jc w:val="both"/>
              <w:rPr>
                <w:rFonts w:cs="Times New Roman"/>
                <w:sz w:val="18"/>
                <w:szCs w:val="18"/>
              </w:rPr>
            </w:pPr>
            <w:r>
              <w:rPr>
                <w:rFonts w:cs="Times New Roman"/>
                <w:sz w:val="18"/>
                <w:szCs w:val="18"/>
              </w:rPr>
              <w:t>5.清理现场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jc w:val="center"/>
              <w:rPr>
                <w:rFonts w:cs="Arial"/>
                <w:color w:val="000000"/>
                <w:sz w:val="16"/>
                <w:szCs w:val="16"/>
              </w:rPr>
            </w:pPr>
            <w:r>
              <w:rPr>
                <w:rFonts w:hint="eastAsia" w:cs="Arial"/>
                <w:color w:val="000000"/>
                <w:sz w:val="16"/>
                <w:szCs w:val="16"/>
              </w:rPr>
              <w:t>310-2-1</w:t>
            </w:r>
          </w:p>
        </w:tc>
        <w:tc>
          <w:tcPr>
            <w:tcW w:w="2503" w:type="dxa"/>
            <w:vAlign w:val="center"/>
          </w:tcPr>
          <w:p>
            <w:pPr>
              <w:jc w:val="both"/>
              <w:rPr>
                <w:rFonts w:cs="Arial"/>
                <w:color w:val="000000"/>
                <w:sz w:val="16"/>
                <w:szCs w:val="16"/>
              </w:rPr>
            </w:pPr>
            <w:r>
              <w:rPr>
                <w:rFonts w:hint="eastAsia" w:cs="Times New Roman"/>
                <w:sz w:val="18"/>
                <w:szCs w:val="18"/>
              </w:rPr>
              <w:t>纵向雨水沟</w:t>
            </w:r>
            <w:r>
              <w:rPr>
                <w:rFonts w:cs="Times New Roman"/>
                <w:sz w:val="18"/>
                <w:szCs w:val="18"/>
              </w:rPr>
              <w:t>(中分带边沟)</w:t>
            </w:r>
          </w:p>
        </w:tc>
        <w:tc>
          <w:tcPr>
            <w:tcW w:w="845" w:type="dxa"/>
            <w:vAlign w:val="center"/>
          </w:tcPr>
          <w:p>
            <w:pPr>
              <w:jc w:val="center"/>
              <w:rPr>
                <w:sz w:val="21"/>
                <w:szCs w:val="20"/>
                <w:lang w:val="en-US"/>
              </w:rPr>
            </w:pPr>
          </w:p>
        </w:tc>
        <w:tc>
          <w:tcPr>
            <w:tcW w:w="2582" w:type="dxa"/>
            <w:vAlign w:val="center"/>
          </w:tcPr>
          <w:p>
            <w:pPr>
              <w:pStyle w:val="14"/>
              <w:ind w:left="110" w:leftChars="50" w:right="110" w:rightChars="50"/>
              <w:jc w:val="both"/>
              <w:rPr>
                <w:rFonts w:cs="Times New Roman"/>
                <w:sz w:val="18"/>
                <w:szCs w:val="18"/>
              </w:rPr>
            </w:pPr>
            <w:r>
              <w:rPr>
                <w:rFonts w:hint="eastAsia" w:ascii="Times New Roman" w:hAnsi="Times New Roman" w:cs="Times New Roman"/>
                <w:kern w:val="2"/>
                <w:sz w:val="18"/>
                <w:szCs w:val="18"/>
                <w:lang w:val="en-US" w:bidi="ar-SA"/>
              </w:rPr>
              <w:t>依据图纸所示位置，分不同类型及规格，按埋设长度以米为单位计量</w:t>
            </w:r>
          </w:p>
        </w:tc>
        <w:tc>
          <w:tcPr>
            <w:tcW w:w="2877" w:type="dxa"/>
            <w:vAlign w:val="center"/>
          </w:tcPr>
          <w:p>
            <w:pPr>
              <w:widowControl/>
              <w:autoSpaceDE/>
              <w:autoSpaceDN/>
              <w:ind w:left="110" w:leftChars="50" w:right="110" w:rightChars="50"/>
              <w:jc w:val="both"/>
              <w:rPr>
                <w:sz w:val="18"/>
                <w:szCs w:val="18"/>
                <w:lang w:val="en-US" w:bidi="ar-SA"/>
              </w:rPr>
            </w:pPr>
            <w:r>
              <w:rPr>
                <w:sz w:val="18"/>
                <w:szCs w:val="18"/>
                <w:lang w:val="en-US" w:bidi="ar-SA"/>
              </w:rPr>
              <w:t>.</w:t>
            </w:r>
            <w:r>
              <w:rPr>
                <w:rFonts w:hint="eastAsia"/>
                <w:sz w:val="18"/>
                <w:szCs w:val="18"/>
                <w:lang w:val="en-US" w:bidi="ar-SA"/>
              </w:rPr>
              <w:t>基槽开挖、废方弃运</w:t>
            </w:r>
          </w:p>
          <w:p>
            <w:pPr>
              <w:widowControl/>
              <w:autoSpaceDE/>
              <w:autoSpaceDN/>
              <w:ind w:left="110" w:leftChars="50" w:right="110" w:rightChars="50"/>
              <w:jc w:val="both"/>
              <w:rPr>
                <w:sz w:val="18"/>
                <w:szCs w:val="18"/>
                <w:lang w:val="en-US" w:bidi="ar-SA"/>
              </w:rPr>
            </w:pPr>
            <w:r>
              <w:rPr>
                <w:sz w:val="18"/>
                <w:szCs w:val="18"/>
                <w:lang w:val="en-US" w:bidi="ar-SA"/>
              </w:rPr>
              <w:t>2.</w:t>
            </w:r>
            <w:r>
              <w:rPr>
                <w:rFonts w:hint="eastAsia"/>
                <w:sz w:val="18"/>
                <w:szCs w:val="18"/>
                <w:lang w:val="en-US" w:bidi="ar-SA"/>
              </w:rPr>
              <w:t>垫层（基础）铺筑</w:t>
            </w:r>
          </w:p>
          <w:p>
            <w:pPr>
              <w:widowControl/>
              <w:autoSpaceDE/>
              <w:autoSpaceDN/>
              <w:ind w:left="110" w:leftChars="50" w:right="110" w:rightChars="50"/>
              <w:jc w:val="both"/>
              <w:rPr>
                <w:sz w:val="18"/>
                <w:szCs w:val="18"/>
                <w:lang w:val="en-US" w:bidi="ar-SA"/>
              </w:rPr>
            </w:pPr>
            <w:r>
              <w:rPr>
                <w:sz w:val="18"/>
                <w:szCs w:val="18"/>
                <w:lang w:val="en-US" w:bidi="ar-SA"/>
              </w:rPr>
              <w:t>3.</w:t>
            </w:r>
            <w:r>
              <w:rPr>
                <w:rFonts w:hint="eastAsia"/>
                <w:sz w:val="18"/>
                <w:szCs w:val="18"/>
                <w:lang w:val="en-US" w:bidi="ar-SA"/>
              </w:rPr>
              <w:t>模板制作、安装、拆除、修理</w:t>
            </w:r>
          </w:p>
          <w:p>
            <w:pPr>
              <w:widowControl/>
              <w:autoSpaceDE/>
              <w:autoSpaceDN/>
              <w:ind w:left="110" w:leftChars="50" w:right="110" w:rightChars="50"/>
              <w:jc w:val="both"/>
              <w:rPr>
                <w:sz w:val="18"/>
                <w:szCs w:val="18"/>
                <w:lang w:val="en-US" w:bidi="ar-SA"/>
              </w:rPr>
            </w:pPr>
            <w:r>
              <w:rPr>
                <w:sz w:val="18"/>
                <w:szCs w:val="18"/>
                <w:lang w:val="en-US" w:bidi="ar-SA"/>
              </w:rPr>
              <w:t>4.</w:t>
            </w:r>
            <w:r>
              <w:rPr>
                <w:rFonts w:hint="eastAsia"/>
                <w:sz w:val="18"/>
                <w:szCs w:val="18"/>
                <w:lang w:val="en-US" w:bidi="ar-SA"/>
              </w:rPr>
              <w:t>钢筋制作与安装</w:t>
            </w:r>
          </w:p>
          <w:p>
            <w:pPr>
              <w:widowControl/>
              <w:autoSpaceDE/>
              <w:autoSpaceDN/>
              <w:ind w:left="110" w:leftChars="50" w:right="110" w:rightChars="50"/>
              <w:jc w:val="both"/>
              <w:rPr>
                <w:sz w:val="18"/>
                <w:szCs w:val="18"/>
                <w:lang w:val="en-US" w:bidi="ar-SA"/>
              </w:rPr>
            </w:pPr>
            <w:r>
              <w:rPr>
                <w:sz w:val="18"/>
                <w:szCs w:val="18"/>
                <w:lang w:val="en-US" w:bidi="ar-SA"/>
              </w:rPr>
              <w:t>5.</w:t>
            </w:r>
            <w:r>
              <w:rPr>
                <w:rFonts w:hint="eastAsia"/>
                <w:sz w:val="18"/>
                <w:szCs w:val="18"/>
                <w:lang w:val="en-US" w:bidi="ar-SA"/>
              </w:rPr>
              <w:t>盖板预制及安装</w:t>
            </w:r>
          </w:p>
          <w:p>
            <w:pPr>
              <w:widowControl/>
              <w:autoSpaceDE/>
              <w:autoSpaceDN/>
              <w:ind w:left="110" w:leftChars="50" w:right="110" w:rightChars="50"/>
              <w:jc w:val="both"/>
              <w:rPr>
                <w:sz w:val="18"/>
                <w:szCs w:val="18"/>
                <w:lang w:val="en-US" w:bidi="ar-SA"/>
              </w:rPr>
            </w:pPr>
            <w:r>
              <w:rPr>
                <w:sz w:val="18"/>
                <w:szCs w:val="18"/>
                <w:lang w:val="en-US" w:bidi="ar-SA"/>
              </w:rPr>
              <w:t>6.</w:t>
            </w:r>
            <w:r>
              <w:rPr>
                <w:rFonts w:hint="eastAsia"/>
                <w:sz w:val="18"/>
                <w:szCs w:val="18"/>
                <w:lang w:val="en-US" w:bidi="ar-SA"/>
              </w:rPr>
              <w:t>混凝土拌和、运输、浇筑</w:t>
            </w:r>
          </w:p>
          <w:p>
            <w:pPr>
              <w:widowControl/>
              <w:autoSpaceDE/>
              <w:autoSpaceDN/>
              <w:ind w:left="110" w:leftChars="50" w:right="110" w:rightChars="50"/>
              <w:jc w:val="both"/>
              <w:rPr>
                <w:sz w:val="18"/>
                <w:szCs w:val="18"/>
                <w:lang w:val="en-US" w:bidi="ar-SA"/>
              </w:rPr>
            </w:pPr>
            <w:r>
              <w:rPr>
                <w:sz w:val="18"/>
                <w:szCs w:val="18"/>
                <w:lang w:val="en-US" w:bidi="ar-SA"/>
              </w:rPr>
              <w:t>7.</w:t>
            </w:r>
            <w:r>
              <w:rPr>
                <w:rFonts w:hint="eastAsia"/>
                <w:sz w:val="18"/>
                <w:szCs w:val="18"/>
                <w:lang w:val="en-US" w:bidi="ar-SA"/>
              </w:rPr>
              <w:t>养护</w:t>
            </w:r>
          </w:p>
          <w:p>
            <w:pPr>
              <w:widowControl/>
              <w:autoSpaceDE/>
              <w:autoSpaceDN/>
              <w:ind w:left="110" w:leftChars="50" w:right="110" w:rightChars="50"/>
              <w:jc w:val="both"/>
              <w:rPr>
                <w:sz w:val="18"/>
                <w:szCs w:val="18"/>
                <w:lang w:val="en-US" w:bidi="ar-SA"/>
              </w:rPr>
            </w:pPr>
            <w:r>
              <w:rPr>
                <w:sz w:val="18"/>
                <w:szCs w:val="18"/>
                <w:lang w:val="en-US" w:bidi="ar-SA"/>
              </w:rPr>
              <w:t>8.</w:t>
            </w:r>
            <w:r>
              <w:rPr>
                <w:rFonts w:hint="eastAsia"/>
                <w:sz w:val="18"/>
                <w:szCs w:val="18"/>
                <w:lang w:val="en-US" w:bidi="ar-SA"/>
              </w:rPr>
              <w:t>安放排水管（包括打孔塑料管、横向排水管）</w:t>
            </w:r>
          </w:p>
          <w:p>
            <w:pPr>
              <w:widowControl/>
              <w:autoSpaceDE/>
              <w:autoSpaceDN/>
              <w:ind w:left="110" w:leftChars="50" w:right="110" w:rightChars="50"/>
              <w:jc w:val="both"/>
              <w:rPr>
                <w:sz w:val="18"/>
                <w:szCs w:val="18"/>
                <w:lang w:val="en-US" w:bidi="ar-SA"/>
              </w:rPr>
            </w:pPr>
            <w:r>
              <w:rPr>
                <w:sz w:val="18"/>
                <w:szCs w:val="18"/>
                <w:lang w:val="en-US" w:bidi="ar-SA"/>
              </w:rPr>
              <w:t>9.</w:t>
            </w:r>
            <w:r>
              <w:rPr>
                <w:rFonts w:hint="eastAsia"/>
                <w:sz w:val="18"/>
                <w:szCs w:val="18"/>
                <w:lang w:val="en-US" w:bidi="ar-SA"/>
              </w:rPr>
              <w:t>接头处理</w:t>
            </w:r>
          </w:p>
          <w:p>
            <w:pPr>
              <w:widowControl/>
              <w:autoSpaceDE/>
              <w:autoSpaceDN/>
              <w:ind w:left="110" w:leftChars="50" w:right="110" w:rightChars="50"/>
              <w:jc w:val="both"/>
              <w:rPr>
                <w:sz w:val="18"/>
                <w:szCs w:val="18"/>
                <w:lang w:val="en-US" w:bidi="ar-SA"/>
              </w:rPr>
            </w:pPr>
            <w:r>
              <w:rPr>
                <w:sz w:val="18"/>
                <w:szCs w:val="18"/>
                <w:lang w:val="en-US" w:bidi="ar-SA"/>
              </w:rPr>
              <w:t>10.</w:t>
            </w:r>
            <w:r>
              <w:rPr>
                <w:rFonts w:hint="eastAsia"/>
                <w:sz w:val="18"/>
                <w:szCs w:val="18"/>
                <w:lang w:val="en-US" w:bidi="ar-SA"/>
              </w:rPr>
              <w:t>回填、压实</w:t>
            </w:r>
          </w:p>
          <w:p>
            <w:pPr>
              <w:pStyle w:val="14"/>
              <w:ind w:left="110" w:leftChars="50" w:right="110" w:rightChars="50"/>
              <w:jc w:val="both"/>
              <w:rPr>
                <w:rFonts w:cs="Times New Roman"/>
                <w:sz w:val="18"/>
                <w:szCs w:val="18"/>
              </w:rPr>
            </w:pPr>
            <w:r>
              <w:rPr>
                <w:rFonts w:ascii="Times New Roman" w:hAnsi="Times New Roman" w:cs="Times New Roman"/>
                <w:kern w:val="2"/>
                <w:sz w:val="18"/>
                <w:szCs w:val="18"/>
                <w:lang w:val="en-US" w:bidi="ar-SA"/>
              </w:rPr>
              <w:t>11.</w:t>
            </w:r>
            <w:r>
              <w:rPr>
                <w:rFonts w:hint="eastAsia" w:ascii="Times New Roman" w:hAnsi="Times New Roman" w:cs="Times New Roman"/>
                <w:kern w:val="2"/>
                <w:sz w:val="18"/>
                <w:szCs w:val="18"/>
                <w:lang w:val="en-US" w:bidi="ar-SA"/>
              </w:rPr>
              <w:t>出水口处理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418-1</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竖、横向集中排水管（泄水管）</w:t>
            </w:r>
          </w:p>
        </w:tc>
        <w:tc>
          <w:tcPr>
            <w:tcW w:w="845" w:type="dxa"/>
            <w:vAlign w:val="center"/>
          </w:tcPr>
          <w:p>
            <w:pPr>
              <w:pStyle w:val="5"/>
              <w:jc w:val="center"/>
              <w:rPr>
                <w:sz w:val="21"/>
                <w:szCs w:val="20"/>
                <w:lang w:val="en-US"/>
              </w:rPr>
            </w:pPr>
            <w:r>
              <w:rPr>
                <w:rFonts w:hint="eastAsia"/>
                <w:sz w:val="21"/>
                <w:szCs w:val="20"/>
                <w:lang w:val="en-US"/>
              </w:rPr>
              <w:t>套</w:t>
            </w:r>
          </w:p>
        </w:tc>
        <w:tc>
          <w:tcPr>
            <w:tcW w:w="2582" w:type="dxa"/>
            <w:vAlign w:val="center"/>
          </w:tcPr>
          <w:p>
            <w:pPr>
              <w:pStyle w:val="5"/>
              <w:jc w:val="both"/>
              <w:rPr>
                <w:rFonts w:cs="Times New Roman"/>
              </w:rPr>
            </w:pPr>
            <w:r>
              <w:rPr>
                <w:rFonts w:hint="eastAsia" w:cs="Times New Roman"/>
              </w:rPr>
              <w:t>依据图纸所示位置及尺寸，铸铁泄水管以套为单位计量；接头、盖板、补强钢筋、玻纤格栅、钢槽、固定泄水管的金属构件、不予计量。</w:t>
            </w:r>
          </w:p>
        </w:tc>
        <w:tc>
          <w:tcPr>
            <w:tcW w:w="2877" w:type="dxa"/>
            <w:vAlign w:val="center"/>
          </w:tcPr>
          <w:p>
            <w:pPr>
              <w:pStyle w:val="14"/>
              <w:spacing w:line="300" w:lineRule="exact"/>
              <w:ind w:left="110" w:leftChars="50" w:right="110" w:rightChars="50"/>
              <w:jc w:val="both"/>
              <w:rPr>
                <w:rFonts w:cs="Times New Roman"/>
                <w:sz w:val="18"/>
                <w:szCs w:val="18"/>
              </w:rPr>
            </w:pPr>
            <w:r>
              <w:rPr>
                <w:rFonts w:hint="eastAsia" w:cs="Times New Roman"/>
                <w:sz w:val="18"/>
                <w:szCs w:val="18"/>
                <w:lang w:val="en-US"/>
              </w:rPr>
              <w:t>1.</w:t>
            </w:r>
            <w:r>
              <w:rPr>
                <w:rFonts w:hint="eastAsia" w:cs="Times New Roman"/>
                <w:sz w:val="18"/>
                <w:szCs w:val="18"/>
              </w:rPr>
              <w:t>场地清理</w:t>
            </w:r>
          </w:p>
          <w:p>
            <w:pPr>
              <w:pStyle w:val="14"/>
              <w:spacing w:line="300" w:lineRule="exact"/>
              <w:ind w:left="110" w:leftChars="50" w:right="110" w:rightChars="50"/>
              <w:jc w:val="both"/>
              <w:rPr>
                <w:rFonts w:cs="Times New Roman"/>
                <w:sz w:val="18"/>
                <w:szCs w:val="18"/>
              </w:rPr>
            </w:pPr>
            <w:r>
              <w:rPr>
                <w:rFonts w:hint="eastAsia" w:cs="Times New Roman"/>
                <w:sz w:val="18"/>
                <w:szCs w:val="18"/>
                <w:lang w:val="en-US"/>
              </w:rPr>
              <w:t>2.</w:t>
            </w:r>
            <w:r>
              <w:rPr>
                <w:rFonts w:hint="eastAsia" w:cs="Times New Roman"/>
                <w:sz w:val="18"/>
                <w:szCs w:val="18"/>
              </w:rPr>
              <w:t>安拆作业平台</w:t>
            </w:r>
          </w:p>
          <w:p>
            <w:pPr>
              <w:pStyle w:val="14"/>
              <w:spacing w:line="300" w:lineRule="exact"/>
              <w:ind w:left="110" w:leftChars="50" w:right="110" w:rightChars="50"/>
              <w:jc w:val="both"/>
              <w:rPr>
                <w:rFonts w:cs="Times New Roman"/>
                <w:sz w:val="18"/>
                <w:szCs w:val="18"/>
              </w:rPr>
            </w:pPr>
            <w:r>
              <w:rPr>
                <w:rFonts w:hint="eastAsia" w:cs="Times New Roman"/>
                <w:sz w:val="18"/>
                <w:szCs w:val="18"/>
                <w:lang w:val="en-US"/>
              </w:rPr>
              <w:t>3.</w:t>
            </w:r>
            <w:r>
              <w:rPr>
                <w:rFonts w:hint="eastAsia" w:cs="Times New Roman"/>
                <w:sz w:val="18"/>
                <w:szCs w:val="18"/>
              </w:rPr>
              <w:t>钻孔安设排水管锚固件</w:t>
            </w:r>
          </w:p>
          <w:p>
            <w:pPr>
              <w:pStyle w:val="14"/>
              <w:spacing w:line="300" w:lineRule="exact"/>
              <w:ind w:left="110" w:leftChars="50" w:right="110" w:rightChars="50"/>
              <w:jc w:val="both"/>
              <w:rPr>
                <w:rFonts w:cs="Times New Roman"/>
                <w:sz w:val="18"/>
                <w:szCs w:val="18"/>
              </w:rPr>
            </w:pPr>
            <w:r>
              <w:rPr>
                <w:rFonts w:hint="eastAsia" w:cs="Times New Roman"/>
                <w:sz w:val="18"/>
                <w:szCs w:val="18"/>
                <w:lang w:val="en-US"/>
              </w:rPr>
              <w:t>4.</w:t>
            </w:r>
            <w:r>
              <w:rPr>
                <w:rFonts w:hint="eastAsia" w:cs="Times New Roman"/>
                <w:sz w:val="18"/>
                <w:szCs w:val="18"/>
              </w:rPr>
              <w:t>安设排水设施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1"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419-1-4</w:t>
            </w:r>
          </w:p>
        </w:tc>
        <w:tc>
          <w:tcPr>
            <w:tcW w:w="2503" w:type="dxa"/>
            <w:vAlign w:val="center"/>
          </w:tcPr>
          <w:p>
            <w:pPr>
              <w:pStyle w:val="14"/>
              <w:ind w:left="110" w:leftChars="50" w:right="110" w:rightChars="50"/>
              <w:jc w:val="left"/>
              <w:rPr>
                <w:rFonts w:cs="Times New Roman"/>
                <w:sz w:val="18"/>
                <w:szCs w:val="18"/>
              </w:rPr>
            </w:pPr>
            <w:r>
              <w:rPr>
                <w:rFonts w:hint="eastAsia" w:cs="Times New Roman"/>
                <w:sz w:val="18"/>
                <w:szCs w:val="18"/>
              </w:rPr>
              <w:t>1-Φ1.5</w:t>
            </w:r>
          </w:p>
        </w:tc>
        <w:tc>
          <w:tcPr>
            <w:tcW w:w="845" w:type="dxa"/>
            <w:vMerge w:val="restart"/>
            <w:vAlign w:val="center"/>
          </w:tcPr>
          <w:p>
            <w:pPr>
              <w:pStyle w:val="5"/>
              <w:jc w:val="center"/>
              <w:rPr>
                <w:sz w:val="21"/>
                <w:szCs w:val="20"/>
                <w:lang w:val="en-US"/>
              </w:rPr>
            </w:pPr>
            <w:r>
              <w:rPr>
                <w:rFonts w:hint="eastAsia"/>
                <w:sz w:val="21"/>
                <w:szCs w:val="20"/>
                <w:lang w:val="en-US"/>
              </w:rPr>
              <w:t>m</w:t>
            </w:r>
          </w:p>
        </w:tc>
        <w:tc>
          <w:tcPr>
            <w:tcW w:w="2582" w:type="dxa"/>
            <w:vMerge w:val="restart"/>
            <w:vAlign w:val="center"/>
          </w:tcPr>
          <w:p>
            <w:pPr>
              <w:pStyle w:val="14"/>
              <w:ind w:left="110" w:leftChars="50" w:right="110" w:rightChars="50"/>
              <w:jc w:val="both"/>
              <w:rPr>
                <w:sz w:val="18"/>
                <w:szCs w:val="18"/>
              </w:rPr>
            </w:pPr>
            <w:r>
              <w:rPr>
                <w:sz w:val="18"/>
                <w:szCs w:val="18"/>
              </w:rPr>
              <w:t>1.依据图纸所示，按不同孔径的涵身长度( 进出口端墙外侧间距离，不包括渡槽)计算，</w:t>
            </w:r>
            <w:r>
              <w:rPr>
                <w:rFonts w:hint="eastAsia"/>
                <w:sz w:val="18"/>
                <w:szCs w:val="18"/>
              </w:rPr>
              <w:t>按合同单价计算合价后分次</w:t>
            </w:r>
            <w:r>
              <w:rPr>
                <w:sz w:val="18"/>
                <w:szCs w:val="18"/>
              </w:rPr>
              <w:t>以米为单位计量</w:t>
            </w:r>
            <w:r>
              <w:rPr>
                <w:rFonts w:hint="eastAsia"/>
                <w:sz w:val="18"/>
                <w:szCs w:val="18"/>
              </w:rPr>
              <w:t xml:space="preserve"> ，其中合价的30%在基础浇筑或砌筑完成后计量，余下的70％，待全部工程完成后计量</w:t>
            </w:r>
            <w:r>
              <w:rPr>
                <w:sz w:val="18"/>
                <w:szCs w:val="18"/>
              </w:rPr>
              <w:t xml:space="preserve">                                          </w:t>
            </w:r>
          </w:p>
          <w:p>
            <w:pPr>
              <w:pStyle w:val="14"/>
              <w:ind w:left="110" w:leftChars="50" w:right="110" w:rightChars="50"/>
              <w:jc w:val="both"/>
              <w:rPr>
                <w:sz w:val="18"/>
                <w:szCs w:val="18"/>
              </w:rPr>
            </w:pPr>
            <w:r>
              <w:rPr>
                <w:sz w:val="18"/>
                <w:szCs w:val="18"/>
              </w:rPr>
              <w:t>2.基底软基处理参照第205 节的相关规定计量，并列入第 205节相应子目</w:t>
            </w:r>
          </w:p>
          <w:p>
            <w:pPr>
              <w:pStyle w:val="14"/>
              <w:ind w:left="110" w:leftChars="50" w:right="110" w:rightChars="50"/>
              <w:jc w:val="both"/>
              <w:rPr>
                <w:sz w:val="18"/>
                <w:szCs w:val="18"/>
              </w:rPr>
            </w:pPr>
            <w:r>
              <w:rPr>
                <w:sz w:val="18"/>
                <w:szCs w:val="18"/>
              </w:rPr>
              <w:t>3.台背回填在204-1相应子目计量</w:t>
            </w:r>
          </w:p>
          <w:p>
            <w:pPr>
              <w:pStyle w:val="14"/>
              <w:ind w:left="110" w:leftChars="50" w:right="110" w:rightChars="50"/>
              <w:jc w:val="both"/>
              <w:rPr>
                <w:sz w:val="18"/>
                <w:szCs w:val="18"/>
              </w:rPr>
            </w:pPr>
            <w:r>
              <w:rPr>
                <w:rFonts w:hint="eastAsia"/>
                <w:sz w:val="18"/>
                <w:szCs w:val="18"/>
              </w:rPr>
              <w:t>4.渡槽作为圆管涵的附属工作不另行计量</w:t>
            </w:r>
          </w:p>
        </w:tc>
        <w:tc>
          <w:tcPr>
            <w:tcW w:w="2877" w:type="dxa"/>
            <w:vMerge w:val="restart"/>
            <w:vAlign w:val="center"/>
          </w:tcPr>
          <w:p>
            <w:pPr>
              <w:pStyle w:val="14"/>
              <w:ind w:left="110" w:leftChars="50" w:right="110" w:rightChars="50"/>
              <w:jc w:val="both"/>
              <w:rPr>
                <w:sz w:val="18"/>
                <w:szCs w:val="18"/>
              </w:rPr>
            </w:pPr>
            <w:r>
              <w:rPr>
                <w:sz w:val="18"/>
                <w:szCs w:val="18"/>
              </w:rPr>
              <w:t>1.基坑排水</w:t>
            </w:r>
          </w:p>
          <w:p>
            <w:pPr>
              <w:pStyle w:val="14"/>
              <w:ind w:left="110" w:leftChars="50" w:right="110" w:rightChars="50"/>
              <w:jc w:val="both"/>
              <w:rPr>
                <w:sz w:val="18"/>
                <w:szCs w:val="18"/>
              </w:rPr>
            </w:pPr>
            <w:r>
              <w:rPr>
                <w:sz w:val="18"/>
                <w:szCs w:val="18"/>
              </w:rPr>
              <w:t>2.挖基、基底清理</w:t>
            </w:r>
          </w:p>
          <w:p>
            <w:pPr>
              <w:pStyle w:val="14"/>
              <w:ind w:left="110" w:leftChars="50" w:right="110" w:rightChars="50"/>
              <w:jc w:val="both"/>
              <w:rPr>
                <w:sz w:val="18"/>
                <w:szCs w:val="18"/>
              </w:rPr>
            </w:pPr>
            <w:r>
              <w:rPr>
                <w:sz w:val="18"/>
                <w:szCs w:val="18"/>
              </w:rPr>
              <w:t>3.基座砌筑或浇筑</w:t>
            </w:r>
          </w:p>
          <w:p>
            <w:pPr>
              <w:pStyle w:val="14"/>
              <w:ind w:left="110" w:leftChars="50" w:right="110" w:rightChars="50"/>
              <w:jc w:val="both"/>
              <w:rPr>
                <w:sz w:val="18"/>
                <w:szCs w:val="18"/>
              </w:rPr>
            </w:pPr>
            <w:r>
              <w:rPr>
                <w:sz w:val="18"/>
                <w:szCs w:val="18"/>
              </w:rPr>
              <w:t>4.垫层材料铺筑</w:t>
            </w:r>
          </w:p>
          <w:p>
            <w:pPr>
              <w:pStyle w:val="14"/>
              <w:ind w:left="110" w:leftChars="50" w:right="110" w:rightChars="50"/>
              <w:jc w:val="both"/>
              <w:rPr>
                <w:sz w:val="18"/>
                <w:szCs w:val="18"/>
              </w:rPr>
            </w:pPr>
            <w:r>
              <w:rPr>
                <w:sz w:val="18"/>
                <w:szCs w:val="18"/>
              </w:rPr>
              <w:t>5.钢筋制作安装</w:t>
            </w:r>
          </w:p>
          <w:p>
            <w:pPr>
              <w:pStyle w:val="14"/>
              <w:ind w:left="110" w:leftChars="50" w:right="110" w:rightChars="50"/>
              <w:jc w:val="both"/>
              <w:rPr>
                <w:sz w:val="18"/>
                <w:szCs w:val="18"/>
              </w:rPr>
            </w:pPr>
            <w:r>
              <w:rPr>
                <w:sz w:val="18"/>
                <w:szCs w:val="18"/>
              </w:rPr>
              <w:t>6.预制或现浇钢筋混凝土管</w:t>
            </w:r>
          </w:p>
          <w:p>
            <w:pPr>
              <w:pStyle w:val="14"/>
              <w:ind w:left="110" w:leftChars="50" w:right="110" w:rightChars="50"/>
              <w:jc w:val="both"/>
              <w:rPr>
                <w:sz w:val="18"/>
                <w:szCs w:val="18"/>
              </w:rPr>
            </w:pPr>
            <w:r>
              <w:rPr>
                <w:sz w:val="18"/>
                <w:szCs w:val="18"/>
              </w:rPr>
              <w:t>7.铺涂防水层</w:t>
            </w:r>
          </w:p>
          <w:p>
            <w:pPr>
              <w:pStyle w:val="14"/>
              <w:ind w:left="110" w:leftChars="50" w:right="110" w:rightChars="50"/>
              <w:jc w:val="both"/>
              <w:rPr>
                <w:sz w:val="18"/>
                <w:szCs w:val="18"/>
              </w:rPr>
            </w:pPr>
            <w:r>
              <w:rPr>
                <w:sz w:val="18"/>
                <w:szCs w:val="18"/>
              </w:rPr>
              <w:t>8.安装、接缝</w:t>
            </w:r>
          </w:p>
          <w:p>
            <w:pPr>
              <w:pStyle w:val="14"/>
              <w:ind w:left="110" w:leftChars="50" w:right="110" w:rightChars="50"/>
              <w:jc w:val="both"/>
              <w:rPr>
                <w:sz w:val="18"/>
                <w:szCs w:val="18"/>
              </w:rPr>
            </w:pPr>
            <w:r>
              <w:rPr>
                <w:sz w:val="18"/>
                <w:szCs w:val="18"/>
              </w:rPr>
              <w:t>9.砌筑进出口(端墙、翼</w:t>
            </w:r>
          </w:p>
          <w:p>
            <w:pPr>
              <w:widowControl/>
              <w:autoSpaceDE/>
              <w:autoSpaceDN/>
              <w:ind w:left="110" w:leftChars="50" w:right="110" w:rightChars="50"/>
              <w:jc w:val="both"/>
              <w:rPr>
                <w:sz w:val="18"/>
                <w:szCs w:val="18"/>
                <w:lang w:val="en-US" w:bidi="ar-SA"/>
              </w:rPr>
            </w:pPr>
            <w:r>
              <w:rPr>
                <w:sz w:val="18"/>
                <w:szCs w:val="18"/>
                <w:lang w:val="en-US" w:bidi="ar-SA"/>
              </w:rPr>
              <w:t>墙、八字墙井口)</w:t>
            </w:r>
          </w:p>
          <w:p>
            <w:pPr>
              <w:widowControl/>
              <w:autoSpaceDE/>
              <w:autoSpaceDN/>
              <w:ind w:left="110" w:leftChars="50" w:right="110" w:rightChars="50"/>
              <w:jc w:val="both"/>
              <w:rPr>
                <w:sz w:val="18"/>
                <w:szCs w:val="18"/>
                <w:lang w:val="en-US" w:bidi="ar-SA"/>
              </w:rPr>
            </w:pPr>
            <w:r>
              <w:rPr>
                <w:sz w:val="18"/>
                <w:szCs w:val="18"/>
                <w:lang w:val="en-US" w:bidi="ar-SA"/>
              </w:rPr>
              <w:t>10.防水、防冻、防腐措施</w:t>
            </w:r>
          </w:p>
          <w:p>
            <w:pPr>
              <w:pStyle w:val="14"/>
              <w:ind w:left="110" w:leftChars="50" w:right="110" w:rightChars="50"/>
              <w:jc w:val="both"/>
              <w:rPr>
                <w:sz w:val="18"/>
                <w:szCs w:val="18"/>
                <w:lang w:val="en-US"/>
              </w:rPr>
            </w:pPr>
            <w:r>
              <w:rPr>
                <w:rFonts w:ascii="Times New Roman" w:hAnsi="Times New Roman" w:cs="Times New Roman"/>
                <w:kern w:val="2"/>
                <w:sz w:val="18"/>
                <w:szCs w:val="18"/>
                <w:lang w:val="en-US" w:bidi="ar-SA"/>
              </w:rPr>
              <w:t>11.回填</w:t>
            </w:r>
            <w:r>
              <w:rPr>
                <w:rFonts w:hint="eastAsia" w:ascii="Times New Roman" w:hAnsi="Times New Roman" w:cs="Times New Roman"/>
                <w:kern w:val="2"/>
                <w:sz w:val="18"/>
                <w:szCs w:val="18"/>
                <w:lang w:val="en-US" w:bidi="ar-SA"/>
              </w:rPr>
              <w:t>（不含台背回填）</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419-1-5</w:t>
            </w:r>
          </w:p>
        </w:tc>
        <w:tc>
          <w:tcPr>
            <w:tcW w:w="2503" w:type="dxa"/>
            <w:vAlign w:val="center"/>
          </w:tcPr>
          <w:p>
            <w:pPr>
              <w:pStyle w:val="14"/>
              <w:ind w:left="110" w:leftChars="50" w:right="110" w:rightChars="50"/>
              <w:jc w:val="left"/>
              <w:rPr>
                <w:rFonts w:cs="Times New Roman"/>
                <w:sz w:val="18"/>
                <w:szCs w:val="18"/>
              </w:rPr>
            </w:pPr>
            <w:r>
              <w:rPr>
                <w:rFonts w:hint="eastAsia" w:cs="Times New Roman"/>
                <w:sz w:val="18"/>
                <w:szCs w:val="18"/>
              </w:rPr>
              <w:t>1-Φ1.2</w:t>
            </w:r>
          </w:p>
        </w:tc>
        <w:tc>
          <w:tcPr>
            <w:tcW w:w="845" w:type="dxa"/>
            <w:vMerge w:val="continue"/>
            <w:vAlign w:val="center"/>
          </w:tcPr>
          <w:p>
            <w:pPr>
              <w:pStyle w:val="5"/>
              <w:jc w:val="center"/>
              <w:rPr>
                <w:sz w:val="21"/>
                <w:szCs w:val="20"/>
                <w:lang w:val="en-US"/>
              </w:rPr>
            </w:pPr>
          </w:p>
        </w:tc>
        <w:tc>
          <w:tcPr>
            <w:tcW w:w="2582" w:type="dxa"/>
            <w:vMerge w:val="continue"/>
            <w:vAlign w:val="center"/>
          </w:tcPr>
          <w:p>
            <w:pPr>
              <w:pStyle w:val="14"/>
              <w:ind w:left="110" w:leftChars="50" w:right="110" w:rightChars="50"/>
              <w:jc w:val="both"/>
              <w:rPr>
                <w:sz w:val="18"/>
                <w:szCs w:val="18"/>
              </w:rPr>
            </w:pPr>
          </w:p>
        </w:tc>
        <w:tc>
          <w:tcPr>
            <w:tcW w:w="2877" w:type="dxa"/>
            <w:vMerge w:val="continue"/>
            <w:vAlign w:val="center"/>
          </w:tcPr>
          <w:p>
            <w:pPr>
              <w:pStyle w:val="14"/>
              <w:ind w:left="110" w:leftChars="50" w:right="110" w:rightChars="50"/>
              <w:jc w:val="both"/>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rFonts w:cs="Times New Roman"/>
                <w:sz w:val="18"/>
                <w:szCs w:val="18"/>
              </w:rPr>
            </w:pPr>
            <w:r>
              <w:rPr>
                <w:rFonts w:cs="Times New Roman"/>
                <w:sz w:val="18"/>
                <w:szCs w:val="18"/>
              </w:rPr>
              <w:t>502-2-9</w:t>
            </w:r>
            <w:r>
              <w:rPr>
                <w:rFonts w:hint="eastAsia" w:cs="Times New Roman"/>
                <w:sz w:val="18"/>
                <w:szCs w:val="18"/>
              </w:rPr>
              <w:t>-2</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Φ</w:t>
            </w:r>
            <w:r>
              <w:rPr>
                <w:rFonts w:cs="Times New Roman"/>
                <w:sz w:val="18"/>
                <w:szCs w:val="18"/>
              </w:rPr>
              <w:t>80mm(软式透水管)</w:t>
            </w:r>
          </w:p>
        </w:tc>
        <w:tc>
          <w:tcPr>
            <w:tcW w:w="845" w:type="dxa"/>
            <w:vAlign w:val="center"/>
          </w:tcPr>
          <w:p>
            <w:pPr>
              <w:pStyle w:val="5"/>
              <w:jc w:val="center"/>
              <w:rPr>
                <w:sz w:val="21"/>
                <w:szCs w:val="20"/>
                <w:lang w:val="en-US"/>
              </w:rPr>
            </w:pPr>
            <w:r>
              <w:rPr>
                <w:rFonts w:hint="eastAsia"/>
                <w:sz w:val="21"/>
                <w:szCs w:val="20"/>
                <w:lang w:val="en-US"/>
              </w:rPr>
              <w:t>m</w:t>
            </w:r>
          </w:p>
        </w:tc>
        <w:tc>
          <w:tcPr>
            <w:tcW w:w="2582" w:type="dxa"/>
            <w:vAlign w:val="center"/>
          </w:tcPr>
          <w:p>
            <w:pPr>
              <w:pStyle w:val="14"/>
              <w:ind w:left="110" w:leftChars="50" w:right="110" w:rightChars="50"/>
              <w:jc w:val="both"/>
              <w:rPr>
                <w:rFonts w:cs="Times New Roman"/>
                <w:sz w:val="18"/>
                <w:szCs w:val="18"/>
              </w:rPr>
            </w:pPr>
            <w:r>
              <w:rPr>
                <w:rFonts w:hint="eastAsia" w:cs="Times New Roman"/>
                <w:sz w:val="18"/>
                <w:szCs w:val="18"/>
              </w:rPr>
              <w:t>依据图纸所示位置及引水</w:t>
            </w:r>
          </w:p>
          <w:p>
            <w:pPr>
              <w:pStyle w:val="14"/>
              <w:ind w:left="110" w:leftChars="50" w:right="110" w:rightChars="50"/>
              <w:jc w:val="both"/>
              <w:rPr>
                <w:rFonts w:cs="Times New Roman"/>
                <w:sz w:val="18"/>
                <w:szCs w:val="18"/>
              </w:rPr>
            </w:pPr>
            <w:r>
              <w:rPr>
                <w:rFonts w:hint="eastAsia" w:cs="Times New Roman"/>
                <w:sz w:val="18"/>
                <w:szCs w:val="18"/>
              </w:rPr>
              <w:t>管材质，按照不同管径长</w:t>
            </w:r>
          </w:p>
          <w:p>
            <w:pPr>
              <w:pStyle w:val="14"/>
              <w:ind w:left="110" w:leftChars="50" w:right="110" w:rightChars="50"/>
              <w:jc w:val="both"/>
              <w:rPr>
                <w:rFonts w:cs="Times New Roman"/>
                <w:sz w:val="18"/>
                <w:szCs w:val="18"/>
              </w:rPr>
            </w:pPr>
            <w:r>
              <w:rPr>
                <w:rFonts w:hint="eastAsia" w:cs="Times New Roman"/>
                <w:sz w:val="18"/>
                <w:szCs w:val="18"/>
              </w:rPr>
              <w:t>度以米为单位计量</w:t>
            </w:r>
          </w:p>
        </w:tc>
        <w:tc>
          <w:tcPr>
            <w:tcW w:w="2877" w:type="dxa"/>
            <w:vAlign w:val="center"/>
          </w:tcPr>
          <w:p>
            <w:pPr>
              <w:pStyle w:val="14"/>
              <w:spacing w:line="300" w:lineRule="exact"/>
              <w:ind w:left="110" w:leftChars="50" w:right="110" w:rightChars="50"/>
              <w:jc w:val="both"/>
              <w:rPr>
                <w:rFonts w:cs="Times New Roman"/>
                <w:sz w:val="18"/>
                <w:szCs w:val="18"/>
              </w:rPr>
            </w:pPr>
            <w:r>
              <w:rPr>
                <w:rFonts w:hint="eastAsia" w:cs="Times New Roman"/>
                <w:sz w:val="18"/>
                <w:szCs w:val="18"/>
              </w:rPr>
              <w:t>1..基坑开挖整型</w:t>
            </w:r>
          </w:p>
          <w:p>
            <w:pPr>
              <w:pStyle w:val="14"/>
              <w:spacing w:line="300" w:lineRule="exact"/>
              <w:ind w:left="110" w:leftChars="50" w:right="110" w:rightChars="50"/>
              <w:jc w:val="both"/>
              <w:rPr>
                <w:rFonts w:cs="Times New Roman"/>
                <w:sz w:val="18"/>
                <w:szCs w:val="18"/>
              </w:rPr>
            </w:pPr>
            <w:r>
              <w:rPr>
                <w:rFonts w:cs="Times New Roman"/>
                <w:sz w:val="18"/>
                <w:szCs w:val="18"/>
              </w:rPr>
              <w:t>2</w:t>
            </w:r>
            <w:r>
              <w:rPr>
                <w:rFonts w:hint="eastAsia" w:cs="Times New Roman"/>
                <w:sz w:val="18"/>
                <w:szCs w:val="18"/>
              </w:rPr>
              <w:t>.</w:t>
            </w:r>
            <w:r>
              <w:rPr>
                <w:rFonts w:cs="Times New Roman"/>
                <w:sz w:val="18"/>
                <w:szCs w:val="18"/>
              </w:rPr>
              <w:t>铺设垫层</w:t>
            </w:r>
          </w:p>
          <w:p>
            <w:pPr>
              <w:pStyle w:val="14"/>
              <w:spacing w:line="300" w:lineRule="exact"/>
              <w:ind w:left="110" w:leftChars="50" w:right="110" w:rightChars="50"/>
              <w:jc w:val="both"/>
              <w:rPr>
                <w:rFonts w:cs="Times New Roman"/>
                <w:sz w:val="18"/>
                <w:szCs w:val="18"/>
              </w:rPr>
            </w:pPr>
            <w:r>
              <w:rPr>
                <w:rFonts w:cs="Times New Roman"/>
                <w:sz w:val="18"/>
                <w:szCs w:val="18"/>
              </w:rPr>
              <w:t>3</w:t>
            </w:r>
            <w:r>
              <w:rPr>
                <w:rFonts w:hint="eastAsia" w:cs="Times New Roman"/>
                <w:sz w:val="18"/>
                <w:szCs w:val="18"/>
              </w:rPr>
              <w:t>.</w:t>
            </w:r>
            <w:r>
              <w:rPr>
                <w:rFonts w:cs="Times New Roman"/>
                <w:sz w:val="18"/>
                <w:szCs w:val="18"/>
              </w:rPr>
              <w:t>安设引水管</w:t>
            </w:r>
          </w:p>
          <w:p>
            <w:pPr>
              <w:pStyle w:val="14"/>
              <w:spacing w:line="300" w:lineRule="exact"/>
              <w:ind w:left="110" w:leftChars="50" w:right="110" w:rightChars="50"/>
              <w:jc w:val="both"/>
              <w:rPr>
                <w:rFonts w:cs="Times New Roman"/>
                <w:sz w:val="18"/>
                <w:szCs w:val="18"/>
              </w:rPr>
            </w:pPr>
            <w:r>
              <w:rPr>
                <w:rFonts w:cs="Times New Roman"/>
                <w:sz w:val="18"/>
                <w:szCs w:val="18"/>
              </w:rPr>
              <w:t>4</w:t>
            </w:r>
            <w:r>
              <w:rPr>
                <w:rFonts w:hint="eastAsia" w:cs="Times New Roman"/>
                <w:sz w:val="18"/>
                <w:szCs w:val="18"/>
              </w:rPr>
              <w:t>.</w:t>
            </w:r>
            <w:r>
              <w:rPr>
                <w:rFonts w:cs="Times New Roman"/>
                <w:sz w:val="18"/>
                <w:szCs w:val="18"/>
              </w:rPr>
              <w:t>接头处理</w:t>
            </w:r>
          </w:p>
          <w:p>
            <w:pPr>
              <w:pStyle w:val="14"/>
              <w:spacing w:line="300" w:lineRule="exact"/>
              <w:ind w:left="110" w:leftChars="50" w:right="110" w:rightChars="50"/>
              <w:jc w:val="both"/>
              <w:rPr>
                <w:rFonts w:cs="Times New Roman"/>
                <w:sz w:val="18"/>
                <w:szCs w:val="18"/>
              </w:rPr>
            </w:pPr>
            <w:r>
              <w:rPr>
                <w:rFonts w:hint="eastAsia" w:cs="Times New Roman"/>
                <w:sz w:val="18"/>
                <w:szCs w:val="18"/>
              </w:rPr>
              <w:t>5．土工布包裹</w:t>
            </w:r>
          </w:p>
          <w:p>
            <w:pPr>
              <w:pStyle w:val="14"/>
              <w:spacing w:line="300" w:lineRule="exact"/>
              <w:ind w:left="110" w:leftChars="50" w:right="110" w:rightChars="50"/>
              <w:jc w:val="both"/>
              <w:rPr>
                <w:rFonts w:cs="Times New Roman"/>
                <w:sz w:val="18"/>
                <w:szCs w:val="18"/>
              </w:rPr>
            </w:pPr>
            <w:r>
              <w:rPr>
                <w:rFonts w:hint="eastAsia" w:cs="Times New Roman"/>
                <w:sz w:val="18"/>
                <w:szCs w:val="18"/>
                <w:lang w:val="en-US"/>
              </w:rPr>
              <w:t>6</w:t>
            </w:r>
            <w:r>
              <w:rPr>
                <w:rFonts w:hint="eastAsia" w:cs="Times New Roman"/>
                <w:sz w:val="18"/>
                <w:szCs w:val="18"/>
              </w:rPr>
              <w:t>.</w:t>
            </w:r>
            <w:r>
              <w:rPr>
                <w:rFonts w:cs="Times New Roman"/>
                <w:sz w:val="18"/>
                <w:szCs w:val="18"/>
              </w:rPr>
              <w:t>回填</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both"/>
              <w:rPr>
                <w:rFonts w:cs="Times New Roman"/>
                <w:sz w:val="18"/>
                <w:szCs w:val="18"/>
              </w:rPr>
            </w:pPr>
            <w:r>
              <w:rPr>
                <w:rFonts w:hint="eastAsia" w:cs="Times New Roman"/>
                <w:sz w:val="18"/>
                <w:szCs w:val="18"/>
              </w:rPr>
              <w:t>502-2-9-5</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Φ300mmHDPE管</w:t>
            </w:r>
          </w:p>
        </w:tc>
        <w:tc>
          <w:tcPr>
            <w:tcW w:w="845" w:type="dxa"/>
            <w:vAlign w:val="center"/>
          </w:tcPr>
          <w:p>
            <w:pPr>
              <w:pStyle w:val="5"/>
              <w:jc w:val="center"/>
              <w:rPr>
                <w:sz w:val="21"/>
                <w:szCs w:val="20"/>
                <w:lang w:val="en-US"/>
              </w:rPr>
            </w:pPr>
            <w:r>
              <w:rPr>
                <w:rFonts w:hint="eastAsia"/>
                <w:sz w:val="21"/>
                <w:szCs w:val="20"/>
                <w:lang w:val="en-US"/>
              </w:rPr>
              <w:t>m</w:t>
            </w:r>
          </w:p>
        </w:tc>
        <w:tc>
          <w:tcPr>
            <w:tcW w:w="2582" w:type="dxa"/>
            <w:vAlign w:val="center"/>
          </w:tcPr>
          <w:p>
            <w:pPr>
              <w:pStyle w:val="14"/>
              <w:ind w:left="110" w:leftChars="50" w:right="110" w:rightChars="50"/>
              <w:jc w:val="both"/>
              <w:rPr>
                <w:rFonts w:cs="Times New Roman"/>
                <w:sz w:val="18"/>
                <w:szCs w:val="18"/>
              </w:rPr>
            </w:pPr>
            <w:r>
              <w:rPr>
                <w:rFonts w:hint="eastAsia" w:cs="Times New Roman"/>
                <w:sz w:val="18"/>
                <w:szCs w:val="18"/>
              </w:rPr>
              <w:t>依据图纸所示位置及引水</w:t>
            </w:r>
          </w:p>
          <w:p>
            <w:pPr>
              <w:pStyle w:val="14"/>
              <w:ind w:left="110" w:leftChars="50" w:right="110" w:rightChars="50"/>
              <w:jc w:val="both"/>
              <w:rPr>
                <w:rFonts w:cs="Times New Roman"/>
                <w:sz w:val="18"/>
                <w:szCs w:val="18"/>
              </w:rPr>
            </w:pPr>
            <w:r>
              <w:rPr>
                <w:rFonts w:hint="eastAsia" w:cs="Times New Roman"/>
                <w:sz w:val="18"/>
                <w:szCs w:val="18"/>
              </w:rPr>
              <w:t>管材质，按照不同管径长</w:t>
            </w:r>
          </w:p>
          <w:p>
            <w:pPr>
              <w:pStyle w:val="14"/>
              <w:ind w:left="110" w:leftChars="50" w:right="110" w:rightChars="50"/>
              <w:jc w:val="both"/>
              <w:rPr>
                <w:rFonts w:cs="Times New Roman"/>
                <w:sz w:val="18"/>
                <w:szCs w:val="18"/>
              </w:rPr>
            </w:pPr>
            <w:r>
              <w:rPr>
                <w:rFonts w:hint="eastAsia" w:cs="Times New Roman"/>
                <w:sz w:val="18"/>
                <w:szCs w:val="18"/>
              </w:rPr>
              <w:t>度以米为单位计量</w:t>
            </w:r>
          </w:p>
        </w:tc>
        <w:tc>
          <w:tcPr>
            <w:tcW w:w="2877" w:type="dxa"/>
            <w:vAlign w:val="center"/>
          </w:tcPr>
          <w:p>
            <w:pPr>
              <w:pStyle w:val="14"/>
              <w:spacing w:line="300" w:lineRule="exact"/>
              <w:ind w:left="110" w:leftChars="50" w:right="110" w:rightChars="50"/>
              <w:jc w:val="both"/>
              <w:rPr>
                <w:rFonts w:cs="Times New Roman"/>
                <w:sz w:val="18"/>
                <w:szCs w:val="18"/>
              </w:rPr>
            </w:pPr>
            <w:r>
              <w:rPr>
                <w:rFonts w:cs="Times New Roman"/>
                <w:sz w:val="18"/>
                <w:szCs w:val="18"/>
              </w:rPr>
              <w:t>1.基坑开挖整型</w:t>
            </w:r>
          </w:p>
          <w:p>
            <w:pPr>
              <w:pStyle w:val="14"/>
              <w:spacing w:line="300" w:lineRule="exact"/>
              <w:ind w:left="110" w:leftChars="50" w:right="110" w:rightChars="50"/>
              <w:jc w:val="both"/>
              <w:rPr>
                <w:rFonts w:cs="Times New Roman"/>
                <w:sz w:val="18"/>
                <w:szCs w:val="18"/>
              </w:rPr>
            </w:pPr>
            <w:r>
              <w:rPr>
                <w:rFonts w:cs="Times New Roman"/>
                <w:sz w:val="18"/>
                <w:szCs w:val="18"/>
              </w:rPr>
              <w:t>2.铺设垫层</w:t>
            </w:r>
          </w:p>
          <w:p>
            <w:pPr>
              <w:pStyle w:val="14"/>
              <w:spacing w:line="300" w:lineRule="exact"/>
              <w:ind w:left="110" w:leftChars="50" w:right="110" w:rightChars="50"/>
              <w:jc w:val="both"/>
              <w:rPr>
                <w:rFonts w:cs="Times New Roman"/>
                <w:sz w:val="18"/>
                <w:szCs w:val="18"/>
              </w:rPr>
            </w:pPr>
            <w:r>
              <w:rPr>
                <w:rFonts w:cs="Times New Roman"/>
                <w:sz w:val="18"/>
                <w:szCs w:val="18"/>
              </w:rPr>
              <w:t>3.安设排水管</w:t>
            </w:r>
          </w:p>
          <w:p>
            <w:pPr>
              <w:pStyle w:val="14"/>
              <w:spacing w:line="300" w:lineRule="exact"/>
              <w:ind w:left="110" w:leftChars="50" w:right="110" w:rightChars="50"/>
              <w:jc w:val="both"/>
              <w:rPr>
                <w:rFonts w:cs="Times New Roman"/>
                <w:sz w:val="18"/>
                <w:szCs w:val="18"/>
              </w:rPr>
            </w:pPr>
            <w:r>
              <w:rPr>
                <w:rFonts w:cs="Times New Roman"/>
                <w:sz w:val="18"/>
                <w:szCs w:val="18"/>
              </w:rPr>
              <w:t>4.接头处理</w:t>
            </w:r>
          </w:p>
          <w:p>
            <w:pPr>
              <w:pStyle w:val="14"/>
              <w:spacing w:line="300" w:lineRule="exact"/>
              <w:ind w:left="110" w:leftChars="50" w:right="110" w:rightChars="50"/>
              <w:jc w:val="both"/>
              <w:rPr>
                <w:rFonts w:cs="Times New Roman"/>
                <w:sz w:val="18"/>
                <w:szCs w:val="18"/>
              </w:rPr>
            </w:pPr>
            <w:r>
              <w:rPr>
                <w:rFonts w:cs="Times New Roman"/>
                <w:sz w:val="18"/>
                <w:szCs w:val="18"/>
              </w:rPr>
              <w:t>5.回填</w:t>
            </w:r>
            <w:r>
              <w:rPr>
                <w:rFonts w:hint="eastAsia" w:cs="Times New Roman"/>
                <w:sz w:val="18"/>
                <w:szCs w:val="18"/>
              </w:rPr>
              <w:t>(包括土工材料)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504-5-1-3</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钢筋网</w:t>
            </w:r>
          </w:p>
        </w:tc>
        <w:tc>
          <w:tcPr>
            <w:tcW w:w="845" w:type="dxa"/>
            <w:vAlign w:val="center"/>
          </w:tcPr>
          <w:p>
            <w:pPr>
              <w:pStyle w:val="5"/>
              <w:jc w:val="center"/>
              <w:rPr>
                <w:sz w:val="21"/>
                <w:szCs w:val="20"/>
                <w:lang w:val="en-US"/>
              </w:rPr>
            </w:pPr>
            <w:r>
              <w:rPr>
                <w:rFonts w:hint="eastAsia"/>
                <w:sz w:val="21"/>
                <w:szCs w:val="20"/>
                <w:lang w:val="en-US"/>
              </w:rPr>
              <w:t>Kg</w:t>
            </w:r>
          </w:p>
        </w:tc>
        <w:tc>
          <w:tcPr>
            <w:tcW w:w="2582" w:type="dxa"/>
            <w:vAlign w:val="center"/>
          </w:tcPr>
          <w:p>
            <w:pPr>
              <w:pStyle w:val="14"/>
              <w:ind w:left="110" w:leftChars="50" w:right="110" w:rightChars="50"/>
              <w:jc w:val="both"/>
              <w:rPr>
                <w:rFonts w:cs="Times New Roman"/>
                <w:sz w:val="18"/>
                <w:szCs w:val="18"/>
              </w:rPr>
            </w:pPr>
          </w:p>
        </w:tc>
        <w:tc>
          <w:tcPr>
            <w:tcW w:w="2877" w:type="dxa"/>
            <w:vAlign w:val="center"/>
          </w:tcPr>
          <w:p>
            <w:pPr>
              <w:pStyle w:val="14"/>
              <w:spacing w:line="300" w:lineRule="exact"/>
              <w:ind w:left="110" w:leftChars="50" w:right="110" w:rightChars="50"/>
              <w:jc w:val="both"/>
              <w:rPr>
                <w:rFonts w:cs="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rFonts w:cs="Times New Roman"/>
                <w:sz w:val="18"/>
                <w:szCs w:val="18"/>
              </w:rPr>
            </w:pPr>
            <w:r>
              <w:rPr>
                <w:rFonts w:cs="Times New Roman"/>
                <w:sz w:val="18"/>
                <w:szCs w:val="18"/>
              </w:rPr>
              <w:t>505-1-2</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混凝土排水管</w:t>
            </w:r>
          </w:p>
        </w:tc>
        <w:tc>
          <w:tcPr>
            <w:tcW w:w="845" w:type="dxa"/>
            <w:vAlign w:val="center"/>
          </w:tcPr>
          <w:p>
            <w:pPr>
              <w:pStyle w:val="5"/>
              <w:jc w:val="center"/>
              <w:rPr>
                <w:sz w:val="21"/>
                <w:szCs w:val="20"/>
                <w:lang w:val="en-US"/>
              </w:rPr>
            </w:pPr>
          </w:p>
        </w:tc>
        <w:tc>
          <w:tcPr>
            <w:tcW w:w="2582" w:type="dxa"/>
            <w:vAlign w:val="center"/>
          </w:tcPr>
          <w:p>
            <w:pPr>
              <w:pStyle w:val="14"/>
              <w:ind w:left="110" w:leftChars="50" w:right="110" w:rightChars="50"/>
              <w:jc w:val="both"/>
              <w:rPr>
                <w:rFonts w:cs="Times New Roman"/>
                <w:sz w:val="18"/>
                <w:szCs w:val="18"/>
              </w:rPr>
            </w:pPr>
          </w:p>
        </w:tc>
        <w:tc>
          <w:tcPr>
            <w:tcW w:w="2877" w:type="dxa"/>
            <w:vAlign w:val="center"/>
          </w:tcPr>
          <w:p>
            <w:pPr>
              <w:pStyle w:val="14"/>
              <w:spacing w:line="300" w:lineRule="exact"/>
              <w:ind w:left="110" w:leftChars="50" w:right="110" w:rightChars="50"/>
              <w:jc w:val="both"/>
              <w:rPr>
                <w:rFonts w:cs="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93" w:hRule="atLeast"/>
        </w:trPr>
        <w:tc>
          <w:tcPr>
            <w:tcW w:w="1549" w:type="dxa"/>
            <w:vAlign w:val="center"/>
          </w:tcPr>
          <w:p>
            <w:pPr>
              <w:pStyle w:val="14"/>
              <w:ind w:left="110" w:leftChars="50" w:right="110" w:rightChars="50"/>
              <w:jc w:val="center"/>
              <w:rPr>
                <w:rFonts w:cs="Times New Roman"/>
                <w:sz w:val="18"/>
                <w:szCs w:val="18"/>
              </w:rPr>
            </w:pPr>
            <w:r>
              <w:rPr>
                <w:rFonts w:cs="Times New Roman"/>
                <w:sz w:val="18"/>
                <w:szCs w:val="18"/>
              </w:rPr>
              <w:t>505-1-2-1</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Φ</w:t>
            </w:r>
            <w:r>
              <w:rPr>
                <w:rFonts w:cs="Times New Roman"/>
                <w:sz w:val="18"/>
                <w:szCs w:val="18"/>
              </w:rPr>
              <w:t>150钢筋混凝土排水管</w:t>
            </w:r>
          </w:p>
        </w:tc>
        <w:tc>
          <w:tcPr>
            <w:tcW w:w="845" w:type="dxa"/>
            <w:vAlign w:val="center"/>
          </w:tcPr>
          <w:p>
            <w:pPr>
              <w:pStyle w:val="5"/>
              <w:jc w:val="center"/>
              <w:rPr>
                <w:sz w:val="21"/>
                <w:szCs w:val="20"/>
                <w:lang w:val="en-US"/>
              </w:rPr>
            </w:pPr>
            <w:r>
              <w:rPr>
                <w:rFonts w:hint="eastAsia"/>
                <w:sz w:val="21"/>
                <w:szCs w:val="20"/>
                <w:lang w:val="en-US"/>
              </w:rPr>
              <w:t>m</w:t>
            </w:r>
          </w:p>
        </w:tc>
        <w:tc>
          <w:tcPr>
            <w:tcW w:w="2582" w:type="dxa"/>
            <w:vMerge w:val="restart"/>
            <w:vAlign w:val="center"/>
          </w:tcPr>
          <w:p>
            <w:pPr>
              <w:pStyle w:val="14"/>
              <w:ind w:left="110" w:leftChars="50" w:right="110" w:rightChars="50"/>
              <w:jc w:val="both"/>
              <w:rPr>
                <w:rFonts w:cs="Times New Roman"/>
                <w:sz w:val="18"/>
                <w:szCs w:val="18"/>
              </w:rPr>
            </w:pPr>
            <w:r>
              <w:rPr>
                <w:rFonts w:hint="eastAsia" w:cs="Times New Roman"/>
                <w:sz w:val="18"/>
                <w:szCs w:val="18"/>
              </w:rPr>
              <w:t>依据图纸所示位置及引水</w:t>
            </w:r>
          </w:p>
          <w:p>
            <w:pPr>
              <w:pStyle w:val="14"/>
              <w:ind w:left="110" w:leftChars="50" w:right="110" w:rightChars="50"/>
              <w:jc w:val="both"/>
              <w:rPr>
                <w:rFonts w:cs="Times New Roman"/>
                <w:sz w:val="18"/>
                <w:szCs w:val="18"/>
              </w:rPr>
            </w:pPr>
            <w:r>
              <w:rPr>
                <w:rFonts w:hint="eastAsia" w:cs="Times New Roman"/>
                <w:sz w:val="18"/>
                <w:szCs w:val="18"/>
              </w:rPr>
              <w:t>管材质，按照不同管径长</w:t>
            </w:r>
          </w:p>
          <w:p>
            <w:pPr>
              <w:pStyle w:val="14"/>
              <w:ind w:left="110" w:leftChars="50" w:right="110" w:rightChars="50"/>
              <w:jc w:val="both"/>
              <w:rPr>
                <w:rFonts w:cs="Times New Roman"/>
                <w:sz w:val="18"/>
                <w:szCs w:val="18"/>
              </w:rPr>
            </w:pPr>
            <w:r>
              <w:rPr>
                <w:rFonts w:hint="eastAsia" w:cs="Times New Roman"/>
                <w:sz w:val="18"/>
                <w:szCs w:val="18"/>
              </w:rPr>
              <w:t>度以米为单位计量</w:t>
            </w:r>
          </w:p>
        </w:tc>
        <w:tc>
          <w:tcPr>
            <w:tcW w:w="2877" w:type="dxa"/>
            <w:vMerge w:val="restart"/>
            <w:vAlign w:val="center"/>
          </w:tcPr>
          <w:p>
            <w:pPr>
              <w:pStyle w:val="14"/>
              <w:spacing w:line="300" w:lineRule="exact"/>
              <w:ind w:left="110" w:leftChars="50" w:right="110" w:rightChars="50"/>
              <w:jc w:val="both"/>
              <w:rPr>
                <w:rFonts w:cs="Times New Roman"/>
                <w:sz w:val="18"/>
                <w:szCs w:val="18"/>
              </w:rPr>
            </w:pPr>
            <w:r>
              <w:rPr>
                <w:rFonts w:cs="Times New Roman"/>
                <w:sz w:val="18"/>
                <w:szCs w:val="18"/>
              </w:rPr>
              <w:t>1.基坑开挖整型</w:t>
            </w:r>
          </w:p>
          <w:p>
            <w:pPr>
              <w:pStyle w:val="14"/>
              <w:spacing w:line="300" w:lineRule="exact"/>
              <w:ind w:left="110" w:leftChars="50" w:right="110" w:rightChars="50"/>
              <w:jc w:val="both"/>
              <w:rPr>
                <w:rFonts w:cs="Times New Roman"/>
                <w:sz w:val="18"/>
                <w:szCs w:val="18"/>
              </w:rPr>
            </w:pPr>
            <w:r>
              <w:rPr>
                <w:rFonts w:cs="Times New Roman"/>
                <w:sz w:val="18"/>
                <w:szCs w:val="18"/>
              </w:rPr>
              <w:t>2.铺设垫层</w:t>
            </w:r>
          </w:p>
          <w:p>
            <w:pPr>
              <w:pStyle w:val="14"/>
              <w:spacing w:line="300" w:lineRule="exact"/>
              <w:ind w:left="110" w:leftChars="50" w:right="110" w:rightChars="50"/>
              <w:jc w:val="both"/>
              <w:rPr>
                <w:rFonts w:cs="Times New Roman"/>
                <w:sz w:val="18"/>
                <w:szCs w:val="18"/>
              </w:rPr>
            </w:pPr>
            <w:r>
              <w:rPr>
                <w:rFonts w:cs="Times New Roman"/>
                <w:sz w:val="18"/>
                <w:szCs w:val="18"/>
              </w:rPr>
              <w:t>3.安设排水管</w:t>
            </w:r>
          </w:p>
          <w:p>
            <w:pPr>
              <w:pStyle w:val="14"/>
              <w:spacing w:line="300" w:lineRule="exact"/>
              <w:ind w:left="110" w:leftChars="50" w:right="110" w:rightChars="50"/>
              <w:jc w:val="both"/>
              <w:rPr>
                <w:rFonts w:cs="Times New Roman"/>
                <w:sz w:val="18"/>
                <w:szCs w:val="18"/>
              </w:rPr>
            </w:pPr>
            <w:r>
              <w:rPr>
                <w:rFonts w:cs="Times New Roman"/>
                <w:sz w:val="18"/>
                <w:szCs w:val="18"/>
              </w:rPr>
              <w:t>4.接头处理</w:t>
            </w:r>
          </w:p>
          <w:p>
            <w:pPr>
              <w:pStyle w:val="14"/>
              <w:spacing w:line="300" w:lineRule="exact"/>
              <w:ind w:left="110" w:leftChars="50" w:right="110" w:rightChars="50"/>
              <w:jc w:val="both"/>
              <w:rPr>
                <w:rFonts w:cs="Times New Roman"/>
                <w:sz w:val="18"/>
                <w:szCs w:val="18"/>
              </w:rPr>
            </w:pPr>
            <w:r>
              <w:rPr>
                <w:rFonts w:cs="Times New Roman"/>
                <w:sz w:val="18"/>
                <w:szCs w:val="18"/>
              </w:rPr>
              <w:t>5.回填</w:t>
            </w:r>
            <w:r>
              <w:rPr>
                <w:rFonts w:hint="eastAsia" w:cs="Times New Roman"/>
                <w:sz w:val="18"/>
                <w:szCs w:val="18"/>
              </w:rPr>
              <w:t>(包括土工材料)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8" w:hRule="atLeast"/>
        </w:trPr>
        <w:tc>
          <w:tcPr>
            <w:tcW w:w="1549" w:type="dxa"/>
            <w:vAlign w:val="center"/>
          </w:tcPr>
          <w:p>
            <w:pPr>
              <w:pStyle w:val="14"/>
              <w:ind w:left="110" w:leftChars="50" w:right="110" w:rightChars="50"/>
              <w:jc w:val="center"/>
              <w:rPr>
                <w:rFonts w:cs="Times New Roman"/>
                <w:sz w:val="18"/>
                <w:szCs w:val="18"/>
              </w:rPr>
            </w:pPr>
            <w:r>
              <w:rPr>
                <w:rFonts w:cs="Times New Roman"/>
                <w:sz w:val="18"/>
                <w:szCs w:val="18"/>
              </w:rPr>
              <w:t>505-1-2-3</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Φ</w:t>
            </w:r>
            <w:r>
              <w:rPr>
                <w:rFonts w:cs="Times New Roman"/>
                <w:sz w:val="18"/>
                <w:szCs w:val="18"/>
              </w:rPr>
              <w:t>400钢筋混凝土排水管</w:t>
            </w:r>
          </w:p>
        </w:tc>
        <w:tc>
          <w:tcPr>
            <w:tcW w:w="845" w:type="dxa"/>
            <w:vAlign w:val="center"/>
          </w:tcPr>
          <w:p>
            <w:pPr>
              <w:pStyle w:val="5"/>
              <w:jc w:val="center"/>
              <w:rPr>
                <w:sz w:val="21"/>
                <w:szCs w:val="20"/>
                <w:lang w:val="en-US"/>
              </w:rPr>
            </w:pPr>
            <w:r>
              <w:rPr>
                <w:rFonts w:hint="eastAsia"/>
                <w:sz w:val="21"/>
                <w:szCs w:val="20"/>
                <w:lang w:val="en-US"/>
              </w:rPr>
              <w:t>m</w:t>
            </w:r>
          </w:p>
        </w:tc>
        <w:tc>
          <w:tcPr>
            <w:tcW w:w="2582" w:type="dxa"/>
            <w:vMerge w:val="continue"/>
            <w:vAlign w:val="center"/>
          </w:tcPr>
          <w:p>
            <w:pPr>
              <w:pStyle w:val="14"/>
              <w:ind w:left="110" w:leftChars="50" w:right="110" w:rightChars="50"/>
              <w:jc w:val="both"/>
              <w:rPr>
                <w:rFonts w:cs="Times New Roman"/>
                <w:sz w:val="18"/>
                <w:szCs w:val="18"/>
              </w:rPr>
            </w:pPr>
          </w:p>
        </w:tc>
        <w:tc>
          <w:tcPr>
            <w:tcW w:w="2877" w:type="dxa"/>
            <w:vMerge w:val="continue"/>
            <w:vAlign w:val="center"/>
          </w:tcPr>
          <w:p>
            <w:pPr>
              <w:pStyle w:val="14"/>
              <w:spacing w:line="300" w:lineRule="exact"/>
              <w:ind w:left="110" w:leftChars="50" w:right="110" w:rightChars="50"/>
              <w:jc w:val="both"/>
              <w:rPr>
                <w:rFonts w:cs="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505-1-13-3</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水泥水玻璃双液浆</w:t>
            </w:r>
          </w:p>
        </w:tc>
        <w:tc>
          <w:tcPr>
            <w:tcW w:w="845" w:type="dxa"/>
            <w:vAlign w:val="center"/>
          </w:tcPr>
          <w:p>
            <w:pPr>
              <w:pStyle w:val="5"/>
              <w:jc w:val="center"/>
              <w:rPr>
                <w:sz w:val="21"/>
                <w:szCs w:val="20"/>
              </w:rPr>
            </w:pPr>
            <w:r>
              <w:rPr>
                <w:rFonts w:hint="eastAsia"/>
                <w:sz w:val="21"/>
                <w:szCs w:val="20"/>
                <w:lang w:val="en-US"/>
              </w:rPr>
              <w:t>m³</w:t>
            </w:r>
          </w:p>
        </w:tc>
        <w:tc>
          <w:tcPr>
            <w:tcW w:w="2582" w:type="dxa"/>
            <w:vAlign w:val="center"/>
          </w:tcPr>
          <w:p>
            <w:pPr>
              <w:pStyle w:val="14"/>
              <w:ind w:left="110" w:leftChars="50" w:right="110" w:rightChars="50"/>
              <w:jc w:val="both"/>
              <w:rPr>
                <w:rFonts w:cs="Times New Roman"/>
                <w:sz w:val="18"/>
                <w:szCs w:val="18"/>
              </w:rPr>
            </w:pPr>
            <w:r>
              <w:rPr>
                <w:rFonts w:hint="eastAsia" w:cs="Times New Roman"/>
                <w:sz w:val="18"/>
                <w:szCs w:val="18"/>
              </w:rPr>
              <w:t>依据设计图纸位置，按掺</w:t>
            </w:r>
          </w:p>
          <w:p>
            <w:pPr>
              <w:pStyle w:val="14"/>
              <w:ind w:left="110" w:leftChars="50" w:right="110" w:rightChars="50"/>
              <w:jc w:val="both"/>
              <w:rPr>
                <w:rFonts w:cs="Times New Roman"/>
                <w:sz w:val="18"/>
                <w:szCs w:val="18"/>
              </w:rPr>
            </w:pPr>
            <w:r>
              <w:rPr>
                <w:rFonts w:hint="eastAsia" w:cs="Times New Roman"/>
                <w:sz w:val="18"/>
                <w:szCs w:val="18"/>
              </w:rPr>
              <w:t>加的水泥水玻璃双液浆体积以立方米为单位计</w:t>
            </w:r>
          </w:p>
        </w:tc>
        <w:tc>
          <w:tcPr>
            <w:tcW w:w="2877" w:type="dxa"/>
            <w:vAlign w:val="center"/>
          </w:tcPr>
          <w:p>
            <w:pPr>
              <w:pStyle w:val="14"/>
              <w:spacing w:line="300" w:lineRule="exact"/>
              <w:ind w:left="110" w:leftChars="50" w:right="110" w:rightChars="50"/>
              <w:jc w:val="both"/>
              <w:rPr>
                <w:rFonts w:cs="Times New Roman"/>
                <w:sz w:val="18"/>
                <w:szCs w:val="18"/>
              </w:rPr>
            </w:pPr>
            <w:r>
              <w:rPr>
                <w:rFonts w:cs="Times New Roman"/>
                <w:sz w:val="18"/>
                <w:szCs w:val="18"/>
              </w:rPr>
              <w:t>1.场地清理</w:t>
            </w:r>
          </w:p>
          <w:p>
            <w:pPr>
              <w:pStyle w:val="14"/>
              <w:spacing w:line="300" w:lineRule="exact"/>
              <w:ind w:left="110" w:leftChars="50" w:right="110" w:rightChars="50"/>
              <w:jc w:val="both"/>
              <w:rPr>
                <w:rFonts w:cs="Times New Roman"/>
                <w:sz w:val="18"/>
                <w:szCs w:val="18"/>
              </w:rPr>
            </w:pPr>
            <w:r>
              <w:rPr>
                <w:rFonts w:cs="Times New Roman"/>
                <w:sz w:val="18"/>
                <w:szCs w:val="18"/>
              </w:rPr>
              <w:t>2.搭、拆、移作业平台</w:t>
            </w:r>
          </w:p>
          <w:p>
            <w:pPr>
              <w:pStyle w:val="14"/>
              <w:spacing w:line="300" w:lineRule="exact"/>
              <w:ind w:left="110" w:leftChars="50" w:right="110" w:rightChars="50"/>
              <w:jc w:val="both"/>
              <w:rPr>
                <w:rFonts w:cs="Times New Roman"/>
                <w:sz w:val="18"/>
                <w:szCs w:val="18"/>
              </w:rPr>
            </w:pPr>
            <w:r>
              <w:rPr>
                <w:rFonts w:cs="Times New Roman"/>
                <w:sz w:val="18"/>
                <w:szCs w:val="18"/>
              </w:rPr>
              <w:t>3.钻孔</w:t>
            </w:r>
          </w:p>
          <w:p>
            <w:pPr>
              <w:pStyle w:val="14"/>
              <w:spacing w:line="300" w:lineRule="exact"/>
              <w:ind w:left="110" w:leftChars="50" w:right="110" w:rightChars="50"/>
              <w:jc w:val="both"/>
              <w:rPr>
                <w:rFonts w:cs="Times New Roman"/>
                <w:sz w:val="18"/>
                <w:szCs w:val="18"/>
              </w:rPr>
            </w:pPr>
            <w:r>
              <w:rPr>
                <w:rFonts w:cs="Times New Roman"/>
                <w:sz w:val="18"/>
                <w:szCs w:val="18"/>
              </w:rPr>
              <w:t>4.顶进注浆钢管</w:t>
            </w:r>
          </w:p>
          <w:p>
            <w:pPr>
              <w:pStyle w:val="14"/>
              <w:spacing w:line="300" w:lineRule="exact"/>
              <w:ind w:left="110" w:leftChars="50" w:right="110" w:rightChars="50"/>
              <w:jc w:val="both"/>
              <w:rPr>
                <w:rFonts w:cs="Times New Roman"/>
                <w:sz w:val="18"/>
                <w:szCs w:val="18"/>
              </w:rPr>
            </w:pPr>
            <w:r>
              <w:rPr>
                <w:rFonts w:cs="Times New Roman"/>
                <w:sz w:val="18"/>
                <w:szCs w:val="18"/>
              </w:rPr>
              <w:t>5.配、拌、运浆液</w:t>
            </w:r>
          </w:p>
          <w:p>
            <w:pPr>
              <w:pStyle w:val="14"/>
              <w:spacing w:line="300" w:lineRule="exact"/>
              <w:ind w:left="110" w:leftChars="50" w:right="110" w:rightChars="50"/>
              <w:jc w:val="both"/>
              <w:rPr>
                <w:rFonts w:cs="Times New Roman"/>
                <w:sz w:val="18"/>
                <w:szCs w:val="18"/>
              </w:rPr>
            </w:pPr>
            <w:r>
              <w:rPr>
                <w:rFonts w:cs="Times New Roman"/>
                <w:sz w:val="18"/>
                <w:szCs w:val="18"/>
              </w:rPr>
              <w:t>6.压浆、堵孔</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rFonts w:cs="Times New Roman"/>
                <w:sz w:val="18"/>
                <w:szCs w:val="18"/>
              </w:rPr>
            </w:pPr>
            <w:r>
              <w:rPr>
                <w:rFonts w:hint="eastAsia" w:cs="Times New Roman"/>
                <w:sz w:val="18"/>
                <w:szCs w:val="18"/>
              </w:rPr>
              <w:t>505-1-14</w:t>
            </w:r>
          </w:p>
        </w:tc>
        <w:tc>
          <w:tcPr>
            <w:tcW w:w="2503" w:type="dxa"/>
            <w:vAlign w:val="center"/>
          </w:tcPr>
          <w:p>
            <w:pPr>
              <w:pStyle w:val="14"/>
              <w:ind w:left="110" w:leftChars="50" w:right="110" w:rightChars="50"/>
              <w:jc w:val="both"/>
              <w:rPr>
                <w:rFonts w:cs="Times New Roman"/>
                <w:sz w:val="18"/>
                <w:szCs w:val="18"/>
              </w:rPr>
            </w:pPr>
            <w:r>
              <w:rPr>
                <w:rFonts w:hint="eastAsia" w:cs="Times New Roman"/>
                <w:sz w:val="18"/>
                <w:szCs w:val="18"/>
              </w:rPr>
              <w:t>土工布（400g/㎡）</w:t>
            </w:r>
          </w:p>
        </w:tc>
        <w:tc>
          <w:tcPr>
            <w:tcW w:w="845" w:type="dxa"/>
            <w:vAlign w:val="center"/>
          </w:tcPr>
          <w:p>
            <w:pPr>
              <w:pStyle w:val="5"/>
              <w:jc w:val="center"/>
              <w:rPr>
                <w:sz w:val="21"/>
                <w:szCs w:val="20"/>
                <w:lang w:val="en-US"/>
              </w:rPr>
            </w:pPr>
            <w:r>
              <w:rPr>
                <w:rFonts w:hint="eastAsia"/>
                <w:sz w:val="21"/>
                <w:szCs w:val="20"/>
                <w:lang w:val="en-US"/>
              </w:rPr>
              <w:t>㎡</w:t>
            </w:r>
          </w:p>
        </w:tc>
        <w:tc>
          <w:tcPr>
            <w:tcW w:w="2582" w:type="dxa"/>
            <w:vAlign w:val="center"/>
          </w:tcPr>
          <w:p>
            <w:pPr>
              <w:pStyle w:val="14"/>
              <w:ind w:left="110" w:leftChars="50" w:right="110" w:rightChars="50"/>
              <w:jc w:val="both"/>
              <w:rPr>
                <w:rFonts w:cs="Times New Roman"/>
                <w:sz w:val="18"/>
                <w:szCs w:val="18"/>
              </w:rPr>
            </w:pPr>
            <w:r>
              <w:rPr>
                <w:rFonts w:cs="Times New Roman"/>
                <w:sz w:val="18"/>
                <w:szCs w:val="18"/>
              </w:rPr>
              <w:t>1.依据图纸所示的位置及</w:t>
            </w:r>
          </w:p>
          <w:p>
            <w:pPr>
              <w:pStyle w:val="14"/>
              <w:ind w:left="110" w:leftChars="50" w:right="110" w:rightChars="50"/>
              <w:jc w:val="both"/>
              <w:rPr>
                <w:rFonts w:cs="Times New Roman"/>
                <w:sz w:val="18"/>
                <w:szCs w:val="18"/>
              </w:rPr>
            </w:pPr>
            <w:r>
              <w:rPr>
                <w:rFonts w:hint="eastAsia" w:cs="Times New Roman"/>
                <w:sz w:val="18"/>
                <w:szCs w:val="18"/>
              </w:rPr>
              <w:t>规格，按铺设的防水材料</w:t>
            </w:r>
          </w:p>
          <w:p>
            <w:pPr>
              <w:pStyle w:val="14"/>
              <w:ind w:left="110" w:leftChars="50" w:right="110" w:rightChars="50"/>
              <w:jc w:val="both"/>
              <w:rPr>
                <w:rFonts w:cs="Times New Roman"/>
                <w:sz w:val="18"/>
                <w:szCs w:val="18"/>
              </w:rPr>
            </w:pPr>
            <w:r>
              <w:rPr>
                <w:rFonts w:hint="eastAsia" w:cs="Times New Roman"/>
                <w:sz w:val="18"/>
                <w:szCs w:val="18"/>
              </w:rPr>
              <w:t>面积，分不同材质以平方</w:t>
            </w:r>
          </w:p>
          <w:p>
            <w:pPr>
              <w:pStyle w:val="14"/>
              <w:ind w:left="110" w:leftChars="50" w:right="110" w:rightChars="50"/>
              <w:jc w:val="both"/>
              <w:rPr>
                <w:rFonts w:cs="Times New Roman"/>
                <w:sz w:val="18"/>
                <w:szCs w:val="18"/>
              </w:rPr>
            </w:pPr>
            <w:r>
              <w:rPr>
                <w:rFonts w:hint="eastAsia" w:cs="Times New Roman"/>
                <w:sz w:val="18"/>
                <w:szCs w:val="18"/>
              </w:rPr>
              <w:t>米为单位计量</w:t>
            </w:r>
          </w:p>
          <w:p>
            <w:pPr>
              <w:pStyle w:val="14"/>
              <w:ind w:left="110" w:leftChars="50" w:right="110" w:rightChars="50"/>
              <w:jc w:val="both"/>
              <w:rPr>
                <w:rFonts w:cs="Times New Roman"/>
                <w:sz w:val="18"/>
                <w:szCs w:val="18"/>
              </w:rPr>
            </w:pPr>
            <w:r>
              <w:rPr>
                <w:rFonts w:cs="Times New Roman"/>
                <w:sz w:val="18"/>
                <w:szCs w:val="18"/>
              </w:rPr>
              <w:t>2.接缝的重叠面积和边缘</w:t>
            </w:r>
          </w:p>
          <w:p>
            <w:pPr>
              <w:pStyle w:val="14"/>
              <w:ind w:left="110" w:leftChars="50" w:right="110" w:rightChars="50"/>
              <w:jc w:val="both"/>
              <w:rPr>
                <w:rFonts w:cs="Times New Roman"/>
                <w:sz w:val="18"/>
                <w:szCs w:val="18"/>
              </w:rPr>
            </w:pPr>
            <w:r>
              <w:rPr>
                <w:rFonts w:hint="eastAsia" w:cs="Times New Roman"/>
                <w:sz w:val="18"/>
                <w:szCs w:val="18"/>
              </w:rPr>
              <w:t>的包裹面积不予计量</w:t>
            </w:r>
          </w:p>
        </w:tc>
        <w:tc>
          <w:tcPr>
            <w:tcW w:w="2877" w:type="dxa"/>
            <w:vAlign w:val="center"/>
          </w:tcPr>
          <w:p>
            <w:pPr>
              <w:pStyle w:val="14"/>
              <w:spacing w:line="300" w:lineRule="exact"/>
              <w:ind w:left="110" w:leftChars="50" w:right="110" w:rightChars="50"/>
              <w:jc w:val="both"/>
              <w:rPr>
                <w:rFonts w:cs="Times New Roman"/>
                <w:sz w:val="18"/>
                <w:szCs w:val="18"/>
              </w:rPr>
            </w:pPr>
            <w:r>
              <w:rPr>
                <w:rFonts w:hint="eastAsia" w:cs="Times New Roman"/>
                <w:sz w:val="18"/>
                <w:szCs w:val="18"/>
              </w:rPr>
              <w:t>1</w:t>
            </w:r>
            <w:r>
              <w:rPr>
                <w:rFonts w:cs="Times New Roman"/>
                <w:sz w:val="18"/>
                <w:szCs w:val="18"/>
              </w:rPr>
              <w:t>.场地清理</w:t>
            </w:r>
          </w:p>
          <w:p>
            <w:pPr>
              <w:pStyle w:val="14"/>
              <w:spacing w:line="300" w:lineRule="exact"/>
              <w:ind w:left="110" w:leftChars="50" w:right="110" w:rightChars="50"/>
              <w:jc w:val="both"/>
              <w:rPr>
                <w:rFonts w:cs="Times New Roman"/>
                <w:sz w:val="18"/>
                <w:szCs w:val="18"/>
              </w:rPr>
            </w:pPr>
            <w:r>
              <w:rPr>
                <w:rFonts w:cs="Times New Roman"/>
                <w:sz w:val="18"/>
                <w:szCs w:val="18"/>
              </w:rPr>
              <w:t>2.防水材料铺设、固定</w:t>
            </w:r>
          </w:p>
          <w:p>
            <w:pPr>
              <w:pStyle w:val="14"/>
              <w:spacing w:line="300" w:lineRule="exact"/>
              <w:ind w:left="110" w:leftChars="50" w:right="110" w:rightChars="50"/>
              <w:jc w:val="both"/>
              <w:rPr>
                <w:rFonts w:cs="Times New Roman"/>
                <w:sz w:val="18"/>
                <w:szCs w:val="18"/>
              </w:rPr>
            </w:pPr>
            <w:r>
              <w:rPr>
                <w:rFonts w:cs="Times New Roman"/>
                <w:sz w:val="18"/>
                <w:szCs w:val="18"/>
              </w:rPr>
              <w:t>3.接缝处理（搭接、缝接、</w:t>
            </w:r>
            <w:r>
              <w:rPr>
                <w:rFonts w:hint="eastAsia" w:cs="Times New Roman"/>
                <w:sz w:val="18"/>
                <w:szCs w:val="18"/>
              </w:rPr>
              <w:t>粘结）</w:t>
            </w:r>
          </w:p>
          <w:p>
            <w:pPr>
              <w:pStyle w:val="14"/>
              <w:spacing w:line="300" w:lineRule="exact"/>
              <w:ind w:left="110" w:leftChars="50" w:right="110" w:rightChars="50"/>
              <w:jc w:val="both"/>
              <w:rPr>
                <w:rFonts w:cs="Times New Roman"/>
                <w:sz w:val="18"/>
                <w:szCs w:val="18"/>
              </w:rPr>
            </w:pPr>
            <w:r>
              <w:rPr>
                <w:rFonts w:cs="Times New Roman"/>
                <w:sz w:val="18"/>
                <w:szCs w:val="18"/>
              </w:rPr>
              <w:t>4.边缘处理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1549" w:type="dxa"/>
            <w:vAlign w:val="center"/>
          </w:tcPr>
          <w:p>
            <w:pPr>
              <w:pStyle w:val="14"/>
              <w:ind w:left="110" w:leftChars="50" w:right="110" w:rightChars="50"/>
              <w:jc w:val="center"/>
              <w:rPr>
                <w:sz w:val="21"/>
                <w:szCs w:val="20"/>
                <w:lang w:val="en-US"/>
              </w:rPr>
            </w:pPr>
            <w:r>
              <w:rPr>
                <w:rFonts w:hint="eastAsia" w:cs="Times New Roman"/>
                <w:sz w:val="18"/>
                <w:szCs w:val="18"/>
              </w:rPr>
              <w:t>510-1</w:t>
            </w:r>
          </w:p>
        </w:tc>
        <w:tc>
          <w:tcPr>
            <w:tcW w:w="2503" w:type="dxa"/>
            <w:vAlign w:val="center"/>
          </w:tcPr>
          <w:p>
            <w:pPr>
              <w:pStyle w:val="14"/>
              <w:ind w:left="110" w:leftChars="50" w:right="110" w:rightChars="50"/>
              <w:jc w:val="both"/>
              <w:rPr>
                <w:sz w:val="21"/>
                <w:szCs w:val="20"/>
                <w:lang w:val="en-US"/>
              </w:rPr>
            </w:pPr>
            <w:r>
              <w:rPr>
                <w:rFonts w:hint="eastAsia" w:cs="Times New Roman"/>
                <w:sz w:val="18"/>
                <w:szCs w:val="18"/>
              </w:rPr>
              <w:t>预埋件</w:t>
            </w:r>
          </w:p>
        </w:tc>
        <w:tc>
          <w:tcPr>
            <w:tcW w:w="845" w:type="dxa"/>
            <w:vAlign w:val="center"/>
          </w:tcPr>
          <w:p>
            <w:pPr>
              <w:pStyle w:val="5"/>
              <w:jc w:val="center"/>
              <w:rPr>
                <w:sz w:val="21"/>
                <w:szCs w:val="20"/>
                <w:lang w:val="en-US"/>
              </w:rPr>
            </w:pPr>
          </w:p>
        </w:tc>
        <w:tc>
          <w:tcPr>
            <w:tcW w:w="2582" w:type="dxa"/>
            <w:vAlign w:val="center"/>
          </w:tcPr>
          <w:p>
            <w:pPr>
              <w:pStyle w:val="14"/>
              <w:ind w:left="110" w:leftChars="50" w:right="110" w:rightChars="50"/>
              <w:jc w:val="both"/>
              <w:rPr>
                <w:rFonts w:cs="Times New Roman"/>
                <w:sz w:val="18"/>
                <w:szCs w:val="18"/>
              </w:rPr>
            </w:pPr>
            <w:r>
              <w:rPr>
                <w:rFonts w:hint="eastAsia" w:cs="Times New Roman"/>
                <w:sz w:val="18"/>
                <w:szCs w:val="18"/>
              </w:rPr>
              <w:t>依据图纸所示位置和断面尺寸，按照材料表所列的金属结构预埋件质量以千克或米或个为单位计量</w:t>
            </w:r>
          </w:p>
          <w:p>
            <w:pPr>
              <w:pStyle w:val="14"/>
              <w:ind w:left="110" w:leftChars="50" w:right="110" w:rightChars="50"/>
              <w:jc w:val="both"/>
              <w:rPr>
                <w:rFonts w:cs="Times New Roman"/>
                <w:sz w:val="18"/>
                <w:szCs w:val="18"/>
              </w:rPr>
            </w:pPr>
            <w:r>
              <w:rPr>
                <w:rFonts w:hint="eastAsia" w:cs="Times New Roman"/>
                <w:sz w:val="18"/>
                <w:szCs w:val="18"/>
              </w:rPr>
              <w:t>金属结构接头、螺栓、螺母、垫片、固定及定位材料作为金属结构预埋件的附属工作，不单独计量</w:t>
            </w:r>
          </w:p>
          <w:p>
            <w:pPr>
              <w:pStyle w:val="14"/>
              <w:ind w:left="110" w:leftChars="50" w:right="110" w:rightChars="50"/>
              <w:jc w:val="both"/>
              <w:rPr>
                <w:rFonts w:cs="Times New Roman"/>
                <w:sz w:val="18"/>
                <w:szCs w:val="18"/>
              </w:rPr>
            </w:pPr>
            <w:r>
              <w:rPr>
                <w:rFonts w:hint="eastAsia" w:cs="Times New Roman"/>
                <w:sz w:val="18"/>
                <w:szCs w:val="18"/>
              </w:rPr>
              <w:t>非金属结构预埋件作为预埋件的附属工作，不单独计量</w:t>
            </w:r>
          </w:p>
        </w:tc>
        <w:tc>
          <w:tcPr>
            <w:tcW w:w="2877" w:type="dxa"/>
            <w:vAlign w:val="center"/>
          </w:tcPr>
          <w:p>
            <w:pPr>
              <w:pStyle w:val="14"/>
              <w:spacing w:line="300" w:lineRule="exact"/>
              <w:ind w:left="110" w:leftChars="50" w:right="110" w:rightChars="50"/>
              <w:jc w:val="both"/>
              <w:rPr>
                <w:rFonts w:cs="Times New Roman"/>
                <w:sz w:val="18"/>
                <w:szCs w:val="18"/>
              </w:rPr>
            </w:pPr>
            <w:r>
              <w:rPr>
                <w:rFonts w:hint="eastAsia" w:cs="Times New Roman"/>
                <w:sz w:val="18"/>
                <w:szCs w:val="18"/>
                <w:lang w:val="en-US"/>
              </w:rPr>
              <w:t>1.</w:t>
            </w:r>
            <w:r>
              <w:rPr>
                <w:rFonts w:hint="eastAsia" w:cs="Times New Roman"/>
                <w:sz w:val="18"/>
                <w:szCs w:val="18"/>
              </w:rPr>
              <w:t>预埋件加工与涂装</w:t>
            </w:r>
          </w:p>
          <w:p>
            <w:pPr>
              <w:pStyle w:val="14"/>
              <w:spacing w:line="300" w:lineRule="exact"/>
              <w:ind w:left="110" w:leftChars="50" w:right="110" w:rightChars="50"/>
              <w:jc w:val="both"/>
              <w:rPr>
                <w:rFonts w:cs="Times New Roman"/>
                <w:sz w:val="18"/>
                <w:szCs w:val="18"/>
              </w:rPr>
            </w:pPr>
            <w:r>
              <w:rPr>
                <w:rFonts w:hint="eastAsia" w:cs="Times New Roman"/>
                <w:sz w:val="18"/>
                <w:szCs w:val="18"/>
                <w:lang w:val="en-US"/>
              </w:rPr>
              <w:t>2.</w:t>
            </w:r>
            <w:r>
              <w:rPr>
                <w:rFonts w:hint="eastAsia" w:cs="Times New Roman"/>
                <w:sz w:val="18"/>
                <w:szCs w:val="18"/>
              </w:rPr>
              <w:t>预埋件安装、固定</w:t>
            </w:r>
          </w:p>
          <w:p>
            <w:pPr>
              <w:pStyle w:val="14"/>
              <w:spacing w:line="300" w:lineRule="exact"/>
              <w:ind w:left="110" w:leftChars="50" w:right="110" w:rightChars="50"/>
              <w:jc w:val="both"/>
              <w:rPr>
                <w:rFonts w:cs="Times New Roman"/>
                <w:sz w:val="18"/>
                <w:szCs w:val="18"/>
              </w:rPr>
            </w:pPr>
            <w:r>
              <w:rPr>
                <w:rFonts w:hint="eastAsia" w:cs="Times New Roman"/>
                <w:sz w:val="18"/>
                <w:szCs w:val="18"/>
                <w:lang w:val="en-US"/>
              </w:rPr>
              <w:t>3.</w:t>
            </w:r>
            <w:r>
              <w:rPr>
                <w:rFonts w:hint="eastAsia" w:cs="Times New Roman"/>
                <w:sz w:val="18"/>
                <w:szCs w:val="18"/>
              </w:rPr>
              <w:t>工地涂装</w:t>
            </w:r>
          </w:p>
        </w:tc>
      </w:tr>
    </w:tbl>
    <w:p>
      <w:pPr>
        <w:spacing w:before="71" w:line="211" w:lineRule="auto"/>
        <w:ind w:right="1549"/>
        <w:rPr>
          <w:rFonts w:ascii="Microsoft JhengHei" w:eastAsia="Microsoft JhengHei"/>
          <w:bCs/>
          <w:sz w:val="20"/>
          <w:szCs w:val="24"/>
        </w:rPr>
      </w:pPr>
    </w:p>
    <w:p>
      <w:pPr>
        <w:spacing w:before="71" w:line="211" w:lineRule="auto"/>
        <w:ind w:right="1549" w:firstLine="880" w:firstLineChars="400"/>
        <w:rPr>
          <w:rFonts w:ascii="Arial" w:eastAsia="Arial"/>
          <w:b/>
          <w:szCs w:val="24"/>
        </w:rPr>
      </w:pPr>
      <w:r>
        <w:rPr>
          <w:rFonts w:ascii="Arial" w:eastAsia="Arial"/>
          <w:bCs/>
          <w:szCs w:val="24"/>
        </w:rPr>
        <w:t>4.</w:t>
      </w:r>
      <w:r>
        <w:rPr>
          <w:rFonts w:hint="eastAsia" w:ascii="Microsoft JhengHei" w:eastAsia="Microsoft JhengHei"/>
          <w:b/>
          <w:szCs w:val="24"/>
        </w:rPr>
        <w:t>计日工说明</w:t>
      </w:r>
      <w:r>
        <w:rPr>
          <w:rFonts w:ascii="Arial" w:eastAsia="Arial"/>
          <w:b/>
          <w:w w:val="180"/>
          <w:szCs w:val="24"/>
        </w:rPr>
        <w:t xml:space="preserve"> </w:t>
      </w:r>
    </w:p>
    <w:p>
      <w:pPr>
        <w:pStyle w:val="5"/>
        <w:spacing w:before="24"/>
        <w:ind w:left="876"/>
        <w:rPr>
          <w:sz w:val="20"/>
          <w:szCs w:val="20"/>
        </w:rPr>
      </w:pPr>
      <w:r>
        <w:rPr>
          <w:sz w:val="20"/>
          <w:szCs w:val="20"/>
        </w:rPr>
        <w:t xml:space="preserve">4.1 </w:t>
      </w:r>
      <w:r>
        <w:rPr>
          <w:rFonts w:hint="eastAsia"/>
          <w:sz w:val="20"/>
          <w:szCs w:val="20"/>
          <w:lang w:val="en-US"/>
        </w:rPr>
        <w:t xml:space="preserve">  </w:t>
      </w:r>
      <w:r>
        <w:rPr>
          <w:sz w:val="20"/>
          <w:szCs w:val="20"/>
        </w:rPr>
        <w:t xml:space="preserve">总 则 </w:t>
      </w:r>
    </w:p>
    <w:p>
      <w:pPr>
        <w:pStyle w:val="13"/>
        <w:numPr>
          <w:ilvl w:val="0"/>
          <w:numId w:val="2"/>
        </w:numPr>
        <w:tabs>
          <w:tab w:val="left" w:pos="1329"/>
        </w:tabs>
        <w:spacing w:before="82"/>
        <w:rPr>
          <w:sz w:val="20"/>
          <w:szCs w:val="24"/>
        </w:rPr>
      </w:pPr>
      <w:r>
        <w:rPr>
          <w:sz w:val="20"/>
          <w:szCs w:val="24"/>
        </w:rPr>
        <w:t xml:space="preserve">本计日工说明应参照招标文件合同通用条款相应款一并理解。 </w:t>
      </w:r>
    </w:p>
    <w:p>
      <w:pPr>
        <w:pStyle w:val="13"/>
        <w:numPr>
          <w:ilvl w:val="0"/>
          <w:numId w:val="2"/>
        </w:numPr>
        <w:tabs>
          <w:tab w:val="left" w:pos="1334"/>
        </w:tabs>
        <w:spacing w:before="81" w:line="324" w:lineRule="auto"/>
        <w:ind w:left="516" w:right="248" w:firstLine="360"/>
        <w:rPr>
          <w:sz w:val="20"/>
          <w:szCs w:val="24"/>
        </w:rPr>
      </w:pPr>
      <w:r>
        <w:rPr>
          <w:sz w:val="20"/>
          <w:szCs w:val="24"/>
        </w:rPr>
        <w:t xml:space="preserve">未经监理人书面指令，任何工程不应按计日工施工；接到监理人按计日工施工的书面指令，承包人也不应拒绝。 </w:t>
      </w:r>
    </w:p>
    <w:p>
      <w:pPr>
        <w:pStyle w:val="13"/>
        <w:numPr>
          <w:ilvl w:val="0"/>
          <w:numId w:val="2"/>
        </w:numPr>
        <w:tabs>
          <w:tab w:val="left" w:pos="1334"/>
        </w:tabs>
        <w:spacing w:line="324" w:lineRule="auto"/>
        <w:ind w:left="516" w:right="252" w:firstLine="360"/>
        <w:jc w:val="both"/>
        <w:rPr>
          <w:sz w:val="20"/>
          <w:szCs w:val="24"/>
        </w:rPr>
      </w:pPr>
      <w:r>
        <w:rPr>
          <w:sz w:val="20"/>
          <w:szCs w:val="24"/>
        </w:rPr>
        <w:t>投标人应在本节计日工单价表中填列计日工子目的基本单价或租价，该基本单价或租价适用于监理人指令的</w:t>
      </w:r>
      <w:r>
        <w:rPr>
          <w:spacing w:val="-1"/>
          <w:sz w:val="20"/>
          <w:szCs w:val="24"/>
        </w:rPr>
        <w:t>任何数量的计日工的结算与支付。计日工的劳务、材料和施工机械由招标人</w:t>
      </w:r>
      <w:r>
        <w:rPr>
          <w:sz w:val="20"/>
          <w:szCs w:val="24"/>
        </w:rPr>
        <w:t>（或发包人</w:t>
      </w:r>
      <w:r>
        <w:rPr>
          <w:spacing w:val="-3"/>
          <w:sz w:val="20"/>
          <w:szCs w:val="24"/>
        </w:rPr>
        <w:t>）</w:t>
      </w:r>
      <w:r>
        <w:rPr>
          <w:spacing w:val="-2"/>
          <w:sz w:val="20"/>
          <w:szCs w:val="24"/>
        </w:rPr>
        <w:t>列出正常的估计数量，投标人</w:t>
      </w:r>
      <w:r>
        <w:rPr>
          <w:sz w:val="20"/>
          <w:szCs w:val="24"/>
        </w:rPr>
        <w:t xml:space="preserve">报出单价，计算出计日工总额后列入工程量清单汇总表中并进入评标价。 </w:t>
      </w:r>
    </w:p>
    <w:p>
      <w:pPr>
        <w:pStyle w:val="13"/>
        <w:numPr>
          <w:ilvl w:val="0"/>
          <w:numId w:val="2"/>
        </w:numPr>
        <w:tabs>
          <w:tab w:val="left" w:pos="1329"/>
        </w:tabs>
        <w:spacing w:before="1" w:line="324" w:lineRule="auto"/>
        <w:ind w:left="876" w:right="7446" w:firstLine="0"/>
        <w:rPr>
          <w:sz w:val="20"/>
          <w:szCs w:val="24"/>
        </w:rPr>
      </w:pPr>
      <w:r>
        <w:rPr>
          <w:sz w:val="20"/>
          <w:szCs w:val="24"/>
        </w:rPr>
        <w:t>计日工不调价。4.2</w:t>
      </w:r>
      <w:r>
        <w:rPr>
          <w:rFonts w:hint="eastAsia"/>
          <w:sz w:val="20"/>
          <w:szCs w:val="24"/>
          <w:lang w:val="en-US"/>
        </w:rPr>
        <w:t xml:space="preserve">  </w:t>
      </w:r>
      <w:r>
        <w:rPr>
          <w:spacing w:val="-1"/>
          <w:sz w:val="20"/>
          <w:szCs w:val="24"/>
        </w:rPr>
        <w:t>计日工劳务</w:t>
      </w:r>
      <w:r>
        <w:rPr>
          <w:sz w:val="20"/>
          <w:szCs w:val="24"/>
        </w:rPr>
        <w:t xml:space="preserve"> </w:t>
      </w:r>
    </w:p>
    <w:p>
      <w:pPr>
        <w:pStyle w:val="13"/>
        <w:numPr>
          <w:ilvl w:val="0"/>
          <w:numId w:val="3"/>
        </w:numPr>
        <w:tabs>
          <w:tab w:val="left" w:pos="1334"/>
        </w:tabs>
        <w:spacing w:line="324" w:lineRule="auto"/>
        <w:ind w:right="252" w:firstLine="360"/>
        <w:jc w:val="both"/>
        <w:rPr>
          <w:sz w:val="20"/>
          <w:szCs w:val="24"/>
        </w:rPr>
      </w:pPr>
      <w:r>
        <w:rPr>
          <w:sz w:val="20"/>
          <w:szCs w:val="24"/>
        </w:rPr>
        <w:t>在计算应付给承包人的计日工工资时，工时应从工人到达施工现场，并开始从事指定的工作算起，到返回原</w:t>
      </w:r>
      <w:r>
        <w:rPr>
          <w:spacing w:val="-4"/>
          <w:sz w:val="20"/>
          <w:szCs w:val="24"/>
        </w:rPr>
        <w:t>出发地点为止，扣去用餐和休息的时间。只有直接从事指定的工作，且能胜任该工作的工人才能计工，随同工人一起做</w:t>
      </w:r>
      <w:r>
        <w:rPr>
          <w:sz w:val="20"/>
          <w:szCs w:val="24"/>
        </w:rPr>
        <w:t xml:space="preserve">工的班长应计算在内，但不包括领工（工长）和其他质检管理人员。 </w:t>
      </w:r>
    </w:p>
    <w:p>
      <w:pPr>
        <w:pStyle w:val="13"/>
        <w:numPr>
          <w:ilvl w:val="0"/>
          <w:numId w:val="3"/>
        </w:numPr>
        <w:tabs>
          <w:tab w:val="left" w:pos="1334"/>
        </w:tabs>
        <w:spacing w:line="324" w:lineRule="auto"/>
        <w:ind w:right="258" w:firstLine="360"/>
        <w:rPr>
          <w:sz w:val="20"/>
          <w:szCs w:val="24"/>
        </w:rPr>
      </w:pPr>
      <w:r>
        <w:rPr>
          <w:spacing w:val="-1"/>
          <w:sz w:val="20"/>
          <w:szCs w:val="24"/>
        </w:rPr>
        <w:t>承包人可以得到用于计日工劳务的全部工时的支付，此支付按承包人填报的“计日工劳务单价表”所列单价</w:t>
      </w:r>
      <w:r>
        <w:rPr>
          <w:sz w:val="20"/>
          <w:szCs w:val="24"/>
        </w:rPr>
        <w:t xml:space="preserve">计算，该单价应包括基本单价及承包人的管理费、税费、利润等所有附加费，说明如下： </w:t>
      </w:r>
    </w:p>
    <w:p>
      <w:pPr>
        <w:pStyle w:val="13"/>
        <w:numPr>
          <w:ilvl w:val="0"/>
          <w:numId w:val="4"/>
        </w:numPr>
        <w:tabs>
          <w:tab w:val="left" w:pos="1059"/>
        </w:tabs>
        <w:rPr>
          <w:sz w:val="20"/>
          <w:szCs w:val="24"/>
        </w:rPr>
      </w:pPr>
      <w:r>
        <w:rPr>
          <w:spacing w:val="-1"/>
          <w:sz w:val="20"/>
          <w:szCs w:val="24"/>
        </w:rPr>
        <w:t xml:space="preserve">劳务基本单价包括：承包人劳务的全部直接费用，如：工资、加班费、津贴、福利费及劳动保护费等。 </w:t>
      </w:r>
    </w:p>
    <w:p>
      <w:pPr>
        <w:pStyle w:val="13"/>
        <w:numPr>
          <w:ilvl w:val="0"/>
          <w:numId w:val="4"/>
        </w:numPr>
        <w:tabs>
          <w:tab w:val="left" w:pos="1059"/>
        </w:tabs>
        <w:spacing w:before="81" w:line="324" w:lineRule="auto"/>
        <w:ind w:left="516" w:right="247" w:firstLine="360"/>
        <w:rPr>
          <w:sz w:val="20"/>
          <w:szCs w:val="24"/>
        </w:rPr>
      </w:pPr>
      <w:r>
        <w:rPr>
          <w:spacing w:val="-2"/>
          <w:sz w:val="20"/>
          <w:szCs w:val="24"/>
        </w:rPr>
        <w:t>所有附加费包括：承包人的利润、管理、质检、保险、税费；易耗品的使用、水电及照明费、工作台、脚手架、</w:t>
      </w:r>
      <w:r>
        <w:rPr>
          <w:sz w:val="20"/>
          <w:szCs w:val="24"/>
        </w:rPr>
        <w:t xml:space="preserve">临时设施费、手动机具与工具的使用及维修，以及上述各项伴随而来的费用。 </w:t>
      </w:r>
    </w:p>
    <w:p>
      <w:pPr>
        <w:pStyle w:val="5"/>
        <w:spacing w:before="1"/>
        <w:ind w:left="876"/>
        <w:rPr>
          <w:sz w:val="20"/>
          <w:szCs w:val="20"/>
        </w:rPr>
      </w:pPr>
      <w:r>
        <w:rPr>
          <w:sz w:val="20"/>
          <w:szCs w:val="20"/>
        </w:rPr>
        <w:t>4.3</w:t>
      </w:r>
      <w:r>
        <w:rPr>
          <w:rFonts w:hint="eastAsia"/>
          <w:sz w:val="20"/>
          <w:szCs w:val="20"/>
          <w:lang w:val="en-US"/>
        </w:rPr>
        <w:t xml:space="preserve">  </w:t>
      </w:r>
      <w:r>
        <w:rPr>
          <w:sz w:val="20"/>
          <w:szCs w:val="20"/>
        </w:rPr>
        <w:t xml:space="preserve">计日工材料 </w:t>
      </w:r>
    </w:p>
    <w:p>
      <w:pPr>
        <w:pStyle w:val="5"/>
        <w:spacing w:before="82" w:line="326" w:lineRule="auto"/>
        <w:ind w:left="516" w:right="247" w:firstLine="360"/>
        <w:jc w:val="both"/>
        <w:rPr>
          <w:sz w:val="20"/>
          <w:szCs w:val="20"/>
        </w:rPr>
      </w:pPr>
      <w:r>
        <w:rPr>
          <w:sz w:val="20"/>
          <w:szCs w:val="20"/>
        </w:rPr>
        <w:t xml:space="preserve">承包人可以得到计日工使用的材料费用(上述计日工劳务已计入劳务费内的材料费用除外)的支付，此费用按承包人“计日工材料单价表”中所填报的单价计算，该单价应包括基本单价及承包人的管理费、税费、利润等所有附加费，说明如下： </w:t>
      </w:r>
    </w:p>
    <w:p>
      <w:pPr>
        <w:pStyle w:val="5"/>
        <w:numPr>
          <w:ilvl w:val="0"/>
          <w:numId w:val="5"/>
        </w:numPr>
        <w:spacing w:before="82" w:line="326" w:lineRule="auto"/>
        <w:ind w:left="516" w:right="247" w:firstLine="360"/>
        <w:jc w:val="both"/>
        <w:rPr>
          <w:sz w:val="20"/>
          <w:szCs w:val="20"/>
          <w:lang w:val="en-US"/>
        </w:rPr>
      </w:pPr>
      <w:r>
        <w:rPr>
          <w:rFonts w:hint="eastAsia"/>
          <w:sz w:val="20"/>
          <w:szCs w:val="20"/>
          <w:lang w:val="en-US"/>
        </w:rPr>
        <w:t>材料基本单价按供货价加运杂费（到达承包人现场仓库）、保险费、仓库管理费以及运输损耗等计算。</w:t>
      </w:r>
    </w:p>
    <w:p>
      <w:pPr>
        <w:pStyle w:val="5"/>
        <w:numPr>
          <w:ilvl w:val="0"/>
          <w:numId w:val="5"/>
        </w:numPr>
        <w:spacing w:before="82" w:line="326" w:lineRule="auto"/>
        <w:ind w:left="516" w:right="247" w:firstLine="360"/>
        <w:jc w:val="both"/>
        <w:rPr>
          <w:sz w:val="20"/>
          <w:szCs w:val="20"/>
          <w:lang w:val="en-US"/>
        </w:rPr>
      </w:pPr>
      <w:r>
        <w:rPr>
          <w:rFonts w:hint="eastAsia"/>
          <w:sz w:val="20"/>
          <w:szCs w:val="20"/>
          <w:lang w:val="en-US"/>
        </w:rPr>
        <w:t>所有附加费包括：</w:t>
      </w:r>
      <w:r>
        <w:rPr>
          <w:spacing w:val="-2"/>
          <w:sz w:val="20"/>
          <w:szCs w:val="24"/>
        </w:rPr>
        <w:t>承包人的利润、管理、质检、保险、税费</w:t>
      </w:r>
      <w:r>
        <w:rPr>
          <w:rFonts w:hint="eastAsia"/>
          <w:spacing w:val="-2"/>
          <w:sz w:val="20"/>
          <w:szCs w:val="24"/>
          <w:lang w:val="en-US"/>
        </w:rPr>
        <w:t>及其他附加费。</w:t>
      </w:r>
    </w:p>
    <w:p>
      <w:pPr>
        <w:pStyle w:val="5"/>
        <w:numPr>
          <w:ilvl w:val="0"/>
          <w:numId w:val="5"/>
        </w:numPr>
        <w:spacing w:before="82" w:line="326" w:lineRule="auto"/>
        <w:ind w:left="516" w:right="247" w:firstLine="360"/>
        <w:jc w:val="both"/>
        <w:rPr>
          <w:sz w:val="20"/>
          <w:szCs w:val="20"/>
          <w:lang w:val="en-US"/>
        </w:rPr>
      </w:pPr>
      <w:r>
        <w:rPr>
          <w:rFonts w:hint="eastAsia"/>
          <w:spacing w:val="-2"/>
          <w:sz w:val="20"/>
          <w:szCs w:val="24"/>
          <w:lang w:val="en-US"/>
        </w:rPr>
        <w:t>从现场运至使用地点的人工费和施工机械使用费不包括在上述基本单价内。</w:t>
      </w:r>
    </w:p>
    <w:p>
      <w:pPr>
        <w:pStyle w:val="5"/>
        <w:spacing w:before="82" w:line="326" w:lineRule="auto"/>
        <w:ind w:left="876" w:right="247"/>
        <w:jc w:val="both"/>
        <w:rPr>
          <w:spacing w:val="-2"/>
          <w:sz w:val="20"/>
          <w:szCs w:val="24"/>
          <w:lang w:val="en-US"/>
        </w:rPr>
      </w:pPr>
      <w:r>
        <w:rPr>
          <w:rFonts w:hint="eastAsia"/>
          <w:spacing w:val="-2"/>
          <w:sz w:val="20"/>
          <w:szCs w:val="24"/>
          <w:lang w:val="en-US"/>
        </w:rPr>
        <w:t>4.4  计日工施工机械</w:t>
      </w:r>
    </w:p>
    <w:p>
      <w:pPr>
        <w:pStyle w:val="5"/>
        <w:spacing w:before="82" w:line="326" w:lineRule="auto"/>
        <w:ind w:left="876" w:right="247"/>
        <w:jc w:val="both"/>
        <w:rPr>
          <w:spacing w:val="-2"/>
          <w:sz w:val="20"/>
          <w:szCs w:val="24"/>
          <w:lang w:val="en-US"/>
        </w:rPr>
      </w:pPr>
      <w:r>
        <w:rPr>
          <w:rFonts w:hint="eastAsia"/>
          <w:spacing w:val="-2"/>
          <w:sz w:val="20"/>
          <w:szCs w:val="24"/>
          <w:lang w:val="en-US"/>
        </w:rPr>
        <w:t>（1）承包人可以得到用于计日工作业的施工机械费用的支付，该费用按承包人填报的“计日工施工机械表”中的租价计算。该租价应包括施工机械的折旧、利息、维修、保养、零配件、油燃料、保险和其他消耗品的费用以及全部有关使用这些机械的管理费、税费、利润和司机与助手的劳务费等费用。</w:t>
      </w:r>
    </w:p>
    <w:p>
      <w:pPr>
        <w:pStyle w:val="5"/>
        <w:spacing w:before="82" w:line="326" w:lineRule="auto"/>
        <w:ind w:left="876" w:right="247"/>
        <w:jc w:val="both"/>
        <w:rPr>
          <w:spacing w:val="-2"/>
          <w:sz w:val="20"/>
          <w:szCs w:val="24"/>
          <w:lang w:val="en-US"/>
        </w:rPr>
      </w:pPr>
      <w:r>
        <w:rPr>
          <w:rFonts w:hint="eastAsia"/>
          <w:spacing w:val="-2"/>
          <w:sz w:val="20"/>
          <w:szCs w:val="24"/>
          <w:lang w:val="en-US"/>
        </w:rPr>
        <w:t>（2）在计日工作业中，承包人计算所有的施工机械费用时，应按实际工作小时支付。除非经监理人的同意，计算的工作小时才能将施工机械从现</w:t>
      </w:r>
      <w:bookmarkStart w:id="0" w:name="_GoBack"/>
      <w:bookmarkEnd w:id="0"/>
      <w:r>
        <w:rPr>
          <w:rFonts w:hint="eastAsia"/>
          <w:spacing w:val="-2"/>
          <w:sz w:val="20"/>
          <w:szCs w:val="24"/>
          <w:lang w:val="en-US"/>
        </w:rPr>
        <w:t>场某处运到监理人指令的计日工作业的另一现场往返运送时间包括在内。</w:t>
      </w:r>
    </w:p>
    <w:p>
      <w:pPr>
        <w:pStyle w:val="5"/>
        <w:rPr>
          <w:sz w:val="20"/>
          <w:szCs w:val="20"/>
        </w:rPr>
      </w:pPr>
    </w:p>
    <w:sectPr>
      <w:pgSz w:w="11910" w:h="16840"/>
      <w:pgMar w:top="1340" w:right="880" w:bottom="280" w:left="9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C639C8"/>
    <w:multiLevelType w:val="singleLevel"/>
    <w:tmpl w:val="9CC639C8"/>
    <w:lvl w:ilvl="0" w:tentative="0">
      <w:start w:val="1"/>
      <w:numFmt w:val="decimal"/>
      <w:suff w:val="nothing"/>
      <w:lvlText w:val="（%1）"/>
      <w:lvlJc w:val="left"/>
    </w:lvl>
  </w:abstractNum>
  <w:abstractNum w:abstractNumId="1">
    <w:nsid w:val="BF205925"/>
    <w:multiLevelType w:val="multilevel"/>
    <w:tmpl w:val="BF205925"/>
    <w:lvl w:ilvl="0" w:tentative="0">
      <w:start w:val="1"/>
      <w:numFmt w:val="lowerLetter"/>
      <w:lvlText w:val="%1."/>
      <w:lvlJc w:val="left"/>
      <w:pPr>
        <w:ind w:left="1058" w:hanging="183"/>
      </w:pPr>
      <w:rPr>
        <w:rFonts w:hint="default" w:ascii="宋体" w:hAnsi="宋体" w:eastAsia="宋体" w:cs="宋体"/>
        <w:spacing w:val="1"/>
        <w:w w:val="100"/>
        <w:sz w:val="16"/>
        <w:szCs w:val="16"/>
        <w:lang w:val="zh-CN" w:eastAsia="zh-CN" w:bidi="zh-CN"/>
      </w:rPr>
    </w:lvl>
    <w:lvl w:ilvl="1" w:tentative="0">
      <w:start w:val="0"/>
      <w:numFmt w:val="bullet"/>
      <w:lvlText w:val="•"/>
      <w:lvlJc w:val="left"/>
      <w:pPr>
        <w:ind w:left="1966" w:hanging="183"/>
      </w:pPr>
      <w:rPr>
        <w:rFonts w:hint="default"/>
        <w:lang w:val="zh-CN" w:eastAsia="zh-CN" w:bidi="zh-CN"/>
      </w:rPr>
    </w:lvl>
    <w:lvl w:ilvl="2" w:tentative="0">
      <w:start w:val="0"/>
      <w:numFmt w:val="bullet"/>
      <w:lvlText w:val="•"/>
      <w:lvlJc w:val="left"/>
      <w:pPr>
        <w:ind w:left="2873" w:hanging="183"/>
      </w:pPr>
      <w:rPr>
        <w:rFonts w:hint="default"/>
        <w:lang w:val="zh-CN" w:eastAsia="zh-CN" w:bidi="zh-CN"/>
      </w:rPr>
    </w:lvl>
    <w:lvl w:ilvl="3" w:tentative="0">
      <w:start w:val="0"/>
      <w:numFmt w:val="bullet"/>
      <w:lvlText w:val="•"/>
      <w:lvlJc w:val="left"/>
      <w:pPr>
        <w:ind w:left="3779" w:hanging="183"/>
      </w:pPr>
      <w:rPr>
        <w:rFonts w:hint="default"/>
        <w:lang w:val="zh-CN" w:eastAsia="zh-CN" w:bidi="zh-CN"/>
      </w:rPr>
    </w:lvl>
    <w:lvl w:ilvl="4" w:tentative="0">
      <w:start w:val="0"/>
      <w:numFmt w:val="bullet"/>
      <w:lvlText w:val="•"/>
      <w:lvlJc w:val="left"/>
      <w:pPr>
        <w:ind w:left="4686" w:hanging="183"/>
      </w:pPr>
      <w:rPr>
        <w:rFonts w:hint="default"/>
        <w:lang w:val="zh-CN" w:eastAsia="zh-CN" w:bidi="zh-CN"/>
      </w:rPr>
    </w:lvl>
    <w:lvl w:ilvl="5" w:tentative="0">
      <w:start w:val="0"/>
      <w:numFmt w:val="bullet"/>
      <w:lvlText w:val="•"/>
      <w:lvlJc w:val="left"/>
      <w:pPr>
        <w:ind w:left="5593" w:hanging="183"/>
      </w:pPr>
      <w:rPr>
        <w:rFonts w:hint="default"/>
        <w:lang w:val="zh-CN" w:eastAsia="zh-CN" w:bidi="zh-CN"/>
      </w:rPr>
    </w:lvl>
    <w:lvl w:ilvl="6" w:tentative="0">
      <w:start w:val="0"/>
      <w:numFmt w:val="bullet"/>
      <w:lvlText w:val="•"/>
      <w:lvlJc w:val="left"/>
      <w:pPr>
        <w:ind w:left="6499" w:hanging="183"/>
      </w:pPr>
      <w:rPr>
        <w:rFonts w:hint="default"/>
        <w:lang w:val="zh-CN" w:eastAsia="zh-CN" w:bidi="zh-CN"/>
      </w:rPr>
    </w:lvl>
    <w:lvl w:ilvl="7" w:tentative="0">
      <w:start w:val="0"/>
      <w:numFmt w:val="bullet"/>
      <w:lvlText w:val="•"/>
      <w:lvlJc w:val="left"/>
      <w:pPr>
        <w:ind w:left="7406" w:hanging="183"/>
      </w:pPr>
      <w:rPr>
        <w:rFonts w:hint="default"/>
        <w:lang w:val="zh-CN" w:eastAsia="zh-CN" w:bidi="zh-CN"/>
      </w:rPr>
    </w:lvl>
    <w:lvl w:ilvl="8" w:tentative="0">
      <w:start w:val="0"/>
      <w:numFmt w:val="bullet"/>
      <w:lvlText w:val="•"/>
      <w:lvlJc w:val="left"/>
      <w:pPr>
        <w:ind w:left="8313" w:hanging="183"/>
      </w:pPr>
      <w:rPr>
        <w:rFonts w:hint="default"/>
        <w:lang w:val="zh-CN" w:eastAsia="zh-CN" w:bidi="zh-CN"/>
      </w:rPr>
    </w:lvl>
  </w:abstractNum>
  <w:abstractNum w:abstractNumId="2">
    <w:nsid w:val="CF092B84"/>
    <w:multiLevelType w:val="multilevel"/>
    <w:tmpl w:val="CF092B84"/>
    <w:lvl w:ilvl="0" w:tentative="0">
      <w:start w:val="1"/>
      <w:numFmt w:val="decimal"/>
      <w:lvlText w:val="（%1）"/>
      <w:lvlJc w:val="left"/>
      <w:pPr>
        <w:ind w:left="1328" w:hanging="453"/>
      </w:pPr>
      <w:rPr>
        <w:rFonts w:hint="default" w:ascii="宋体" w:hAnsi="宋体" w:eastAsia="宋体" w:cs="宋体"/>
        <w:w w:val="100"/>
        <w:sz w:val="16"/>
        <w:szCs w:val="16"/>
        <w:lang w:val="zh-CN" w:eastAsia="zh-CN" w:bidi="zh-CN"/>
      </w:rPr>
    </w:lvl>
    <w:lvl w:ilvl="1" w:tentative="0">
      <w:start w:val="0"/>
      <w:numFmt w:val="bullet"/>
      <w:lvlText w:val="•"/>
      <w:lvlJc w:val="left"/>
      <w:pPr>
        <w:ind w:left="2200" w:hanging="453"/>
      </w:pPr>
      <w:rPr>
        <w:rFonts w:hint="default"/>
        <w:lang w:val="zh-CN" w:eastAsia="zh-CN" w:bidi="zh-CN"/>
      </w:rPr>
    </w:lvl>
    <w:lvl w:ilvl="2" w:tentative="0">
      <w:start w:val="0"/>
      <w:numFmt w:val="bullet"/>
      <w:lvlText w:val="•"/>
      <w:lvlJc w:val="left"/>
      <w:pPr>
        <w:ind w:left="3081" w:hanging="453"/>
      </w:pPr>
      <w:rPr>
        <w:rFonts w:hint="default"/>
        <w:lang w:val="zh-CN" w:eastAsia="zh-CN" w:bidi="zh-CN"/>
      </w:rPr>
    </w:lvl>
    <w:lvl w:ilvl="3" w:tentative="0">
      <w:start w:val="0"/>
      <w:numFmt w:val="bullet"/>
      <w:lvlText w:val="•"/>
      <w:lvlJc w:val="left"/>
      <w:pPr>
        <w:ind w:left="3961" w:hanging="453"/>
      </w:pPr>
      <w:rPr>
        <w:rFonts w:hint="default"/>
        <w:lang w:val="zh-CN" w:eastAsia="zh-CN" w:bidi="zh-CN"/>
      </w:rPr>
    </w:lvl>
    <w:lvl w:ilvl="4" w:tentative="0">
      <w:start w:val="0"/>
      <w:numFmt w:val="bullet"/>
      <w:lvlText w:val="•"/>
      <w:lvlJc w:val="left"/>
      <w:pPr>
        <w:ind w:left="4842" w:hanging="453"/>
      </w:pPr>
      <w:rPr>
        <w:rFonts w:hint="default"/>
        <w:lang w:val="zh-CN" w:eastAsia="zh-CN" w:bidi="zh-CN"/>
      </w:rPr>
    </w:lvl>
    <w:lvl w:ilvl="5" w:tentative="0">
      <w:start w:val="0"/>
      <w:numFmt w:val="bullet"/>
      <w:lvlText w:val="•"/>
      <w:lvlJc w:val="left"/>
      <w:pPr>
        <w:ind w:left="5723" w:hanging="453"/>
      </w:pPr>
      <w:rPr>
        <w:rFonts w:hint="default"/>
        <w:lang w:val="zh-CN" w:eastAsia="zh-CN" w:bidi="zh-CN"/>
      </w:rPr>
    </w:lvl>
    <w:lvl w:ilvl="6" w:tentative="0">
      <w:start w:val="0"/>
      <w:numFmt w:val="bullet"/>
      <w:lvlText w:val="•"/>
      <w:lvlJc w:val="left"/>
      <w:pPr>
        <w:ind w:left="6603" w:hanging="453"/>
      </w:pPr>
      <w:rPr>
        <w:rFonts w:hint="default"/>
        <w:lang w:val="zh-CN" w:eastAsia="zh-CN" w:bidi="zh-CN"/>
      </w:rPr>
    </w:lvl>
    <w:lvl w:ilvl="7" w:tentative="0">
      <w:start w:val="0"/>
      <w:numFmt w:val="bullet"/>
      <w:lvlText w:val="•"/>
      <w:lvlJc w:val="left"/>
      <w:pPr>
        <w:ind w:left="7484" w:hanging="453"/>
      </w:pPr>
      <w:rPr>
        <w:rFonts w:hint="default"/>
        <w:lang w:val="zh-CN" w:eastAsia="zh-CN" w:bidi="zh-CN"/>
      </w:rPr>
    </w:lvl>
    <w:lvl w:ilvl="8" w:tentative="0">
      <w:start w:val="0"/>
      <w:numFmt w:val="bullet"/>
      <w:lvlText w:val="•"/>
      <w:lvlJc w:val="left"/>
      <w:pPr>
        <w:ind w:left="8365" w:hanging="453"/>
      </w:pPr>
      <w:rPr>
        <w:rFonts w:hint="default"/>
        <w:lang w:val="zh-CN" w:eastAsia="zh-CN" w:bidi="zh-CN"/>
      </w:rPr>
    </w:lvl>
  </w:abstractNum>
  <w:abstractNum w:abstractNumId="3">
    <w:nsid w:val="0053208E"/>
    <w:multiLevelType w:val="multilevel"/>
    <w:tmpl w:val="0053208E"/>
    <w:lvl w:ilvl="0" w:tentative="0">
      <w:start w:val="1"/>
      <w:numFmt w:val="upperLetter"/>
      <w:lvlText w:val="%1"/>
      <w:lvlJc w:val="left"/>
      <w:pPr>
        <w:ind w:left="758" w:hanging="527"/>
      </w:pPr>
      <w:rPr>
        <w:rFonts w:hint="default"/>
        <w:lang w:val="zh-CN" w:eastAsia="zh-CN" w:bidi="zh-CN"/>
      </w:rPr>
    </w:lvl>
    <w:lvl w:ilvl="1" w:tentative="0">
      <w:start w:val="2"/>
      <w:numFmt w:val="decimal"/>
      <w:lvlText w:val="%1.%2"/>
      <w:lvlJc w:val="left"/>
      <w:pPr>
        <w:ind w:left="758" w:hanging="527"/>
      </w:pPr>
      <w:rPr>
        <w:rFonts w:hint="default" w:ascii="宋体" w:hAnsi="宋体" w:eastAsia="宋体" w:cs="宋体"/>
        <w:w w:val="100"/>
        <w:sz w:val="21"/>
        <w:szCs w:val="21"/>
        <w:lang w:val="zh-CN" w:eastAsia="zh-CN" w:bidi="zh-CN"/>
      </w:rPr>
    </w:lvl>
    <w:lvl w:ilvl="2" w:tentative="0">
      <w:start w:val="1"/>
      <w:numFmt w:val="decimal"/>
      <w:lvlText w:val="%3."/>
      <w:lvlJc w:val="left"/>
      <w:pPr>
        <w:ind w:left="867" w:hanging="213"/>
        <w:jc w:val="right"/>
      </w:pPr>
      <w:rPr>
        <w:rFonts w:hint="default" w:ascii="Arial" w:hAnsi="Arial" w:eastAsia="Arial" w:cs="Arial"/>
        <w:b/>
        <w:bCs/>
        <w:w w:val="90"/>
        <w:sz w:val="19"/>
        <w:szCs w:val="19"/>
        <w:lang w:val="zh-CN" w:eastAsia="zh-CN" w:bidi="zh-CN"/>
      </w:rPr>
    </w:lvl>
    <w:lvl w:ilvl="3" w:tentative="0">
      <w:start w:val="1"/>
      <w:numFmt w:val="decimal"/>
      <w:lvlText w:val="%3.%4"/>
      <w:lvlJc w:val="left"/>
      <w:pPr>
        <w:ind w:left="232" w:hanging="274"/>
      </w:pPr>
      <w:rPr>
        <w:rFonts w:hint="default" w:ascii="宋体" w:hAnsi="宋体" w:eastAsia="宋体" w:cs="宋体"/>
        <w:spacing w:val="-2"/>
        <w:w w:val="100"/>
        <w:sz w:val="16"/>
        <w:szCs w:val="16"/>
        <w:lang w:val="zh-CN" w:eastAsia="zh-CN" w:bidi="zh-CN"/>
      </w:rPr>
    </w:lvl>
    <w:lvl w:ilvl="4" w:tentative="0">
      <w:start w:val="0"/>
      <w:numFmt w:val="bullet"/>
      <w:lvlText w:val="•"/>
      <w:lvlJc w:val="left"/>
      <w:pPr>
        <w:ind w:left="2440" w:hanging="274"/>
      </w:pPr>
      <w:rPr>
        <w:rFonts w:hint="default"/>
        <w:lang w:val="zh-CN" w:eastAsia="zh-CN" w:bidi="zh-CN"/>
      </w:rPr>
    </w:lvl>
    <w:lvl w:ilvl="5" w:tentative="0">
      <w:start w:val="0"/>
      <w:numFmt w:val="bullet"/>
      <w:lvlText w:val="•"/>
      <w:lvlJc w:val="left"/>
      <w:pPr>
        <w:ind w:left="3721" w:hanging="274"/>
      </w:pPr>
      <w:rPr>
        <w:rFonts w:hint="default"/>
        <w:lang w:val="zh-CN" w:eastAsia="zh-CN" w:bidi="zh-CN"/>
      </w:rPr>
    </w:lvl>
    <w:lvl w:ilvl="6" w:tentative="0">
      <w:start w:val="0"/>
      <w:numFmt w:val="bullet"/>
      <w:lvlText w:val="•"/>
      <w:lvlJc w:val="left"/>
      <w:pPr>
        <w:ind w:left="5002" w:hanging="274"/>
      </w:pPr>
      <w:rPr>
        <w:rFonts w:hint="default"/>
        <w:lang w:val="zh-CN" w:eastAsia="zh-CN" w:bidi="zh-CN"/>
      </w:rPr>
    </w:lvl>
    <w:lvl w:ilvl="7" w:tentative="0">
      <w:start w:val="0"/>
      <w:numFmt w:val="bullet"/>
      <w:lvlText w:val="•"/>
      <w:lvlJc w:val="left"/>
      <w:pPr>
        <w:ind w:left="6283" w:hanging="274"/>
      </w:pPr>
      <w:rPr>
        <w:rFonts w:hint="default"/>
        <w:lang w:val="zh-CN" w:eastAsia="zh-CN" w:bidi="zh-CN"/>
      </w:rPr>
    </w:lvl>
    <w:lvl w:ilvl="8" w:tentative="0">
      <w:start w:val="0"/>
      <w:numFmt w:val="bullet"/>
      <w:lvlText w:val="•"/>
      <w:lvlJc w:val="left"/>
      <w:pPr>
        <w:ind w:left="7564" w:hanging="274"/>
      </w:pPr>
      <w:rPr>
        <w:rFonts w:hint="default"/>
        <w:lang w:val="zh-CN" w:eastAsia="zh-CN" w:bidi="zh-CN"/>
      </w:rPr>
    </w:lvl>
  </w:abstractNum>
  <w:abstractNum w:abstractNumId="4">
    <w:nsid w:val="59ADCABA"/>
    <w:multiLevelType w:val="multilevel"/>
    <w:tmpl w:val="59ADCABA"/>
    <w:lvl w:ilvl="0" w:tentative="0">
      <w:start w:val="1"/>
      <w:numFmt w:val="decimal"/>
      <w:lvlText w:val="（%1）"/>
      <w:lvlJc w:val="left"/>
      <w:pPr>
        <w:ind w:left="516" w:hanging="457"/>
      </w:pPr>
      <w:rPr>
        <w:rFonts w:hint="default" w:ascii="宋体" w:hAnsi="宋体" w:eastAsia="宋体" w:cs="宋体"/>
        <w:spacing w:val="0"/>
        <w:w w:val="100"/>
        <w:sz w:val="16"/>
        <w:szCs w:val="16"/>
        <w:lang w:val="zh-CN" w:eastAsia="zh-CN" w:bidi="zh-CN"/>
      </w:rPr>
    </w:lvl>
    <w:lvl w:ilvl="1" w:tentative="0">
      <w:start w:val="0"/>
      <w:numFmt w:val="bullet"/>
      <w:lvlText w:val="•"/>
      <w:lvlJc w:val="left"/>
      <w:pPr>
        <w:ind w:left="1480" w:hanging="457"/>
      </w:pPr>
      <w:rPr>
        <w:rFonts w:hint="default"/>
        <w:lang w:val="zh-CN" w:eastAsia="zh-CN" w:bidi="zh-CN"/>
      </w:rPr>
    </w:lvl>
    <w:lvl w:ilvl="2" w:tentative="0">
      <w:start w:val="0"/>
      <w:numFmt w:val="bullet"/>
      <w:lvlText w:val="•"/>
      <w:lvlJc w:val="left"/>
      <w:pPr>
        <w:ind w:left="2441" w:hanging="457"/>
      </w:pPr>
      <w:rPr>
        <w:rFonts w:hint="default"/>
        <w:lang w:val="zh-CN" w:eastAsia="zh-CN" w:bidi="zh-CN"/>
      </w:rPr>
    </w:lvl>
    <w:lvl w:ilvl="3" w:tentative="0">
      <w:start w:val="0"/>
      <w:numFmt w:val="bullet"/>
      <w:lvlText w:val="•"/>
      <w:lvlJc w:val="left"/>
      <w:pPr>
        <w:ind w:left="3401" w:hanging="457"/>
      </w:pPr>
      <w:rPr>
        <w:rFonts w:hint="default"/>
        <w:lang w:val="zh-CN" w:eastAsia="zh-CN" w:bidi="zh-CN"/>
      </w:rPr>
    </w:lvl>
    <w:lvl w:ilvl="4" w:tentative="0">
      <w:start w:val="0"/>
      <w:numFmt w:val="bullet"/>
      <w:lvlText w:val="•"/>
      <w:lvlJc w:val="left"/>
      <w:pPr>
        <w:ind w:left="4362" w:hanging="457"/>
      </w:pPr>
      <w:rPr>
        <w:rFonts w:hint="default"/>
        <w:lang w:val="zh-CN" w:eastAsia="zh-CN" w:bidi="zh-CN"/>
      </w:rPr>
    </w:lvl>
    <w:lvl w:ilvl="5" w:tentative="0">
      <w:start w:val="0"/>
      <w:numFmt w:val="bullet"/>
      <w:lvlText w:val="•"/>
      <w:lvlJc w:val="left"/>
      <w:pPr>
        <w:ind w:left="5323" w:hanging="457"/>
      </w:pPr>
      <w:rPr>
        <w:rFonts w:hint="default"/>
        <w:lang w:val="zh-CN" w:eastAsia="zh-CN" w:bidi="zh-CN"/>
      </w:rPr>
    </w:lvl>
    <w:lvl w:ilvl="6" w:tentative="0">
      <w:start w:val="0"/>
      <w:numFmt w:val="bullet"/>
      <w:lvlText w:val="•"/>
      <w:lvlJc w:val="left"/>
      <w:pPr>
        <w:ind w:left="6283" w:hanging="457"/>
      </w:pPr>
      <w:rPr>
        <w:rFonts w:hint="default"/>
        <w:lang w:val="zh-CN" w:eastAsia="zh-CN" w:bidi="zh-CN"/>
      </w:rPr>
    </w:lvl>
    <w:lvl w:ilvl="7" w:tentative="0">
      <w:start w:val="0"/>
      <w:numFmt w:val="bullet"/>
      <w:lvlText w:val="•"/>
      <w:lvlJc w:val="left"/>
      <w:pPr>
        <w:ind w:left="7244" w:hanging="457"/>
      </w:pPr>
      <w:rPr>
        <w:rFonts w:hint="default"/>
        <w:lang w:val="zh-CN" w:eastAsia="zh-CN" w:bidi="zh-CN"/>
      </w:rPr>
    </w:lvl>
    <w:lvl w:ilvl="8" w:tentative="0">
      <w:start w:val="0"/>
      <w:numFmt w:val="bullet"/>
      <w:lvlText w:val="•"/>
      <w:lvlJc w:val="left"/>
      <w:pPr>
        <w:ind w:left="8205" w:hanging="457"/>
      </w:pPr>
      <w:rPr>
        <w:rFonts w:hint="default"/>
        <w:lang w:val="zh-CN" w:eastAsia="zh-CN" w:bidi="zh-CN"/>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YzhhNTQ5NzhmYTZlMDMxYThkN2ZiNjZmMTg3ZGFiNDEifQ=="/>
  </w:docVars>
  <w:rsids>
    <w:rsidRoot w:val="002C29FC"/>
    <w:rsid w:val="0003775E"/>
    <w:rsid w:val="00082318"/>
    <w:rsid w:val="001755B3"/>
    <w:rsid w:val="001E7762"/>
    <w:rsid w:val="00242858"/>
    <w:rsid w:val="00244A73"/>
    <w:rsid w:val="002C29FC"/>
    <w:rsid w:val="003926FC"/>
    <w:rsid w:val="003C4A04"/>
    <w:rsid w:val="004701C6"/>
    <w:rsid w:val="0051357F"/>
    <w:rsid w:val="00575F61"/>
    <w:rsid w:val="005C1431"/>
    <w:rsid w:val="00657139"/>
    <w:rsid w:val="006E2302"/>
    <w:rsid w:val="00790968"/>
    <w:rsid w:val="00835C30"/>
    <w:rsid w:val="00843C92"/>
    <w:rsid w:val="008600E1"/>
    <w:rsid w:val="00881126"/>
    <w:rsid w:val="008A3DC7"/>
    <w:rsid w:val="008C77A2"/>
    <w:rsid w:val="00970442"/>
    <w:rsid w:val="00A1006E"/>
    <w:rsid w:val="00AB0F58"/>
    <w:rsid w:val="00AB5305"/>
    <w:rsid w:val="00AB5657"/>
    <w:rsid w:val="00AC01B9"/>
    <w:rsid w:val="00B409A7"/>
    <w:rsid w:val="00BC518D"/>
    <w:rsid w:val="00D40A37"/>
    <w:rsid w:val="00DC6864"/>
    <w:rsid w:val="00DD4A03"/>
    <w:rsid w:val="00E310D1"/>
    <w:rsid w:val="00EC4D2B"/>
    <w:rsid w:val="00F364F7"/>
    <w:rsid w:val="11B86BB3"/>
    <w:rsid w:val="1A004525"/>
    <w:rsid w:val="1AB53561"/>
    <w:rsid w:val="1D600358"/>
    <w:rsid w:val="1F021225"/>
    <w:rsid w:val="27A10CFF"/>
    <w:rsid w:val="2B66245D"/>
    <w:rsid w:val="2C3A38C6"/>
    <w:rsid w:val="2E2403F6"/>
    <w:rsid w:val="36C04849"/>
    <w:rsid w:val="37424C8E"/>
    <w:rsid w:val="3DB15AE6"/>
    <w:rsid w:val="44296898"/>
    <w:rsid w:val="48343468"/>
    <w:rsid w:val="48CF53B4"/>
    <w:rsid w:val="4B3B58EB"/>
    <w:rsid w:val="4EEA2AD2"/>
    <w:rsid w:val="5194597B"/>
    <w:rsid w:val="54132C1E"/>
    <w:rsid w:val="5E690460"/>
    <w:rsid w:val="608C1D69"/>
    <w:rsid w:val="630E1D36"/>
    <w:rsid w:val="632162B1"/>
    <w:rsid w:val="646F031F"/>
    <w:rsid w:val="669A47F9"/>
    <w:rsid w:val="6B10598D"/>
    <w:rsid w:val="7E141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ind w:left="867" w:hanging="213"/>
      <w:outlineLvl w:val="0"/>
    </w:pPr>
    <w:rPr>
      <w:rFonts w:ascii="Microsoft JhengHei" w:hAnsi="Microsoft JhengHei" w:eastAsia="Microsoft JhengHei" w:cs="Microsoft JhengHei"/>
      <w:b/>
      <w:bCs/>
      <w:sz w:val="21"/>
      <w:szCs w:val="21"/>
    </w:rPr>
  </w:style>
  <w:style w:type="paragraph" w:styleId="3">
    <w:name w:val="heading 2"/>
    <w:basedOn w:val="1"/>
    <w:next w:val="1"/>
    <w:qFormat/>
    <w:uiPriority w:val="1"/>
    <w:pPr>
      <w:spacing w:before="43"/>
      <w:ind w:left="653"/>
      <w:outlineLvl w:val="1"/>
    </w:pPr>
    <w:rPr>
      <w:sz w:val="21"/>
      <w:szCs w:val="21"/>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5"/>
    <w:uiPriority w:val="0"/>
  </w:style>
  <w:style w:type="paragraph" w:styleId="5">
    <w:name w:val="Body Text"/>
    <w:basedOn w:val="1"/>
    <w:qFormat/>
    <w:uiPriority w:val="1"/>
    <w:rPr>
      <w:sz w:val="18"/>
      <w:szCs w:val="18"/>
    </w:rPr>
  </w:style>
  <w:style w:type="paragraph" w:styleId="6">
    <w:name w:val="Balloon Text"/>
    <w:basedOn w:val="1"/>
    <w:link w:val="17"/>
    <w:qFormat/>
    <w:uiPriority w:val="0"/>
    <w:rPr>
      <w:sz w:val="18"/>
      <w:szCs w:val="18"/>
    </w:rPr>
  </w:style>
  <w:style w:type="paragraph" w:styleId="7">
    <w:name w:val="annotation subject"/>
    <w:basedOn w:val="4"/>
    <w:next w:val="4"/>
    <w:link w:val="16"/>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uiPriority w:val="0"/>
    <w:rPr>
      <w:sz w:val="21"/>
      <w:szCs w:val="21"/>
    </w:rPr>
  </w:style>
  <w:style w:type="table" w:customStyle="1" w:styleId="12">
    <w:name w:val="Table Normal"/>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pPr>
      <w:spacing w:before="2"/>
      <w:ind w:left="232" w:firstLine="360"/>
    </w:pPr>
  </w:style>
  <w:style w:type="paragraph" w:customStyle="1" w:styleId="14">
    <w:name w:val="Table Paragraph"/>
    <w:basedOn w:val="1"/>
    <w:qFormat/>
    <w:uiPriority w:val="1"/>
    <w:pPr>
      <w:spacing w:before="38"/>
      <w:ind w:left="121"/>
    </w:pPr>
  </w:style>
  <w:style w:type="character" w:customStyle="1" w:styleId="15">
    <w:name w:val="批注文字 Char"/>
    <w:basedOn w:val="10"/>
    <w:link w:val="4"/>
    <w:qFormat/>
    <w:uiPriority w:val="0"/>
    <w:rPr>
      <w:rFonts w:ascii="宋体" w:hAnsi="宋体" w:cs="宋体"/>
      <w:sz w:val="22"/>
      <w:szCs w:val="22"/>
      <w:lang w:val="zh-CN" w:bidi="zh-CN"/>
    </w:rPr>
  </w:style>
  <w:style w:type="character" w:customStyle="1" w:styleId="16">
    <w:name w:val="批注主题 Char"/>
    <w:basedOn w:val="15"/>
    <w:link w:val="7"/>
    <w:uiPriority w:val="0"/>
    <w:rPr>
      <w:rFonts w:ascii="宋体" w:hAnsi="宋体" w:cs="宋体"/>
      <w:b/>
      <w:bCs/>
      <w:sz w:val="22"/>
      <w:szCs w:val="22"/>
      <w:lang w:val="zh-CN" w:bidi="zh-CN"/>
    </w:rPr>
  </w:style>
  <w:style w:type="character" w:customStyle="1" w:styleId="17">
    <w:name w:val="批注框文本 Char"/>
    <w:basedOn w:val="10"/>
    <w:link w:val="6"/>
    <w:qFormat/>
    <w:uiPriority w:val="0"/>
    <w:rPr>
      <w:rFonts w:ascii="宋体" w:hAnsi="宋体" w:cs="宋体"/>
      <w:sz w:val="18"/>
      <w:szCs w:val="18"/>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8</Pages>
  <Words>7157</Words>
  <Characters>7655</Characters>
  <Lines>56</Lines>
  <Paragraphs>15</Paragraphs>
  <TotalTime>477</TotalTime>
  <ScaleCrop>false</ScaleCrop>
  <LinksUpToDate>false</LinksUpToDate>
  <CharactersWithSpaces>7794</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2022-07-25T07:15:00Z</dcterms:created>
  <dc:creator>CNIS</dc:creator>
  <cp:lastModifiedBy>徐伟杰</cp:lastModifiedBy>
  <dcterms:modified xsi:type="dcterms:W3CDTF">2022-08-01T03:17:10Z</dcterms:modified>
  <dc:title>标准名称</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2021-12-28T00:00:00Z</vt:filetime>
  </property>
  <property fmtid="{D5CDD505-2E9C-101B-9397-08002B2CF9AE}" pid="3" name="Creator">
    <vt:lpwstr>Microsoft® Word 2010</vt:lpwstr>
  </property>
  <property fmtid="{D5CDD505-2E9C-101B-9397-08002B2CF9AE}" pid="4" name="LastSaved">
    <vt:filetime>2022-07-25T00:00:00Z</vt:filetime>
  </property>
  <property fmtid="{D5CDD505-2E9C-101B-9397-08002B2CF9AE}" pid="5" name="KSOProductBuildVer">
    <vt:lpwstr>2052-11.1.0.11875</vt:lpwstr>
  </property>
  <property fmtid="{D5CDD505-2E9C-101B-9397-08002B2CF9AE}" pid="6" name="ICV">
    <vt:lpwstr>6645855343E94B14B92D472E26BE388D</vt:lpwstr>
  </property>
</Properties>
</file>