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32"/>
          <w:szCs w:val="40"/>
          <w:lang w:val="en-US" w:eastAsia="zh-CN"/>
        </w:rPr>
      </w:pPr>
      <w:r>
        <w:rPr>
          <w:rFonts w:hint="eastAsia"/>
          <w:b/>
          <w:bCs/>
          <w:sz w:val="32"/>
          <w:szCs w:val="40"/>
          <w:lang w:val="en-US" w:eastAsia="zh-CN"/>
        </w:rPr>
        <w:t>凤卧镇凤南村污水管网延伸工程设计与施工一体化</w:t>
      </w:r>
    </w:p>
    <w:p>
      <w:pPr>
        <w:jc w:val="center"/>
        <w:rPr>
          <w:rFonts w:hint="default"/>
          <w:b/>
          <w:bCs/>
          <w:sz w:val="32"/>
          <w:szCs w:val="40"/>
          <w:lang w:val="en-US" w:eastAsia="zh-CN"/>
        </w:rPr>
      </w:pPr>
      <w:r>
        <w:rPr>
          <w:rFonts w:hint="eastAsia"/>
          <w:b/>
          <w:bCs/>
          <w:sz w:val="32"/>
          <w:szCs w:val="40"/>
          <w:lang w:val="en-US" w:eastAsia="zh-CN"/>
        </w:rPr>
        <w:t>第1次澄清</w:t>
      </w:r>
    </w:p>
    <w:p>
      <w:pPr>
        <w:pStyle w:val="2"/>
        <w:rPr>
          <w:sz w:val="36"/>
          <w:szCs w:val="24"/>
        </w:rPr>
      </w:pPr>
    </w:p>
    <w:p>
      <w:pPr>
        <w:pStyle w:val="2"/>
        <w:spacing w:line="240" w:lineRule="auto"/>
        <w:ind w:left="0" w:leftChars="0" w:firstLine="0" w:firstLineChars="0"/>
        <w:jc w:val="left"/>
        <w:rPr>
          <w:rFonts w:hint="eastAsia" w:asciiTheme="minorHAnsi" w:hAnsiTheme="minorHAnsi" w:eastAsiaTheme="minorEastAsia" w:cstheme="minorBidi"/>
          <w:color w:val="000000"/>
          <w:kern w:val="2"/>
          <w:sz w:val="21"/>
          <w:szCs w:val="21"/>
          <w:lang w:val="en-US" w:eastAsia="zh-CN" w:bidi="ar-SA"/>
        </w:rPr>
      </w:pPr>
      <w:r>
        <w:rPr>
          <w:rFonts w:hint="eastAsia" w:asciiTheme="minorHAnsi" w:hAnsiTheme="minorHAnsi" w:eastAsiaTheme="minorEastAsia" w:cstheme="minorBidi"/>
          <w:color w:val="000000"/>
          <w:kern w:val="2"/>
          <w:sz w:val="21"/>
          <w:szCs w:val="21"/>
          <w:lang w:val="en-US" w:eastAsia="zh-CN" w:bidi="ar-SA"/>
        </w:rPr>
        <w:t>致各投标单位：</w:t>
      </w:r>
    </w:p>
    <w:p>
      <w:pPr>
        <w:pStyle w:val="4"/>
        <w:rPr>
          <w:rFonts w:hint="eastAsia"/>
          <w:lang w:val="en-US" w:eastAsia="zh-CN"/>
        </w:rPr>
      </w:pPr>
    </w:p>
    <w:p>
      <w:pPr>
        <w:spacing w:line="360" w:lineRule="auto"/>
        <w:ind w:firstLine="420" w:firstLineChars="200"/>
        <w:rPr>
          <w:rFonts w:hint="eastAsia" w:ascii="宋体" w:hAnsi="宋体" w:eastAsia="宋体" w:cs="宋体"/>
          <w:color w:val="auto"/>
        </w:rPr>
      </w:pPr>
      <w:r>
        <w:rPr>
          <w:rFonts w:hint="eastAsia" w:cstheme="minorBidi"/>
          <w:color w:val="000000"/>
          <w:kern w:val="2"/>
          <w:sz w:val="21"/>
          <w:szCs w:val="21"/>
          <w:lang w:val="en-US" w:eastAsia="zh-CN" w:bidi="ar-SA"/>
        </w:rPr>
        <w:t>一</w:t>
      </w:r>
      <w:r>
        <w:rPr>
          <w:rFonts w:hint="eastAsia" w:asciiTheme="minorHAnsi" w:hAnsiTheme="minorHAnsi" w:eastAsiaTheme="minorEastAsia" w:cstheme="minorBidi"/>
          <w:color w:val="000000"/>
          <w:kern w:val="2"/>
          <w:sz w:val="21"/>
          <w:szCs w:val="21"/>
          <w:lang w:val="en-US" w:eastAsia="zh-CN" w:bidi="ar-SA"/>
        </w:rPr>
        <w:t>、原招标文件第三章 评标办法</w:t>
      </w:r>
      <w:r>
        <w:rPr>
          <w:rFonts w:hint="eastAsia" w:ascii="宋体" w:hAnsi="宋体"/>
          <w:color w:val="auto"/>
        </w:rPr>
        <w:t>3.3.</w:t>
      </w:r>
      <w:r>
        <w:rPr>
          <w:rFonts w:hint="eastAsia" w:ascii="宋体" w:hAnsi="宋体"/>
          <w:color w:val="auto"/>
          <w:lang w:val="en-US" w:eastAsia="zh-CN"/>
        </w:rPr>
        <w:t>3</w:t>
      </w:r>
      <w:r>
        <w:rPr>
          <w:rFonts w:hint="eastAsia" w:ascii="宋体" w:hAnsi="宋体"/>
          <w:color w:val="auto"/>
        </w:rPr>
        <w:t>评标基准价的确定</w:t>
      </w:r>
      <w:r>
        <w:rPr>
          <w:rFonts w:hint="eastAsia" w:ascii="宋体" w:hAnsi="宋体"/>
          <w:color w:val="auto"/>
          <w:lang w:eastAsia="zh-CN"/>
        </w:rPr>
        <w:t>“</w:t>
      </w:r>
      <w:r>
        <w:rPr>
          <w:rFonts w:hint="eastAsia" w:ascii="宋体" w:hAnsi="宋体" w:eastAsia="宋体" w:cs="宋体"/>
          <w:color w:val="auto"/>
        </w:rPr>
        <w:t>评标基准价由评标委员会计算、复核并签字确认。除计算差错外，确认后的评标基准价在本次招标期间保持不变。计算差错，仅限于以下两种情况：（1）纯算术性四则运算差错；（2）未按约定的计算方法，多计或少计投标人报价。由于评标差错，导致否决投标错误，重新评标纠正等其他情况，不属于计算差错。</w:t>
      </w:r>
    </w:p>
    <w:p>
      <w:pPr>
        <w:pStyle w:val="13"/>
        <w:spacing w:line="360" w:lineRule="auto"/>
        <w:ind w:firstLine="480" w:firstLineChars="200"/>
        <w:rPr>
          <w:rFonts w:hint="eastAsia" w:ascii="宋体" w:hAnsi="宋体" w:eastAsia="宋体" w:cs="宋体"/>
          <w:color w:val="auto"/>
          <w:kern w:val="2"/>
          <w:sz w:val="21"/>
          <w:szCs w:val="21"/>
          <w:lang w:val="en-US" w:eastAsia="zh-CN" w:bidi="ar-SA"/>
        </w:rPr>
      </w:pPr>
      <w:r>
        <w:rPr>
          <w:rFonts w:hint="eastAsia"/>
          <w:bCs/>
        </w:rPr>
        <w:sym w:font="Wingdings" w:char="00FE"/>
      </w:r>
      <w:r>
        <w:rPr>
          <w:rFonts w:hint="eastAsia" w:ascii="宋体" w:hAnsi="宋体" w:eastAsia="宋体" w:cs="宋体"/>
          <w:color w:val="auto"/>
          <w:kern w:val="2"/>
          <w:sz w:val="21"/>
          <w:szCs w:val="21"/>
          <w:lang w:val="en-US" w:eastAsia="zh-CN" w:bidi="ar-SA"/>
        </w:rPr>
        <w:t>评标基准价由招标人在开标时在以下两种办法中随机抽取一种进行计算：</w:t>
      </w:r>
    </w:p>
    <w:p>
      <w:pPr>
        <w:pStyle w:val="13"/>
        <w:spacing w:line="360" w:lineRule="auto"/>
        <w:ind w:firstLine="420" w:firstLineChars="200"/>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①评标基准价=工程招标控制价×（1-1%×X-0.1%×Y）</w:t>
      </w:r>
    </w:p>
    <w:p>
      <w:pPr>
        <w:pStyle w:val="13"/>
        <w:spacing w:line="360" w:lineRule="auto"/>
        <w:ind w:firstLine="420" w:firstLineChars="200"/>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X、Y为调整系数；X值在开标会议上由招标人从 2、3、4、5、6、7、8、9八个数中随机抽取，以抽中值为准；Y值在开标会议上由招标人从0～9（整数）十个数数字中抽取，以抽取值为准。注：评标基准价由评标委员会依据上述方法计算，除计算差错外，确认后的评标基准价在本次招标期间保持不变。评标基准价保留至元，元后四舍五入。</w:t>
      </w:r>
    </w:p>
    <w:p>
      <w:pPr>
        <w:pStyle w:val="13"/>
        <w:spacing w:line="360" w:lineRule="auto"/>
        <w:ind w:firstLine="420" w:firstLineChars="200"/>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②评标基准价=工程招标控制价×（1-1%×X-0.1%×Y-0.01%×Z）</w:t>
      </w:r>
    </w:p>
    <w:p>
      <w:pPr>
        <w:spacing w:line="360" w:lineRule="auto"/>
        <w:ind w:firstLine="420" w:firstLineChars="200"/>
        <w:rPr>
          <w:rFonts w:hint="eastAsia" w:cs="宋体"/>
          <w:color w:val="auto"/>
          <w:kern w:val="2"/>
          <w:sz w:val="21"/>
          <w:szCs w:val="21"/>
          <w:highlight w:val="none"/>
          <w:lang w:val="en-US" w:eastAsia="zh-CN" w:bidi="ar-SA"/>
        </w:rPr>
      </w:pPr>
      <w:r>
        <w:rPr>
          <w:rFonts w:hint="eastAsia" w:ascii="宋体" w:hAnsi="宋体" w:eastAsia="宋体" w:cs="宋体"/>
          <w:color w:val="auto"/>
          <w:kern w:val="2"/>
          <w:sz w:val="21"/>
          <w:szCs w:val="21"/>
          <w:lang w:val="en-US" w:eastAsia="zh-CN" w:bidi="ar-SA"/>
        </w:rPr>
        <w:t>X、Y、Z为调整系数；X值在开标会议上由招标人从2、3、4、5、6、7、8、9八个数中随机抽取，以抽中值为准；Y值在开标会议上由招标人从0～9（整数）十个数数字中抽取，以抽取值为准。Z值在开标会议上由招标人从0～9（整数）十个数数字中抽取，以抽取值为准。注：评标基准价由评标委员会依据上述方法计算，除计算差错外，确认后的评标基准价在本次招标期间保持不变。评标基准价保留至元，元后四舍五入</w:t>
      </w:r>
      <w:r>
        <w:rPr>
          <w:rFonts w:hint="eastAsia" w:ascii="宋体" w:hAnsi="宋体" w:eastAsia="宋体" w:cs="宋体"/>
          <w:color w:val="auto"/>
          <w:kern w:val="2"/>
          <w:sz w:val="21"/>
          <w:szCs w:val="21"/>
          <w:highlight w:val="none"/>
          <w:lang w:val="en-US" w:eastAsia="zh-CN" w:bidi="ar-SA"/>
        </w:rPr>
        <w:t>。</w:t>
      </w:r>
      <w:r>
        <w:rPr>
          <w:rFonts w:hint="eastAsia" w:cs="宋体"/>
          <w:color w:val="auto"/>
          <w:kern w:val="2"/>
          <w:sz w:val="21"/>
          <w:szCs w:val="21"/>
          <w:highlight w:val="none"/>
          <w:lang w:val="en-US" w:eastAsia="zh-CN" w:bidi="ar-SA"/>
        </w:rPr>
        <w:t>”</w:t>
      </w:r>
    </w:p>
    <w:p>
      <w:pPr>
        <w:spacing w:line="360" w:lineRule="auto"/>
        <w:ind w:firstLine="420" w:firstLineChars="200"/>
        <w:rPr>
          <w:rFonts w:hint="eastAsia" w:ascii="宋体" w:hAnsi="宋体" w:eastAsia="宋体" w:cs="宋体"/>
          <w:color w:val="auto"/>
        </w:rPr>
      </w:pPr>
      <w:r>
        <w:rPr>
          <w:rFonts w:hint="eastAsia" w:cs="宋体"/>
          <w:color w:val="auto"/>
          <w:kern w:val="2"/>
          <w:sz w:val="21"/>
          <w:szCs w:val="21"/>
          <w:highlight w:val="none"/>
          <w:lang w:val="en-US" w:eastAsia="zh-CN" w:bidi="ar-SA"/>
        </w:rPr>
        <w:t xml:space="preserve">调整为 </w:t>
      </w:r>
      <w:r>
        <w:rPr>
          <w:rFonts w:hint="eastAsia" w:ascii="宋体" w:hAnsi="宋体"/>
          <w:color w:val="auto"/>
          <w:highlight w:val="none"/>
          <w:lang w:eastAsia="zh-CN"/>
        </w:rPr>
        <w:t>“</w:t>
      </w:r>
      <w:r>
        <w:rPr>
          <w:rFonts w:hint="eastAsia" w:ascii="宋体" w:hAnsi="宋体" w:eastAsia="宋体" w:cs="宋体"/>
          <w:color w:val="auto"/>
          <w:highlight w:val="none"/>
        </w:rPr>
        <w:t>评标基准价由评标委员会计算、复核并签字确认。除计算差错外，确认后的评标基准价在本次招标期间保持不变。计算差错，仅限于以下两种情况：</w:t>
      </w:r>
      <w:r>
        <w:rPr>
          <w:rFonts w:hint="eastAsia" w:ascii="宋体" w:hAnsi="宋体" w:eastAsia="宋体" w:cs="宋体"/>
          <w:color w:val="auto"/>
        </w:rPr>
        <w:t>（1）纯算术性四则运算差错；（2）未按约定的计算方法，多计或少计投标人报价。由于评标差错，导致否决投标错误，重新评标纠正等其他情况，不属于计算差错。</w:t>
      </w:r>
    </w:p>
    <w:p>
      <w:pPr>
        <w:pStyle w:val="13"/>
        <w:spacing w:line="360" w:lineRule="auto"/>
        <w:ind w:firstLine="480" w:firstLineChars="200"/>
        <w:rPr>
          <w:rFonts w:hint="eastAsia" w:ascii="宋体" w:hAnsi="宋体" w:eastAsia="宋体" w:cs="宋体"/>
          <w:color w:val="auto"/>
          <w:kern w:val="2"/>
          <w:sz w:val="21"/>
          <w:szCs w:val="21"/>
          <w:lang w:val="en-US" w:eastAsia="zh-CN" w:bidi="ar-SA"/>
        </w:rPr>
      </w:pPr>
      <w:r>
        <w:rPr>
          <w:rFonts w:hint="eastAsia"/>
          <w:bCs/>
        </w:rPr>
        <w:sym w:font="Wingdings" w:char="00FE"/>
      </w:r>
      <w:r>
        <w:rPr>
          <w:rFonts w:hint="eastAsia" w:ascii="宋体" w:hAnsi="宋体" w:eastAsia="宋体" w:cs="宋体"/>
          <w:color w:val="auto"/>
          <w:kern w:val="2"/>
          <w:sz w:val="21"/>
          <w:szCs w:val="21"/>
          <w:lang w:val="en-US" w:eastAsia="zh-CN" w:bidi="ar-SA"/>
        </w:rPr>
        <w:t>评标基准价由招标人在开标时在以下两种办法中随机抽取一种进行计算：</w:t>
      </w:r>
    </w:p>
    <w:p>
      <w:pPr>
        <w:pStyle w:val="13"/>
        <w:spacing w:line="360" w:lineRule="auto"/>
        <w:ind w:firstLine="420" w:firstLineChars="200"/>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①评标基准价=</w:t>
      </w:r>
      <w:r>
        <w:rPr>
          <w:rFonts w:hint="eastAsia" w:cs="宋体"/>
          <w:color w:val="auto"/>
          <w:kern w:val="2"/>
          <w:sz w:val="21"/>
          <w:szCs w:val="21"/>
          <w:lang w:val="en-US" w:eastAsia="zh-CN" w:bidi="ar-SA"/>
        </w:rPr>
        <w:t>本项目的最高限价</w:t>
      </w:r>
      <w:r>
        <w:rPr>
          <w:rFonts w:hint="eastAsia" w:ascii="宋体" w:hAnsi="宋体" w:eastAsia="宋体" w:cs="宋体"/>
          <w:color w:val="auto"/>
          <w:kern w:val="2"/>
          <w:sz w:val="21"/>
          <w:szCs w:val="21"/>
          <w:lang w:val="en-US" w:eastAsia="zh-CN" w:bidi="ar-SA"/>
        </w:rPr>
        <w:t>×（1-1%×X-0.1%×Y）</w:t>
      </w:r>
    </w:p>
    <w:p>
      <w:pPr>
        <w:pStyle w:val="13"/>
        <w:spacing w:line="360" w:lineRule="auto"/>
        <w:ind w:firstLine="420" w:firstLineChars="200"/>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X、Y为调整系数；X值在开标会议上由招标人从 2、3、4、5、6、7、8、9八个数中随机抽取，以抽中值为准；Y值在开标会议上由招标人从0～9（整数）十个数数字中抽取，以抽取值为准。注：评标基准价由评标委员会依据上述方法计算，除计算差错外，确认后的评标基准价在本次招标期间保持不变。评标基准价保留至元，元后四舍五入。</w:t>
      </w:r>
    </w:p>
    <w:p>
      <w:pPr>
        <w:pStyle w:val="13"/>
        <w:spacing w:line="360" w:lineRule="auto"/>
        <w:ind w:firstLine="420" w:firstLineChars="200"/>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②评标基准价=</w:t>
      </w:r>
      <w:r>
        <w:rPr>
          <w:rFonts w:hint="eastAsia" w:cs="宋体"/>
          <w:color w:val="auto"/>
          <w:kern w:val="2"/>
          <w:sz w:val="21"/>
          <w:szCs w:val="21"/>
          <w:lang w:val="en-US" w:eastAsia="zh-CN" w:bidi="ar-SA"/>
        </w:rPr>
        <w:t>本项目的最高限价</w:t>
      </w:r>
      <w:r>
        <w:rPr>
          <w:rFonts w:hint="eastAsia" w:ascii="宋体" w:hAnsi="宋体" w:eastAsia="宋体" w:cs="宋体"/>
          <w:color w:val="auto"/>
          <w:kern w:val="2"/>
          <w:sz w:val="21"/>
          <w:szCs w:val="21"/>
          <w:lang w:val="en-US" w:eastAsia="zh-CN" w:bidi="ar-SA"/>
        </w:rPr>
        <w:t>×（1-1%×X-0.1%×Y-0.01%×Z）</w:t>
      </w:r>
    </w:p>
    <w:p>
      <w:pPr>
        <w:pStyle w:val="13"/>
        <w:spacing w:line="360" w:lineRule="auto"/>
        <w:ind w:firstLine="420" w:firstLineChars="200"/>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X、Y、Z为调整系数；X值在开标会议上由招标人从2、3、4、5、6、7、8、9八个数中随机抽取，以抽中值为准；Y值在开标会议上由招标人从0～9（整数）十个数数字中抽取，以抽取值为准。Z值在开标会议上由招标人从0～9（整数）十个数数字中抽取，以抽取值为准。注：评标基准价由评标委员会依据上述方法计算，除计算差错外，确认后的评标基准价在本次招标期间保持不变。评标基准价保留至元，元后四舍五入。</w:t>
      </w:r>
      <w:r>
        <w:rPr>
          <w:rFonts w:hint="default" w:cs="宋体"/>
          <w:color w:val="auto"/>
          <w:kern w:val="2"/>
          <w:sz w:val="21"/>
          <w:szCs w:val="21"/>
          <w:lang w:val="en-US" w:eastAsia="zh-CN" w:bidi="ar-SA"/>
        </w:rPr>
        <w:t>”</w:t>
      </w:r>
    </w:p>
    <w:p>
      <w:pPr>
        <w:pStyle w:val="2"/>
        <w:spacing w:line="240" w:lineRule="auto"/>
        <w:ind w:left="0" w:leftChars="0" w:firstLine="0" w:firstLineChars="0"/>
        <w:jc w:val="left"/>
        <w:rPr>
          <w:rFonts w:hint="eastAsia" w:asciiTheme="minorHAnsi" w:hAnsiTheme="minorHAnsi" w:eastAsiaTheme="minorEastAsia" w:cstheme="minorBidi"/>
          <w:color w:val="000000"/>
          <w:kern w:val="2"/>
          <w:sz w:val="21"/>
          <w:szCs w:val="21"/>
          <w:lang w:val="en-US" w:eastAsia="zh-CN" w:bidi="ar-SA"/>
        </w:rPr>
      </w:pPr>
    </w:p>
    <w:p>
      <w:pPr>
        <w:pStyle w:val="2"/>
        <w:spacing w:line="240" w:lineRule="auto"/>
        <w:ind w:left="0" w:leftChars="0" w:firstLine="0" w:firstLineChars="0"/>
        <w:jc w:val="left"/>
        <w:rPr>
          <w:rFonts w:hint="eastAsia" w:asciiTheme="minorHAnsi" w:hAnsiTheme="minorHAnsi" w:eastAsiaTheme="minorEastAsia" w:cstheme="minorBidi"/>
          <w:color w:val="000000"/>
          <w:kern w:val="2"/>
          <w:sz w:val="21"/>
          <w:szCs w:val="21"/>
          <w:lang w:val="en-US" w:eastAsia="zh-CN" w:bidi="ar-SA"/>
        </w:rPr>
      </w:pPr>
      <w:r>
        <w:rPr>
          <w:rFonts w:hint="eastAsia" w:cstheme="minorBidi"/>
          <w:color w:val="000000"/>
          <w:kern w:val="2"/>
          <w:sz w:val="21"/>
          <w:szCs w:val="21"/>
          <w:lang w:val="en-US" w:eastAsia="zh-CN" w:bidi="ar-SA"/>
        </w:rPr>
        <w:t>二</w:t>
      </w:r>
      <w:r>
        <w:rPr>
          <w:rFonts w:hint="eastAsia" w:asciiTheme="minorHAnsi" w:hAnsiTheme="minorHAnsi" w:eastAsiaTheme="minorEastAsia" w:cstheme="minorBidi"/>
          <w:color w:val="000000"/>
          <w:kern w:val="2"/>
          <w:sz w:val="21"/>
          <w:szCs w:val="21"/>
          <w:lang w:val="en-US" w:eastAsia="zh-CN" w:bidi="ar-SA"/>
        </w:rPr>
        <w:t>、其他未尽事宜，按原招标文件执行。</w:t>
      </w:r>
    </w:p>
    <w:p>
      <w:pPr>
        <w:pStyle w:val="4"/>
        <w:rPr>
          <w:rFonts w:hint="eastAsia" w:asciiTheme="minorHAnsi" w:hAnsiTheme="minorHAnsi" w:eastAsiaTheme="minorEastAsia" w:cstheme="minorBidi"/>
          <w:color w:val="000000"/>
          <w:kern w:val="2"/>
          <w:sz w:val="21"/>
          <w:szCs w:val="21"/>
          <w:lang w:val="en-US" w:eastAsia="zh-CN" w:bidi="ar-SA"/>
        </w:rPr>
      </w:pPr>
    </w:p>
    <w:p>
      <w:pPr>
        <w:pStyle w:val="4"/>
        <w:numPr>
          <w:ilvl w:val="0"/>
          <w:numId w:val="0"/>
        </w:numPr>
        <w:rPr>
          <w:rFonts w:hint="eastAsia"/>
          <w:sz w:val="21"/>
          <w:szCs w:val="24"/>
          <w:lang w:eastAsia="zh-CN"/>
        </w:rPr>
      </w:pPr>
    </w:p>
    <w:p>
      <w:pPr>
        <w:pStyle w:val="4"/>
        <w:ind w:left="0" w:leftChars="0" w:firstLine="0" w:firstLineChars="0"/>
        <w:rPr>
          <w:rFonts w:hint="eastAsia"/>
          <w:lang w:eastAsia="zh-CN"/>
        </w:rPr>
      </w:pPr>
      <w:bookmarkStart w:id="0" w:name="_GoBack"/>
      <w:bookmarkEnd w:id="0"/>
    </w:p>
    <w:p>
      <w:pPr>
        <w:rPr>
          <w:rFonts w:hint="eastAsia"/>
          <w:lang w:eastAsia="zh-CN"/>
        </w:rPr>
      </w:pPr>
    </w:p>
    <w:p>
      <w:pPr>
        <w:widowControl/>
        <w:wordWrap w:val="0"/>
        <w:spacing w:line="240" w:lineRule="auto"/>
        <w:ind w:firstLine="420" w:firstLineChars="200"/>
        <w:jc w:val="right"/>
        <w:rPr>
          <w:rFonts w:hint="eastAsia" w:asciiTheme="minorHAnsi" w:hAnsiTheme="minorHAnsi" w:eastAsiaTheme="minorEastAsia" w:cstheme="minorBidi"/>
          <w:color w:val="000000"/>
          <w:kern w:val="2"/>
          <w:sz w:val="21"/>
          <w:szCs w:val="21"/>
          <w:lang w:val="en-US" w:eastAsia="zh-CN" w:bidi="ar-SA"/>
        </w:rPr>
      </w:pPr>
      <w:r>
        <w:rPr>
          <w:rFonts w:hint="eastAsia" w:asciiTheme="minorHAnsi" w:hAnsiTheme="minorHAnsi" w:eastAsiaTheme="minorEastAsia" w:cstheme="minorBidi"/>
          <w:color w:val="000000"/>
          <w:kern w:val="2"/>
          <w:sz w:val="21"/>
          <w:szCs w:val="21"/>
          <w:lang w:val="en-US" w:eastAsia="zh-CN" w:bidi="ar-SA"/>
        </w:rPr>
        <w:t>平阳县公用事业投资有限公司</w:t>
      </w:r>
    </w:p>
    <w:p>
      <w:pPr>
        <w:widowControl/>
        <w:wordWrap w:val="0"/>
        <w:spacing w:line="240" w:lineRule="auto"/>
        <w:ind w:firstLine="420" w:firstLineChars="200"/>
        <w:jc w:val="right"/>
        <w:rPr>
          <w:rFonts w:hint="eastAsia" w:asciiTheme="minorHAnsi" w:hAnsiTheme="minorHAnsi" w:eastAsiaTheme="minorEastAsia" w:cstheme="minorBidi"/>
          <w:color w:val="000000"/>
          <w:kern w:val="2"/>
          <w:sz w:val="21"/>
          <w:szCs w:val="21"/>
          <w:lang w:val="en-US" w:eastAsia="zh-CN" w:bidi="ar-SA"/>
        </w:rPr>
      </w:pPr>
      <w:r>
        <w:rPr>
          <w:rFonts w:hint="eastAsia" w:asciiTheme="minorHAnsi" w:hAnsiTheme="minorHAnsi" w:eastAsiaTheme="minorEastAsia" w:cstheme="minorBidi"/>
          <w:color w:val="000000"/>
          <w:kern w:val="2"/>
          <w:sz w:val="21"/>
          <w:szCs w:val="21"/>
          <w:lang w:val="en-US" w:eastAsia="zh-CN" w:bidi="ar-SA"/>
        </w:rPr>
        <w:t>温州正大工程项目管理有限公司</w:t>
      </w:r>
    </w:p>
    <w:p>
      <w:pPr>
        <w:widowControl/>
        <w:wordWrap w:val="0"/>
        <w:spacing w:line="240" w:lineRule="auto"/>
        <w:ind w:firstLine="420" w:firstLineChars="200"/>
        <w:jc w:val="right"/>
        <w:rPr>
          <w:rFonts w:hint="eastAsia"/>
          <w:b/>
          <w:bCs/>
          <w:sz w:val="28"/>
          <w:szCs w:val="36"/>
          <w:lang w:eastAsia="zh-CN"/>
        </w:rPr>
      </w:pPr>
      <w:r>
        <w:rPr>
          <w:rFonts w:hint="eastAsia" w:asciiTheme="minorHAnsi" w:hAnsiTheme="minorHAnsi" w:eastAsiaTheme="minorEastAsia" w:cstheme="minorBidi"/>
          <w:color w:val="000000"/>
          <w:kern w:val="2"/>
          <w:sz w:val="21"/>
          <w:szCs w:val="21"/>
          <w:lang w:val="en-US" w:eastAsia="zh-CN" w:bidi="ar-SA"/>
        </w:rPr>
        <w:t>202</w:t>
      </w:r>
      <w:r>
        <w:rPr>
          <w:rFonts w:hint="eastAsia" w:cstheme="minorBidi"/>
          <w:color w:val="000000"/>
          <w:kern w:val="2"/>
          <w:sz w:val="21"/>
          <w:szCs w:val="21"/>
          <w:lang w:val="en-US" w:eastAsia="zh-CN" w:bidi="ar-SA"/>
        </w:rPr>
        <w:t>3</w:t>
      </w:r>
      <w:r>
        <w:rPr>
          <w:rFonts w:hint="eastAsia" w:asciiTheme="minorHAnsi" w:hAnsiTheme="minorHAnsi" w:eastAsiaTheme="minorEastAsia" w:cstheme="minorBidi"/>
          <w:color w:val="000000"/>
          <w:kern w:val="2"/>
          <w:sz w:val="21"/>
          <w:szCs w:val="21"/>
          <w:lang w:val="en-US" w:eastAsia="zh-CN" w:bidi="ar-SA"/>
        </w:rPr>
        <w:t xml:space="preserve">年 </w:t>
      </w:r>
      <w:r>
        <w:rPr>
          <w:rFonts w:hint="eastAsia" w:cstheme="minorBidi"/>
          <w:color w:val="000000"/>
          <w:kern w:val="2"/>
          <w:sz w:val="21"/>
          <w:szCs w:val="21"/>
          <w:lang w:val="en-US" w:eastAsia="zh-CN" w:bidi="ar-SA"/>
        </w:rPr>
        <w:t>01</w:t>
      </w:r>
      <w:r>
        <w:rPr>
          <w:rFonts w:hint="eastAsia" w:asciiTheme="minorHAnsi" w:hAnsiTheme="minorHAnsi" w:eastAsiaTheme="minorEastAsia" w:cstheme="minorBidi"/>
          <w:color w:val="000000"/>
          <w:kern w:val="2"/>
          <w:sz w:val="21"/>
          <w:szCs w:val="21"/>
          <w:lang w:val="en-US" w:eastAsia="zh-CN" w:bidi="ar-SA"/>
        </w:rPr>
        <w:t xml:space="preserve"> 月 </w:t>
      </w:r>
      <w:r>
        <w:rPr>
          <w:rFonts w:hint="eastAsia" w:cstheme="minorBidi"/>
          <w:color w:val="000000"/>
          <w:kern w:val="2"/>
          <w:sz w:val="21"/>
          <w:szCs w:val="21"/>
          <w:lang w:val="en-US" w:eastAsia="zh-CN" w:bidi="ar-SA"/>
        </w:rPr>
        <w:t>04</w:t>
      </w:r>
      <w:r>
        <w:rPr>
          <w:rFonts w:hint="eastAsia" w:asciiTheme="minorHAnsi" w:hAnsiTheme="minorHAnsi" w:eastAsiaTheme="minorEastAsia" w:cstheme="minorBidi"/>
          <w:color w:val="000000"/>
          <w:kern w:val="2"/>
          <w:sz w:val="21"/>
          <w:szCs w:val="21"/>
          <w:lang w:val="en-US" w:eastAsia="zh-CN" w:bidi="ar-SA"/>
        </w:rPr>
        <w:t xml:space="preserve">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roma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QwNjU1MGE2ZDk1MWM3NGYyMzU3ZDAwYmU1OWIwZWUifQ=="/>
  </w:docVars>
  <w:rsids>
    <w:rsidRoot w:val="3E8310DC"/>
    <w:rsid w:val="05C96101"/>
    <w:rsid w:val="093E2A8B"/>
    <w:rsid w:val="10F772D2"/>
    <w:rsid w:val="3E8310DC"/>
    <w:rsid w:val="3ED140B7"/>
    <w:rsid w:val="414E6AF0"/>
    <w:rsid w:val="42AF0797"/>
    <w:rsid w:val="45F4241D"/>
    <w:rsid w:val="51FB5602"/>
    <w:rsid w:val="67DE0B23"/>
    <w:rsid w:val="68871CF9"/>
    <w:rsid w:val="6B910766"/>
    <w:rsid w:val="71BF148D"/>
    <w:rsid w:val="764B2D87"/>
    <w:rsid w:val="79F014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5">
    <w:name w:val="heading 1"/>
    <w:basedOn w:val="1"/>
    <w:next w:val="1"/>
    <w:qFormat/>
    <w:uiPriority w:val="0"/>
    <w:pPr>
      <w:keepNext/>
      <w:keepLines/>
      <w:spacing w:before="340" w:after="330" w:line="578" w:lineRule="auto"/>
      <w:outlineLvl w:val="0"/>
    </w:pPr>
    <w:rPr>
      <w:b/>
      <w:bCs/>
      <w:kern w:val="44"/>
      <w:sz w:val="44"/>
      <w:szCs w:val="44"/>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w:basedOn w:val="3"/>
    <w:next w:val="4"/>
    <w:qFormat/>
    <w:uiPriority w:val="0"/>
    <w:pPr>
      <w:tabs>
        <w:tab w:val="left" w:pos="574"/>
        <w:tab w:val="left" w:pos="9360"/>
      </w:tabs>
      <w:spacing w:line="312" w:lineRule="auto"/>
      <w:ind w:firstLine="420"/>
    </w:pPr>
  </w:style>
  <w:style w:type="paragraph" w:styleId="3">
    <w:name w:val="Body Text"/>
    <w:basedOn w:val="1"/>
    <w:next w:val="2"/>
    <w:qFormat/>
    <w:uiPriority w:val="0"/>
    <w:pPr>
      <w:tabs>
        <w:tab w:val="left" w:pos="9360"/>
      </w:tabs>
    </w:pPr>
    <w:rPr>
      <w:sz w:val="24"/>
      <w:szCs w:val="20"/>
    </w:rPr>
  </w:style>
  <w:style w:type="paragraph" w:styleId="4">
    <w:name w:val="toc 6"/>
    <w:basedOn w:val="1"/>
    <w:next w:val="1"/>
    <w:qFormat/>
    <w:uiPriority w:val="0"/>
    <w:pPr>
      <w:ind w:left="2100" w:leftChars="1000"/>
    </w:pPr>
  </w:style>
  <w:style w:type="paragraph" w:styleId="6">
    <w:name w:val="Normal Indent"/>
    <w:basedOn w:val="1"/>
    <w:qFormat/>
    <w:uiPriority w:val="0"/>
    <w:pPr>
      <w:ind w:firstLine="420" w:firstLineChars="200"/>
    </w:pPr>
  </w:style>
  <w:style w:type="paragraph" w:styleId="7">
    <w:name w:val="Plain Text"/>
    <w:basedOn w:val="1"/>
    <w:uiPriority w:val="0"/>
    <w:rPr>
      <w:rFonts w:ascii="宋体" w:hAnsi="Courier New"/>
    </w:rPr>
  </w:style>
  <w:style w:type="paragraph" w:styleId="8">
    <w:name w:val="footer"/>
    <w:basedOn w:val="1"/>
    <w:qFormat/>
    <w:uiPriority w:val="0"/>
    <w:pPr>
      <w:tabs>
        <w:tab w:val="center" w:pos="4153"/>
        <w:tab w:val="right" w:pos="8306"/>
      </w:tabs>
      <w:snapToGrid w:val="0"/>
      <w:jc w:val="left"/>
    </w:pPr>
    <w:rPr>
      <w:sz w:val="18"/>
      <w:szCs w:val="18"/>
    </w:rPr>
  </w:style>
  <w:style w:type="character" w:styleId="11">
    <w:name w:val="page number"/>
    <w:basedOn w:val="10"/>
    <w:qFormat/>
    <w:uiPriority w:val="0"/>
  </w:style>
  <w:style w:type="paragraph" w:customStyle="1" w:styleId="12">
    <w:name w:val="Default"/>
    <w:qFormat/>
    <w:uiPriority w:val="0"/>
    <w:pPr>
      <w:widowControl w:val="0"/>
      <w:autoSpaceDE w:val="0"/>
      <w:autoSpaceDN w:val="0"/>
      <w:adjustRightInd w:val="0"/>
      <w:spacing w:after="200" w:line="276" w:lineRule="auto"/>
    </w:pPr>
    <w:rPr>
      <w:rFonts w:ascii="仿宋_GB2312" w:hAnsi="Calibri" w:eastAsia="仿宋_GB2312" w:cs="Times New Roman"/>
      <w:color w:val="000000"/>
      <w:sz w:val="24"/>
      <w:lang w:val="en-US" w:eastAsia="zh-CN" w:bidi="ar-SA"/>
    </w:rPr>
  </w:style>
  <w:style w:type="paragraph" w:customStyle="1" w:styleId="13">
    <w:name w:val="[Normal]"/>
    <w:qFormat/>
    <w:uiPriority w:val="0"/>
    <w:rPr>
      <w:rFonts w:ascii="宋体" w:hAnsi="宋体" w:eastAsia="宋体" w:cs="Times New Roman"/>
      <w:sz w:val="24"/>
      <w:szCs w:val="22"/>
      <w:lang w:val="zh-CN"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1266</Words>
  <Characters>1319</Characters>
  <Lines>0</Lines>
  <Paragraphs>0</Paragraphs>
  <TotalTime>6</TotalTime>
  <ScaleCrop>false</ScaleCrop>
  <LinksUpToDate>false</LinksUpToDate>
  <CharactersWithSpaces>1327</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2021-08-20T02:39:00Z</dcterms:created>
  <dc:creator>乐迎林～</dc:creator>
  <cp:lastModifiedBy>林少云</cp:lastModifiedBy>
  <cp:lastPrinted>2021-08-30T06:38:00Z</cp:lastPrinted>
  <dcterms:modified xsi:type="dcterms:W3CDTF">2023-01-04T02:43:26Z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A1F72640800A4AA9B2679B675550BFA6</vt:lpwstr>
  </property>
</Properties>
</file>