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after="119"/>
        <w:jc w:val="center"/>
        <w:rPr>
          <w:rFonts w:hint="eastAsia" w:ascii="黑体" w:hAnsi="宋体" w:eastAsia="黑体" w:cs="黑体"/>
          <w:color w:val="auto"/>
          <w:sz w:val="48"/>
          <w:szCs w:val="48"/>
          <w:highlight w:val="none"/>
          <w:lang w:eastAsia="zh-CN" w:bidi="ar"/>
        </w:rPr>
      </w:pPr>
    </w:p>
    <w:p>
      <w:pPr>
        <w:widowControl/>
        <w:spacing w:after="119"/>
        <w:jc w:val="center"/>
        <w:rPr>
          <w:color w:val="auto"/>
          <w:highlight w:val="none"/>
        </w:rPr>
      </w:pPr>
      <w:r>
        <w:rPr>
          <w:rFonts w:hint="eastAsia" w:ascii="黑体" w:hAnsi="宋体" w:eastAsia="黑体" w:cs="黑体"/>
          <w:color w:val="auto"/>
          <w:sz w:val="44"/>
          <w:szCs w:val="44"/>
          <w:highlight w:val="none"/>
          <w:lang w:eastAsia="zh-CN" w:bidi="ar"/>
        </w:rPr>
        <w:t>南麂镇新码头自然村到国姓岙自然村道路提升工程</w:t>
      </w:r>
      <w:r>
        <w:rPr>
          <w:rFonts w:hint="eastAsia" w:ascii="黑体" w:hAnsi="宋体" w:eastAsia="黑体" w:cs="黑体"/>
          <w:color w:val="auto"/>
          <w:sz w:val="44"/>
          <w:szCs w:val="22"/>
          <w:highlight w:val="none"/>
          <w:lang w:bidi="ar"/>
        </w:rPr>
        <w:t xml:space="preserve"> </w:t>
      </w:r>
    </w:p>
    <w:p>
      <w:pPr>
        <w:widowControl/>
        <w:spacing w:after="118"/>
        <w:jc w:val="center"/>
        <w:rPr>
          <w:color w:val="auto"/>
          <w:highlight w:val="none"/>
        </w:rPr>
      </w:pPr>
      <w:r>
        <w:rPr>
          <w:rFonts w:hint="eastAsia" w:ascii="黑体" w:hAnsi="宋体" w:eastAsia="黑体" w:cs="黑体"/>
          <w:color w:val="auto"/>
          <w:sz w:val="44"/>
          <w:szCs w:val="22"/>
          <w:highlight w:val="none"/>
          <w:lang w:bidi="ar"/>
        </w:rPr>
        <w:t xml:space="preserve"> </w:t>
      </w:r>
    </w:p>
    <w:p>
      <w:pPr>
        <w:widowControl/>
        <w:spacing w:after="119"/>
        <w:jc w:val="center"/>
        <w:rPr>
          <w:color w:val="auto"/>
          <w:highlight w:val="none"/>
        </w:rPr>
      </w:pPr>
      <w:r>
        <w:rPr>
          <w:rFonts w:hint="eastAsia" w:ascii="黑体" w:hAnsi="宋体" w:eastAsia="黑体" w:cs="黑体"/>
          <w:color w:val="auto"/>
          <w:sz w:val="44"/>
          <w:szCs w:val="22"/>
          <w:highlight w:val="none"/>
          <w:lang w:bidi="ar"/>
        </w:rPr>
        <w:t xml:space="preserve"> </w:t>
      </w:r>
    </w:p>
    <w:p>
      <w:pPr>
        <w:widowControl/>
        <w:spacing w:after="160"/>
        <w:jc w:val="center"/>
        <w:rPr>
          <w:rFonts w:hint="eastAsia" w:ascii="黑体" w:hAnsi="宋体" w:eastAsia="黑体" w:cs="黑体"/>
          <w:color w:val="auto"/>
          <w:sz w:val="44"/>
          <w:szCs w:val="22"/>
          <w:highlight w:val="none"/>
          <w:lang w:bidi="ar"/>
        </w:rPr>
      </w:pPr>
      <w:r>
        <w:rPr>
          <w:rFonts w:hint="eastAsia" w:ascii="黑体" w:hAnsi="宋体" w:eastAsia="黑体" w:cs="黑体"/>
          <w:color w:val="auto"/>
          <w:sz w:val="44"/>
          <w:szCs w:val="22"/>
          <w:highlight w:val="none"/>
          <w:lang w:bidi="ar"/>
        </w:rPr>
        <w:t xml:space="preserve"> </w:t>
      </w:r>
    </w:p>
    <w:p>
      <w:pPr>
        <w:widowControl/>
        <w:spacing w:after="160"/>
        <w:jc w:val="center"/>
        <w:rPr>
          <w:color w:val="auto"/>
          <w:highlight w:val="none"/>
        </w:rPr>
      </w:pPr>
    </w:p>
    <w:p>
      <w:pPr>
        <w:widowControl/>
        <w:spacing w:after="615"/>
        <w:jc w:val="center"/>
        <w:rPr>
          <w:rFonts w:hint="eastAsia" w:ascii="黑体" w:hAnsi="宋体" w:eastAsia="黑体" w:cs="黑体"/>
          <w:color w:val="auto"/>
          <w:sz w:val="72"/>
          <w:szCs w:val="22"/>
          <w:highlight w:val="none"/>
          <w:lang w:bidi="ar"/>
        </w:rPr>
      </w:pPr>
      <w:r>
        <w:rPr>
          <w:rFonts w:hint="eastAsia" w:ascii="黑体" w:hAnsi="宋体" w:eastAsia="黑体" w:cs="黑体"/>
          <w:color w:val="auto"/>
          <w:sz w:val="72"/>
          <w:szCs w:val="22"/>
          <w:highlight w:val="none"/>
          <w:lang w:bidi="ar"/>
        </w:rPr>
        <w:t>施 工 招 标 文 件</w:t>
      </w:r>
    </w:p>
    <w:p>
      <w:pPr>
        <w:widowControl/>
        <w:spacing w:after="118"/>
        <w:jc w:val="both"/>
        <w:rPr>
          <w:color w:val="auto"/>
          <w:highlight w:val="none"/>
        </w:rPr>
      </w:pPr>
    </w:p>
    <w:p>
      <w:pPr>
        <w:widowControl/>
        <w:tabs>
          <w:tab w:val="left" w:pos="5400"/>
          <w:tab w:val="left" w:pos="5760"/>
        </w:tabs>
        <w:spacing w:after="174" w:line="0" w:lineRule="atLeast"/>
        <w:ind w:left="-7" w:hanging="8"/>
        <w:rPr>
          <w:b/>
          <w:color w:val="auto"/>
          <w:sz w:val="36"/>
          <w:szCs w:val="22"/>
          <w:highlight w:val="none"/>
        </w:rPr>
      </w:pPr>
    </w:p>
    <w:p>
      <w:pPr>
        <w:widowControl/>
        <w:tabs>
          <w:tab w:val="left" w:pos="5400"/>
          <w:tab w:val="left" w:pos="5760"/>
        </w:tabs>
        <w:spacing w:after="174" w:line="0" w:lineRule="atLeast"/>
        <w:ind w:left="-7" w:hanging="8"/>
        <w:rPr>
          <w:b/>
          <w:color w:val="auto"/>
          <w:sz w:val="36"/>
          <w:szCs w:val="22"/>
          <w:highlight w:val="none"/>
        </w:rPr>
      </w:pPr>
    </w:p>
    <w:p>
      <w:pPr>
        <w:widowControl/>
        <w:tabs>
          <w:tab w:val="left" w:pos="5400"/>
          <w:tab w:val="left" w:pos="5760"/>
        </w:tabs>
        <w:spacing w:after="174" w:line="0" w:lineRule="atLeast"/>
        <w:ind w:left="-7" w:hanging="8"/>
        <w:rPr>
          <w:b/>
          <w:color w:val="auto"/>
          <w:sz w:val="36"/>
          <w:szCs w:val="22"/>
          <w:highlight w:val="none"/>
        </w:rPr>
      </w:pPr>
      <w:r>
        <w:rPr>
          <w:rFonts w:hint="eastAsia"/>
          <w:b/>
          <w:color w:val="auto"/>
          <w:sz w:val="36"/>
          <w:szCs w:val="22"/>
          <w:highlight w:val="none"/>
          <w:lang w:val="en-US" w:eastAsia="zh-CN"/>
        </w:rPr>
        <w:t xml:space="preserve">                   </w:t>
      </w:r>
    </w:p>
    <w:p>
      <w:pPr>
        <w:widowControl/>
        <w:tabs>
          <w:tab w:val="left" w:pos="5400"/>
          <w:tab w:val="left" w:pos="5760"/>
        </w:tabs>
        <w:spacing w:after="174" w:line="0" w:lineRule="atLeast"/>
        <w:ind w:left="-7" w:hanging="8"/>
        <w:rPr>
          <w:rFonts w:hint="eastAsia"/>
          <w:b/>
          <w:color w:val="auto"/>
          <w:sz w:val="36"/>
          <w:szCs w:val="22"/>
          <w:highlight w:val="none"/>
        </w:rPr>
      </w:pPr>
    </w:p>
    <w:p>
      <w:pPr>
        <w:widowControl/>
        <w:tabs>
          <w:tab w:val="left" w:pos="5400"/>
          <w:tab w:val="left" w:pos="5760"/>
        </w:tabs>
        <w:spacing w:after="174" w:line="0" w:lineRule="atLeast"/>
        <w:ind w:left="-7" w:hanging="8"/>
        <w:rPr>
          <w:rFonts w:hint="eastAsia"/>
          <w:b/>
          <w:color w:val="auto"/>
          <w:sz w:val="36"/>
          <w:szCs w:val="22"/>
          <w:highlight w:val="none"/>
        </w:rPr>
      </w:pPr>
    </w:p>
    <w:p>
      <w:pPr>
        <w:widowControl/>
        <w:tabs>
          <w:tab w:val="left" w:pos="5400"/>
          <w:tab w:val="left" w:pos="5760"/>
        </w:tabs>
        <w:spacing w:after="174" w:line="0" w:lineRule="atLeast"/>
        <w:ind w:left="-7" w:hanging="8"/>
        <w:rPr>
          <w:b/>
          <w:color w:val="auto"/>
          <w:sz w:val="36"/>
          <w:szCs w:val="22"/>
          <w:highlight w:val="none"/>
        </w:rPr>
      </w:pPr>
    </w:p>
    <w:tbl>
      <w:tblPr>
        <w:tblStyle w:val="17"/>
        <w:tblW w:w="0" w:type="auto"/>
        <w:jc w:val="center"/>
        <w:tblLayout w:type="fixed"/>
        <w:tblCellMar>
          <w:top w:w="0" w:type="dxa"/>
          <w:left w:w="108" w:type="dxa"/>
          <w:bottom w:w="0" w:type="dxa"/>
          <w:right w:w="108" w:type="dxa"/>
        </w:tblCellMar>
      </w:tblPr>
      <w:tblGrid>
        <w:gridCol w:w="1687"/>
        <w:gridCol w:w="4828"/>
      </w:tblGrid>
      <w:tr>
        <w:tblPrEx>
          <w:tblCellMar>
            <w:top w:w="0" w:type="dxa"/>
            <w:left w:w="108" w:type="dxa"/>
            <w:bottom w:w="0" w:type="dxa"/>
            <w:right w:w="108" w:type="dxa"/>
          </w:tblCellMar>
        </w:tblPrEx>
        <w:trPr>
          <w:trHeight w:val="680" w:hRule="atLeast"/>
          <w:jc w:val="center"/>
        </w:trPr>
        <w:tc>
          <w:tcPr>
            <w:tcW w:w="1687" w:type="dxa"/>
            <w:noWrap w:val="0"/>
            <w:vAlign w:val="center"/>
          </w:tcPr>
          <w:p>
            <w:pPr>
              <w:tabs>
                <w:tab w:val="left" w:pos="8504"/>
              </w:tabs>
              <w:jc w:val="center"/>
              <w:rPr>
                <w:rFonts w:eastAsia="黑体"/>
                <w:color w:val="auto"/>
                <w:sz w:val="32"/>
                <w:szCs w:val="32"/>
                <w:highlight w:val="none"/>
              </w:rPr>
            </w:pPr>
            <w:r>
              <w:rPr>
                <w:rFonts w:hint="eastAsia" w:eastAsia="黑体"/>
                <w:color w:val="auto"/>
                <w:sz w:val="32"/>
                <w:szCs w:val="32"/>
                <w:highlight w:val="none"/>
              </w:rPr>
              <w:t>备案单位：</w:t>
            </w:r>
          </w:p>
        </w:tc>
        <w:tc>
          <w:tcPr>
            <w:tcW w:w="4828" w:type="dxa"/>
            <w:noWrap w:val="0"/>
            <w:vAlign w:val="center"/>
          </w:tcPr>
          <w:p>
            <w:pPr>
              <w:tabs>
                <w:tab w:val="left" w:pos="8504"/>
              </w:tabs>
              <w:rPr>
                <w:rFonts w:hint="eastAsia" w:eastAsia="黑体"/>
                <w:bCs/>
                <w:color w:val="auto"/>
                <w:sz w:val="32"/>
                <w:szCs w:val="32"/>
                <w:highlight w:val="none"/>
              </w:rPr>
            </w:pPr>
            <w:r>
              <w:rPr>
                <w:rFonts w:hint="eastAsia" w:eastAsia="黑体"/>
                <w:bCs/>
                <w:color w:val="auto"/>
                <w:sz w:val="32"/>
                <w:szCs w:val="32"/>
                <w:highlight w:val="none"/>
              </w:rPr>
              <w:t>平阳县交通运输局</w:t>
            </w:r>
          </w:p>
        </w:tc>
      </w:tr>
      <w:tr>
        <w:tblPrEx>
          <w:tblCellMar>
            <w:top w:w="0" w:type="dxa"/>
            <w:left w:w="108" w:type="dxa"/>
            <w:bottom w:w="0" w:type="dxa"/>
            <w:right w:w="108" w:type="dxa"/>
          </w:tblCellMar>
        </w:tblPrEx>
        <w:trPr>
          <w:trHeight w:val="680" w:hRule="atLeast"/>
          <w:jc w:val="center"/>
        </w:trPr>
        <w:tc>
          <w:tcPr>
            <w:tcW w:w="1687" w:type="dxa"/>
            <w:noWrap w:val="0"/>
            <w:vAlign w:val="center"/>
          </w:tcPr>
          <w:p>
            <w:pPr>
              <w:tabs>
                <w:tab w:val="left" w:pos="8504"/>
              </w:tabs>
              <w:jc w:val="center"/>
              <w:rPr>
                <w:rFonts w:eastAsia="黑体"/>
                <w:color w:val="auto"/>
                <w:sz w:val="32"/>
                <w:szCs w:val="32"/>
                <w:highlight w:val="none"/>
              </w:rPr>
            </w:pPr>
            <w:r>
              <w:rPr>
                <w:rFonts w:eastAsia="黑体"/>
                <w:color w:val="auto"/>
                <w:sz w:val="32"/>
                <w:szCs w:val="32"/>
                <w:highlight w:val="none"/>
              </w:rPr>
              <w:t>招 标 人：</w:t>
            </w:r>
          </w:p>
        </w:tc>
        <w:tc>
          <w:tcPr>
            <w:tcW w:w="4828" w:type="dxa"/>
            <w:noWrap w:val="0"/>
            <w:vAlign w:val="center"/>
          </w:tcPr>
          <w:p>
            <w:pPr>
              <w:tabs>
                <w:tab w:val="left" w:pos="8504"/>
              </w:tabs>
              <w:rPr>
                <w:rFonts w:hint="eastAsia" w:eastAsia="黑体"/>
                <w:bCs/>
                <w:color w:val="auto"/>
                <w:sz w:val="32"/>
                <w:szCs w:val="32"/>
                <w:highlight w:val="none"/>
                <w:lang w:eastAsia="zh-CN"/>
              </w:rPr>
            </w:pPr>
            <w:r>
              <w:rPr>
                <w:rFonts w:hint="eastAsia" w:eastAsia="黑体"/>
                <w:bCs/>
                <w:color w:val="auto"/>
                <w:sz w:val="32"/>
                <w:szCs w:val="32"/>
                <w:highlight w:val="none"/>
                <w:lang w:eastAsia="zh-CN"/>
              </w:rPr>
              <w:t>平阳县南麂镇人民政府</w:t>
            </w:r>
          </w:p>
        </w:tc>
      </w:tr>
      <w:tr>
        <w:tblPrEx>
          <w:tblCellMar>
            <w:top w:w="0" w:type="dxa"/>
            <w:left w:w="108" w:type="dxa"/>
            <w:bottom w:w="0" w:type="dxa"/>
            <w:right w:w="108" w:type="dxa"/>
          </w:tblCellMar>
        </w:tblPrEx>
        <w:trPr>
          <w:trHeight w:val="680" w:hRule="atLeast"/>
          <w:jc w:val="center"/>
        </w:trPr>
        <w:tc>
          <w:tcPr>
            <w:tcW w:w="1687" w:type="dxa"/>
            <w:noWrap w:val="0"/>
            <w:vAlign w:val="center"/>
          </w:tcPr>
          <w:p>
            <w:pPr>
              <w:tabs>
                <w:tab w:val="left" w:pos="8504"/>
              </w:tabs>
              <w:jc w:val="center"/>
              <w:rPr>
                <w:rFonts w:eastAsia="黑体"/>
                <w:color w:val="auto"/>
                <w:sz w:val="32"/>
                <w:szCs w:val="32"/>
                <w:highlight w:val="none"/>
              </w:rPr>
            </w:pPr>
            <w:r>
              <w:rPr>
                <w:rFonts w:eastAsia="黑体"/>
                <w:color w:val="auto"/>
                <w:sz w:val="32"/>
                <w:szCs w:val="32"/>
                <w:highlight w:val="none"/>
              </w:rPr>
              <w:t>招标代理：</w:t>
            </w:r>
          </w:p>
        </w:tc>
        <w:tc>
          <w:tcPr>
            <w:tcW w:w="4828" w:type="dxa"/>
            <w:noWrap w:val="0"/>
            <w:vAlign w:val="center"/>
          </w:tcPr>
          <w:p>
            <w:pPr>
              <w:tabs>
                <w:tab w:val="left" w:pos="8504"/>
              </w:tabs>
              <w:rPr>
                <w:rFonts w:hint="eastAsia" w:eastAsia="黑体"/>
                <w:color w:val="auto"/>
                <w:sz w:val="32"/>
                <w:szCs w:val="32"/>
                <w:highlight w:val="none"/>
                <w:lang w:eastAsia="zh-CN"/>
              </w:rPr>
            </w:pPr>
            <w:r>
              <w:rPr>
                <w:rFonts w:hint="eastAsia" w:eastAsia="黑体"/>
                <w:bCs/>
                <w:color w:val="auto"/>
                <w:sz w:val="32"/>
                <w:szCs w:val="32"/>
                <w:highlight w:val="none"/>
                <w:lang w:val="en-US" w:eastAsia="zh-CN"/>
              </w:rPr>
              <w:t>融华工程管理有限公司</w:t>
            </w:r>
          </w:p>
        </w:tc>
      </w:tr>
    </w:tbl>
    <w:p>
      <w:pPr>
        <w:jc w:val="center"/>
        <w:rPr>
          <w:rFonts w:ascii="宋体" w:hAnsi="宋体"/>
          <w:b/>
          <w:color w:val="auto"/>
          <w:sz w:val="52"/>
          <w:szCs w:val="52"/>
          <w:highlight w:val="none"/>
        </w:rPr>
      </w:pPr>
      <w:r>
        <w:rPr>
          <w:rFonts w:hint="eastAsia" w:ascii="黑体" w:eastAsia="黑体"/>
          <w:color w:val="auto"/>
          <w:sz w:val="32"/>
          <w:szCs w:val="32"/>
          <w:highlight w:val="none"/>
        </w:rPr>
        <w:t>二</w:t>
      </w:r>
      <w:r>
        <w:rPr>
          <w:rFonts w:hint="eastAsia" w:ascii="黑体" w:hAnsi="宋体" w:eastAsia="黑体" w:cs="宋体"/>
          <w:color w:val="auto"/>
          <w:sz w:val="32"/>
          <w:szCs w:val="32"/>
          <w:highlight w:val="none"/>
        </w:rPr>
        <w:t>〇二</w:t>
      </w:r>
      <w:r>
        <w:rPr>
          <w:rFonts w:hint="eastAsia" w:ascii="黑体" w:hAnsi="宋体" w:eastAsia="黑体" w:cs="宋体"/>
          <w:color w:val="auto"/>
          <w:sz w:val="32"/>
          <w:szCs w:val="32"/>
          <w:highlight w:val="none"/>
          <w:lang w:val="en-US" w:eastAsia="zh-CN"/>
        </w:rPr>
        <w:t>三</w:t>
      </w:r>
      <w:r>
        <w:rPr>
          <w:rFonts w:hint="eastAsia" w:ascii="黑体" w:hAnsi="宋体" w:eastAsia="黑体" w:cs="宋体"/>
          <w:color w:val="auto"/>
          <w:sz w:val="32"/>
          <w:szCs w:val="32"/>
          <w:highlight w:val="none"/>
        </w:rPr>
        <w:t>年</w:t>
      </w:r>
      <w:r>
        <w:rPr>
          <w:rFonts w:hint="eastAsia" w:ascii="黑体" w:eastAsia="黑体"/>
          <w:color w:val="auto"/>
          <w:sz w:val="32"/>
          <w:szCs w:val="32"/>
          <w:highlight w:val="none"/>
          <w:lang w:val="en-US" w:eastAsia="zh-CN"/>
        </w:rPr>
        <w:t>三</w:t>
      </w:r>
      <w:r>
        <w:rPr>
          <w:rFonts w:hint="eastAsia" w:ascii="黑体" w:eastAsia="黑体"/>
          <w:color w:val="auto"/>
          <w:sz w:val="32"/>
          <w:szCs w:val="32"/>
          <w:highlight w:val="none"/>
        </w:rPr>
        <w:t>月</w:t>
      </w:r>
    </w:p>
    <w:p>
      <w:pPr>
        <w:jc w:val="center"/>
        <w:rPr>
          <w:rFonts w:ascii="宋体" w:hAnsi="宋体"/>
          <w:b/>
          <w:color w:val="auto"/>
          <w:sz w:val="52"/>
          <w:szCs w:val="52"/>
          <w:highlight w:val="none"/>
        </w:rPr>
      </w:pPr>
    </w:p>
    <w:p>
      <w:pPr>
        <w:pStyle w:val="2"/>
        <w:rPr>
          <w:rFonts w:ascii="宋体" w:hAnsi="宋体"/>
          <w:b/>
          <w:color w:val="auto"/>
          <w:sz w:val="52"/>
          <w:szCs w:val="52"/>
          <w:highlight w:val="none"/>
        </w:rPr>
      </w:pPr>
    </w:p>
    <w:p>
      <w:pPr>
        <w:pStyle w:val="4"/>
        <w:rPr>
          <w:color w:val="auto"/>
          <w:highlight w:val="none"/>
        </w:rPr>
      </w:pPr>
    </w:p>
    <w:p>
      <w:pPr>
        <w:jc w:val="center"/>
        <w:rPr>
          <w:rFonts w:hint="eastAsia" w:ascii="宋体" w:hAnsi="宋体"/>
          <w:b/>
          <w:color w:val="auto"/>
          <w:sz w:val="52"/>
          <w:szCs w:val="52"/>
          <w:highlight w:val="none"/>
        </w:rPr>
      </w:pPr>
      <w:r>
        <w:rPr>
          <w:rFonts w:ascii="宋体" w:hAnsi="宋体"/>
          <w:b/>
          <w:color w:val="auto"/>
          <w:sz w:val="52"/>
          <w:szCs w:val="52"/>
          <w:highlight w:val="none"/>
        </w:rPr>
        <w:t>说  明</w:t>
      </w:r>
    </w:p>
    <w:p>
      <w:pPr>
        <w:snapToGrid w:val="0"/>
        <w:spacing w:line="360" w:lineRule="auto"/>
        <w:ind w:firstLine="420" w:firstLineChars="200"/>
        <w:rPr>
          <w:rFonts w:hint="eastAsia" w:ascii="宋体" w:hAnsi="宋体"/>
          <w:color w:val="auto"/>
          <w:highlight w:val="none"/>
        </w:rPr>
      </w:pPr>
    </w:p>
    <w:p>
      <w:pPr>
        <w:snapToGrid w:val="0"/>
        <w:spacing w:line="440" w:lineRule="exact"/>
        <w:ind w:firstLine="420" w:firstLineChars="200"/>
        <w:rPr>
          <w:rFonts w:hint="eastAsia" w:ascii="宋体" w:hAnsi="宋体"/>
          <w:color w:val="auto"/>
          <w:highlight w:val="none"/>
        </w:rPr>
      </w:pPr>
      <w:r>
        <w:rPr>
          <w:rFonts w:ascii="宋体" w:hAnsi="宋体"/>
          <w:color w:val="auto"/>
          <w:highlight w:val="none"/>
        </w:rPr>
        <w:t>一、</w:t>
      </w:r>
      <w:r>
        <w:rPr>
          <w:rFonts w:hint="eastAsia" w:ascii="宋体" w:hAnsi="宋体"/>
          <w:color w:val="auto"/>
          <w:highlight w:val="none"/>
          <w:lang w:eastAsia="zh-CN"/>
        </w:rPr>
        <w:t>南麂镇新码头自然村到国姓岙自然村道路提升工程</w:t>
      </w:r>
      <w:r>
        <w:rPr>
          <w:rFonts w:hint="eastAsia" w:ascii="宋体" w:hAnsi="宋体"/>
          <w:color w:val="auto"/>
          <w:highlight w:val="none"/>
        </w:rPr>
        <w:t>施工</w:t>
      </w:r>
      <w:r>
        <w:rPr>
          <w:rFonts w:ascii="宋体" w:hAnsi="宋体"/>
          <w:color w:val="auto"/>
          <w:highlight w:val="none"/>
        </w:rPr>
        <w:t>招标文件，</w:t>
      </w:r>
      <w:r>
        <w:rPr>
          <w:rFonts w:hAnsi="宋体"/>
          <w:color w:val="auto"/>
          <w:highlight w:val="none"/>
        </w:rPr>
        <w:t>以《中华人民共和国招标投标法》、《中华人民共和国招标投标法实施条例》、《浙江省招标投标条例》、中华人民共和国《标准施工招标文件》（</w:t>
      </w:r>
      <w:r>
        <w:rPr>
          <w:color w:val="auto"/>
          <w:highlight w:val="none"/>
        </w:rPr>
        <w:t>2007</w:t>
      </w:r>
      <w:r>
        <w:rPr>
          <w:rFonts w:hAnsi="宋体"/>
          <w:color w:val="auto"/>
          <w:highlight w:val="none"/>
        </w:rPr>
        <w:t>年版）、</w:t>
      </w:r>
      <w:r>
        <w:rPr>
          <w:rFonts w:hint="eastAsia" w:hAnsi="宋体"/>
          <w:color w:val="auto"/>
          <w:highlight w:val="none"/>
        </w:rPr>
        <w:t>交通运输部《公路工程标准施工招标文件》（2009年版）和《浙江省公路工程施工招标文件范本》（2015年版）</w:t>
      </w:r>
      <w:r>
        <w:rPr>
          <w:rFonts w:hAnsi="宋体"/>
          <w:color w:val="auto"/>
          <w:highlight w:val="none"/>
        </w:rPr>
        <w:t>为依据，结合本项目的特点和实际需要编制而成</w:t>
      </w:r>
      <w:r>
        <w:rPr>
          <w:rFonts w:hint="eastAsia" w:hAnsi="宋体"/>
          <w:color w:val="auto"/>
          <w:highlight w:val="none"/>
        </w:rPr>
        <w:t>。</w:t>
      </w:r>
    </w:p>
    <w:p>
      <w:pPr>
        <w:snapToGrid w:val="0"/>
        <w:spacing w:line="440" w:lineRule="exact"/>
        <w:ind w:firstLine="420" w:firstLineChars="200"/>
        <w:rPr>
          <w:rFonts w:hint="eastAsia" w:ascii="宋体" w:hAnsi="宋体"/>
          <w:color w:val="auto"/>
          <w:highlight w:val="none"/>
        </w:rPr>
      </w:pPr>
      <w:r>
        <w:rPr>
          <w:rFonts w:hint="eastAsia" w:ascii="宋体" w:hAnsi="宋体"/>
          <w:color w:val="auto"/>
          <w:highlight w:val="none"/>
        </w:rPr>
        <w:t>招标文件不加修改地引用了《标准施工招标文件</w:t>
      </w:r>
      <w:r>
        <w:rPr>
          <w:rFonts w:ascii="宋体" w:hAnsi="宋体"/>
          <w:color w:val="auto"/>
          <w:highlight w:val="none"/>
        </w:rPr>
        <w:t>》</w:t>
      </w:r>
      <w:r>
        <w:rPr>
          <w:rFonts w:hint="eastAsia" w:ascii="宋体" w:hAnsi="宋体"/>
          <w:color w:val="auto"/>
          <w:highlight w:val="none"/>
        </w:rPr>
        <w:t>和《公路工程标准施工招标文件》中的“投标人须知”、“评标办法”、“通用合同条款”、“A.公路工程专用合同条款”正文。</w:t>
      </w:r>
    </w:p>
    <w:p>
      <w:pPr>
        <w:snapToGrid w:val="0"/>
        <w:spacing w:line="440" w:lineRule="exact"/>
        <w:ind w:firstLine="420" w:firstLineChars="200"/>
        <w:rPr>
          <w:rFonts w:ascii="宋体" w:hAnsi="宋体"/>
          <w:color w:val="auto"/>
          <w:highlight w:val="none"/>
        </w:rPr>
      </w:pPr>
      <w:r>
        <w:rPr>
          <w:rFonts w:ascii="宋体" w:hAnsi="宋体"/>
          <w:color w:val="auto"/>
          <w:highlight w:val="none"/>
        </w:rPr>
        <w:t>二、</w:t>
      </w:r>
      <w:r>
        <w:rPr>
          <w:rFonts w:hint="eastAsia" w:ascii="宋体" w:hAnsi="宋体"/>
          <w:color w:val="auto"/>
          <w:highlight w:val="none"/>
        </w:rPr>
        <w:t>《标准施工招标文件》、</w:t>
      </w:r>
      <w:r>
        <w:rPr>
          <w:rFonts w:ascii="宋体" w:hAnsi="宋体"/>
          <w:color w:val="auto"/>
          <w:highlight w:val="none"/>
        </w:rPr>
        <w:t>《</w:t>
      </w:r>
      <w:r>
        <w:rPr>
          <w:rFonts w:hint="eastAsia" w:ascii="宋体" w:hAnsi="宋体"/>
          <w:color w:val="auto"/>
          <w:highlight w:val="none"/>
        </w:rPr>
        <w:t>公路工程标准施工招标文件》中“投标人须知”、“评标办法”、“通用合同条款”、“A.公路工程专用合同条款”是必须遵循的通用条款和规定，针对本项目的具体特点和实际情况：</w:t>
      </w:r>
    </w:p>
    <w:p>
      <w:pPr>
        <w:snapToGrid w:val="0"/>
        <w:spacing w:line="440" w:lineRule="exact"/>
        <w:ind w:firstLine="420" w:firstLineChars="200"/>
        <w:rPr>
          <w:rFonts w:ascii="宋体" w:hAnsi="宋体"/>
          <w:color w:val="auto"/>
          <w:highlight w:val="none"/>
        </w:rPr>
      </w:pPr>
      <w:r>
        <w:rPr>
          <w:rFonts w:hint="eastAsia" w:ascii="宋体" w:hAnsi="宋体"/>
          <w:color w:val="auto"/>
          <w:highlight w:val="none"/>
        </w:rPr>
        <w:t>在“投标人须知前附表”和“评标办法前附表”中对“投标人须知”、“评标办法”进行了补充和细化；</w:t>
      </w:r>
    </w:p>
    <w:p>
      <w:pPr>
        <w:snapToGrid w:val="0"/>
        <w:spacing w:line="440" w:lineRule="exact"/>
        <w:ind w:firstLine="420" w:firstLineChars="200"/>
        <w:rPr>
          <w:rFonts w:hint="eastAsia" w:ascii="宋体" w:hAnsi="宋体"/>
          <w:color w:val="auto"/>
          <w:highlight w:val="none"/>
        </w:rPr>
      </w:pPr>
      <w:r>
        <w:rPr>
          <w:rFonts w:hint="eastAsia" w:ascii="宋体" w:hAnsi="宋体"/>
          <w:color w:val="auto"/>
          <w:highlight w:val="none"/>
        </w:rPr>
        <w:t>在“B项目专用合同条款”中，对“通用合同条款”、“A.公路工程专用合同条款”进行了补充、细化或约定；</w:t>
      </w:r>
    </w:p>
    <w:p>
      <w:pPr>
        <w:numPr>
          <w:ilvl w:val="0"/>
          <w:numId w:val="1"/>
        </w:numPr>
        <w:snapToGrid w:val="0"/>
        <w:spacing w:line="440" w:lineRule="exact"/>
        <w:ind w:firstLine="420" w:firstLineChars="200"/>
        <w:rPr>
          <w:rFonts w:hint="eastAsia" w:ascii="宋体" w:hAnsi="宋体"/>
          <w:color w:val="auto"/>
          <w:highlight w:val="none"/>
        </w:rPr>
      </w:pPr>
      <w:r>
        <w:rPr>
          <w:rFonts w:hint="eastAsia" w:ascii="宋体" w:hAnsi="宋体"/>
          <w:color w:val="auto"/>
          <w:highlight w:val="none"/>
        </w:rPr>
        <w:t>招标文件中的“通用技术规范”直接引用了</w:t>
      </w:r>
      <w:r>
        <w:rPr>
          <w:rFonts w:ascii="宋体" w:hAnsi="宋体"/>
          <w:color w:val="auto"/>
          <w:highlight w:val="none"/>
        </w:rPr>
        <w:t>《</w:t>
      </w:r>
      <w:r>
        <w:rPr>
          <w:rFonts w:hint="eastAsia" w:ascii="宋体" w:hAnsi="宋体"/>
          <w:color w:val="auto"/>
          <w:highlight w:val="none"/>
        </w:rPr>
        <w:t>公路工程标准施工招标文件》技术规范。</w:t>
      </w:r>
    </w:p>
    <w:p>
      <w:pPr>
        <w:snapToGrid w:val="0"/>
        <w:spacing w:line="440" w:lineRule="exact"/>
        <w:ind w:firstLine="420" w:firstLineChars="200"/>
        <w:rPr>
          <w:rFonts w:hint="eastAsia" w:ascii="宋体" w:hAnsi="宋体"/>
          <w:color w:val="auto"/>
          <w:szCs w:val="22"/>
          <w:highlight w:val="none"/>
        </w:rPr>
      </w:pPr>
      <w:r>
        <w:rPr>
          <w:rFonts w:hint="eastAsia" w:ascii="宋体" w:hAnsi="宋体"/>
          <w:color w:val="auto"/>
          <w:szCs w:val="22"/>
          <w:highlight w:val="none"/>
        </w:rPr>
        <w:t>根据本项目的具体特点和实际需要，在“项目专用技术规范”中对“通用技术规范”进行了补充和修改。</w:t>
      </w:r>
    </w:p>
    <w:p>
      <w:pPr>
        <w:snapToGrid w:val="0"/>
        <w:spacing w:line="440" w:lineRule="exact"/>
        <w:ind w:firstLine="420" w:firstLineChars="200"/>
        <w:rPr>
          <w:rFonts w:ascii="宋体" w:hAnsi="宋体"/>
          <w:color w:val="auto"/>
          <w:szCs w:val="22"/>
          <w:highlight w:val="none"/>
        </w:rPr>
      </w:pPr>
      <w:r>
        <w:rPr>
          <w:rFonts w:hint="eastAsia" w:ascii="宋体" w:hAnsi="宋体"/>
          <w:color w:val="auto"/>
          <w:szCs w:val="22"/>
          <w:highlight w:val="none"/>
        </w:rPr>
        <w:t>四、投标人应按招标文件的要求认真编制投标文件，完整地响应招标文件的规定和内容，避免投标文件因不能通过评审而被拒绝。</w:t>
      </w:r>
    </w:p>
    <w:p>
      <w:pPr>
        <w:snapToGrid w:val="0"/>
        <w:spacing w:line="440" w:lineRule="exact"/>
        <w:ind w:firstLine="420" w:firstLineChars="200"/>
        <w:rPr>
          <w:rFonts w:hint="eastAsia" w:ascii="宋体" w:hAnsi="宋体"/>
          <w:color w:val="auto"/>
          <w:szCs w:val="22"/>
          <w:highlight w:val="none"/>
        </w:rPr>
      </w:pPr>
      <w:r>
        <w:rPr>
          <w:rFonts w:hint="eastAsia" w:ascii="宋体" w:hAnsi="宋体"/>
          <w:color w:val="auto"/>
          <w:szCs w:val="22"/>
          <w:highlight w:val="none"/>
        </w:rPr>
        <w:t>五、</w:t>
      </w:r>
      <w:r>
        <w:rPr>
          <w:rFonts w:ascii="宋体" w:hAnsi="宋体"/>
          <w:color w:val="auto"/>
          <w:szCs w:val="22"/>
          <w:highlight w:val="none"/>
        </w:rPr>
        <w:t>《</w:t>
      </w:r>
      <w:r>
        <w:rPr>
          <w:rFonts w:hint="eastAsia" w:ascii="宋体" w:hAnsi="宋体"/>
          <w:color w:val="auto"/>
          <w:szCs w:val="22"/>
          <w:highlight w:val="none"/>
        </w:rPr>
        <w:t>公路工程标准施工招标文件》由投标人自备。</w:t>
      </w:r>
    </w:p>
    <w:p>
      <w:pPr>
        <w:ind w:firstLine="415"/>
        <w:rPr>
          <w:rFonts w:hint="eastAsia" w:ascii="宋体" w:hAnsi="宋体"/>
          <w:color w:val="auto"/>
          <w:highlight w:val="none"/>
        </w:rPr>
      </w:pPr>
    </w:p>
    <w:p>
      <w:pPr>
        <w:ind w:firstLine="415"/>
        <w:rPr>
          <w:rFonts w:hint="eastAsia" w:ascii="宋体" w:hAnsi="宋体"/>
          <w:color w:val="auto"/>
          <w:highlight w:val="none"/>
        </w:rPr>
      </w:pPr>
    </w:p>
    <w:p>
      <w:pPr>
        <w:ind w:firstLine="415"/>
        <w:jc w:val="right"/>
        <w:rPr>
          <w:rFonts w:ascii="宋体" w:hAnsi="宋体"/>
          <w:color w:val="auto"/>
          <w:highlight w:val="none"/>
        </w:rPr>
      </w:pPr>
    </w:p>
    <w:p>
      <w:pPr>
        <w:spacing w:line="600" w:lineRule="exact"/>
        <w:ind w:firstLine="1129" w:firstLineChars="538"/>
        <w:rPr>
          <w:rFonts w:hint="eastAsia" w:ascii="宋体" w:hAnsi="宋体"/>
          <w:color w:val="auto"/>
          <w:highlight w:val="none"/>
        </w:rPr>
      </w:pPr>
      <w:r>
        <w:rPr>
          <w:rFonts w:hint="eastAsia" w:ascii="宋体" w:hAnsi="宋体"/>
          <w:color w:val="auto"/>
          <w:highlight w:val="none"/>
        </w:rPr>
        <w:t xml:space="preserve">                       </w:t>
      </w:r>
    </w:p>
    <w:p>
      <w:pPr>
        <w:spacing w:line="360" w:lineRule="auto"/>
        <w:jc w:val="center"/>
        <w:rPr>
          <w:rFonts w:hint="eastAsia" w:ascii="宋体" w:hAnsi="宋体"/>
          <w:b/>
          <w:color w:val="auto"/>
          <w:sz w:val="36"/>
          <w:highlight w:val="none"/>
        </w:rPr>
      </w:pPr>
      <w:r>
        <w:rPr>
          <w:rFonts w:ascii="宋体" w:hAnsi="宋体"/>
          <w:b/>
          <w:color w:val="auto"/>
          <w:sz w:val="36"/>
          <w:highlight w:val="none"/>
        </w:rPr>
        <w:br w:type="page"/>
      </w:r>
      <w:r>
        <w:rPr>
          <w:rFonts w:hint="eastAsia" w:ascii="宋体" w:hAnsi="宋体"/>
          <w:b/>
          <w:color w:val="auto"/>
          <w:sz w:val="36"/>
          <w:highlight w:val="none"/>
        </w:rPr>
        <w:t>目   录</w:t>
      </w:r>
    </w:p>
    <w:p>
      <w:pPr>
        <w:pStyle w:val="12"/>
        <w:tabs>
          <w:tab w:val="right" w:leader="dot" w:pos="9060"/>
        </w:tabs>
        <w:rPr>
          <w:rFonts w:hint="eastAsia" w:ascii="宋体" w:hAnsi="宋体" w:cs="宋体"/>
          <w:b w:val="0"/>
          <w:bCs w:val="0"/>
          <w:caps w:val="0"/>
          <w:color w:val="auto"/>
          <w:sz w:val="21"/>
          <w:szCs w:val="22"/>
          <w:highlight w:val="none"/>
        </w:rPr>
      </w:pPr>
      <w:r>
        <w:rPr>
          <w:rFonts w:ascii="宋体" w:hAnsi="宋体"/>
          <w:b w:val="0"/>
          <w:bCs w:val="0"/>
          <w:caps w:val="0"/>
          <w:color w:val="auto"/>
          <w:sz w:val="21"/>
          <w:szCs w:val="21"/>
          <w:highlight w:val="none"/>
        </w:rPr>
        <w:fldChar w:fldCharType="begin"/>
      </w:r>
      <w:r>
        <w:rPr>
          <w:rFonts w:ascii="宋体" w:hAnsi="宋体"/>
          <w:b w:val="0"/>
          <w:bCs w:val="0"/>
          <w:caps w:val="0"/>
          <w:color w:val="auto"/>
          <w:sz w:val="21"/>
          <w:szCs w:val="21"/>
          <w:highlight w:val="none"/>
        </w:rPr>
        <w:instrText xml:space="preserve"> TOC \o "1-4" \h \z \u </w:instrText>
      </w:r>
      <w:r>
        <w:rPr>
          <w:rFonts w:ascii="宋体" w:hAnsi="宋体"/>
          <w:b w:val="0"/>
          <w:bCs w:val="0"/>
          <w:caps w:val="0"/>
          <w:color w:val="auto"/>
          <w:sz w:val="21"/>
          <w:szCs w:val="21"/>
          <w:highlight w:val="none"/>
        </w:rPr>
        <w:fldChar w:fldCharType="separate"/>
      </w: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"_Toc466365722"</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  一  卷</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_Toc466365722 \h </w:instrText>
      </w:r>
      <w:r>
        <w:rPr>
          <w:rFonts w:hint="eastAsia" w:ascii="宋体" w:hAnsi="宋体" w:cs="宋体"/>
          <w:color w:val="auto"/>
          <w:highlight w:val="none"/>
        </w:rPr>
        <w:fldChar w:fldCharType="separate"/>
      </w:r>
      <w:r>
        <w:rPr>
          <w:rFonts w:hint="eastAsia" w:ascii="宋体" w:hAnsi="宋体" w:cs="宋体"/>
          <w:color w:val="auto"/>
          <w:highlight w:val="none"/>
        </w:rPr>
        <w:t>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"_Toc466365723"</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第一章  招标公告</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_Toc466365723 \h </w:instrText>
      </w:r>
      <w:r>
        <w:rPr>
          <w:rFonts w:hint="eastAsia" w:ascii="宋体" w:hAnsi="宋体" w:cs="宋体"/>
          <w:color w:val="auto"/>
          <w:highlight w:val="none"/>
        </w:rPr>
        <w:fldChar w:fldCharType="separate"/>
      </w:r>
      <w:r>
        <w:rPr>
          <w:rFonts w:hint="eastAsia" w:ascii="宋体" w:hAnsi="宋体" w:cs="宋体"/>
          <w:color w:val="auto"/>
          <w:highlight w:val="none"/>
        </w:rPr>
        <w:t>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"_Toc466365726"</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第二章  投标人须知</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_Toc466365726 \h </w:instrText>
      </w:r>
      <w:r>
        <w:rPr>
          <w:rFonts w:hint="eastAsia" w:ascii="宋体" w:hAnsi="宋体" w:cs="宋体"/>
          <w:color w:val="auto"/>
          <w:highlight w:val="none"/>
        </w:rPr>
        <w:fldChar w:fldCharType="separate"/>
      </w:r>
      <w:r>
        <w:rPr>
          <w:rFonts w:hint="eastAsia" w:ascii="宋体" w:hAnsi="宋体" w:cs="宋体"/>
          <w:color w:val="auto"/>
          <w:highlight w:val="none"/>
        </w:rPr>
        <w:t>10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"_Toc466365727"</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投标人须知前附表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_Toc466365727 \h </w:instrText>
      </w:r>
      <w:r>
        <w:rPr>
          <w:rFonts w:hint="eastAsia" w:ascii="宋体" w:hAnsi="宋体" w:cs="宋体"/>
          <w:color w:val="auto"/>
          <w:highlight w:val="none"/>
        </w:rPr>
        <w:fldChar w:fldCharType="separate"/>
      </w:r>
      <w:r>
        <w:rPr>
          <w:rFonts w:hint="eastAsia" w:ascii="宋体" w:hAnsi="宋体" w:cs="宋体"/>
          <w:color w:val="auto"/>
          <w:highlight w:val="none"/>
        </w:rPr>
        <w:t>10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"_Toc466365728"</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附录1  资格审查条件（资质最低条件）</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_Toc466365728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24</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"_Toc466365729"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附录2  资格审查条件（财务最低要求）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_Toc466365729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25</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"_Toc466365730"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附录3  资格审查条件（信誉最低要求）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_Toc466365730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26</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"_Toc466365731"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附录4 资格审查条件（业绩最低要求）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_Toc466365731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27</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"_Toc466365732"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附录5  资格审查条件（项目经理和项目总工最低要求）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_Toc466365732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28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"_Toc466365733"</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1．总则</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_Toc466365733 \h </w:instrText>
      </w:r>
      <w:r>
        <w:rPr>
          <w:rFonts w:hint="eastAsia" w:ascii="宋体" w:hAnsi="宋体" w:cs="宋体"/>
          <w:color w:val="auto"/>
          <w:highlight w:val="none"/>
        </w:rPr>
        <w:fldChar w:fldCharType="separate"/>
      </w:r>
      <w:r>
        <w:rPr>
          <w:rFonts w:hint="eastAsia" w:ascii="宋体" w:hAnsi="宋体" w:cs="宋体"/>
          <w:color w:val="auto"/>
          <w:highlight w:val="none"/>
        </w:rPr>
        <w:t>29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"_Toc466365734"</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1.1  项目概况</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_Toc466365734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29</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"_Toc466365735"</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1.2  资金来源和落实情况</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_Toc466365735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29</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"_Toc466365736"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1.3  招标范围、计划工期和质量要求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_Toc466365736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29</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"_Toc466365737"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1.4  投标人资格要求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_Toc466365737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29</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"_Toc466365738"</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1.5  费用承担</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_Toc466365738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"_Toc466365739"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1.6  保密</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_Toc466365739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"_Toc466365740"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1.7  语言文字</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_Toc466365740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"_Toc466365741"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1.8  计量单位</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_Toc466365741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"_Toc466365742"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1.9  踏勘现场</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_Toc466365742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"_Toc466365743"</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1.10  投标预备会</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_Toc466365743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"_Toc466365744"</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1.11  分包</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_Toc466365744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"_Toc466365745"</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1.12  偏离</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_Toc466365745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"_Toc466365746"</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2．招标文件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_Toc466365746 \h </w:instrText>
      </w:r>
      <w:r>
        <w:rPr>
          <w:rFonts w:hint="eastAsia" w:ascii="宋体" w:hAnsi="宋体" w:cs="宋体"/>
          <w:color w:val="auto"/>
          <w:highlight w:val="none"/>
        </w:rPr>
        <w:fldChar w:fldCharType="separate"/>
      </w:r>
      <w:r>
        <w:rPr>
          <w:rFonts w:hint="eastAsia" w:ascii="宋体" w:hAnsi="宋体" w:cs="宋体"/>
          <w:color w:val="auto"/>
          <w:highlight w:val="none"/>
        </w:rPr>
        <w:t>32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"_Toc466365747"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2.1  招标文件的组成</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_Toc466365747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"_Toc466365748"</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2.2  招标文件的澄清</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_Toc466365748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"_Toc466365749"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2.3  招标文件的修改</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_Toc466365749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"_Toc466365750"</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3．投标文件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_Toc466365750 \h </w:instrText>
      </w:r>
      <w:r>
        <w:rPr>
          <w:rFonts w:hint="eastAsia" w:ascii="宋体" w:hAnsi="宋体" w:cs="宋体"/>
          <w:color w:val="auto"/>
          <w:highlight w:val="none"/>
        </w:rPr>
        <w:fldChar w:fldCharType="separate"/>
      </w:r>
      <w:r>
        <w:rPr>
          <w:rFonts w:hint="eastAsia" w:ascii="宋体" w:hAnsi="宋体" w:cs="宋体"/>
          <w:color w:val="auto"/>
          <w:highlight w:val="none"/>
        </w:rPr>
        <w:t>33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"_Toc466365751"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3.1  投标文件的组成</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_Toc466365751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"_Toc466365752"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3.2  投标报价</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_Toc466365752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34</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eastAsia="宋体" w:cs="宋体"/>
          <w:i w:val="0"/>
          <w:iCs w:val="0"/>
          <w:color w:val="auto"/>
          <w:sz w:val="21"/>
          <w:szCs w:val="22"/>
          <w:highlight w:val="none"/>
          <w:lang w:val="en-US" w:eastAsia="zh-CN"/>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"_Toc466365753"</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3.3  投标有效期</w:t>
      </w:r>
      <w:r>
        <w:rPr>
          <w:rFonts w:hint="eastAsia" w:ascii="宋体" w:hAnsi="宋体" w:cs="宋体"/>
          <w:i w:val="0"/>
          <w:iCs w:val="0"/>
          <w:color w:val="auto"/>
          <w:highlight w:val="none"/>
        </w:rPr>
        <w:tab/>
      </w:r>
      <w:r>
        <w:rPr>
          <w:rFonts w:hint="eastAsia" w:ascii="宋体" w:hAnsi="宋体" w:cs="宋体"/>
          <w:i w:val="0"/>
          <w:iCs w:val="0"/>
          <w:color w:val="auto"/>
          <w:highlight w:val="none"/>
          <w:lang w:val="en-US" w:eastAsia="zh-CN"/>
        </w:rPr>
        <w:t>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lang w:val="en-US" w:eastAsia="zh-CN"/>
        </w:rPr>
        <w:t>4</w:t>
      </w:r>
    </w:p>
    <w:p>
      <w:pPr>
        <w:pStyle w:val="8"/>
        <w:tabs>
          <w:tab w:val="right" w:leader="dot" w:pos="9060"/>
        </w:tabs>
        <w:rPr>
          <w:rFonts w:hint="eastAsia" w:ascii="宋体" w:hAnsi="宋体" w:eastAsia="宋体" w:cs="宋体"/>
          <w:i w:val="0"/>
          <w:iCs w:val="0"/>
          <w:color w:val="auto"/>
          <w:sz w:val="21"/>
          <w:szCs w:val="22"/>
          <w:highlight w:val="none"/>
          <w:lang w:val="en-US" w:eastAsia="zh-CN"/>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"_Toc466365754"</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3.4  投标保证金</w:t>
      </w:r>
      <w:r>
        <w:rPr>
          <w:rFonts w:hint="eastAsia" w:ascii="宋体" w:hAnsi="宋体" w:cs="宋体"/>
          <w:i w:val="0"/>
          <w:iCs w:val="0"/>
          <w:color w:val="auto"/>
          <w:highlight w:val="none"/>
        </w:rPr>
        <w:tab/>
      </w:r>
      <w:r>
        <w:rPr>
          <w:rFonts w:hint="eastAsia" w:ascii="宋体" w:hAnsi="宋体" w:cs="宋体"/>
          <w:i w:val="0"/>
          <w:iCs w:val="0"/>
          <w:color w:val="auto"/>
          <w:highlight w:val="none"/>
          <w:lang w:val="en-US" w:eastAsia="zh-CN"/>
        </w:rPr>
        <w:t>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lang w:val="en-US" w:eastAsia="zh-CN"/>
        </w:rPr>
        <w:t>4</w:t>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"_Toc466365755"</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3.5  资格审查资料</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_Toc466365755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35</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"_Toc466365756"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3.6  备选投标方案</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_Toc466365756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36</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"_Toc466365757"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3.7  投标文件的编制</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_Toc466365757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36</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"_Toc466365758"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4．投标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_Toc466365758 \h </w:instrText>
      </w:r>
      <w:r>
        <w:rPr>
          <w:rFonts w:hint="eastAsia" w:ascii="宋体" w:hAnsi="宋体" w:cs="宋体"/>
          <w:color w:val="auto"/>
          <w:highlight w:val="none"/>
        </w:rPr>
        <w:fldChar w:fldCharType="separate"/>
      </w:r>
      <w:r>
        <w:rPr>
          <w:rFonts w:hint="eastAsia" w:ascii="宋体" w:hAnsi="宋体" w:cs="宋体"/>
          <w:color w:val="auto"/>
          <w:highlight w:val="none"/>
        </w:rPr>
        <w:t>37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"_Toc466365759"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4.1  投标文件的密封和标识</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_Toc466365759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37</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"_Toc466365760"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4.2  投标文件的递交</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_Toc466365760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"_Toc466365761"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4.3  投标文件的修改与撤回</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_Toc466365761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"_Toc466365762"</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5．开标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_Toc466365762 \h </w:instrText>
      </w:r>
      <w:r>
        <w:rPr>
          <w:rFonts w:hint="eastAsia" w:ascii="宋体" w:hAnsi="宋体" w:cs="宋体"/>
          <w:color w:val="auto"/>
          <w:highlight w:val="none"/>
        </w:rPr>
        <w:fldChar w:fldCharType="separate"/>
      </w:r>
      <w:r>
        <w:rPr>
          <w:rFonts w:hint="eastAsia" w:ascii="宋体" w:hAnsi="宋体" w:cs="宋体"/>
          <w:color w:val="auto"/>
          <w:highlight w:val="none"/>
        </w:rPr>
        <w:t>38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"_Toc466365763"</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5.1  开标时间和地点</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_Toc466365763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"_Toc466365764"</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5.2  开标程序</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_Toc466365764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38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"_Toc466365765"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6．评标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_Toc466365765 \h </w:instrText>
      </w:r>
      <w:r>
        <w:rPr>
          <w:rFonts w:hint="eastAsia" w:ascii="宋体" w:hAnsi="宋体" w:cs="宋体"/>
          <w:color w:val="auto"/>
          <w:highlight w:val="none"/>
        </w:rPr>
        <w:fldChar w:fldCharType="separate"/>
      </w:r>
      <w:r>
        <w:rPr>
          <w:rFonts w:hint="eastAsia" w:ascii="宋体" w:hAnsi="宋体" w:cs="宋体"/>
          <w:color w:val="auto"/>
          <w:highlight w:val="none"/>
        </w:rPr>
        <w:t>40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"_Toc466365766"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6.1  评标委员会</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_Toc466365766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"_Toc466365767"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6.2  评标原则</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_Toc466365767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"_Toc466365768"</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6.3  评标</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_Toc466365768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"_Toc466365769"</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7．合同授予</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_Toc466365769 \h </w:instrText>
      </w:r>
      <w:r>
        <w:rPr>
          <w:rFonts w:hint="eastAsia" w:ascii="宋体" w:hAnsi="宋体" w:cs="宋体"/>
          <w:color w:val="auto"/>
          <w:highlight w:val="none"/>
        </w:rPr>
        <w:fldChar w:fldCharType="separate"/>
      </w:r>
      <w:r>
        <w:rPr>
          <w:rFonts w:hint="eastAsia" w:ascii="宋体" w:hAnsi="宋体" w:cs="宋体"/>
          <w:color w:val="auto"/>
          <w:highlight w:val="none"/>
        </w:rPr>
        <w:t>40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"_Toc466365770"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7.1  定标方式</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_Toc466365770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"_Toc466365771"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7.2  中标通知</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_Toc466365771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"_Toc466365772"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7.3  履约担保</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_Toc466365772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"_Toc466365773"</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7.4  签订合同</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_Toc466365773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"_Toc466365774"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8．重新招标和不再招标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_Toc466365774 \h </w:instrText>
      </w:r>
      <w:r>
        <w:rPr>
          <w:rFonts w:hint="eastAsia" w:ascii="宋体" w:hAnsi="宋体" w:cs="宋体"/>
          <w:color w:val="auto"/>
          <w:highlight w:val="none"/>
        </w:rPr>
        <w:fldChar w:fldCharType="separate"/>
      </w:r>
      <w:r>
        <w:rPr>
          <w:rFonts w:hint="eastAsia" w:ascii="宋体" w:hAnsi="宋体" w:cs="宋体"/>
          <w:color w:val="auto"/>
          <w:highlight w:val="none"/>
        </w:rPr>
        <w:t>41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"_Toc466365775"</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8.1  重新招标</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_Toc466365775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"_Toc466365776"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8.2  不再招标</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_Toc466365776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"_Toc466365777"</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9．纪律和监督</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_Toc466365777 \h </w:instrText>
      </w:r>
      <w:r>
        <w:rPr>
          <w:rFonts w:hint="eastAsia" w:ascii="宋体" w:hAnsi="宋体" w:cs="宋体"/>
          <w:color w:val="auto"/>
          <w:highlight w:val="none"/>
        </w:rPr>
        <w:fldChar w:fldCharType="separate"/>
      </w:r>
      <w:r>
        <w:rPr>
          <w:rFonts w:hint="eastAsia" w:ascii="宋体" w:hAnsi="宋体" w:cs="宋体"/>
          <w:color w:val="auto"/>
          <w:highlight w:val="none"/>
        </w:rPr>
        <w:t>42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"_Toc466365778"</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9.1  对招标人的纪律要求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_Toc466365778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"_Toc466365779"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9.2  对投标人的纪律要求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_Toc466365779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"_Toc466365780"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9.3  对评标委员会的纪律要求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_Toc466365780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"_Toc466365781"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9.4  对与评标活动有关的工作人员的纪律要求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_Toc466365781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"_Toc466365782"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9.5  投诉</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_Toc466365782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42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"_Toc466365783"</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10．需要补充的其他内容</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_Toc466365783 \h </w:instrText>
      </w:r>
      <w:r>
        <w:rPr>
          <w:rFonts w:hint="eastAsia" w:ascii="宋体" w:hAnsi="宋体" w:cs="宋体"/>
          <w:color w:val="auto"/>
          <w:highlight w:val="none"/>
        </w:rPr>
        <w:fldChar w:fldCharType="separate"/>
      </w:r>
      <w:r>
        <w:rPr>
          <w:rFonts w:hint="eastAsia" w:ascii="宋体" w:hAnsi="宋体" w:cs="宋体"/>
          <w:color w:val="auto"/>
          <w:highlight w:val="none"/>
        </w:rPr>
        <w:t>42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"_Toc466365784"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附表一：开标记录表</w:t>
      </w:r>
      <w:r>
        <w:rPr>
          <w:rFonts w:hint="eastAsia" w:ascii="宋体" w:hAnsi="宋体" w:cs="宋体"/>
          <w:color w:val="auto"/>
          <w:highlight w:val="none"/>
        </w:rPr>
        <w:tab/>
      </w:r>
      <w:r>
        <w:rPr>
          <w:rFonts w:hint="eastAsia" w:ascii="宋体" w:hAnsi="宋体" w:cs="宋体"/>
          <w:color w:val="auto"/>
          <w:highlight w:val="none"/>
        </w:rPr>
        <w:t>4</w:t>
      </w:r>
      <w:r>
        <w:rPr>
          <w:rFonts w:hint="eastAsia" w:ascii="宋体" w:hAnsi="宋体" w:cs="宋体"/>
          <w:color w:val="auto"/>
          <w:highlight w:val="none"/>
        </w:rPr>
        <w:fldChar w:fldCharType="end"/>
      </w:r>
      <w:r>
        <w:rPr>
          <w:rFonts w:hint="eastAsia" w:ascii="宋体" w:hAnsi="宋体" w:cs="宋体"/>
          <w:color w:val="auto"/>
          <w:highlight w:val="none"/>
        </w:rPr>
        <w:t>0</w:t>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"_Toc466365785"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附表二：问题澄清通知</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_Toc466365785 \h </w:instrText>
      </w:r>
      <w:r>
        <w:rPr>
          <w:rFonts w:hint="eastAsia" w:ascii="宋体" w:hAnsi="宋体" w:cs="宋体"/>
          <w:color w:val="auto"/>
          <w:highlight w:val="none"/>
        </w:rPr>
        <w:fldChar w:fldCharType="separate"/>
      </w:r>
      <w:r>
        <w:rPr>
          <w:rFonts w:hint="eastAsia" w:ascii="宋体" w:hAnsi="宋体" w:cs="宋体"/>
          <w:color w:val="auto"/>
          <w:highlight w:val="none"/>
        </w:rPr>
        <w:t>46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"_Toc466365786"</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附表三：问题的澄清</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_Toc466365786 \h </w:instrText>
      </w:r>
      <w:r>
        <w:rPr>
          <w:rFonts w:hint="eastAsia" w:ascii="宋体" w:hAnsi="宋体" w:cs="宋体"/>
          <w:color w:val="auto"/>
          <w:highlight w:val="none"/>
        </w:rPr>
        <w:fldChar w:fldCharType="separate"/>
      </w:r>
      <w:r>
        <w:rPr>
          <w:rFonts w:hint="eastAsia" w:ascii="宋体" w:hAnsi="宋体" w:cs="宋体"/>
          <w:color w:val="auto"/>
          <w:highlight w:val="none"/>
        </w:rPr>
        <w:t>47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"_Toc466365787"</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附表四：中标通知书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_Toc466365787 \h </w:instrText>
      </w:r>
      <w:r>
        <w:rPr>
          <w:rFonts w:hint="eastAsia" w:ascii="宋体" w:hAnsi="宋体" w:cs="宋体"/>
          <w:color w:val="auto"/>
          <w:highlight w:val="none"/>
        </w:rPr>
        <w:fldChar w:fldCharType="separate"/>
      </w:r>
      <w:r>
        <w:rPr>
          <w:rFonts w:hint="eastAsia" w:ascii="宋体" w:hAnsi="宋体" w:cs="宋体"/>
          <w:color w:val="auto"/>
          <w:highlight w:val="none"/>
        </w:rPr>
        <w:t>48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"_Toc466365788"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附表五：中标结果通知书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_Toc466365788 \h </w:instrText>
      </w:r>
      <w:r>
        <w:rPr>
          <w:rFonts w:hint="eastAsia" w:ascii="宋体" w:hAnsi="宋体" w:cs="宋体"/>
          <w:color w:val="auto"/>
          <w:highlight w:val="none"/>
        </w:rPr>
        <w:fldChar w:fldCharType="separate"/>
      </w:r>
      <w:r>
        <w:rPr>
          <w:rFonts w:hint="eastAsia" w:ascii="宋体" w:hAnsi="宋体" w:cs="宋体"/>
          <w:color w:val="auto"/>
          <w:highlight w:val="none"/>
        </w:rPr>
        <w:t>49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"_Toc466365789"</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附表六：确认通知</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_Toc466365789 \h </w:instrText>
      </w:r>
      <w:r>
        <w:rPr>
          <w:rFonts w:hint="eastAsia" w:ascii="宋体" w:hAnsi="宋体" w:cs="宋体"/>
          <w:color w:val="auto"/>
          <w:highlight w:val="none"/>
        </w:rPr>
        <w:fldChar w:fldCharType="separate"/>
      </w:r>
      <w:r>
        <w:rPr>
          <w:rFonts w:hint="eastAsia" w:ascii="宋体" w:hAnsi="宋体" w:cs="宋体"/>
          <w:color w:val="auto"/>
          <w:highlight w:val="none"/>
        </w:rPr>
        <w:t>50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"_Toc466365790"</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第三章  评标办法（合理低价法）</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_Toc466365790 \h </w:instrText>
      </w:r>
      <w:r>
        <w:rPr>
          <w:rFonts w:hint="eastAsia" w:ascii="宋体" w:hAnsi="宋体" w:cs="宋体"/>
          <w:color w:val="auto"/>
          <w:highlight w:val="none"/>
        </w:rPr>
        <w:fldChar w:fldCharType="separate"/>
      </w:r>
      <w:r>
        <w:rPr>
          <w:rFonts w:hint="eastAsia" w:ascii="宋体" w:hAnsi="宋体" w:cs="宋体"/>
          <w:color w:val="auto"/>
          <w:highlight w:val="none"/>
        </w:rPr>
        <w:t>51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"_Toc466365791"</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评标办法前附表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_Toc466365791 \h </w:instrText>
      </w:r>
      <w:r>
        <w:rPr>
          <w:rFonts w:hint="eastAsia" w:ascii="宋体" w:hAnsi="宋体" w:cs="宋体"/>
          <w:color w:val="auto"/>
          <w:highlight w:val="none"/>
        </w:rPr>
        <w:fldChar w:fldCharType="separate"/>
      </w:r>
      <w:r>
        <w:rPr>
          <w:rFonts w:hint="eastAsia" w:ascii="宋体" w:hAnsi="宋体" w:cs="宋体"/>
          <w:color w:val="auto"/>
          <w:highlight w:val="none"/>
        </w:rPr>
        <w:t>51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"_Toc466365792"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1、评标方法</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_Toc466365792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58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"_Toc466365793"</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2、评审标准</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_Toc466365793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58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"_Toc466365794"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2.1  初步评审标准</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_Toc466365794 \h </w:instrText>
      </w:r>
      <w:r>
        <w:rPr>
          <w:rFonts w:hint="eastAsia" w:ascii="宋体" w:hAnsi="宋体" w:cs="宋体"/>
          <w:color w:val="auto"/>
          <w:highlight w:val="none"/>
        </w:rPr>
        <w:fldChar w:fldCharType="separate"/>
      </w:r>
      <w:r>
        <w:rPr>
          <w:rFonts w:hint="eastAsia" w:ascii="宋体" w:hAnsi="宋体" w:cs="宋体"/>
          <w:color w:val="auto"/>
          <w:highlight w:val="none"/>
        </w:rPr>
        <w:t>58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"_Toc466365795"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2.2  分值构成与评分标准</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_Toc466365795 \h </w:instrText>
      </w:r>
      <w:r>
        <w:rPr>
          <w:rFonts w:hint="eastAsia" w:ascii="宋体" w:hAnsi="宋体" w:cs="宋体"/>
          <w:color w:val="auto"/>
          <w:highlight w:val="none"/>
        </w:rPr>
        <w:fldChar w:fldCharType="separate"/>
      </w:r>
      <w:r>
        <w:rPr>
          <w:rFonts w:hint="eastAsia" w:ascii="宋体" w:hAnsi="宋体" w:cs="宋体"/>
          <w:color w:val="auto"/>
          <w:highlight w:val="none"/>
        </w:rPr>
        <w:t>58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"_Toc466365796"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3、评标程序</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_Toc466365796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58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"_Toc466365797"</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3.1  初步评审</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_Toc466365797 \h </w:instrText>
      </w:r>
      <w:r>
        <w:rPr>
          <w:rFonts w:hint="eastAsia" w:ascii="宋体" w:hAnsi="宋体" w:cs="宋体"/>
          <w:color w:val="auto"/>
          <w:highlight w:val="none"/>
        </w:rPr>
        <w:fldChar w:fldCharType="separate"/>
      </w:r>
      <w:r>
        <w:rPr>
          <w:rFonts w:hint="eastAsia" w:ascii="宋体" w:hAnsi="宋体" w:cs="宋体"/>
          <w:color w:val="auto"/>
          <w:highlight w:val="none"/>
        </w:rPr>
        <w:t>58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"_Toc466365798"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3.2  详细评审</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_Toc466365798 \h </w:instrText>
      </w:r>
      <w:r>
        <w:rPr>
          <w:rFonts w:hint="eastAsia" w:ascii="宋体" w:hAnsi="宋体" w:cs="宋体"/>
          <w:color w:val="auto"/>
          <w:highlight w:val="none"/>
        </w:rPr>
        <w:fldChar w:fldCharType="separate"/>
      </w:r>
      <w:r>
        <w:rPr>
          <w:rFonts w:hint="eastAsia" w:ascii="宋体" w:hAnsi="宋体" w:cs="宋体"/>
          <w:color w:val="auto"/>
          <w:highlight w:val="none"/>
        </w:rPr>
        <w:t>59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"_Toc466365799"</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3.3  投标文件的澄清和补正</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_Toc466365799 \h </w:instrText>
      </w:r>
      <w:r>
        <w:rPr>
          <w:rFonts w:hint="eastAsia" w:ascii="宋体" w:hAnsi="宋体" w:cs="宋体"/>
          <w:color w:val="auto"/>
          <w:highlight w:val="none"/>
        </w:rPr>
        <w:fldChar w:fldCharType="separate"/>
      </w:r>
      <w:r>
        <w:rPr>
          <w:rFonts w:hint="eastAsia" w:ascii="宋体" w:hAnsi="宋体" w:cs="宋体"/>
          <w:color w:val="auto"/>
          <w:highlight w:val="none"/>
        </w:rPr>
        <w:t>59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"_Toc466365800"</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3.4  评标结果</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_Toc466365800 \h </w:instrText>
      </w:r>
      <w:r>
        <w:rPr>
          <w:rFonts w:hint="eastAsia" w:ascii="宋体" w:hAnsi="宋体" w:cs="宋体"/>
          <w:color w:val="auto"/>
          <w:highlight w:val="none"/>
        </w:rPr>
        <w:fldChar w:fldCharType="separate"/>
      </w:r>
      <w:r>
        <w:rPr>
          <w:rFonts w:hint="eastAsia" w:ascii="宋体" w:hAnsi="宋体" w:cs="宋体"/>
          <w:color w:val="auto"/>
          <w:highlight w:val="none"/>
        </w:rPr>
        <w:t>60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"_Toc466365801"</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第四章  合同条款及格式</w:t>
      </w:r>
      <w:r>
        <w:rPr>
          <w:rFonts w:hint="eastAsia" w:ascii="宋体" w:hAnsi="宋体" w:cs="宋体"/>
          <w:color w:val="auto"/>
          <w:highlight w:val="none"/>
        </w:rPr>
        <w:tab/>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t>0</w:t>
      </w:r>
    </w:p>
    <w:p>
      <w:pPr>
        <w:pStyle w:val="15"/>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"_Toc466365802"</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第一节  通用合同条款</w:t>
      </w:r>
      <w:r>
        <w:rPr>
          <w:rFonts w:hint="eastAsia" w:ascii="宋体" w:hAnsi="宋体" w:cs="宋体"/>
          <w:color w:val="auto"/>
          <w:highlight w:val="none"/>
        </w:rPr>
        <w:tab/>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t>0</w:t>
      </w:r>
    </w:p>
    <w:p>
      <w:pPr>
        <w:pStyle w:val="12"/>
        <w:tabs>
          <w:tab w:val="right" w:leader="dot" w:pos="9060"/>
        </w:tabs>
        <w:rPr>
          <w:rFonts w:hint="eastAsia" w:ascii="宋体" w:hAnsi="宋体" w:cs="宋体"/>
          <w:b w:val="0"/>
          <w:bC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"_Toc466365958"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第二节  专用合同条款</w:t>
      </w:r>
      <w:r>
        <w:rPr>
          <w:rFonts w:hint="eastAsia" w:ascii="宋体" w:hAnsi="宋体" w:cs="宋体"/>
          <w:color w:val="auto"/>
          <w:highlight w:val="none"/>
        </w:rPr>
        <w:tab/>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t>1</w:t>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"_Toc466366056"</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B、项目专用合同条款</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_Toc466366056 \h </w:instrText>
      </w:r>
      <w:r>
        <w:rPr>
          <w:rFonts w:hint="eastAsia" w:ascii="宋体" w:hAnsi="宋体" w:cs="宋体"/>
          <w:color w:val="auto"/>
          <w:highlight w:val="none"/>
        </w:rPr>
        <w:fldChar w:fldCharType="separate"/>
      </w:r>
      <w:r>
        <w:rPr>
          <w:rFonts w:hint="eastAsia" w:ascii="宋体" w:hAnsi="宋体" w:cs="宋体"/>
          <w:color w:val="auto"/>
          <w:highlight w:val="none"/>
        </w:rPr>
        <w:t>61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"_Toc466366057"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项目专用合同条款数据表</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_Toc466366057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63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"_Toc466366058"</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 一般约定</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_Toc466366058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65</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"_Toc466366059"</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1.1 词语定义</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_Toc466366059 \h </w:instrText>
      </w:r>
      <w:r>
        <w:rPr>
          <w:rFonts w:hint="eastAsia" w:ascii="宋体" w:hAnsi="宋体" w:cs="宋体"/>
          <w:color w:val="auto"/>
          <w:highlight w:val="none"/>
        </w:rPr>
        <w:fldChar w:fldCharType="separate"/>
      </w:r>
      <w:r>
        <w:rPr>
          <w:rFonts w:hint="eastAsia" w:ascii="宋体" w:hAnsi="宋体" w:cs="宋体"/>
          <w:color w:val="auto"/>
          <w:highlight w:val="none"/>
        </w:rPr>
        <w:t>65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"_Toc466366060"</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1.4 合同文件的优先顺序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_Toc466366060 \h </w:instrText>
      </w:r>
      <w:r>
        <w:rPr>
          <w:rFonts w:hint="eastAsia" w:ascii="宋体" w:hAnsi="宋体" w:cs="宋体"/>
          <w:color w:val="auto"/>
          <w:highlight w:val="none"/>
        </w:rPr>
        <w:fldChar w:fldCharType="separate"/>
      </w:r>
      <w:r>
        <w:rPr>
          <w:rFonts w:hint="eastAsia" w:ascii="宋体" w:hAnsi="宋体" w:cs="宋体"/>
          <w:color w:val="auto"/>
          <w:highlight w:val="none"/>
        </w:rPr>
        <w:t>65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"_Toc466366061"</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1.6 图纸和承包人文件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_Toc466366061 \h </w:instrText>
      </w:r>
      <w:r>
        <w:rPr>
          <w:rFonts w:hint="eastAsia" w:ascii="宋体" w:hAnsi="宋体" w:cs="宋体"/>
          <w:color w:val="auto"/>
          <w:highlight w:val="none"/>
        </w:rPr>
        <w:fldChar w:fldCharType="separate"/>
      </w:r>
      <w:r>
        <w:rPr>
          <w:rFonts w:hint="eastAsia" w:ascii="宋体" w:hAnsi="宋体" w:cs="宋体"/>
          <w:color w:val="auto"/>
          <w:highlight w:val="none"/>
        </w:rPr>
        <w:t>65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"_Toc466366062"</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1.7 联络</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_Toc466366062 \h </w:instrText>
      </w:r>
      <w:r>
        <w:rPr>
          <w:rFonts w:hint="eastAsia" w:ascii="宋体" w:hAnsi="宋体" w:cs="宋体"/>
          <w:color w:val="auto"/>
          <w:highlight w:val="none"/>
        </w:rPr>
        <w:fldChar w:fldCharType="separate"/>
      </w:r>
      <w:r>
        <w:rPr>
          <w:rFonts w:hint="eastAsia" w:ascii="宋体" w:hAnsi="宋体" w:cs="宋体"/>
          <w:color w:val="auto"/>
          <w:highlight w:val="none"/>
        </w:rPr>
        <w:t>66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"_Toc466366063"</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4. 承包人</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_Toc466366063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66</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"_Toc466366064"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4.1 承包人的一般义务</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_Toc466366064 \h </w:instrText>
      </w:r>
      <w:r>
        <w:rPr>
          <w:rFonts w:hint="eastAsia" w:ascii="宋体" w:hAnsi="宋体" w:cs="宋体"/>
          <w:color w:val="auto"/>
          <w:highlight w:val="none"/>
        </w:rPr>
        <w:fldChar w:fldCharType="separate"/>
      </w:r>
      <w:r>
        <w:rPr>
          <w:rFonts w:hint="eastAsia" w:ascii="宋体" w:hAnsi="宋体" w:cs="宋体"/>
          <w:color w:val="auto"/>
          <w:highlight w:val="none"/>
        </w:rPr>
        <w:t>66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"_Toc466366065"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4.3 分包</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_Toc466366065 \h </w:instrText>
      </w:r>
      <w:r>
        <w:rPr>
          <w:rFonts w:hint="eastAsia" w:ascii="宋体" w:hAnsi="宋体" w:cs="宋体"/>
          <w:color w:val="auto"/>
          <w:highlight w:val="none"/>
        </w:rPr>
        <w:fldChar w:fldCharType="separate"/>
      </w:r>
      <w:r>
        <w:rPr>
          <w:rFonts w:hint="eastAsia" w:ascii="宋体" w:hAnsi="宋体" w:cs="宋体"/>
          <w:color w:val="auto"/>
          <w:highlight w:val="none"/>
        </w:rPr>
        <w:t>68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"_Toc466366066"</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4.8 保障承包人人员的合法权益</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_Toc466366066 \h </w:instrText>
      </w:r>
      <w:r>
        <w:rPr>
          <w:rFonts w:hint="eastAsia" w:ascii="宋体" w:hAnsi="宋体" w:cs="宋体"/>
          <w:color w:val="auto"/>
          <w:highlight w:val="none"/>
        </w:rPr>
        <w:fldChar w:fldCharType="separate"/>
      </w:r>
      <w:r>
        <w:rPr>
          <w:rFonts w:hint="eastAsia" w:ascii="宋体" w:hAnsi="宋体" w:cs="宋体"/>
          <w:color w:val="auto"/>
          <w:highlight w:val="none"/>
        </w:rPr>
        <w:t>70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"_Toc466366067"</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4.11 不利物质条件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_Toc466366067 \h </w:instrText>
      </w:r>
      <w:r>
        <w:rPr>
          <w:rFonts w:hint="eastAsia" w:ascii="宋体" w:hAnsi="宋体" w:cs="宋体"/>
          <w:color w:val="auto"/>
          <w:highlight w:val="none"/>
        </w:rPr>
        <w:fldChar w:fldCharType="separate"/>
      </w:r>
      <w:r>
        <w:rPr>
          <w:rFonts w:hint="eastAsia" w:ascii="宋体" w:hAnsi="宋体" w:cs="宋体"/>
          <w:color w:val="auto"/>
          <w:highlight w:val="none"/>
        </w:rPr>
        <w:t>70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"_Toc466366068"</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6. 施工设备和临时设施</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_Toc466366068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"_Toc466366069"</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6.3 要求承包人增加或更换施工设备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_Toc466366069 \h </w:instrText>
      </w:r>
      <w:r>
        <w:rPr>
          <w:rFonts w:hint="eastAsia" w:ascii="宋体" w:hAnsi="宋体" w:cs="宋体"/>
          <w:color w:val="auto"/>
          <w:highlight w:val="none"/>
        </w:rPr>
        <w:fldChar w:fldCharType="separate"/>
      </w:r>
      <w:r>
        <w:rPr>
          <w:rFonts w:hint="eastAsia" w:ascii="宋体" w:hAnsi="宋体" w:cs="宋体"/>
          <w:color w:val="auto"/>
          <w:highlight w:val="none"/>
        </w:rPr>
        <w:t>71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"_Toc466366070"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7. 交通运输</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_Toc466366070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"_Toc466366071"</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7.2 场内施工道路</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_Toc466366071 \h </w:instrText>
      </w:r>
      <w:r>
        <w:rPr>
          <w:rFonts w:hint="eastAsia" w:ascii="宋体" w:hAnsi="宋体" w:cs="宋体"/>
          <w:color w:val="auto"/>
          <w:highlight w:val="none"/>
        </w:rPr>
        <w:fldChar w:fldCharType="separate"/>
      </w:r>
      <w:r>
        <w:rPr>
          <w:rFonts w:hint="eastAsia" w:ascii="宋体" w:hAnsi="宋体" w:cs="宋体"/>
          <w:color w:val="auto"/>
          <w:highlight w:val="none"/>
        </w:rPr>
        <w:t>71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"_Toc466366072"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9. 施工安全、治安保卫和环境保护</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_Toc466366072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"_Toc466366073"</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9.2 承包人的施工安全责任</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_Toc466366073 \h </w:instrText>
      </w:r>
      <w:r>
        <w:rPr>
          <w:rFonts w:hint="eastAsia" w:ascii="宋体" w:hAnsi="宋体" w:cs="宋体"/>
          <w:color w:val="auto"/>
          <w:highlight w:val="none"/>
        </w:rPr>
        <w:fldChar w:fldCharType="separate"/>
      </w:r>
      <w:r>
        <w:rPr>
          <w:rFonts w:hint="eastAsia" w:ascii="宋体" w:hAnsi="宋体" w:cs="宋体"/>
          <w:color w:val="auto"/>
          <w:highlight w:val="none"/>
        </w:rPr>
        <w:t>71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"_Toc466366074"</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10. 进度计划</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_Toc466366074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"_Toc466366075"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10.1 合同进度计划</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_Toc466366075 \h </w:instrText>
      </w:r>
      <w:r>
        <w:rPr>
          <w:rFonts w:hint="eastAsia" w:ascii="宋体" w:hAnsi="宋体" w:cs="宋体"/>
          <w:color w:val="auto"/>
          <w:highlight w:val="none"/>
        </w:rPr>
        <w:fldChar w:fldCharType="separate"/>
      </w:r>
      <w:r>
        <w:rPr>
          <w:rFonts w:hint="eastAsia" w:ascii="宋体" w:hAnsi="宋体" w:cs="宋体"/>
          <w:color w:val="auto"/>
          <w:highlight w:val="none"/>
        </w:rPr>
        <w:t>72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"_Toc466366076"</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10.5 季度计划、月度计划、旬计划</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_Toc466366076 \h </w:instrText>
      </w:r>
      <w:r>
        <w:rPr>
          <w:rFonts w:hint="eastAsia" w:ascii="宋体" w:hAnsi="宋体" w:cs="宋体"/>
          <w:color w:val="auto"/>
          <w:highlight w:val="none"/>
        </w:rPr>
        <w:fldChar w:fldCharType="separate"/>
      </w:r>
      <w:r>
        <w:rPr>
          <w:rFonts w:hint="eastAsia" w:ascii="宋体" w:hAnsi="宋体" w:cs="宋体"/>
          <w:color w:val="auto"/>
          <w:highlight w:val="none"/>
        </w:rPr>
        <w:t>73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"_Toc466366077"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11.开工和交工</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_Toc466366077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"_Toc466366078"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11.4 异常恶劣的气候条件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_Toc466366078 \h </w:instrText>
      </w:r>
      <w:r>
        <w:rPr>
          <w:rFonts w:hint="eastAsia" w:ascii="宋体" w:hAnsi="宋体" w:cs="宋体"/>
          <w:color w:val="auto"/>
          <w:highlight w:val="none"/>
        </w:rPr>
        <w:fldChar w:fldCharType="separate"/>
      </w:r>
      <w:r>
        <w:rPr>
          <w:rFonts w:hint="eastAsia" w:ascii="宋体" w:hAnsi="宋体" w:cs="宋体"/>
          <w:color w:val="auto"/>
          <w:highlight w:val="none"/>
        </w:rPr>
        <w:t>73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"_Toc466366079"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12. 暂停施工</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_Toc466366079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"_Toc466366080"</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12.1 承包人暂停施工的责任</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_Toc466366080 \h </w:instrText>
      </w:r>
      <w:r>
        <w:rPr>
          <w:rFonts w:hint="eastAsia" w:ascii="宋体" w:hAnsi="宋体" w:cs="宋体"/>
          <w:color w:val="auto"/>
          <w:highlight w:val="none"/>
        </w:rPr>
        <w:fldChar w:fldCharType="separate"/>
      </w:r>
      <w:r>
        <w:rPr>
          <w:rFonts w:hint="eastAsia" w:ascii="宋体" w:hAnsi="宋体" w:cs="宋体"/>
          <w:color w:val="auto"/>
          <w:highlight w:val="none"/>
        </w:rPr>
        <w:t>73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"_Toc466366081"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13. 工程质量</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_Toc466366081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74</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"_Toc466366082"</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13.1 工程质量要求</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_Toc466366082 \h </w:instrText>
      </w:r>
      <w:r>
        <w:rPr>
          <w:rFonts w:hint="eastAsia" w:ascii="宋体" w:hAnsi="宋体" w:cs="宋体"/>
          <w:color w:val="auto"/>
          <w:highlight w:val="none"/>
        </w:rPr>
        <w:fldChar w:fldCharType="separate"/>
      </w:r>
      <w:r>
        <w:rPr>
          <w:rFonts w:hint="eastAsia" w:ascii="宋体" w:hAnsi="宋体" w:cs="宋体"/>
          <w:color w:val="auto"/>
          <w:highlight w:val="none"/>
        </w:rPr>
        <w:t>74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"_Toc466366083"</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13.5 工程隐蔽部位覆盖前的检查</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_Toc466366083 \h </w:instrText>
      </w:r>
      <w:r>
        <w:rPr>
          <w:rFonts w:hint="eastAsia" w:ascii="宋体" w:hAnsi="宋体" w:cs="宋体"/>
          <w:color w:val="auto"/>
          <w:highlight w:val="none"/>
        </w:rPr>
        <w:fldChar w:fldCharType="separate"/>
      </w:r>
      <w:r>
        <w:rPr>
          <w:rFonts w:hint="eastAsia" w:ascii="宋体" w:hAnsi="宋体" w:cs="宋体"/>
          <w:color w:val="auto"/>
          <w:highlight w:val="none"/>
        </w:rPr>
        <w:t>74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"_Toc466366084"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13.7 质量抽检</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_Toc466366084 \h </w:instrText>
      </w:r>
      <w:r>
        <w:rPr>
          <w:rFonts w:hint="eastAsia" w:ascii="宋体" w:hAnsi="宋体" w:cs="宋体"/>
          <w:color w:val="auto"/>
          <w:highlight w:val="none"/>
        </w:rPr>
        <w:fldChar w:fldCharType="separate"/>
      </w:r>
      <w:r>
        <w:rPr>
          <w:rFonts w:hint="eastAsia" w:ascii="宋体" w:hAnsi="宋体" w:cs="宋体"/>
          <w:color w:val="auto"/>
          <w:highlight w:val="none"/>
        </w:rPr>
        <w:t>74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"_Toc466366085"</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14. 试验和检验</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_Toc466366085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74</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"_Toc466366086"</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14.1 材料、工程设备和工程的试验和检验</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_Toc466366086 \h </w:instrText>
      </w:r>
      <w:r>
        <w:rPr>
          <w:rFonts w:hint="eastAsia" w:ascii="宋体" w:hAnsi="宋体" w:cs="宋体"/>
          <w:color w:val="auto"/>
          <w:highlight w:val="none"/>
        </w:rPr>
        <w:fldChar w:fldCharType="separate"/>
      </w:r>
      <w:r>
        <w:rPr>
          <w:rFonts w:hint="eastAsia" w:ascii="宋体" w:hAnsi="宋体" w:cs="宋体"/>
          <w:color w:val="auto"/>
          <w:highlight w:val="none"/>
        </w:rPr>
        <w:t>74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"_Toc466366087"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15. 变更</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_Toc466366087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74</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"_Toc466366088"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15.3 变更程序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_Toc466366088 \h </w:instrText>
      </w:r>
      <w:r>
        <w:rPr>
          <w:rFonts w:hint="eastAsia" w:ascii="宋体" w:hAnsi="宋体" w:cs="宋体"/>
          <w:color w:val="auto"/>
          <w:highlight w:val="none"/>
        </w:rPr>
        <w:fldChar w:fldCharType="separate"/>
      </w:r>
      <w:r>
        <w:rPr>
          <w:rFonts w:hint="eastAsia" w:ascii="宋体" w:hAnsi="宋体" w:cs="宋体"/>
          <w:color w:val="auto"/>
          <w:highlight w:val="none"/>
        </w:rPr>
        <w:t>74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"_Toc466366089"</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15.4 变更的估价原则</w:t>
      </w:r>
      <w:r>
        <w:rPr>
          <w:rFonts w:hint="eastAsia" w:ascii="宋体" w:hAnsi="宋体" w:cs="宋体"/>
          <w:color w:val="auto"/>
          <w:highlight w:val="none"/>
        </w:rPr>
        <w:tab/>
      </w:r>
      <w:r>
        <w:rPr>
          <w:rFonts w:hint="eastAsia" w:ascii="宋体" w:hAnsi="宋体" w:cs="宋体"/>
          <w:color w:val="auto"/>
          <w:highlight w:val="none"/>
        </w:rPr>
        <w:t>7</w:t>
      </w:r>
      <w:r>
        <w:rPr>
          <w:rFonts w:hint="eastAsia" w:ascii="宋体" w:hAnsi="宋体" w:cs="宋体"/>
          <w:color w:val="auto"/>
          <w:highlight w:val="none"/>
        </w:rPr>
        <w:fldChar w:fldCharType="end"/>
      </w:r>
      <w:r>
        <w:rPr>
          <w:rFonts w:hint="eastAsia" w:ascii="宋体" w:hAnsi="宋体" w:cs="宋体"/>
          <w:color w:val="auto"/>
          <w:highlight w:val="none"/>
        </w:rPr>
        <w:t>3</w:t>
      </w:r>
    </w:p>
    <w:p>
      <w:pPr>
        <w:pStyle w:val="8"/>
        <w:tabs>
          <w:tab w:val="right" w:leader="dot" w:pos="9060"/>
        </w:tabs>
        <w:rPr>
          <w:rFonts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"_Toc466366090"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16. 价格调整</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t>74</w:t>
      </w:r>
    </w:p>
    <w:p>
      <w:pPr>
        <w:pStyle w:val="13"/>
        <w:tabs>
          <w:tab w:val="right" w:leader="dot" w:pos="9060"/>
        </w:tabs>
        <w:rPr>
          <w:rFonts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"_Toc466366091"</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16.1 物价波动引起的价格调整</w:t>
      </w:r>
      <w:r>
        <w:rPr>
          <w:rFonts w:hint="eastAsia" w:ascii="宋体" w:hAnsi="宋体" w:cs="宋体"/>
          <w:color w:val="auto"/>
          <w:highlight w:val="none"/>
        </w:rPr>
        <w:tab/>
      </w:r>
      <w:r>
        <w:rPr>
          <w:rFonts w:hint="eastAsia" w:ascii="宋体" w:hAnsi="宋体" w:cs="宋体"/>
          <w:color w:val="auto"/>
          <w:highlight w:val="none"/>
        </w:rPr>
        <w:fldChar w:fldCharType="end"/>
      </w:r>
      <w:r>
        <w:rPr>
          <w:rFonts w:hint="eastAsia" w:ascii="宋体" w:hAnsi="宋体" w:cs="宋体"/>
          <w:color w:val="auto"/>
          <w:highlight w:val="none"/>
        </w:rPr>
        <w:t>74</w:t>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"_Toc466366092"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17. 计量与支付</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_Toc466366092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75</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"_Toc466366093"</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17.3 工程进度付款</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_Toc466366093 \h </w:instrText>
      </w:r>
      <w:r>
        <w:rPr>
          <w:rFonts w:hint="eastAsia" w:ascii="宋体" w:hAnsi="宋体" w:cs="宋体"/>
          <w:color w:val="auto"/>
          <w:highlight w:val="none"/>
        </w:rPr>
        <w:fldChar w:fldCharType="separate"/>
      </w:r>
      <w:r>
        <w:rPr>
          <w:rFonts w:hint="eastAsia" w:ascii="宋体" w:hAnsi="宋体" w:cs="宋体"/>
          <w:color w:val="auto"/>
          <w:highlight w:val="none"/>
        </w:rPr>
        <w:t>75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"_Toc466366094"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17.4质量保证金</w:t>
      </w:r>
      <w:r>
        <w:rPr>
          <w:rFonts w:hint="eastAsia" w:ascii="宋体" w:hAnsi="宋体" w:cs="宋体"/>
          <w:color w:val="auto"/>
          <w:highlight w:val="none"/>
        </w:rPr>
        <w:tab/>
      </w:r>
      <w:r>
        <w:rPr>
          <w:rFonts w:hint="eastAsia" w:ascii="宋体" w:hAnsi="宋体" w:cs="宋体"/>
          <w:color w:val="auto"/>
          <w:highlight w:val="none"/>
        </w:rPr>
        <w:fldChar w:fldCharType="end"/>
      </w:r>
      <w:r>
        <w:rPr>
          <w:rFonts w:hint="eastAsia" w:ascii="宋体" w:hAnsi="宋体" w:cs="宋体"/>
          <w:color w:val="auto"/>
          <w:highlight w:val="none"/>
        </w:rPr>
        <w:t>75</w:t>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"_Toc466366095"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17.6 最终结清</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_Toc466366095 \h </w:instrText>
      </w:r>
      <w:r>
        <w:rPr>
          <w:rFonts w:hint="eastAsia" w:ascii="宋体" w:hAnsi="宋体" w:cs="宋体"/>
          <w:color w:val="auto"/>
          <w:highlight w:val="none"/>
        </w:rPr>
        <w:fldChar w:fldCharType="separate"/>
      </w:r>
      <w:r>
        <w:rPr>
          <w:rFonts w:hint="eastAsia" w:ascii="宋体" w:hAnsi="宋体" w:cs="宋体"/>
          <w:color w:val="auto"/>
          <w:highlight w:val="none"/>
        </w:rPr>
        <w:t>76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"_Toc466366096"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18. 交工验收</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_Toc466366096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76</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"_Toc466366097"</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18.3 验收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_Toc466366097 \h </w:instrText>
      </w:r>
      <w:r>
        <w:rPr>
          <w:rFonts w:hint="eastAsia" w:ascii="宋体" w:hAnsi="宋体" w:cs="宋体"/>
          <w:color w:val="auto"/>
          <w:highlight w:val="none"/>
        </w:rPr>
        <w:fldChar w:fldCharType="separate"/>
      </w:r>
      <w:r>
        <w:rPr>
          <w:rFonts w:hint="eastAsia" w:ascii="宋体" w:hAnsi="宋体" w:cs="宋体"/>
          <w:color w:val="auto"/>
          <w:highlight w:val="none"/>
        </w:rPr>
        <w:t>76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"_Toc466366098"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18.9 竣工文件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_Toc466366098 \h </w:instrText>
      </w:r>
      <w:r>
        <w:rPr>
          <w:rFonts w:hint="eastAsia" w:ascii="宋体" w:hAnsi="宋体" w:cs="宋体"/>
          <w:color w:val="auto"/>
          <w:highlight w:val="none"/>
        </w:rPr>
        <w:fldChar w:fldCharType="separate"/>
      </w:r>
      <w:r>
        <w:rPr>
          <w:rFonts w:hint="eastAsia" w:ascii="宋体" w:hAnsi="宋体" w:cs="宋体"/>
          <w:color w:val="auto"/>
          <w:highlight w:val="none"/>
        </w:rPr>
        <w:t>77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"_Toc466366099"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19. 缺陷责任与保修责任</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_Toc466366099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77</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"_Toc466366100"</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19.2 缺陷责任</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_Toc466366100 \h </w:instrText>
      </w:r>
      <w:r>
        <w:rPr>
          <w:rFonts w:hint="eastAsia" w:ascii="宋体" w:hAnsi="宋体" w:cs="宋体"/>
          <w:color w:val="auto"/>
          <w:highlight w:val="none"/>
        </w:rPr>
        <w:fldChar w:fldCharType="separate"/>
      </w:r>
      <w:r>
        <w:rPr>
          <w:rFonts w:hint="eastAsia" w:ascii="宋体" w:hAnsi="宋体" w:cs="宋体"/>
          <w:color w:val="auto"/>
          <w:highlight w:val="none"/>
        </w:rPr>
        <w:t>77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"_Toc466366101"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20. 保险</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_Toc466366101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77</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"_Toc466366102"</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20.1 工程保险</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_Toc466366102 \h </w:instrText>
      </w:r>
      <w:r>
        <w:rPr>
          <w:rFonts w:hint="eastAsia" w:ascii="宋体" w:hAnsi="宋体" w:cs="宋体"/>
          <w:color w:val="auto"/>
          <w:highlight w:val="none"/>
        </w:rPr>
        <w:fldChar w:fldCharType="separate"/>
      </w:r>
      <w:r>
        <w:rPr>
          <w:rFonts w:hint="eastAsia" w:ascii="宋体" w:hAnsi="宋体" w:cs="宋体"/>
          <w:color w:val="auto"/>
          <w:highlight w:val="none"/>
        </w:rPr>
        <w:t>77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"_Toc466366103"</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20.6  对各项保险的一般要求</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_Toc466366103 \h </w:instrText>
      </w:r>
      <w:r>
        <w:rPr>
          <w:rFonts w:hint="eastAsia" w:ascii="宋体" w:hAnsi="宋体" w:cs="宋体"/>
          <w:color w:val="auto"/>
          <w:highlight w:val="none"/>
        </w:rPr>
        <w:fldChar w:fldCharType="separate"/>
      </w:r>
      <w:r>
        <w:rPr>
          <w:rFonts w:hint="eastAsia" w:ascii="宋体" w:hAnsi="宋体" w:cs="宋体"/>
          <w:color w:val="auto"/>
          <w:highlight w:val="none"/>
        </w:rPr>
        <w:t>77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"_Toc466366104"</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21. 不可抗力</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_Toc466366104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"_Toc466366105"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21.1 不可抗力的确认</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_Toc466366105 \h </w:instrText>
      </w:r>
      <w:r>
        <w:rPr>
          <w:rFonts w:hint="eastAsia" w:ascii="宋体" w:hAnsi="宋体" w:cs="宋体"/>
          <w:color w:val="auto"/>
          <w:highlight w:val="none"/>
        </w:rPr>
        <w:fldChar w:fldCharType="separate"/>
      </w:r>
      <w:r>
        <w:rPr>
          <w:rFonts w:hint="eastAsia" w:ascii="宋体" w:hAnsi="宋体" w:cs="宋体"/>
          <w:color w:val="auto"/>
          <w:highlight w:val="none"/>
        </w:rPr>
        <w:t>78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"_Toc466366106"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22. 违约</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_Toc466366106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"_Toc466366107"</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22.1承包人违约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_Toc466366107 \h </w:instrText>
      </w:r>
      <w:r>
        <w:rPr>
          <w:rFonts w:hint="eastAsia" w:ascii="宋体" w:hAnsi="宋体" w:cs="宋体"/>
          <w:color w:val="auto"/>
          <w:highlight w:val="none"/>
        </w:rPr>
        <w:fldChar w:fldCharType="separate"/>
      </w:r>
      <w:r>
        <w:rPr>
          <w:rFonts w:hint="eastAsia" w:ascii="宋体" w:hAnsi="宋体" w:cs="宋体"/>
          <w:color w:val="auto"/>
          <w:highlight w:val="none"/>
        </w:rPr>
        <w:t>78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3"/>
        <w:tabs>
          <w:tab w:val="right" w:leader="dot" w:pos="9060"/>
        </w:tabs>
        <w:rPr>
          <w:rFonts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"_Toc466366108"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22.2发包人违约</w:t>
      </w:r>
      <w:r>
        <w:rPr>
          <w:rFonts w:hint="eastAsia" w:ascii="宋体" w:hAnsi="宋体" w:cs="宋体"/>
          <w:color w:val="auto"/>
          <w:highlight w:val="none"/>
        </w:rPr>
        <w:tab/>
      </w:r>
      <w:r>
        <w:rPr>
          <w:rFonts w:hint="eastAsia" w:ascii="宋体" w:hAnsi="宋体" w:cs="宋体"/>
          <w:color w:val="auto"/>
          <w:highlight w:val="none"/>
        </w:rPr>
        <w:fldChar w:fldCharType="end"/>
      </w:r>
      <w:r>
        <w:rPr>
          <w:rFonts w:hint="eastAsia" w:ascii="宋体" w:hAnsi="宋体" w:cs="宋体"/>
          <w:color w:val="auto"/>
          <w:highlight w:val="none"/>
        </w:rPr>
        <w:t>79</w:t>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"_Toc466366109"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24. 争议的解决</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_Toc466366109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78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3"/>
        <w:tabs>
          <w:tab w:val="right" w:leader="dot" w:pos="9060"/>
        </w:tabs>
        <w:rPr>
          <w:rFonts w:hint="eastAsia" w:ascii="宋体" w:hAnsi="宋体" w:cs="宋体"/>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"_Toc466366110"</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24.1争议的解决方式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_Toc466366110 \h </w:instrText>
      </w:r>
      <w:r>
        <w:rPr>
          <w:rFonts w:hint="eastAsia" w:ascii="宋体" w:hAnsi="宋体" w:cs="宋体"/>
          <w:color w:val="auto"/>
          <w:highlight w:val="none"/>
        </w:rPr>
        <w:fldChar w:fldCharType="separate"/>
      </w:r>
      <w:r>
        <w:rPr>
          <w:rFonts w:hint="eastAsia" w:ascii="宋体" w:hAnsi="宋体" w:cs="宋体"/>
          <w:color w:val="auto"/>
          <w:highlight w:val="none"/>
        </w:rPr>
        <w:t>80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"_Toc466366111"</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第三节  合同附件格式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_Toc466366111 \h </w:instrText>
      </w:r>
      <w:r>
        <w:rPr>
          <w:rFonts w:hint="eastAsia" w:ascii="宋体" w:hAnsi="宋体" w:cs="宋体"/>
          <w:color w:val="auto"/>
          <w:highlight w:val="none"/>
        </w:rPr>
        <w:fldChar w:fldCharType="separate"/>
      </w:r>
      <w:r>
        <w:rPr>
          <w:rFonts w:hint="eastAsia" w:ascii="宋体" w:hAnsi="宋体" w:cs="宋体"/>
          <w:color w:val="auto"/>
          <w:highlight w:val="none"/>
        </w:rPr>
        <w:t>81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"_Toc466366112"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附件一  合同协议书</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_Toc466366112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81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"_Toc466366113"</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附件二  廉政合同</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_Toc466366113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82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"_Toc466366114"</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附件三  安全生产合同</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_Toc466366114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84</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"_Toc466366115"</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附件四  其他主要管理人员和技术人员最低要求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_Toc466366115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86</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"_Toc466366116"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附件五  主要机械设备和试验检测设备最低要求</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_Toc466366116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87</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"_Toc466366117"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附件六  项目经理委任书</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_Toc466366117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88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"_Toc466366118"</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附件七  履约担保格式</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_Toc466366118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89</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"_Toc466366119"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附件八  预付款担保格式</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_Toc466366119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90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"_Toc466366120"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附件九  工程资金监管协议格式</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_Toc466366120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91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"_Toc466366121"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附件十  工程质量责任合同</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_Toc466366121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93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color w:val="auto"/>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"_Toc466366121"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附件十</w:t>
      </w:r>
      <w:r>
        <w:rPr>
          <w:rStyle w:val="27"/>
          <w:rFonts w:hint="eastAsia" w:ascii="宋体" w:hAnsi="宋体" w:eastAsia="宋体" w:cs="宋体"/>
          <w:b w:val="0"/>
          <w:bCs w:val="0"/>
          <w:i w:val="0"/>
          <w:iCs w:val="0"/>
          <w:color w:val="auto"/>
          <w:highlight w:val="none"/>
          <w:lang w:val="en-US" w:eastAsia="zh-CN"/>
        </w:rPr>
        <w:t>一</w:t>
      </w:r>
      <w:r>
        <w:rPr>
          <w:rStyle w:val="27"/>
          <w:rFonts w:hint="eastAsia" w:ascii="宋体" w:hAnsi="宋体" w:eastAsia="宋体" w:cs="宋体"/>
          <w:b w:val="0"/>
          <w:bCs w:val="0"/>
          <w:i w:val="0"/>
          <w:iCs w:val="0"/>
          <w:color w:val="auto"/>
          <w:highlight w:val="none"/>
        </w:rPr>
        <w:t>拟派项目负责人在投标截止日无在其他任何在建合同工程上担任项目负责人的承诺书</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_Toc466366121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93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2"/>
        <w:tabs>
          <w:tab w:val="right" w:leader="dot" w:pos="9060"/>
        </w:tabs>
        <w:rPr>
          <w:rFonts w:hint="eastAsia" w:ascii="宋体" w:hAnsi="宋体" w:cs="宋体"/>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bCs/>
          <w:color w:val="auto"/>
          <w:highlight w:val="none"/>
        </w:rPr>
        <w:instrText xml:space="preserve"> </w:instrText>
      </w:r>
      <w:r>
        <w:rPr>
          <w:rFonts w:hint="eastAsia" w:ascii="宋体" w:hAnsi="宋体" w:cs="宋体"/>
          <w:color w:val="auto"/>
          <w:highlight w:val="none"/>
        </w:rPr>
        <w:instrText xml:space="preserve">HYPERLINK \l "_Toc466366122"</w:instrText>
      </w:r>
      <w:r>
        <w:rPr>
          <w:rStyle w:val="27"/>
          <w:rFonts w:hint="eastAsia" w:ascii="宋体" w:hAnsi="宋体" w:eastAsia="宋体" w:cs="宋体"/>
          <w:b/>
          <w:bCs/>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color w:val="auto"/>
          <w:highlight w:val="none"/>
        </w:rPr>
        <w:t>第五章   工程量清单</w:t>
      </w:r>
      <w:r>
        <w:rPr>
          <w:rFonts w:hint="eastAsia" w:ascii="宋体" w:hAnsi="宋体" w:cs="宋体"/>
          <w:b w:val="0"/>
          <w:bCs w:val="0"/>
          <w:color w:val="auto"/>
          <w:highlight w:val="none"/>
        </w:rPr>
        <w:tab/>
      </w:r>
      <w:r>
        <w:rPr>
          <w:rFonts w:hint="eastAsia" w:ascii="宋体" w:hAnsi="宋体" w:cs="宋体"/>
          <w:b w:val="0"/>
          <w:bCs w:val="0"/>
          <w:color w:val="auto"/>
          <w:highlight w:val="none"/>
        </w:rPr>
        <w:fldChar w:fldCharType="begin"/>
      </w:r>
      <w:r>
        <w:rPr>
          <w:rFonts w:hint="eastAsia" w:ascii="宋体" w:hAnsi="宋体" w:cs="宋体"/>
          <w:b w:val="0"/>
          <w:bCs w:val="0"/>
          <w:color w:val="auto"/>
          <w:highlight w:val="none"/>
        </w:rPr>
        <w:instrText xml:space="preserve"> PAGEREF _Toc466366122 \h </w:instrText>
      </w:r>
      <w:r>
        <w:rPr>
          <w:rFonts w:hint="eastAsia" w:ascii="宋体" w:hAnsi="宋体" w:cs="宋体"/>
          <w:b w:val="0"/>
          <w:bCs w:val="0"/>
          <w:color w:val="auto"/>
          <w:highlight w:val="none"/>
        </w:rPr>
        <w:fldChar w:fldCharType="separate"/>
      </w:r>
      <w:r>
        <w:rPr>
          <w:rFonts w:hint="eastAsia" w:ascii="宋体" w:hAnsi="宋体" w:cs="宋体"/>
          <w:b w:val="0"/>
          <w:bCs w:val="0"/>
          <w:color w:val="auto"/>
          <w:highlight w:val="none"/>
        </w:rPr>
        <w:t>96</w:t>
      </w:r>
      <w:r>
        <w:rPr>
          <w:rFonts w:hint="eastAsia" w:ascii="宋体" w:hAnsi="宋体" w:cs="宋体"/>
          <w:b w:val="0"/>
          <w:bCs w:val="0"/>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"_Toc466366126"</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  二  卷</w:t>
      </w:r>
      <w:bookmarkStart w:id="0" w:name="_Hlt484537028"/>
      <w:bookmarkStart w:id="1" w:name="_Hlt484537027"/>
      <w:r>
        <w:rPr>
          <w:rFonts w:hint="eastAsia" w:ascii="宋体" w:hAnsi="宋体" w:cs="宋体"/>
          <w:color w:val="auto"/>
          <w:highlight w:val="none"/>
        </w:rPr>
        <w:tab/>
      </w:r>
      <w:bookmarkEnd w:id="0"/>
      <w:bookmarkEnd w:id="1"/>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_Toc466366126 \h </w:instrText>
      </w:r>
      <w:r>
        <w:rPr>
          <w:rFonts w:hint="eastAsia" w:ascii="宋体" w:hAnsi="宋体" w:cs="宋体"/>
          <w:color w:val="auto"/>
          <w:highlight w:val="none"/>
        </w:rPr>
        <w:fldChar w:fldCharType="separate"/>
      </w:r>
      <w:r>
        <w:rPr>
          <w:rFonts w:hint="eastAsia" w:ascii="宋体" w:hAnsi="宋体" w:cs="宋体"/>
          <w:color w:val="auto"/>
          <w:highlight w:val="none"/>
        </w:rPr>
        <w:t>104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"_Toc466366127"</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第六章  图纸（另册）</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_Toc466366127 \h </w:instrText>
      </w:r>
      <w:r>
        <w:rPr>
          <w:rFonts w:hint="eastAsia" w:ascii="宋体" w:hAnsi="宋体" w:cs="宋体"/>
          <w:color w:val="auto"/>
          <w:highlight w:val="none"/>
        </w:rPr>
        <w:fldChar w:fldCharType="separate"/>
      </w:r>
      <w:r>
        <w:rPr>
          <w:rFonts w:hint="eastAsia" w:ascii="宋体" w:hAnsi="宋体" w:cs="宋体"/>
          <w:color w:val="auto"/>
          <w:highlight w:val="none"/>
        </w:rPr>
        <w:t>105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"_Toc466366128"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  三  卷</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_Toc466366128 \h </w:instrText>
      </w:r>
      <w:r>
        <w:rPr>
          <w:rFonts w:hint="eastAsia" w:ascii="宋体" w:hAnsi="宋体" w:cs="宋体"/>
          <w:color w:val="auto"/>
          <w:highlight w:val="none"/>
        </w:rPr>
        <w:fldChar w:fldCharType="separate"/>
      </w:r>
      <w:r>
        <w:rPr>
          <w:rFonts w:hint="eastAsia" w:ascii="宋体" w:hAnsi="宋体" w:cs="宋体"/>
          <w:color w:val="auto"/>
          <w:highlight w:val="none"/>
        </w:rPr>
        <w:t>106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"_Toc466366129"</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第七章  技术规范（另册）</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_Toc466366129 \h </w:instrText>
      </w:r>
      <w:r>
        <w:rPr>
          <w:rFonts w:hint="eastAsia" w:ascii="宋体" w:hAnsi="宋体" w:cs="宋体"/>
          <w:color w:val="auto"/>
          <w:highlight w:val="none"/>
        </w:rPr>
        <w:fldChar w:fldCharType="separate"/>
      </w:r>
      <w:r>
        <w:rPr>
          <w:rFonts w:hint="eastAsia" w:ascii="宋体" w:hAnsi="宋体" w:cs="宋体"/>
          <w:color w:val="auto"/>
          <w:highlight w:val="none"/>
        </w:rPr>
        <w:t>107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"_Toc466366130"</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（一）通用技术规范</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_Toc466366130 \h </w:instrText>
      </w:r>
      <w:r>
        <w:rPr>
          <w:rFonts w:hint="eastAsia" w:ascii="宋体" w:hAnsi="宋体" w:cs="宋体"/>
          <w:color w:val="auto"/>
          <w:highlight w:val="none"/>
        </w:rPr>
        <w:fldChar w:fldCharType="separate"/>
      </w:r>
      <w:r>
        <w:rPr>
          <w:rFonts w:hint="eastAsia" w:ascii="宋体" w:hAnsi="宋体" w:cs="宋体"/>
          <w:color w:val="auto"/>
          <w:highlight w:val="none"/>
        </w:rPr>
        <w:t>107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"_Toc466366131"</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（二）项目专用技术规范</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_Toc466366131 \h </w:instrText>
      </w:r>
      <w:r>
        <w:rPr>
          <w:rFonts w:hint="eastAsia" w:ascii="宋体" w:hAnsi="宋体" w:cs="宋体"/>
          <w:color w:val="auto"/>
          <w:highlight w:val="none"/>
        </w:rPr>
        <w:fldChar w:fldCharType="separate"/>
      </w:r>
      <w:r>
        <w:rPr>
          <w:rFonts w:hint="eastAsia" w:ascii="宋体" w:hAnsi="宋体" w:cs="宋体"/>
          <w:color w:val="auto"/>
          <w:highlight w:val="none"/>
        </w:rPr>
        <w:t>108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"_Toc466366132"</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  四  卷</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_Toc466366132 \h </w:instrText>
      </w:r>
      <w:r>
        <w:rPr>
          <w:rFonts w:hint="eastAsia" w:ascii="宋体" w:hAnsi="宋体" w:cs="宋体"/>
          <w:color w:val="auto"/>
          <w:highlight w:val="none"/>
        </w:rPr>
        <w:fldChar w:fldCharType="separate"/>
      </w:r>
      <w:r>
        <w:rPr>
          <w:rFonts w:hint="eastAsia" w:ascii="宋体" w:hAnsi="宋体" w:cs="宋体"/>
          <w:color w:val="auto"/>
          <w:highlight w:val="none"/>
        </w:rPr>
        <w:t>109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2"/>
        <w:tabs>
          <w:tab w:val="right" w:leader="dot" w:pos="9060"/>
        </w:tabs>
        <w:rPr>
          <w:rFonts w:hint="eastAsia" w:ascii="宋体" w:hAnsi="宋体" w:cs="宋体"/>
          <w:b w:val="0"/>
          <w:bCs w:val="0"/>
          <w: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"_Toc466366133"</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bCs w:val="0"/>
          <w:color w:val="auto"/>
          <w:highlight w:val="none"/>
        </w:rPr>
        <w:t>第八章  投标文件格式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_Toc466366133 \h </w:instrText>
      </w:r>
      <w:r>
        <w:rPr>
          <w:rFonts w:hint="eastAsia" w:ascii="宋体" w:hAnsi="宋体" w:cs="宋体"/>
          <w:color w:val="auto"/>
          <w:highlight w:val="none"/>
        </w:rPr>
        <w:fldChar w:fldCharType="separate"/>
      </w:r>
      <w:r>
        <w:rPr>
          <w:rFonts w:hint="eastAsia" w:ascii="宋体" w:hAnsi="宋体" w:cs="宋体"/>
          <w:color w:val="auto"/>
          <w:highlight w:val="none"/>
        </w:rPr>
        <w:t>110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left" w:pos="630"/>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"_Toc466366134"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目</w:t>
      </w:r>
      <w:r>
        <w:rPr>
          <w:rFonts w:hint="eastAsia" w:ascii="宋体" w:hAnsi="宋体" w:cs="宋体"/>
          <w:smallCaps w:val="0"/>
          <w:color w:val="auto"/>
          <w:sz w:val="21"/>
          <w:szCs w:val="22"/>
          <w:highlight w:val="none"/>
        </w:rPr>
        <w:tab/>
      </w:r>
      <w:r>
        <w:rPr>
          <w:rStyle w:val="27"/>
          <w:rFonts w:hint="eastAsia" w:ascii="宋体" w:hAnsi="宋体" w:eastAsia="宋体" w:cs="宋体"/>
          <w:b w:val="0"/>
          <w:bCs w:val="0"/>
          <w:color w:val="auto"/>
          <w:highlight w:val="none"/>
        </w:rPr>
        <w:t>录</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_Toc466366134 \h </w:instrText>
      </w:r>
      <w:r>
        <w:rPr>
          <w:rFonts w:hint="eastAsia" w:ascii="宋体" w:hAnsi="宋体" w:cs="宋体"/>
          <w:color w:val="auto"/>
          <w:highlight w:val="none"/>
        </w:rPr>
        <w:fldChar w:fldCharType="separate"/>
      </w:r>
      <w:r>
        <w:rPr>
          <w:rFonts w:hint="eastAsia" w:ascii="宋体" w:hAnsi="宋体" w:cs="宋体"/>
          <w:color w:val="auto"/>
          <w:highlight w:val="none"/>
        </w:rPr>
        <w:t>112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"_Toc466366135"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一、投标函及投标函附录</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_Toc466366135 \h </w:instrText>
      </w:r>
      <w:r>
        <w:rPr>
          <w:rFonts w:hint="eastAsia" w:ascii="宋体" w:hAnsi="宋体" w:cs="宋体"/>
          <w:color w:val="auto"/>
          <w:highlight w:val="none"/>
        </w:rPr>
        <w:fldChar w:fldCharType="separate"/>
      </w:r>
      <w:r>
        <w:rPr>
          <w:rFonts w:hint="eastAsia" w:ascii="宋体" w:hAnsi="宋体" w:cs="宋体"/>
          <w:color w:val="auto"/>
          <w:highlight w:val="none"/>
        </w:rPr>
        <w:t>114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"_Toc466366136"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（一）投 标 函</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_Toc466366136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114</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"_Toc466366137"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（二）投标函附录</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_Toc466366137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115</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"_Toc466366138"</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二、法定代表人身份证明及授权委托书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_Toc466366138 \h </w:instrText>
      </w:r>
      <w:r>
        <w:rPr>
          <w:rFonts w:hint="eastAsia" w:ascii="宋体" w:hAnsi="宋体" w:cs="宋体"/>
          <w:color w:val="auto"/>
          <w:highlight w:val="none"/>
        </w:rPr>
        <w:fldChar w:fldCharType="separate"/>
      </w:r>
      <w:r>
        <w:rPr>
          <w:rFonts w:hint="eastAsia" w:ascii="宋体" w:hAnsi="宋体" w:cs="宋体"/>
          <w:color w:val="auto"/>
          <w:highlight w:val="none"/>
        </w:rPr>
        <w:t>116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"_Toc466366139"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（一）法定代表人身份证明</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_Toc466366139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116</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"_Toc466366140"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（二）授权委托书</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_Toc466366140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117</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"_Toc466366141"</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三、投标保证金</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_Toc466366141 \h </w:instrText>
      </w:r>
      <w:r>
        <w:rPr>
          <w:rFonts w:hint="eastAsia" w:ascii="宋体" w:hAnsi="宋体" w:cs="宋体"/>
          <w:color w:val="auto"/>
          <w:highlight w:val="none"/>
        </w:rPr>
        <w:fldChar w:fldCharType="separate"/>
      </w:r>
      <w:r>
        <w:rPr>
          <w:rFonts w:hint="eastAsia" w:ascii="宋体" w:hAnsi="宋体" w:cs="宋体"/>
          <w:color w:val="auto"/>
          <w:highlight w:val="none"/>
        </w:rPr>
        <w:t>118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"_Toc466366143"</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lang w:eastAsia="zh-CN"/>
        </w:rPr>
        <w:t>四</w:t>
      </w:r>
      <w:r>
        <w:rPr>
          <w:rStyle w:val="27"/>
          <w:rFonts w:hint="eastAsia" w:ascii="宋体" w:hAnsi="宋体" w:eastAsia="宋体" w:cs="宋体"/>
          <w:b w:val="0"/>
          <w:bCs w:val="0"/>
          <w:color w:val="auto"/>
          <w:highlight w:val="none"/>
        </w:rPr>
        <w:t>、施工组织设计</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_Toc466366143 \h </w:instrText>
      </w:r>
      <w:r>
        <w:rPr>
          <w:rFonts w:hint="eastAsia" w:ascii="宋体" w:hAnsi="宋体" w:cs="宋体"/>
          <w:color w:val="auto"/>
          <w:highlight w:val="none"/>
        </w:rPr>
        <w:fldChar w:fldCharType="separate"/>
      </w:r>
      <w:r>
        <w:rPr>
          <w:rFonts w:hint="eastAsia" w:ascii="宋体" w:hAnsi="宋体" w:cs="宋体"/>
          <w:color w:val="auto"/>
          <w:highlight w:val="none"/>
        </w:rPr>
        <w:t>119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"_Toc466366144"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lang w:eastAsia="zh-CN"/>
        </w:rPr>
        <w:t>五</w:t>
      </w:r>
      <w:r>
        <w:rPr>
          <w:rStyle w:val="27"/>
          <w:rFonts w:hint="eastAsia" w:ascii="宋体" w:hAnsi="宋体" w:eastAsia="宋体" w:cs="宋体"/>
          <w:b w:val="0"/>
          <w:bCs w:val="0"/>
          <w:color w:val="auto"/>
          <w:highlight w:val="none"/>
        </w:rPr>
        <w:t>、项目管理机构</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_Toc466366144 \h </w:instrText>
      </w:r>
      <w:r>
        <w:rPr>
          <w:rFonts w:hint="eastAsia" w:ascii="宋体" w:hAnsi="宋体" w:cs="宋体"/>
          <w:color w:val="auto"/>
          <w:highlight w:val="none"/>
        </w:rPr>
        <w:fldChar w:fldCharType="separate"/>
      </w:r>
      <w:r>
        <w:rPr>
          <w:rFonts w:hint="eastAsia" w:ascii="宋体" w:hAnsi="宋体" w:cs="宋体"/>
          <w:color w:val="auto"/>
          <w:highlight w:val="none"/>
        </w:rPr>
        <w:t>128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color w:val="auto"/>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"_Toc466366144"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lang w:eastAsia="zh-CN"/>
        </w:rPr>
        <w:t>六</w:t>
      </w:r>
      <w:r>
        <w:rPr>
          <w:rStyle w:val="27"/>
          <w:rFonts w:hint="eastAsia" w:ascii="宋体" w:hAnsi="宋体" w:eastAsia="宋体" w:cs="宋体"/>
          <w:b w:val="0"/>
          <w:bCs w:val="0"/>
          <w:color w:val="auto"/>
          <w:highlight w:val="none"/>
        </w:rPr>
        <w:t>、</w:t>
      </w:r>
      <w:r>
        <w:rPr>
          <w:rStyle w:val="27"/>
          <w:rFonts w:hint="eastAsia" w:ascii="宋体" w:hAnsi="宋体" w:eastAsia="宋体" w:cs="宋体"/>
          <w:b w:val="0"/>
          <w:bCs w:val="0"/>
          <w:color w:val="auto"/>
          <w:highlight w:val="none"/>
          <w:lang w:eastAsia="zh-CN"/>
        </w:rPr>
        <w:t>拟分包项目情况表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_Toc466366144 \h </w:instrText>
      </w:r>
      <w:r>
        <w:rPr>
          <w:rFonts w:hint="eastAsia" w:ascii="宋体" w:hAnsi="宋体" w:cs="宋体"/>
          <w:color w:val="auto"/>
          <w:highlight w:val="none"/>
        </w:rPr>
        <w:fldChar w:fldCharType="separate"/>
      </w:r>
      <w:r>
        <w:rPr>
          <w:rFonts w:hint="eastAsia" w:ascii="宋体" w:hAnsi="宋体" w:cs="宋体"/>
          <w:color w:val="auto"/>
          <w:highlight w:val="none"/>
        </w:rPr>
        <w:t>128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"_Toc466366145"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七、资格审查资料</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_Toc466366145 \h </w:instrText>
      </w:r>
      <w:r>
        <w:rPr>
          <w:rFonts w:hint="eastAsia" w:ascii="宋体" w:hAnsi="宋体" w:cs="宋体"/>
          <w:color w:val="auto"/>
          <w:highlight w:val="none"/>
        </w:rPr>
        <w:fldChar w:fldCharType="separate"/>
      </w:r>
      <w:r>
        <w:rPr>
          <w:rFonts w:hint="eastAsia" w:ascii="宋体" w:hAnsi="宋体" w:cs="宋体"/>
          <w:color w:val="auto"/>
          <w:highlight w:val="none"/>
        </w:rPr>
        <w:t>129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"_Toc466366146"</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（一）投标人基本情况表</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_Toc466366146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130</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"_Toc466366147"</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（二）投标人企业组织结构框图</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_Toc466366147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131</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"_Toc466366148"</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（三）拟委任的项目经理和项目总工资历表</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_Toc466366148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132</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"_Toc466366149"</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（四）</w:t>
      </w:r>
      <w:r>
        <w:rPr>
          <w:rStyle w:val="27"/>
          <w:rFonts w:hint="eastAsia" w:ascii="宋体" w:hAnsi="宋体" w:eastAsia="宋体" w:cs="宋体"/>
          <w:b w:val="0"/>
          <w:bCs w:val="0"/>
          <w:i w:val="0"/>
          <w:iCs w:val="0"/>
          <w:color w:val="auto"/>
          <w:highlight w:val="none"/>
          <w:lang w:eastAsia="zh-CN"/>
        </w:rPr>
        <w:t>财务状况表（</w:t>
      </w:r>
      <w:r>
        <w:rPr>
          <w:rStyle w:val="27"/>
          <w:rFonts w:hint="eastAsia" w:ascii="宋体" w:hAnsi="宋体" w:eastAsia="宋体" w:cs="宋体"/>
          <w:b w:val="0"/>
          <w:bCs w:val="0"/>
          <w:i w:val="0"/>
          <w:iCs w:val="0"/>
          <w:color w:val="auto"/>
          <w:highlight w:val="none"/>
        </w:rPr>
        <w:t>银行信贷证明或财务承诺书</w:t>
      </w:r>
      <w:r>
        <w:rPr>
          <w:rStyle w:val="27"/>
          <w:rFonts w:hint="eastAsia" w:ascii="宋体" w:hAnsi="宋体" w:eastAsia="宋体" w:cs="宋体"/>
          <w:b w:val="0"/>
          <w:bCs w:val="0"/>
          <w:i w:val="0"/>
          <w:iCs w:val="0"/>
          <w:color w:val="auto"/>
          <w:highlight w:val="none"/>
          <w:lang w:eastAsia="zh-CN"/>
        </w:rPr>
        <w:t>）</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_Toc466366149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133</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"_Toc466366150"</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（五）正在施工的和新承接的项目情况表</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_Toc466366150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136</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"_Toc466366151"</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（六）</w:t>
      </w:r>
      <w:r>
        <w:rPr>
          <w:rStyle w:val="27"/>
          <w:rFonts w:hint="eastAsia" w:ascii="宋体" w:hAnsi="宋体" w:cs="宋体"/>
          <w:b w:val="0"/>
          <w:bCs w:val="0"/>
          <w:i w:val="0"/>
          <w:iCs w:val="0"/>
          <w:color w:val="auto"/>
          <w:highlight w:val="none"/>
          <w:lang w:eastAsia="zh-CN"/>
        </w:rPr>
        <w:t>2020年1月1日</w:t>
      </w:r>
      <w:r>
        <w:rPr>
          <w:rStyle w:val="27"/>
          <w:rFonts w:hint="eastAsia" w:ascii="宋体" w:hAnsi="宋体" w:eastAsia="宋体" w:cs="宋体"/>
          <w:b w:val="0"/>
          <w:bCs w:val="0"/>
          <w:i w:val="0"/>
          <w:iCs w:val="0"/>
          <w:color w:val="auto"/>
          <w:highlight w:val="none"/>
        </w:rPr>
        <w:t>以来发生的诉讼及仲裁情况</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_Toc466366151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137</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"_Toc466366152"</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（七）诚信系统信息表</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_Toc466366152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138</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8"/>
        <w:tabs>
          <w:tab w:val="right" w:leader="dot" w:pos="9060"/>
        </w:tabs>
        <w:rPr>
          <w:rFonts w:ascii="宋体" w:hAnsi="宋体" w:cs="宋体"/>
          <w:i w:val="0"/>
          <w:iCs w:val="0"/>
          <w:color w:val="auto"/>
          <w:highlight w:val="none"/>
        </w:rPr>
      </w:pPr>
      <w:r>
        <w:rPr>
          <w:rFonts w:hint="eastAsia" w:ascii="宋体" w:hAnsi="宋体" w:cs="宋体"/>
          <w:i w:val="0"/>
          <w:iCs w:val="0"/>
          <w:color w:val="auto"/>
          <w:highlight w:val="none"/>
        </w:rPr>
        <w:t>（八）信用评价结果使用承诺书</w:t>
      </w:r>
      <w:r>
        <w:rPr>
          <w:rFonts w:hint="eastAsia" w:ascii="宋体" w:hAnsi="宋体" w:cs="宋体"/>
          <w:i w:val="0"/>
          <w:iCs w:val="0"/>
          <w:color w:val="auto"/>
          <w:highlight w:val="none"/>
        </w:rPr>
        <w:tab/>
      </w:r>
      <w:r>
        <w:rPr>
          <w:rFonts w:hint="eastAsia" w:ascii="宋体" w:hAnsi="宋体" w:cs="宋体"/>
          <w:i w:val="0"/>
          <w:iCs w:val="0"/>
          <w:color w:val="auto"/>
          <w:highlight w:val="none"/>
        </w:rPr>
        <w:t>143</w:t>
      </w:r>
    </w:p>
    <w:p>
      <w:pPr>
        <w:pStyle w:val="8"/>
        <w:tabs>
          <w:tab w:val="right" w:leader="dot" w:pos="9060"/>
        </w:tabs>
        <w:rPr>
          <w:rFonts w:hint="eastAsia" w:ascii="宋体" w:hAnsi="宋体" w:cs="宋体"/>
          <w:i w:val="0"/>
          <w:iCs w:val="0"/>
          <w:color w:val="auto"/>
          <w:sz w:val="21"/>
          <w:szCs w:val="22"/>
          <w:highlight w:val="none"/>
        </w:rPr>
      </w:pPr>
      <w:r>
        <w:rPr>
          <w:rFonts w:hint="eastAsia" w:ascii="宋体" w:hAnsi="宋体" w:cs="宋体"/>
          <w:i w:val="0"/>
          <w:iCs w:val="0"/>
          <w:color w:val="auto"/>
          <w:highlight w:val="none"/>
        </w:rPr>
        <w:fldChar w:fldCharType="begin"/>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instrText xml:space="preserve">HYPERLINK \l "_Toc466366153"</w:instrText>
      </w:r>
      <w:r>
        <w:rPr>
          <w:rStyle w:val="27"/>
          <w:rFonts w:hint="eastAsia" w:ascii="宋体" w:hAnsi="宋体" w:eastAsia="宋体" w:cs="宋体"/>
          <w:b w:val="0"/>
          <w:bCs w:val="0"/>
          <w:i w:val="0"/>
          <w:iCs w:val="0"/>
          <w:color w:val="auto"/>
          <w:highlight w:val="none"/>
        </w:rPr>
        <w:instrText xml:space="preserve"> </w:instrText>
      </w:r>
      <w:r>
        <w:rPr>
          <w:rFonts w:hint="eastAsia" w:ascii="宋体" w:hAnsi="宋体" w:cs="宋体"/>
          <w:i w:val="0"/>
          <w:iCs w:val="0"/>
          <w:color w:val="auto"/>
          <w:highlight w:val="none"/>
        </w:rPr>
        <w:fldChar w:fldCharType="separate"/>
      </w:r>
      <w:r>
        <w:rPr>
          <w:rStyle w:val="27"/>
          <w:rFonts w:hint="eastAsia" w:ascii="宋体" w:hAnsi="宋体" w:eastAsia="宋体" w:cs="宋体"/>
          <w:b w:val="0"/>
          <w:bCs w:val="0"/>
          <w:i w:val="0"/>
          <w:iCs w:val="0"/>
          <w:color w:val="auto"/>
          <w:highlight w:val="none"/>
        </w:rPr>
        <w:t>（</w:t>
      </w:r>
      <w:r>
        <w:rPr>
          <w:rStyle w:val="27"/>
          <w:rFonts w:hint="eastAsia" w:ascii="宋体" w:hAnsi="宋体" w:eastAsia="宋体" w:cs="宋体"/>
          <w:b w:val="0"/>
          <w:bCs w:val="0"/>
          <w:i w:val="0"/>
          <w:iCs w:val="0"/>
          <w:color w:val="auto"/>
          <w:highlight w:val="none"/>
          <w:lang w:eastAsia="zh-CN"/>
        </w:rPr>
        <w:t>九</w:t>
      </w:r>
      <w:r>
        <w:rPr>
          <w:rStyle w:val="27"/>
          <w:rFonts w:hint="eastAsia" w:ascii="宋体" w:hAnsi="宋体" w:eastAsia="宋体" w:cs="宋体"/>
          <w:b w:val="0"/>
          <w:bCs w:val="0"/>
          <w:i w:val="0"/>
          <w:iCs w:val="0"/>
          <w:color w:val="auto"/>
          <w:highlight w:val="none"/>
        </w:rPr>
        <w:t>）履约行为表</w:t>
      </w:r>
      <w:r>
        <w:rPr>
          <w:rFonts w:hint="eastAsia" w:ascii="宋体" w:hAnsi="宋体" w:cs="宋体"/>
          <w:i w:val="0"/>
          <w:iCs w:val="0"/>
          <w:color w:val="auto"/>
          <w:highlight w:val="none"/>
        </w:rPr>
        <w:tab/>
      </w:r>
      <w:r>
        <w:rPr>
          <w:rFonts w:hint="eastAsia" w:ascii="宋体" w:hAnsi="宋体" w:cs="宋体"/>
          <w:i w:val="0"/>
          <w:iCs w:val="0"/>
          <w:color w:val="auto"/>
          <w:highlight w:val="none"/>
        </w:rPr>
        <w:fldChar w:fldCharType="begin"/>
      </w:r>
      <w:r>
        <w:rPr>
          <w:rFonts w:hint="eastAsia" w:ascii="宋体" w:hAnsi="宋体" w:cs="宋体"/>
          <w:i w:val="0"/>
          <w:iCs w:val="0"/>
          <w:color w:val="auto"/>
          <w:highlight w:val="none"/>
        </w:rPr>
        <w:instrText xml:space="preserve"> PAGEREF _Toc466366153 \h </w:instrText>
      </w:r>
      <w:r>
        <w:rPr>
          <w:rFonts w:hint="eastAsia" w:ascii="宋体" w:hAnsi="宋体" w:cs="宋体"/>
          <w:i w:val="0"/>
          <w:iCs w:val="0"/>
          <w:color w:val="auto"/>
          <w:highlight w:val="none"/>
        </w:rPr>
        <w:fldChar w:fldCharType="separate"/>
      </w:r>
      <w:r>
        <w:rPr>
          <w:rFonts w:hint="eastAsia" w:ascii="宋体" w:hAnsi="宋体" w:cs="宋体"/>
          <w:i w:val="0"/>
          <w:iCs w:val="0"/>
          <w:color w:val="auto"/>
          <w:highlight w:val="none"/>
        </w:rPr>
        <w:t>139</w:t>
      </w:r>
      <w:r>
        <w:rPr>
          <w:rFonts w:hint="eastAsia" w:ascii="宋体" w:hAnsi="宋体" w:cs="宋体"/>
          <w:i w:val="0"/>
          <w:iCs w:val="0"/>
          <w:color w:val="auto"/>
          <w:highlight w:val="none"/>
        </w:rPr>
        <w:fldChar w:fldCharType="end"/>
      </w:r>
      <w:r>
        <w:rPr>
          <w:rFonts w:hint="eastAsia" w:ascii="宋体" w:hAnsi="宋体" w:cs="宋体"/>
          <w:i w:val="0"/>
          <w:iCs w:val="0"/>
          <w:color w:val="auto"/>
          <w:highlight w:val="none"/>
        </w:rPr>
        <w:fldChar w:fldCharType="end"/>
      </w:r>
    </w:p>
    <w:p>
      <w:pPr>
        <w:pStyle w:val="15"/>
        <w:tabs>
          <w:tab w:val="right" w:leader="dot" w:pos="9060"/>
        </w:tabs>
        <w:rPr>
          <w:rFonts w:hint="eastAsia" w:ascii="宋体" w:hAnsi="宋体" w:cs="宋体"/>
          <w:smallCaps w:val="0"/>
          <w:color w:val="auto"/>
          <w:sz w:val="21"/>
          <w:szCs w:val="22"/>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"_Toc466366154"</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八、承  诺  函</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_Toc466366154 \h </w:instrText>
      </w:r>
      <w:r>
        <w:rPr>
          <w:rFonts w:hint="eastAsia" w:ascii="宋体" w:hAnsi="宋体" w:cs="宋体"/>
          <w:color w:val="auto"/>
          <w:highlight w:val="none"/>
        </w:rPr>
        <w:fldChar w:fldCharType="separate"/>
      </w:r>
      <w:r>
        <w:rPr>
          <w:rFonts w:hint="eastAsia" w:ascii="宋体" w:hAnsi="宋体" w:cs="宋体"/>
          <w:color w:val="auto"/>
          <w:highlight w:val="none"/>
        </w:rPr>
        <w:t>141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60"/>
        </w:tabs>
        <w:rPr>
          <w:rFonts w:hint="eastAsia" w:ascii="宋体" w:hAnsi="宋体" w:cs="宋体"/>
          <w:color w:val="auto"/>
          <w:highlight w:val="none"/>
        </w:rPr>
      </w:pPr>
      <w:r>
        <w:rPr>
          <w:rFonts w:hint="eastAsia" w:ascii="宋体" w:hAnsi="宋体" w:cs="宋体"/>
          <w:color w:val="auto"/>
          <w:highlight w:val="none"/>
        </w:rPr>
        <w:fldChar w:fldCharType="begin"/>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instrText xml:space="preserve">HYPERLINK \l "_Toc466366155"</w:instrText>
      </w:r>
      <w:r>
        <w:rPr>
          <w:rStyle w:val="27"/>
          <w:rFonts w:hint="eastAsia" w:ascii="宋体" w:hAnsi="宋体" w:eastAsia="宋体" w:cs="宋体"/>
          <w:b w:val="0"/>
          <w:bCs w:val="0"/>
          <w:color w:val="auto"/>
          <w:highlight w:val="none"/>
        </w:rPr>
        <w:instrText xml:space="preserve"> </w:instrText>
      </w:r>
      <w:r>
        <w:rPr>
          <w:rFonts w:hint="eastAsia" w:ascii="宋体" w:hAnsi="宋体" w:cs="宋体"/>
          <w:color w:val="auto"/>
          <w:highlight w:val="none"/>
        </w:rPr>
        <w:fldChar w:fldCharType="separate"/>
      </w:r>
      <w:r>
        <w:rPr>
          <w:rStyle w:val="27"/>
          <w:rFonts w:hint="eastAsia" w:ascii="宋体" w:hAnsi="宋体" w:eastAsia="宋体" w:cs="宋体"/>
          <w:b w:val="0"/>
          <w:bCs w:val="0"/>
          <w:color w:val="auto"/>
          <w:highlight w:val="none"/>
        </w:rPr>
        <w:t>九、投标人须知前附表规定的其他材料</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_Toc466366155 \h </w:instrText>
      </w:r>
      <w:r>
        <w:rPr>
          <w:rFonts w:hint="eastAsia" w:ascii="宋体" w:hAnsi="宋体" w:cs="宋体"/>
          <w:color w:val="auto"/>
          <w:highlight w:val="none"/>
        </w:rPr>
        <w:fldChar w:fldCharType="separate"/>
      </w:r>
      <w:r>
        <w:rPr>
          <w:rFonts w:hint="eastAsia" w:ascii="宋体" w:hAnsi="宋体" w:cs="宋体"/>
          <w:color w:val="auto"/>
          <w:highlight w:val="none"/>
        </w:rPr>
        <w:t>142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pPr>
        <w:pStyle w:val="15"/>
        <w:tabs>
          <w:tab w:val="right" w:leader="dot" w:pos="9070"/>
        </w:tabs>
        <w:spacing w:line="280" w:lineRule="exact"/>
        <w:rPr>
          <w:rFonts w:ascii="宋体" w:hAnsi="宋体" w:cs="宋体"/>
          <w:color w:val="auto"/>
          <w:highlight w:val="none"/>
        </w:rPr>
      </w:pPr>
      <w:r>
        <w:rPr>
          <w:rFonts w:hint="eastAsia" w:ascii="宋体" w:hAnsi="宋体" w:cs="宋体"/>
          <w:bCs/>
          <w:caps/>
          <w:color w:val="auto"/>
          <w:szCs w:val="21"/>
          <w:highlight w:val="none"/>
        </w:rPr>
        <w:fldChar w:fldCharType="begin"/>
      </w:r>
      <w:r>
        <w:rPr>
          <w:rFonts w:hint="eastAsia" w:ascii="宋体" w:hAnsi="宋体" w:cs="宋体"/>
          <w:bCs/>
          <w:caps/>
          <w:color w:val="auto"/>
          <w:szCs w:val="21"/>
          <w:highlight w:val="none"/>
        </w:rPr>
        <w:instrText xml:space="preserve"> HYPERLINK \l _Toc13326 </w:instrText>
      </w:r>
      <w:r>
        <w:rPr>
          <w:rFonts w:hint="eastAsia" w:ascii="宋体" w:hAnsi="宋体" w:cs="宋体"/>
          <w:bCs/>
          <w:caps/>
          <w:color w:val="auto"/>
          <w:szCs w:val="21"/>
          <w:highlight w:val="none"/>
        </w:rPr>
        <w:fldChar w:fldCharType="separate"/>
      </w:r>
      <w:r>
        <w:rPr>
          <w:rFonts w:hint="eastAsia" w:ascii="宋体" w:hAnsi="宋体" w:cs="宋体"/>
          <w:color w:val="auto"/>
          <w:szCs w:val="36"/>
          <w:highlight w:val="none"/>
        </w:rPr>
        <w:t>第二信封（投标报价和工程量清单）</w:t>
      </w:r>
      <w:r>
        <w:rPr>
          <w:rFonts w:hint="eastAsia" w:ascii="宋体" w:hAnsi="宋体" w:cs="宋体"/>
          <w:color w:val="auto"/>
          <w:highlight w:val="none"/>
        </w:rPr>
        <w:tab/>
      </w:r>
      <w:r>
        <w:rPr>
          <w:rFonts w:hint="eastAsia" w:ascii="宋体" w:hAnsi="宋体" w:cs="宋体"/>
          <w:color w:val="auto"/>
          <w:highlight w:val="none"/>
        </w:rPr>
        <w:t>1</w:t>
      </w:r>
      <w:r>
        <w:rPr>
          <w:rFonts w:hint="eastAsia" w:ascii="宋体" w:hAnsi="宋体" w:cs="宋体"/>
          <w:bCs/>
          <w:caps/>
          <w:color w:val="auto"/>
          <w:szCs w:val="21"/>
          <w:highlight w:val="none"/>
        </w:rPr>
        <w:fldChar w:fldCharType="end"/>
      </w:r>
      <w:r>
        <w:rPr>
          <w:rFonts w:hint="eastAsia" w:ascii="宋体" w:hAnsi="宋体" w:cs="宋体"/>
          <w:bCs/>
          <w:caps/>
          <w:color w:val="auto"/>
          <w:szCs w:val="21"/>
          <w:highlight w:val="none"/>
        </w:rPr>
        <w:t>47</w:t>
      </w:r>
    </w:p>
    <w:p>
      <w:pPr>
        <w:pStyle w:val="15"/>
        <w:tabs>
          <w:tab w:val="right" w:leader="dot" w:pos="9070"/>
        </w:tabs>
        <w:spacing w:line="280" w:lineRule="exact"/>
        <w:rPr>
          <w:rFonts w:ascii="宋体" w:hAnsi="宋体" w:cs="宋体"/>
          <w:color w:val="auto"/>
          <w:highlight w:val="none"/>
        </w:rPr>
      </w:pPr>
      <w:r>
        <w:rPr>
          <w:rFonts w:hint="eastAsia" w:ascii="宋体" w:hAnsi="宋体" w:cs="宋体"/>
          <w:bCs/>
          <w:caps/>
          <w:color w:val="auto"/>
          <w:szCs w:val="21"/>
          <w:highlight w:val="none"/>
        </w:rPr>
        <w:fldChar w:fldCharType="begin"/>
      </w:r>
      <w:r>
        <w:rPr>
          <w:rFonts w:hint="eastAsia" w:ascii="宋体" w:hAnsi="宋体" w:cs="宋体"/>
          <w:bCs/>
          <w:caps/>
          <w:color w:val="auto"/>
          <w:szCs w:val="21"/>
          <w:highlight w:val="none"/>
        </w:rPr>
        <w:instrText xml:space="preserve"> HYPERLINK \l _Toc4593 </w:instrText>
      </w:r>
      <w:r>
        <w:rPr>
          <w:rFonts w:hint="eastAsia" w:ascii="宋体" w:hAnsi="宋体" w:cs="宋体"/>
          <w:bCs/>
          <w:caps/>
          <w:color w:val="auto"/>
          <w:szCs w:val="21"/>
          <w:highlight w:val="none"/>
        </w:rPr>
        <w:fldChar w:fldCharType="separate"/>
      </w:r>
      <w:r>
        <w:rPr>
          <w:rFonts w:hint="eastAsia" w:ascii="宋体" w:hAnsi="宋体" w:cs="宋体"/>
          <w:color w:val="auto"/>
          <w:szCs w:val="36"/>
          <w:highlight w:val="none"/>
        </w:rPr>
        <w:t>目    录</w:t>
      </w:r>
      <w:r>
        <w:rPr>
          <w:rFonts w:hint="eastAsia" w:ascii="宋体" w:hAnsi="宋体" w:cs="宋体"/>
          <w:color w:val="auto"/>
          <w:highlight w:val="none"/>
        </w:rPr>
        <w:tab/>
      </w:r>
      <w:r>
        <w:rPr>
          <w:rFonts w:hint="eastAsia" w:ascii="宋体" w:hAnsi="宋体" w:cs="宋体"/>
          <w:color w:val="auto"/>
          <w:highlight w:val="none"/>
        </w:rPr>
        <w:t>1</w:t>
      </w:r>
      <w:r>
        <w:rPr>
          <w:rFonts w:hint="eastAsia" w:ascii="宋体" w:hAnsi="宋体" w:cs="宋体"/>
          <w:bCs/>
          <w:caps/>
          <w:color w:val="auto"/>
          <w:szCs w:val="21"/>
          <w:highlight w:val="none"/>
        </w:rPr>
        <w:fldChar w:fldCharType="end"/>
      </w:r>
      <w:r>
        <w:rPr>
          <w:rFonts w:hint="eastAsia" w:ascii="宋体" w:hAnsi="宋体" w:cs="宋体"/>
          <w:bCs/>
          <w:caps/>
          <w:color w:val="auto"/>
          <w:szCs w:val="21"/>
          <w:highlight w:val="none"/>
        </w:rPr>
        <w:t>48</w:t>
      </w:r>
    </w:p>
    <w:p>
      <w:pPr>
        <w:pStyle w:val="15"/>
        <w:tabs>
          <w:tab w:val="right" w:leader="dot" w:pos="9070"/>
        </w:tabs>
        <w:spacing w:line="280" w:lineRule="exact"/>
        <w:rPr>
          <w:rFonts w:ascii="宋体" w:hAnsi="宋体" w:cs="宋体"/>
          <w:color w:val="auto"/>
          <w:highlight w:val="none"/>
        </w:rPr>
      </w:pPr>
      <w:r>
        <w:rPr>
          <w:rFonts w:hint="eastAsia" w:ascii="宋体" w:hAnsi="宋体" w:cs="宋体"/>
          <w:bCs/>
          <w:caps/>
          <w:color w:val="auto"/>
          <w:szCs w:val="21"/>
          <w:highlight w:val="none"/>
        </w:rPr>
        <w:fldChar w:fldCharType="begin"/>
      </w:r>
      <w:r>
        <w:rPr>
          <w:rFonts w:hint="eastAsia" w:ascii="宋体" w:hAnsi="宋体" w:cs="宋体"/>
          <w:bCs/>
          <w:caps/>
          <w:color w:val="auto"/>
          <w:szCs w:val="21"/>
          <w:highlight w:val="none"/>
        </w:rPr>
        <w:instrText xml:space="preserve"> HYPERLINK \l _Toc22084 </w:instrText>
      </w:r>
      <w:r>
        <w:rPr>
          <w:rFonts w:hint="eastAsia" w:ascii="宋体" w:hAnsi="宋体" w:cs="宋体"/>
          <w:bCs/>
          <w:caps/>
          <w:color w:val="auto"/>
          <w:szCs w:val="21"/>
          <w:highlight w:val="none"/>
        </w:rPr>
        <w:fldChar w:fldCharType="separate"/>
      </w:r>
      <w:r>
        <w:rPr>
          <w:rFonts w:hint="eastAsia" w:ascii="宋体" w:hAnsi="宋体" w:cs="宋体"/>
          <w:color w:val="auto"/>
          <w:highlight w:val="none"/>
        </w:rPr>
        <w:t>一、报价函</w:t>
      </w:r>
      <w:r>
        <w:rPr>
          <w:rFonts w:hint="eastAsia" w:ascii="宋体" w:hAnsi="宋体" w:cs="宋体"/>
          <w:color w:val="auto"/>
          <w:highlight w:val="none"/>
        </w:rPr>
        <w:tab/>
      </w:r>
      <w:r>
        <w:rPr>
          <w:rFonts w:hint="eastAsia" w:ascii="宋体" w:hAnsi="宋体" w:cs="宋体"/>
          <w:color w:val="auto"/>
          <w:highlight w:val="none"/>
        </w:rPr>
        <w:t>1</w:t>
      </w:r>
      <w:r>
        <w:rPr>
          <w:rFonts w:hint="eastAsia" w:ascii="宋体" w:hAnsi="宋体" w:cs="宋体"/>
          <w:bCs/>
          <w:caps/>
          <w:color w:val="auto"/>
          <w:szCs w:val="21"/>
          <w:highlight w:val="none"/>
        </w:rPr>
        <w:fldChar w:fldCharType="end"/>
      </w:r>
      <w:r>
        <w:rPr>
          <w:rFonts w:hint="eastAsia" w:ascii="宋体" w:hAnsi="宋体" w:cs="宋体"/>
          <w:bCs/>
          <w:caps/>
          <w:color w:val="auto"/>
          <w:szCs w:val="21"/>
          <w:highlight w:val="none"/>
        </w:rPr>
        <w:t>49</w:t>
      </w:r>
    </w:p>
    <w:p>
      <w:pPr>
        <w:pStyle w:val="15"/>
        <w:tabs>
          <w:tab w:val="right" w:leader="dot" w:pos="9070"/>
        </w:tabs>
        <w:spacing w:line="280" w:lineRule="exact"/>
        <w:rPr>
          <w:rFonts w:ascii="宋体" w:hAnsi="宋体" w:cs="宋体"/>
          <w:bCs/>
          <w:caps/>
          <w:color w:val="auto"/>
          <w:szCs w:val="21"/>
          <w:highlight w:val="none"/>
        </w:rPr>
      </w:pPr>
      <w:r>
        <w:rPr>
          <w:rFonts w:hint="eastAsia" w:ascii="宋体" w:hAnsi="宋体" w:cs="宋体"/>
          <w:bCs/>
          <w:caps/>
          <w:color w:val="auto"/>
          <w:szCs w:val="21"/>
          <w:highlight w:val="none"/>
        </w:rPr>
        <w:fldChar w:fldCharType="begin"/>
      </w:r>
      <w:r>
        <w:rPr>
          <w:rFonts w:hint="eastAsia" w:ascii="宋体" w:hAnsi="宋体" w:cs="宋体"/>
          <w:bCs/>
          <w:caps/>
          <w:color w:val="auto"/>
          <w:szCs w:val="21"/>
          <w:highlight w:val="none"/>
        </w:rPr>
        <w:instrText xml:space="preserve"> HYPERLINK \l _Toc31751 </w:instrText>
      </w:r>
      <w:r>
        <w:rPr>
          <w:rFonts w:hint="eastAsia" w:ascii="宋体" w:hAnsi="宋体" w:cs="宋体"/>
          <w:bCs/>
          <w:caps/>
          <w:color w:val="auto"/>
          <w:szCs w:val="21"/>
          <w:highlight w:val="none"/>
        </w:rPr>
        <w:fldChar w:fldCharType="separate"/>
      </w:r>
      <w:r>
        <w:rPr>
          <w:rFonts w:hint="eastAsia" w:ascii="宋体" w:hAnsi="宋体" w:cs="宋体"/>
          <w:color w:val="auto"/>
          <w:highlight w:val="none"/>
        </w:rPr>
        <w:t>二、已标价工程量清单</w:t>
      </w:r>
      <w:r>
        <w:rPr>
          <w:rFonts w:hint="eastAsia" w:ascii="宋体" w:hAnsi="宋体" w:cs="宋体"/>
          <w:color w:val="auto"/>
          <w:highlight w:val="none"/>
        </w:rPr>
        <w:tab/>
      </w:r>
      <w:r>
        <w:rPr>
          <w:rFonts w:hint="eastAsia" w:ascii="宋体" w:hAnsi="宋体" w:cs="宋体"/>
          <w:color w:val="auto"/>
          <w:highlight w:val="none"/>
        </w:rPr>
        <w:t>1</w:t>
      </w:r>
      <w:r>
        <w:rPr>
          <w:rFonts w:hint="eastAsia" w:ascii="宋体" w:hAnsi="宋体" w:cs="宋体"/>
          <w:bCs/>
          <w:caps/>
          <w:color w:val="auto"/>
          <w:szCs w:val="21"/>
          <w:highlight w:val="none"/>
        </w:rPr>
        <w:fldChar w:fldCharType="end"/>
      </w:r>
      <w:r>
        <w:rPr>
          <w:rFonts w:hint="eastAsia" w:ascii="宋体" w:hAnsi="宋体" w:cs="宋体"/>
          <w:bCs/>
          <w:caps/>
          <w:color w:val="auto"/>
          <w:szCs w:val="21"/>
          <w:highlight w:val="none"/>
        </w:rPr>
        <w:t>50</w:t>
      </w:r>
    </w:p>
    <w:p>
      <w:pPr>
        <w:pStyle w:val="15"/>
        <w:tabs>
          <w:tab w:val="right" w:leader="dot" w:pos="9070"/>
        </w:tabs>
        <w:spacing w:line="280" w:lineRule="exact"/>
        <w:rPr>
          <w:rFonts w:ascii="宋体" w:hAnsi="宋体" w:cs="宋体"/>
          <w:bCs/>
          <w:caps/>
          <w:color w:val="auto"/>
          <w:szCs w:val="21"/>
          <w:highlight w:val="none"/>
        </w:rPr>
      </w:pPr>
      <w:r>
        <w:rPr>
          <w:rFonts w:hint="eastAsia" w:ascii="宋体" w:hAnsi="宋体" w:cs="宋体"/>
          <w:bCs/>
          <w:caps/>
          <w:color w:val="auto"/>
          <w:szCs w:val="21"/>
          <w:highlight w:val="none"/>
        </w:rPr>
        <w:fldChar w:fldCharType="begin"/>
      </w:r>
      <w:r>
        <w:rPr>
          <w:rFonts w:hint="eastAsia" w:ascii="宋体" w:hAnsi="宋体" w:cs="宋体"/>
          <w:bCs/>
          <w:caps/>
          <w:color w:val="auto"/>
          <w:szCs w:val="21"/>
          <w:highlight w:val="none"/>
        </w:rPr>
        <w:instrText xml:space="preserve"> HYPERLINK \l _Toc31751 </w:instrText>
      </w:r>
      <w:r>
        <w:rPr>
          <w:rFonts w:hint="eastAsia" w:ascii="宋体" w:hAnsi="宋体" w:cs="宋体"/>
          <w:bCs/>
          <w:caps/>
          <w:color w:val="auto"/>
          <w:szCs w:val="21"/>
          <w:highlight w:val="none"/>
        </w:rPr>
        <w:fldChar w:fldCharType="separate"/>
      </w:r>
      <w:r>
        <w:rPr>
          <w:rFonts w:hint="eastAsia" w:ascii="宋体" w:hAnsi="宋体" w:cs="宋体"/>
          <w:color w:val="auto"/>
          <w:highlight w:val="none"/>
        </w:rPr>
        <w:t>三、合同用款估算表</w:t>
      </w:r>
      <w:r>
        <w:rPr>
          <w:rFonts w:hint="eastAsia" w:ascii="宋体" w:hAnsi="宋体" w:cs="宋体"/>
          <w:color w:val="auto"/>
          <w:highlight w:val="none"/>
        </w:rPr>
        <w:tab/>
      </w:r>
      <w:r>
        <w:rPr>
          <w:rFonts w:hint="eastAsia" w:ascii="宋体" w:hAnsi="宋体" w:cs="宋体"/>
          <w:color w:val="auto"/>
          <w:highlight w:val="none"/>
        </w:rPr>
        <w:t>1</w:t>
      </w:r>
      <w:r>
        <w:rPr>
          <w:rFonts w:hint="eastAsia" w:ascii="宋体" w:hAnsi="宋体" w:cs="宋体"/>
          <w:bCs/>
          <w:caps/>
          <w:color w:val="auto"/>
          <w:szCs w:val="21"/>
          <w:highlight w:val="none"/>
        </w:rPr>
        <w:fldChar w:fldCharType="end"/>
      </w:r>
      <w:r>
        <w:rPr>
          <w:rFonts w:hint="eastAsia" w:ascii="宋体" w:hAnsi="宋体" w:cs="宋体"/>
          <w:bCs/>
          <w:caps/>
          <w:color w:val="auto"/>
          <w:szCs w:val="21"/>
          <w:highlight w:val="none"/>
        </w:rPr>
        <w:t>51</w:t>
      </w:r>
    </w:p>
    <w:p>
      <w:pPr>
        <w:ind w:firstLine="200" w:firstLineChars="100"/>
        <w:rPr>
          <w:rFonts w:hint="eastAsia" w:ascii="宋体" w:hAnsi="宋体" w:cs="宋体"/>
          <w:smallCaps/>
          <w:color w:val="auto"/>
          <w:sz w:val="20"/>
          <w:highlight w:val="none"/>
        </w:rPr>
      </w:pPr>
    </w:p>
    <w:p>
      <w:pPr>
        <w:rPr>
          <w:rFonts w:hint="eastAsia"/>
          <w:color w:val="auto"/>
          <w:highlight w:val="none"/>
        </w:rPr>
      </w:pPr>
    </w:p>
    <w:p>
      <w:pPr>
        <w:tabs>
          <w:tab w:val="right" w:leader="dot" w:pos="9180"/>
        </w:tabs>
        <w:autoSpaceDE w:val="0"/>
        <w:spacing w:line="320" w:lineRule="exact"/>
        <w:ind w:left="178" w:leftChars="85"/>
        <w:jc w:val="center"/>
        <w:textAlignment w:val="baseline"/>
        <w:rPr>
          <w:rFonts w:ascii="宋体" w:hAnsi="宋体"/>
          <w:color w:val="auto"/>
          <w:highlight w:val="none"/>
        </w:rPr>
      </w:pPr>
      <w:r>
        <w:rPr>
          <w:rFonts w:ascii="宋体" w:hAnsi="宋体"/>
          <w:bCs/>
          <w:caps/>
          <w:color w:val="auto"/>
          <w:szCs w:val="21"/>
          <w:highlight w:val="none"/>
        </w:rPr>
        <w:fldChar w:fldCharType="end"/>
      </w:r>
      <w:r>
        <w:rPr>
          <w:rFonts w:ascii="宋体" w:hAnsi="宋体"/>
          <w:color w:val="auto"/>
          <w:highlight w:val="none"/>
        </w:rPr>
        <w:br w:type="page"/>
      </w:r>
    </w:p>
    <w:p>
      <w:pPr>
        <w:spacing w:line="360" w:lineRule="auto"/>
        <w:rPr>
          <w:rFonts w:ascii="宋体" w:hAnsi="宋体"/>
          <w:color w:val="auto"/>
          <w:highlight w:val="none"/>
        </w:rPr>
      </w:pPr>
    </w:p>
    <w:p>
      <w:pPr>
        <w:spacing w:line="360" w:lineRule="auto"/>
        <w:rPr>
          <w:rFonts w:ascii="宋体" w:hAnsi="宋体"/>
          <w:color w:val="auto"/>
          <w:highlight w:val="none"/>
        </w:rPr>
      </w:pPr>
    </w:p>
    <w:p>
      <w:pPr>
        <w:spacing w:line="360" w:lineRule="auto"/>
        <w:rPr>
          <w:rFonts w:ascii="宋体" w:hAnsi="宋体"/>
          <w:color w:val="auto"/>
          <w:highlight w:val="none"/>
        </w:rPr>
      </w:pPr>
    </w:p>
    <w:p>
      <w:pPr>
        <w:spacing w:line="360" w:lineRule="auto"/>
        <w:rPr>
          <w:rFonts w:ascii="宋体" w:hAnsi="宋体"/>
          <w:color w:val="auto"/>
          <w:highlight w:val="none"/>
        </w:rPr>
      </w:pPr>
    </w:p>
    <w:p>
      <w:pPr>
        <w:spacing w:line="360" w:lineRule="auto"/>
        <w:rPr>
          <w:rFonts w:ascii="宋体" w:hAnsi="宋体"/>
          <w:color w:val="auto"/>
          <w:highlight w:val="none"/>
        </w:rPr>
      </w:pPr>
    </w:p>
    <w:p>
      <w:pPr>
        <w:spacing w:line="360" w:lineRule="auto"/>
        <w:rPr>
          <w:rFonts w:ascii="宋体" w:hAnsi="宋体"/>
          <w:color w:val="auto"/>
          <w:highlight w:val="none"/>
        </w:rPr>
      </w:pPr>
    </w:p>
    <w:p>
      <w:pPr>
        <w:spacing w:line="360" w:lineRule="auto"/>
        <w:rPr>
          <w:rFonts w:ascii="宋体" w:hAnsi="宋体"/>
          <w:color w:val="auto"/>
          <w:highlight w:val="none"/>
        </w:rPr>
      </w:pPr>
    </w:p>
    <w:p>
      <w:pPr>
        <w:spacing w:line="360" w:lineRule="auto"/>
        <w:rPr>
          <w:rFonts w:ascii="宋体" w:hAnsi="宋体"/>
          <w:color w:val="auto"/>
          <w:highlight w:val="none"/>
        </w:rPr>
      </w:pPr>
    </w:p>
    <w:p>
      <w:pPr>
        <w:jc w:val="center"/>
        <w:textAlignment w:val="baseline"/>
        <w:outlineLvl w:val="0"/>
        <w:rPr>
          <w:rFonts w:ascii="宋体" w:hAnsi="宋体"/>
          <w:b/>
          <w:color w:val="auto"/>
          <w:sz w:val="72"/>
          <w:highlight w:val="none"/>
        </w:rPr>
      </w:pPr>
      <w:bookmarkStart w:id="2" w:name="_Toc239671832"/>
      <w:bookmarkStart w:id="3" w:name="_Toc466365722"/>
      <w:bookmarkStart w:id="4" w:name="_Toc30687"/>
      <w:bookmarkStart w:id="5" w:name="_Toc17308"/>
      <w:bookmarkStart w:id="6" w:name="_Toc1414"/>
      <w:bookmarkStart w:id="7" w:name="_Toc314163158"/>
      <w:bookmarkStart w:id="8" w:name="_Toc14560"/>
      <w:bookmarkStart w:id="9" w:name="_Toc29758"/>
      <w:r>
        <w:rPr>
          <w:rFonts w:hint="eastAsia" w:ascii="宋体" w:hAnsi="宋体"/>
          <w:b/>
          <w:color w:val="auto"/>
          <w:sz w:val="72"/>
          <w:highlight w:val="none"/>
        </w:rPr>
        <w:t>第  一  卷</w:t>
      </w:r>
      <w:bookmarkEnd w:id="2"/>
      <w:bookmarkEnd w:id="3"/>
      <w:bookmarkEnd w:id="4"/>
      <w:bookmarkEnd w:id="5"/>
      <w:bookmarkEnd w:id="6"/>
      <w:bookmarkEnd w:id="7"/>
      <w:bookmarkEnd w:id="8"/>
      <w:bookmarkEnd w:id="9"/>
    </w:p>
    <w:p>
      <w:pPr>
        <w:spacing w:after="240" w:afterLines="100"/>
        <w:jc w:val="center"/>
        <w:outlineLvl w:val="0"/>
        <w:rPr>
          <w:rFonts w:hint="eastAsia" w:ascii="宋体" w:hAnsi="宋体"/>
          <w:color w:val="auto"/>
          <w:sz w:val="36"/>
          <w:szCs w:val="36"/>
          <w:highlight w:val="none"/>
        </w:rPr>
      </w:pPr>
      <w:r>
        <w:rPr>
          <w:rFonts w:ascii="宋体" w:hAnsi="宋体"/>
          <w:color w:val="auto"/>
          <w:sz w:val="72"/>
          <w:highlight w:val="none"/>
        </w:rPr>
        <w:br w:type="page"/>
      </w:r>
      <w:bookmarkStart w:id="10" w:name="_Toc24000"/>
      <w:bookmarkStart w:id="11" w:name="_Toc8168"/>
      <w:bookmarkStart w:id="12" w:name="_Toc6366"/>
      <w:bookmarkStart w:id="13" w:name="_Toc11738"/>
      <w:bookmarkStart w:id="14" w:name="_Toc239671833"/>
      <w:bookmarkStart w:id="15" w:name="_Toc28938"/>
      <w:bookmarkStart w:id="16" w:name="_Toc466365723"/>
      <w:r>
        <w:rPr>
          <w:rFonts w:hint="eastAsia" w:ascii="宋体" w:hAnsi="宋体"/>
          <w:b/>
          <w:color w:val="auto"/>
          <w:sz w:val="36"/>
          <w:szCs w:val="36"/>
          <w:highlight w:val="none"/>
        </w:rPr>
        <w:t xml:space="preserve">第一章  </w:t>
      </w:r>
      <w:bookmarkEnd w:id="10"/>
      <w:bookmarkEnd w:id="11"/>
      <w:bookmarkEnd w:id="12"/>
      <w:bookmarkEnd w:id="13"/>
      <w:bookmarkEnd w:id="14"/>
      <w:bookmarkEnd w:id="15"/>
      <w:r>
        <w:rPr>
          <w:rFonts w:hint="eastAsia" w:ascii="宋体" w:hAnsi="宋体"/>
          <w:b/>
          <w:color w:val="auto"/>
          <w:sz w:val="36"/>
          <w:szCs w:val="36"/>
          <w:highlight w:val="none"/>
        </w:rPr>
        <w:t>招标公告</w:t>
      </w:r>
      <w:bookmarkEnd w:id="16"/>
    </w:p>
    <w:p>
      <w:pPr>
        <w:snapToGrid w:val="0"/>
        <w:jc w:val="center"/>
        <w:rPr>
          <w:rFonts w:hint="eastAsia" w:ascii="宋体" w:hAnsi="宋体"/>
          <w:b/>
          <w:color w:val="auto"/>
          <w:sz w:val="30"/>
          <w:highlight w:val="none"/>
        </w:rPr>
      </w:pPr>
      <w:r>
        <w:rPr>
          <w:rFonts w:hint="eastAsia" w:ascii="宋体" w:hAnsi="宋体"/>
          <w:b/>
          <w:color w:val="auto"/>
          <w:sz w:val="30"/>
          <w:highlight w:val="none"/>
          <w:lang w:eastAsia="zh-CN"/>
        </w:rPr>
        <w:t>南麂镇新码头自然村到国姓岙自然村道路提升工程</w:t>
      </w:r>
      <w:r>
        <w:rPr>
          <w:rFonts w:hint="eastAsia" w:ascii="宋体" w:hAnsi="宋体"/>
          <w:b/>
          <w:color w:val="auto"/>
          <w:sz w:val="30"/>
          <w:szCs w:val="30"/>
          <w:highlight w:val="none"/>
        </w:rPr>
        <w:t>施工</w:t>
      </w:r>
      <w:r>
        <w:rPr>
          <w:rFonts w:hint="eastAsia" w:ascii="宋体" w:hAnsi="宋体"/>
          <w:b/>
          <w:color w:val="auto"/>
          <w:sz w:val="30"/>
          <w:highlight w:val="none"/>
        </w:rPr>
        <w:t>招标公告</w:t>
      </w:r>
      <w:bookmarkStart w:id="17" w:name="_Toc466365724"/>
      <w:bookmarkStart w:id="18" w:name="_Toc394304074"/>
    </w:p>
    <w:bookmarkEnd w:id="17"/>
    <w:bookmarkEnd w:id="18"/>
    <w:p>
      <w:pPr>
        <w:spacing w:line="400" w:lineRule="exact"/>
        <w:jc w:val="left"/>
        <w:rPr>
          <w:rFonts w:hint="eastAsia"/>
          <w:color w:val="auto"/>
          <w:szCs w:val="22"/>
          <w:highlight w:val="none"/>
          <w:lang w:val="en-US" w:eastAsia="zh-CN"/>
        </w:rPr>
      </w:pPr>
      <w:bookmarkStart w:id="19" w:name="_Toc286830187"/>
      <w:bookmarkStart w:id="20" w:name="_Toc286826574"/>
      <w:bookmarkStart w:id="21" w:name="_Toc49286832"/>
      <w:bookmarkStart w:id="22" w:name="_Toc41753291"/>
      <w:bookmarkStart w:id="23" w:name="_Toc481100375"/>
      <w:bookmarkStart w:id="24" w:name="_Toc10197816"/>
      <w:bookmarkStart w:id="25" w:name="_Toc97128045"/>
      <w:bookmarkStart w:id="26" w:name="_Toc286827071"/>
      <w:bookmarkStart w:id="27" w:name="_Toc49282339"/>
      <w:bookmarkStart w:id="28" w:name="_Toc440358119"/>
      <w:bookmarkStart w:id="29" w:name="_Toc394304076"/>
      <w:bookmarkStart w:id="30" w:name="_Toc256336400"/>
      <w:r>
        <w:rPr>
          <w:rFonts w:hint="eastAsia" w:ascii="黑体" w:eastAsia="黑体"/>
          <w:bCs/>
          <w:color w:val="auto"/>
          <w:sz w:val="24"/>
          <w:highlight w:val="none"/>
        </w:rPr>
        <w:t>1．招</w:t>
      </w:r>
      <w:r>
        <w:rPr>
          <w:rFonts w:hint="eastAsia" w:ascii="黑体" w:eastAsia="黑体"/>
          <w:bCs/>
          <w:color w:val="auto"/>
          <w:sz w:val="24"/>
          <w:highlight w:val="none"/>
          <w:lang w:val="en-US" w:eastAsia="zh-CN"/>
        </w:rPr>
        <w:t>标条件</w:t>
      </w:r>
      <w:bookmarkEnd w:id="19"/>
      <w:bookmarkEnd w:id="20"/>
      <w:bookmarkEnd w:id="21"/>
      <w:bookmarkEnd w:id="22"/>
      <w:bookmarkEnd w:id="23"/>
      <w:bookmarkEnd w:id="24"/>
      <w:bookmarkEnd w:id="25"/>
      <w:bookmarkEnd w:id="26"/>
      <w:bookmarkEnd w:id="27"/>
      <w:bookmarkEnd w:id="28"/>
    </w:p>
    <w:p>
      <w:pPr>
        <w:spacing w:line="400" w:lineRule="exact"/>
        <w:ind w:firstLine="420" w:firstLineChars="200"/>
        <w:jc w:val="left"/>
        <w:rPr>
          <w:rFonts w:hint="eastAsia" w:ascii="宋体" w:hAnsi="宋体"/>
          <w:color w:val="auto"/>
          <w:szCs w:val="21"/>
          <w:highlight w:val="none"/>
        </w:rPr>
      </w:pPr>
      <w:r>
        <w:rPr>
          <w:rFonts w:hint="eastAsia"/>
          <w:color w:val="auto"/>
          <w:szCs w:val="22"/>
          <w:highlight w:val="none"/>
          <w:lang w:val="en-US" w:eastAsia="zh-CN"/>
        </w:rPr>
        <w:t>本招标项目南麂镇新码头自然村到国姓岙自然村道路提升工程（下称“本项目”）已由平发改投资【2023】22号批准建设，招标人为平阳县南麂镇人民政府，建设资金来源：上级补助及自筹，项目已具备招标条件，现对该项目的施工进行公开招标，实行资格后审</w:t>
      </w:r>
      <w:r>
        <w:rPr>
          <w:rFonts w:hint="eastAsia" w:ascii="宋体" w:hAnsi="宋体"/>
          <w:color w:val="auto"/>
          <w:szCs w:val="21"/>
          <w:highlight w:val="none"/>
        </w:rPr>
        <w:t>。</w:t>
      </w:r>
    </w:p>
    <w:p>
      <w:pPr>
        <w:jc w:val="left"/>
        <w:outlineLvl w:val="1"/>
        <w:rPr>
          <w:rFonts w:hint="eastAsia" w:ascii="黑体" w:eastAsia="黑体"/>
          <w:bCs/>
          <w:color w:val="auto"/>
          <w:sz w:val="24"/>
          <w:highlight w:val="none"/>
        </w:rPr>
      </w:pPr>
      <w:bookmarkStart w:id="31" w:name="_Toc49282340"/>
      <w:bookmarkStart w:id="32" w:name="_Toc41753292"/>
      <w:bookmarkStart w:id="33" w:name="_Toc10197817"/>
      <w:bookmarkStart w:id="34" w:name="_Toc97128046"/>
      <w:bookmarkStart w:id="35" w:name="_Toc440358120"/>
      <w:bookmarkStart w:id="36" w:name="_Toc49286833"/>
      <w:bookmarkStart w:id="37" w:name="_Toc481100376"/>
      <w:r>
        <w:rPr>
          <w:rFonts w:hint="eastAsia" w:ascii="黑体" w:eastAsia="黑体"/>
          <w:bCs/>
          <w:color w:val="auto"/>
          <w:sz w:val="24"/>
          <w:highlight w:val="none"/>
        </w:rPr>
        <w:t>2．项目概况与招标范围</w:t>
      </w:r>
      <w:bookmarkEnd w:id="31"/>
      <w:bookmarkEnd w:id="32"/>
      <w:bookmarkEnd w:id="33"/>
      <w:bookmarkEnd w:id="34"/>
      <w:bookmarkEnd w:id="35"/>
      <w:bookmarkEnd w:id="36"/>
      <w:bookmarkEnd w:id="37"/>
    </w:p>
    <w:p>
      <w:pPr>
        <w:spacing w:line="400" w:lineRule="exact"/>
        <w:ind w:firstLine="420" w:firstLineChars="200"/>
        <w:jc w:val="left"/>
        <w:rPr>
          <w:rFonts w:hint="default"/>
          <w:color w:val="auto"/>
          <w:szCs w:val="22"/>
          <w:highlight w:val="none"/>
          <w:lang w:val="en-US" w:eastAsia="zh-CN"/>
        </w:rPr>
      </w:pPr>
      <w:r>
        <w:rPr>
          <w:rFonts w:hint="eastAsia" w:ascii="宋体" w:hAnsi="宋体"/>
          <w:color w:val="auto"/>
          <w:szCs w:val="21"/>
          <w:highlight w:val="none"/>
        </w:rPr>
        <w:t>2.1项目概况：</w:t>
      </w:r>
      <w:r>
        <w:rPr>
          <w:rFonts w:hint="eastAsia"/>
          <w:color w:val="auto"/>
          <w:szCs w:val="22"/>
          <w:highlight w:val="none"/>
          <w:lang w:val="en-US" w:eastAsia="zh-CN"/>
        </w:rPr>
        <w:t>本</w:t>
      </w:r>
      <w:r>
        <w:rPr>
          <w:rFonts w:hint="eastAsia"/>
          <w:color w:val="auto"/>
          <w:szCs w:val="22"/>
          <w:highlight w:val="none"/>
        </w:rPr>
        <w:t>工程位于</w:t>
      </w:r>
      <w:r>
        <w:rPr>
          <w:rFonts w:hint="eastAsia"/>
          <w:color w:val="auto"/>
          <w:szCs w:val="22"/>
          <w:highlight w:val="none"/>
          <w:lang w:val="en-US" w:eastAsia="zh-CN"/>
        </w:rPr>
        <w:t>平阳县南麂镇，起始于新码头村南测附近，沿国姓岙南部海岸山体前行，终止于国姓岙自然村</w:t>
      </w:r>
      <w:r>
        <w:rPr>
          <w:rFonts w:hint="eastAsia"/>
          <w:color w:val="auto"/>
          <w:szCs w:val="22"/>
          <w:highlight w:val="none"/>
        </w:rPr>
        <w:t>，</w:t>
      </w:r>
      <w:r>
        <w:rPr>
          <w:rFonts w:hint="eastAsia"/>
          <w:color w:val="auto"/>
          <w:szCs w:val="22"/>
          <w:highlight w:val="none"/>
          <w:lang w:val="en-US" w:eastAsia="zh-CN"/>
        </w:rPr>
        <w:t>道路工程面积为4354平方米，改造路线全长1449.284米，改造后路基宽3米，设计速度5千米/时，道路等级为人行道路及观光电瓶车道，路面结构为水泥混凝土路面，涉及5座涵洞改造</w:t>
      </w:r>
      <w:r>
        <w:rPr>
          <w:rFonts w:hint="eastAsia" w:ascii="宋体" w:hAnsi="宋体" w:cs="宋体"/>
          <w:color w:val="auto"/>
          <w:sz w:val="21"/>
          <w:szCs w:val="21"/>
          <w:highlight w:val="none"/>
          <w:lang w:val="en-US" w:eastAsia="zh-CN"/>
        </w:rPr>
        <w:t>。</w:t>
      </w:r>
    </w:p>
    <w:p>
      <w:pPr>
        <w:spacing w:line="400" w:lineRule="exact"/>
        <w:ind w:firstLine="420" w:firstLineChars="200"/>
        <w:jc w:val="left"/>
        <w:rPr>
          <w:rFonts w:hint="eastAsia"/>
          <w:color w:val="auto"/>
          <w:szCs w:val="22"/>
          <w:highlight w:val="none"/>
        </w:rPr>
      </w:pPr>
      <w:r>
        <w:rPr>
          <w:rFonts w:hint="eastAsia"/>
          <w:color w:val="auto"/>
          <w:szCs w:val="22"/>
          <w:highlight w:val="none"/>
        </w:rPr>
        <w:t>2.2招标范围：本次招标共设1个施工合同段</w:t>
      </w:r>
      <w:r>
        <w:rPr>
          <w:rFonts w:hint="eastAsia"/>
          <w:color w:val="auto"/>
          <w:szCs w:val="22"/>
          <w:highlight w:val="none"/>
          <w:lang w:eastAsia="zh-CN"/>
        </w:rPr>
        <w:t>。主要</w:t>
      </w:r>
      <w:r>
        <w:rPr>
          <w:rFonts w:hint="eastAsia"/>
          <w:color w:val="auto"/>
          <w:szCs w:val="22"/>
          <w:highlight w:val="none"/>
          <w:lang w:val="en-US" w:eastAsia="zh-CN"/>
        </w:rPr>
        <w:t>建设内容包括路基、路面工程，涵洞排水工程，照明及交通安全设施工程</w:t>
      </w:r>
      <w:r>
        <w:rPr>
          <w:rFonts w:hint="eastAsia"/>
          <w:color w:val="auto"/>
          <w:szCs w:val="22"/>
          <w:highlight w:val="none"/>
          <w:lang w:eastAsia="zh-CN"/>
        </w:rPr>
        <w:t>等，</w:t>
      </w:r>
      <w:r>
        <w:rPr>
          <w:rFonts w:hint="eastAsia"/>
          <w:color w:val="auto"/>
          <w:szCs w:val="22"/>
          <w:highlight w:val="none"/>
        </w:rPr>
        <w:t>具体以工程量清单及图纸为准。本标段工程</w:t>
      </w:r>
      <w:r>
        <w:rPr>
          <w:rFonts w:hint="eastAsia"/>
          <w:color w:val="auto"/>
          <w:szCs w:val="22"/>
          <w:highlight w:val="none"/>
          <w:lang w:val="en-US" w:eastAsia="zh-CN"/>
        </w:rPr>
        <w:t>总投资</w:t>
      </w:r>
      <w:r>
        <w:rPr>
          <w:rFonts w:hint="eastAsia"/>
          <w:color w:val="auto"/>
          <w:szCs w:val="22"/>
          <w:highlight w:val="none"/>
        </w:rPr>
        <w:t>为</w:t>
      </w:r>
      <w:r>
        <w:rPr>
          <w:rFonts w:hint="eastAsia"/>
          <w:color w:val="auto"/>
          <w:szCs w:val="22"/>
          <w:highlight w:val="none"/>
          <w:lang w:val="en-US" w:eastAsia="zh-CN"/>
        </w:rPr>
        <w:t>979</w:t>
      </w:r>
      <w:r>
        <w:rPr>
          <w:rFonts w:hint="eastAsia"/>
          <w:color w:val="auto"/>
          <w:szCs w:val="22"/>
          <w:highlight w:val="none"/>
        </w:rPr>
        <w:t>万元，其中</w:t>
      </w:r>
      <w:r>
        <w:rPr>
          <w:rFonts w:hint="eastAsia"/>
          <w:color w:val="auto"/>
          <w:szCs w:val="22"/>
          <w:highlight w:val="none"/>
          <w:lang w:val="en-US" w:eastAsia="zh-CN"/>
        </w:rPr>
        <w:t>工程</w:t>
      </w:r>
      <w:r>
        <w:rPr>
          <w:rFonts w:hint="eastAsia"/>
          <w:color w:val="auto"/>
          <w:szCs w:val="22"/>
          <w:highlight w:val="none"/>
        </w:rPr>
        <w:t>费</w:t>
      </w:r>
      <w:r>
        <w:rPr>
          <w:rFonts w:hint="eastAsia"/>
          <w:color w:val="auto"/>
          <w:szCs w:val="22"/>
          <w:highlight w:val="none"/>
          <w:lang w:val="en-US" w:eastAsia="zh-CN"/>
        </w:rPr>
        <w:t>573.6</w:t>
      </w:r>
      <w:r>
        <w:rPr>
          <w:rFonts w:hint="eastAsia"/>
          <w:color w:val="auto"/>
          <w:szCs w:val="22"/>
          <w:highlight w:val="none"/>
        </w:rPr>
        <w:t>万元。计划工期</w:t>
      </w:r>
      <w:r>
        <w:rPr>
          <w:rFonts w:hint="eastAsia"/>
          <w:color w:val="auto"/>
          <w:szCs w:val="22"/>
          <w:highlight w:val="none"/>
          <w:lang w:val="en-US" w:eastAsia="zh-CN"/>
        </w:rPr>
        <w:t>120日历天</w:t>
      </w:r>
      <w:r>
        <w:rPr>
          <w:rFonts w:hint="eastAsia"/>
          <w:color w:val="auto"/>
          <w:szCs w:val="22"/>
          <w:highlight w:val="none"/>
        </w:rPr>
        <w:t>，缺陷责任期 24 个月。工程质量目标：合格。</w:t>
      </w:r>
    </w:p>
    <w:p>
      <w:pPr>
        <w:snapToGrid w:val="0"/>
        <w:spacing w:line="400" w:lineRule="exact"/>
        <w:jc w:val="left"/>
        <w:rPr>
          <w:rFonts w:hint="eastAsia"/>
          <w:b/>
          <w:color w:val="auto"/>
          <w:sz w:val="24"/>
          <w:szCs w:val="24"/>
          <w:highlight w:val="none"/>
        </w:rPr>
      </w:pPr>
      <w:r>
        <w:rPr>
          <w:rFonts w:hint="eastAsia"/>
          <w:b/>
          <w:color w:val="auto"/>
          <w:sz w:val="24"/>
          <w:szCs w:val="24"/>
          <w:highlight w:val="none"/>
        </w:rPr>
        <w:t>3．投标人资格要求</w:t>
      </w:r>
      <w:bookmarkEnd w:id="29"/>
      <w:bookmarkEnd w:id="30"/>
    </w:p>
    <w:p>
      <w:pPr>
        <w:spacing w:line="400" w:lineRule="exact"/>
        <w:ind w:firstLine="420" w:firstLineChars="200"/>
        <w:jc w:val="left"/>
        <w:rPr>
          <w:rFonts w:hint="eastAsia" w:ascii="宋体" w:hAnsi="宋体"/>
          <w:bCs/>
          <w:color w:val="auto"/>
          <w:szCs w:val="22"/>
          <w:highlight w:val="none"/>
        </w:rPr>
      </w:pPr>
      <w:r>
        <w:rPr>
          <w:rFonts w:hint="eastAsia"/>
          <w:color w:val="auto"/>
          <w:szCs w:val="22"/>
          <w:highlight w:val="none"/>
        </w:rPr>
        <w:t>3.1本次招标要求投标人具有独立法人资格，公路工程施工总承包三级及以上资质，并在人员、设备、资金等方面具有相应的施工能力；项目经理：具有公路工程专业二级及以上注册建造师资格并具备公路工程相关专业中级及以上技术职称。</w:t>
      </w:r>
    </w:p>
    <w:p>
      <w:pPr>
        <w:spacing w:line="400" w:lineRule="exact"/>
        <w:ind w:firstLine="420" w:firstLineChars="200"/>
        <w:jc w:val="left"/>
        <w:rPr>
          <w:rFonts w:hint="eastAsia"/>
          <w:color w:val="auto"/>
          <w:szCs w:val="22"/>
          <w:highlight w:val="none"/>
        </w:rPr>
      </w:pPr>
      <w:r>
        <w:rPr>
          <w:rFonts w:hint="eastAsia"/>
          <w:color w:val="auto"/>
          <w:szCs w:val="22"/>
          <w:highlight w:val="none"/>
        </w:rPr>
        <w:t>3.2本次招标不接受联合体投标。</w:t>
      </w:r>
    </w:p>
    <w:p>
      <w:pPr>
        <w:spacing w:line="400" w:lineRule="exact"/>
        <w:ind w:firstLine="420" w:firstLineChars="200"/>
        <w:jc w:val="left"/>
        <w:rPr>
          <w:rFonts w:hint="eastAsia" w:ascii="宋体" w:hAnsi="宋体"/>
          <w:color w:val="auto"/>
          <w:highlight w:val="none"/>
        </w:rPr>
      </w:pPr>
      <w:r>
        <w:rPr>
          <w:rFonts w:hint="eastAsia"/>
          <w:color w:val="auto"/>
          <w:szCs w:val="22"/>
          <w:highlight w:val="none"/>
        </w:rPr>
        <w:t>3.3与招标人存在利害关系可能影响招标公正性的法人、其他组织或者个人，不得参加投标；单位负责人为同一人或者存在控股（含法定代表人控股）、管理关系的不同单位，不得同时参加同一标段投标，否则均按否决投标处理</w:t>
      </w:r>
      <w:r>
        <w:rPr>
          <w:rFonts w:hint="eastAsia" w:ascii="宋体" w:hAnsi="宋体"/>
          <w:color w:val="auto"/>
          <w:highlight w:val="none"/>
        </w:rPr>
        <w:t>。</w:t>
      </w:r>
    </w:p>
    <w:p>
      <w:pPr>
        <w:spacing w:line="400" w:lineRule="exact"/>
        <w:ind w:firstLine="420" w:firstLineChars="200"/>
        <w:jc w:val="left"/>
        <w:rPr>
          <w:rFonts w:hint="eastAsia"/>
          <w:color w:val="auto"/>
          <w:szCs w:val="22"/>
          <w:highlight w:val="none"/>
        </w:rPr>
      </w:pPr>
      <w:r>
        <w:rPr>
          <w:rFonts w:hint="eastAsia"/>
          <w:color w:val="auto"/>
          <w:szCs w:val="22"/>
          <w:highlight w:val="none"/>
        </w:rPr>
        <w:t>3.4如投标人企业资质为公路工程施工总承包一级及以上资质的，应列入交通运输部网站(http://www.moc.gov.cn)全国公路建设市场信用信息管理系统最新公布的公路工程施工资质企业名录，且投标人名称与上述名录相符。</w:t>
      </w:r>
    </w:p>
    <w:p>
      <w:pPr>
        <w:pStyle w:val="16"/>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eastAsia" w:ascii="Times New Roman" w:hAnsi="Times New Roman" w:eastAsia="宋体" w:cs="Times New Roman"/>
          <w:b/>
          <w:color w:val="auto"/>
          <w:kern w:val="2"/>
          <w:sz w:val="24"/>
          <w:szCs w:val="24"/>
          <w:highlight w:val="none"/>
          <w:lang w:val="en-US" w:eastAsia="zh-CN" w:bidi="ar-SA"/>
        </w:rPr>
        <w:t>4．招标文件的获取及报名时间：</w:t>
      </w:r>
    </w:p>
    <w:p>
      <w:pPr>
        <w:spacing w:line="400" w:lineRule="exact"/>
        <w:ind w:firstLine="420" w:firstLineChars="200"/>
        <w:jc w:val="left"/>
        <w:rPr>
          <w:rFonts w:hint="default"/>
          <w:color w:val="auto"/>
          <w:szCs w:val="22"/>
          <w:highlight w:val="none"/>
        </w:rPr>
      </w:pPr>
      <w:r>
        <w:rPr>
          <w:rFonts w:hint="eastAsia"/>
          <w:color w:val="auto"/>
          <w:szCs w:val="22"/>
          <w:highlight w:val="none"/>
        </w:rPr>
        <w:t>4.1 本项目采用资格后审，凡有意参加投标者，请于</w:t>
      </w:r>
      <w:r>
        <w:rPr>
          <w:rFonts w:hint="eastAsia"/>
          <w:color w:val="auto"/>
          <w:szCs w:val="22"/>
          <w:highlight w:val="none"/>
          <w:lang w:val="en-US" w:eastAsia="zh-CN"/>
        </w:rPr>
        <w:t>2023</w:t>
      </w:r>
      <w:r>
        <w:rPr>
          <w:rFonts w:hint="eastAsia"/>
          <w:color w:val="auto"/>
          <w:szCs w:val="22"/>
          <w:highlight w:val="none"/>
        </w:rPr>
        <w:t>年</w:t>
      </w:r>
      <w:r>
        <w:rPr>
          <w:rFonts w:hint="eastAsia"/>
          <w:color w:val="auto"/>
          <w:szCs w:val="22"/>
          <w:highlight w:val="none"/>
          <w:lang w:val="en-US" w:eastAsia="zh-CN"/>
        </w:rPr>
        <w:t>3</w:t>
      </w:r>
      <w:r>
        <w:rPr>
          <w:rFonts w:hint="eastAsia"/>
          <w:color w:val="auto"/>
          <w:szCs w:val="22"/>
          <w:highlight w:val="none"/>
        </w:rPr>
        <w:t>月</w:t>
      </w:r>
      <w:r>
        <w:rPr>
          <w:rFonts w:hint="eastAsia"/>
          <w:color w:val="auto"/>
          <w:szCs w:val="22"/>
          <w:highlight w:val="none"/>
          <w:lang w:val="en-US" w:eastAsia="zh-CN"/>
        </w:rPr>
        <w:t>24</w:t>
      </w:r>
      <w:r>
        <w:rPr>
          <w:rFonts w:hint="eastAsia"/>
          <w:color w:val="auto"/>
          <w:szCs w:val="22"/>
          <w:highlight w:val="none"/>
        </w:rPr>
        <w:t>日至</w:t>
      </w:r>
      <w:r>
        <w:rPr>
          <w:rFonts w:hint="eastAsia"/>
          <w:color w:val="auto"/>
          <w:szCs w:val="22"/>
          <w:highlight w:val="none"/>
          <w:lang w:val="en-US" w:eastAsia="zh-CN"/>
        </w:rPr>
        <w:t>2023</w:t>
      </w:r>
      <w:r>
        <w:rPr>
          <w:rFonts w:hint="eastAsia"/>
          <w:color w:val="auto"/>
          <w:szCs w:val="22"/>
          <w:highlight w:val="none"/>
        </w:rPr>
        <w:t>年</w:t>
      </w:r>
      <w:r>
        <w:rPr>
          <w:rFonts w:hint="eastAsia"/>
          <w:color w:val="auto"/>
          <w:szCs w:val="22"/>
          <w:highlight w:val="none"/>
          <w:lang w:val="en-US" w:eastAsia="zh-CN"/>
        </w:rPr>
        <w:t>4</w:t>
      </w:r>
      <w:r>
        <w:rPr>
          <w:rFonts w:hint="eastAsia"/>
          <w:color w:val="auto"/>
          <w:szCs w:val="22"/>
          <w:highlight w:val="none"/>
        </w:rPr>
        <w:t>月</w:t>
      </w:r>
      <w:r>
        <w:rPr>
          <w:rFonts w:hint="eastAsia"/>
          <w:color w:val="auto"/>
          <w:szCs w:val="22"/>
          <w:highlight w:val="none"/>
          <w:lang w:val="en-US" w:eastAsia="zh-CN"/>
        </w:rPr>
        <w:t>20</w:t>
      </w:r>
      <w:r>
        <w:rPr>
          <w:rFonts w:hint="eastAsia"/>
          <w:color w:val="auto"/>
          <w:szCs w:val="22"/>
          <w:highlight w:val="none"/>
        </w:rPr>
        <w:t>日09时 30分，在平阳县政府门户网站公共资源交易网(</w:t>
      </w:r>
      <w:r>
        <w:rPr>
          <w:rFonts w:hint="eastAsia"/>
          <w:color w:val="auto"/>
          <w:szCs w:val="22"/>
          <w:highlight w:val="none"/>
        </w:rPr>
        <w:fldChar w:fldCharType="begin"/>
      </w:r>
      <w:r>
        <w:rPr>
          <w:rFonts w:hint="eastAsia"/>
          <w:color w:val="auto"/>
          <w:szCs w:val="22"/>
          <w:highlight w:val="none"/>
        </w:rPr>
        <w:instrText xml:space="preserve"> HYPERLINK "http://www.zjpy.gov.cn/col/col1229353018/index.html" </w:instrText>
      </w:r>
      <w:r>
        <w:rPr>
          <w:rFonts w:hint="eastAsia"/>
          <w:color w:val="auto"/>
          <w:szCs w:val="22"/>
          <w:highlight w:val="none"/>
        </w:rPr>
        <w:fldChar w:fldCharType="separate"/>
      </w:r>
      <w:r>
        <w:rPr>
          <w:rFonts w:hint="eastAsia"/>
          <w:color w:val="auto"/>
          <w:szCs w:val="22"/>
          <w:highlight w:val="none"/>
        </w:rPr>
        <w:t>http://www.zjpy.gov.cn/col/col1229353018/</w:t>
      </w:r>
      <w:r>
        <w:rPr>
          <w:rFonts w:hint="eastAsia"/>
          <w:color w:val="auto"/>
          <w:szCs w:val="22"/>
          <w:highlight w:val="none"/>
        </w:rPr>
        <w:fldChar w:fldCharType="end"/>
      </w:r>
      <w:r>
        <w:rPr>
          <w:rFonts w:hint="eastAsia"/>
          <w:color w:val="auto"/>
          <w:szCs w:val="22"/>
          <w:highlight w:val="none"/>
        </w:rPr>
        <w:t>index.html）建设工程项目窗口下载，答疑与补充网址同上。</w:t>
      </w:r>
    </w:p>
    <w:p>
      <w:pPr>
        <w:spacing w:line="400" w:lineRule="exact"/>
        <w:ind w:firstLine="420" w:firstLineChars="200"/>
        <w:jc w:val="left"/>
        <w:rPr>
          <w:rFonts w:hint="default"/>
          <w:color w:val="auto"/>
          <w:szCs w:val="22"/>
          <w:highlight w:val="none"/>
        </w:rPr>
      </w:pPr>
      <w:r>
        <w:rPr>
          <w:rFonts w:hint="eastAsia"/>
          <w:color w:val="auto"/>
          <w:szCs w:val="22"/>
          <w:highlight w:val="none"/>
        </w:rPr>
        <w:t>4.2 网上报名时间：</w:t>
      </w:r>
      <w:r>
        <w:rPr>
          <w:rFonts w:hint="eastAsia"/>
          <w:color w:val="auto"/>
          <w:szCs w:val="22"/>
          <w:highlight w:val="none"/>
          <w:lang w:val="en-US" w:eastAsia="zh-CN"/>
        </w:rPr>
        <w:t xml:space="preserve">2023 </w:t>
      </w:r>
      <w:r>
        <w:rPr>
          <w:rFonts w:hint="eastAsia"/>
          <w:color w:val="auto"/>
          <w:szCs w:val="22"/>
          <w:highlight w:val="none"/>
        </w:rPr>
        <w:t>年</w:t>
      </w:r>
      <w:r>
        <w:rPr>
          <w:rFonts w:hint="eastAsia"/>
          <w:color w:val="auto"/>
          <w:szCs w:val="22"/>
          <w:highlight w:val="none"/>
          <w:lang w:val="en-US" w:eastAsia="zh-CN"/>
        </w:rPr>
        <w:t>3</w:t>
      </w:r>
      <w:r>
        <w:rPr>
          <w:rFonts w:hint="eastAsia"/>
          <w:color w:val="auto"/>
          <w:szCs w:val="22"/>
          <w:highlight w:val="none"/>
        </w:rPr>
        <w:t>月</w:t>
      </w:r>
      <w:r>
        <w:rPr>
          <w:rFonts w:hint="eastAsia"/>
          <w:color w:val="auto"/>
          <w:szCs w:val="22"/>
          <w:highlight w:val="none"/>
          <w:lang w:val="en-US" w:eastAsia="zh-CN"/>
        </w:rPr>
        <w:t xml:space="preserve">24 </w:t>
      </w:r>
      <w:r>
        <w:rPr>
          <w:rFonts w:hint="eastAsia"/>
          <w:color w:val="auto"/>
          <w:szCs w:val="22"/>
          <w:highlight w:val="none"/>
        </w:rPr>
        <w:t>日至</w:t>
      </w:r>
      <w:r>
        <w:rPr>
          <w:rFonts w:hint="eastAsia"/>
          <w:color w:val="auto"/>
          <w:szCs w:val="22"/>
          <w:highlight w:val="none"/>
          <w:lang w:val="en-US" w:eastAsia="zh-CN"/>
        </w:rPr>
        <w:t xml:space="preserve">  2023 </w:t>
      </w:r>
      <w:r>
        <w:rPr>
          <w:rFonts w:hint="eastAsia"/>
          <w:color w:val="auto"/>
          <w:szCs w:val="22"/>
          <w:highlight w:val="none"/>
        </w:rPr>
        <w:t>年</w:t>
      </w:r>
      <w:r>
        <w:rPr>
          <w:rFonts w:hint="eastAsia"/>
          <w:color w:val="auto"/>
          <w:szCs w:val="22"/>
          <w:highlight w:val="none"/>
          <w:lang w:val="en-US" w:eastAsia="zh-CN"/>
        </w:rPr>
        <w:t>4</w:t>
      </w:r>
      <w:r>
        <w:rPr>
          <w:rFonts w:hint="eastAsia"/>
          <w:color w:val="auto"/>
          <w:szCs w:val="22"/>
          <w:highlight w:val="none"/>
        </w:rPr>
        <w:t>月</w:t>
      </w:r>
      <w:r>
        <w:rPr>
          <w:rFonts w:hint="eastAsia"/>
          <w:color w:val="auto"/>
          <w:szCs w:val="22"/>
          <w:highlight w:val="none"/>
          <w:lang w:val="en-US" w:eastAsia="zh-CN"/>
        </w:rPr>
        <w:t>20</w:t>
      </w:r>
      <w:r>
        <w:rPr>
          <w:rFonts w:hint="eastAsia"/>
          <w:color w:val="auto"/>
          <w:szCs w:val="22"/>
          <w:highlight w:val="none"/>
        </w:rPr>
        <w:t>日09时 30分。</w:t>
      </w:r>
    </w:p>
    <w:p>
      <w:pPr>
        <w:spacing w:line="400" w:lineRule="exact"/>
        <w:ind w:firstLine="420" w:firstLineChars="200"/>
        <w:jc w:val="left"/>
        <w:rPr>
          <w:color w:val="auto"/>
          <w:szCs w:val="22"/>
          <w:highlight w:val="none"/>
        </w:rPr>
      </w:pPr>
      <w:r>
        <w:rPr>
          <w:rFonts w:hint="eastAsia"/>
          <w:color w:val="auto"/>
          <w:szCs w:val="22"/>
          <w:highlight w:val="none"/>
        </w:rPr>
        <w:t>4.3报名方式：网上报名（http://www.zjpy.gov.cn/col/col1229353018/index.html）。此项目在平阳县政府门户网站公共资源交易网上交易系统进行网上报名。凡有意参加此项目的投标人，必须于投标截止时间之前完成投标人企业入库工作及网上报名，否则，其投标文件将被否决，后果由投标人自负。企业入库办理须知详见本网站“关于应用温州市建设工程招标投标交易主体信息库有关事项的通知”。</w:t>
      </w:r>
    </w:p>
    <w:p>
      <w:pPr>
        <w:spacing w:line="400" w:lineRule="exact"/>
        <w:rPr>
          <w:rFonts w:hint="eastAsia"/>
          <w:b/>
          <w:color w:val="auto"/>
          <w:sz w:val="24"/>
          <w:szCs w:val="24"/>
          <w:highlight w:val="none"/>
        </w:rPr>
      </w:pPr>
      <w:r>
        <w:rPr>
          <w:rFonts w:hint="eastAsia"/>
          <w:b/>
          <w:color w:val="auto"/>
          <w:sz w:val="24"/>
          <w:szCs w:val="24"/>
          <w:highlight w:val="none"/>
        </w:rPr>
        <w:t>5．投标文件的提交</w:t>
      </w:r>
    </w:p>
    <w:p>
      <w:pPr>
        <w:spacing w:line="400" w:lineRule="exact"/>
        <w:ind w:firstLine="420" w:firstLineChars="200"/>
        <w:jc w:val="left"/>
        <w:rPr>
          <w:rFonts w:hint="eastAsia"/>
          <w:color w:val="auto"/>
          <w:highlight w:val="none"/>
        </w:rPr>
      </w:pPr>
      <w:r>
        <w:rPr>
          <w:color w:val="auto"/>
          <w:highlight w:val="none"/>
        </w:rPr>
        <w:t>5.</w:t>
      </w:r>
      <w:r>
        <w:rPr>
          <w:rFonts w:hint="eastAsia"/>
          <w:color w:val="auto"/>
          <w:highlight w:val="none"/>
        </w:rPr>
        <w:t xml:space="preserve">1 </w:t>
      </w:r>
      <w:r>
        <w:rPr>
          <w:color w:val="auto"/>
          <w:highlight w:val="none"/>
        </w:rPr>
        <w:t>投标文件递交的截止时间（投标截止时间，下同）为</w:t>
      </w:r>
      <w:r>
        <w:rPr>
          <w:rFonts w:hint="eastAsia"/>
          <w:color w:val="auto"/>
          <w:highlight w:val="none"/>
          <w:lang w:val="en-US" w:eastAsia="zh-CN"/>
        </w:rPr>
        <w:t xml:space="preserve"> 2023</w:t>
      </w:r>
      <w:r>
        <w:rPr>
          <w:rFonts w:hint="eastAsia"/>
          <w:color w:val="auto"/>
          <w:szCs w:val="21"/>
          <w:highlight w:val="none"/>
        </w:rPr>
        <w:t>年</w:t>
      </w:r>
      <w:r>
        <w:rPr>
          <w:rFonts w:hint="eastAsia"/>
          <w:color w:val="auto"/>
          <w:szCs w:val="21"/>
          <w:highlight w:val="none"/>
          <w:lang w:val="en-US" w:eastAsia="zh-CN"/>
        </w:rPr>
        <w:t>4</w:t>
      </w:r>
      <w:r>
        <w:rPr>
          <w:rFonts w:hint="eastAsia"/>
          <w:color w:val="auto"/>
          <w:szCs w:val="21"/>
          <w:highlight w:val="none"/>
        </w:rPr>
        <w:t>月</w:t>
      </w:r>
      <w:r>
        <w:rPr>
          <w:rFonts w:hint="eastAsia"/>
          <w:color w:val="auto"/>
          <w:szCs w:val="21"/>
          <w:highlight w:val="none"/>
          <w:lang w:val="en-US" w:eastAsia="zh-CN"/>
        </w:rPr>
        <w:t>20</w:t>
      </w:r>
      <w:r>
        <w:rPr>
          <w:rFonts w:hint="eastAsia"/>
          <w:color w:val="auto"/>
          <w:szCs w:val="21"/>
          <w:highlight w:val="none"/>
        </w:rPr>
        <w:t>日</w:t>
      </w:r>
      <w:r>
        <w:rPr>
          <w:rFonts w:hint="eastAsia"/>
          <w:bCs/>
          <w:color w:val="auto"/>
          <w:highlight w:val="none"/>
        </w:rPr>
        <w:t>09</w:t>
      </w:r>
      <w:r>
        <w:rPr>
          <w:bCs/>
          <w:color w:val="auto"/>
          <w:highlight w:val="none"/>
        </w:rPr>
        <w:t>时</w:t>
      </w:r>
      <w:r>
        <w:rPr>
          <w:rFonts w:hint="eastAsia"/>
          <w:bCs/>
          <w:color w:val="auto"/>
          <w:highlight w:val="none"/>
        </w:rPr>
        <w:t>30</w:t>
      </w:r>
      <w:r>
        <w:rPr>
          <w:bCs/>
          <w:color w:val="auto"/>
          <w:highlight w:val="none"/>
        </w:rPr>
        <w:t>分</w:t>
      </w:r>
      <w:r>
        <w:rPr>
          <w:color w:val="auto"/>
          <w:highlight w:val="none"/>
        </w:rPr>
        <w:t>，地点为</w:t>
      </w:r>
      <w:r>
        <w:rPr>
          <w:rFonts w:hint="eastAsia"/>
          <w:color w:val="auto"/>
          <w:highlight w:val="none"/>
        </w:rPr>
        <w:t>平阳县公共资源交易中心（平阳县鳌江镇火车站大道和环城路路口，和谐家园&lt;原剑桥华府&gt; 二层代理窗口）。</w:t>
      </w:r>
    </w:p>
    <w:p>
      <w:pPr>
        <w:spacing w:line="400" w:lineRule="exact"/>
        <w:ind w:firstLine="420" w:firstLineChars="200"/>
        <w:jc w:val="left"/>
        <w:rPr>
          <w:rFonts w:hint="eastAsia"/>
          <w:color w:val="auto"/>
          <w:highlight w:val="none"/>
        </w:rPr>
      </w:pPr>
      <w:r>
        <w:rPr>
          <w:color w:val="auto"/>
          <w:highlight w:val="none"/>
        </w:rPr>
        <w:t>5.</w:t>
      </w:r>
      <w:r>
        <w:rPr>
          <w:rFonts w:hint="eastAsia"/>
          <w:color w:val="auto"/>
          <w:highlight w:val="none"/>
        </w:rPr>
        <w:t>2</w:t>
      </w:r>
      <w:r>
        <w:rPr>
          <w:color w:val="auto"/>
          <w:highlight w:val="none"/>
        </w:rPr>
        <w:t xml:space="preserve"> 逾期送达的或者未送达指定地点的投标文件，招标人不予受理。</w:t>
      </w:r>
    </w:p>
    <w:p>
      <w:pPr>
        <w:spacing w:line="400" w:lineRule="exact"/>
        <w:rPr>
          <w:rFonts w:hint="eastAsia"/>
          <w:b/>
          <w:color w:val="auto"/>
          <w:sz w:val="24"/>
          <w:szCs w:val="24"/>
          <w:highlight w:val="none"/>
        </w:rPr>
      </w:pPr>
      <w:r>
        <w:rPr>
          <w:rFonts w:hint="eastAsia"/>
          <w:b/>
          <w:color w:val="auto"/>
          <w:sz w:val="24"/>
          <w:szCs w:val="24"/>
          <w:highlight w:val="none"/>
        </w:rPr>
        <w:t>6．发布公告的媒介</w:t>
      </w:r>
    </w:p>
    <w:p>
      <w:pPr>
        <w:spacing w:line="400" w:lineRule="exact"/>
        <w:ind w:firstLine="420" w:firstLineChars="200"/>
        <w:rPr>
          <w:rFonts w:hint="eastAsia"/>
          <w:color w:val="auto"/>
          <w:highlight w:val="none"/>
        </w:rPr>
      </w:pPr>
      <w:r>
        <w:rPr>
          <w:rFonts w:hint="eastAsia"/>
          <w:color w:val="auto"/>
          <w:highlight w:val="none"/>
        </w:rPr>
        <w:t>本次招标公告在平阳县政府门户网站公共资源交易网上发布。</w:t>
      </w:r>
    </w:p>
    <w:p>
      <w:pPr>
        <w:spacing w:line="400" w:lineRule="exact"/>
        <w:rPr>
          <w:rFonts w:hint="eastAsia"/>
          <w:b/>
          <w:color w:val="auto"/>
          <w:sz w:val="24"/>
          <w:szCs w:val="24"/>
          <w:highlight w:val="none"/>
        </w:rPr>
      </w:pPr>
      <w:r>
        <w:rPr>
          <w:rFonts w:hint="eastAsia"/>
          <w:b/>
          <w:color w:val="auto"/>
          <w:sz w:val="24"/>
          <w:szCs w:val="24"/>
          <w:highlight w:val="none"/>
        </w:rPr>
        <w:t>7．联系方式</w:t>
      </w:r>
    </w:p>
    <w:tbl>
      <w:tblPr>
        <w:tblStyle w:val="17"/>
        <w:tblW w:w="0" w:type="auto"/>
        <w:tblInd w:w="107" w:type="dxa"/>
        <w:tblLayout w:type="fixed"/>
        <w:tblCellMar>
          <w:top w:w="0" w:type="dxa"/>
          <w:left w:w="108" w:type="dxa"/>
          <w:bottom w:w="0" w:type="dxa"/>
          <w:right w:w="108" w:type="dxa"/>
        </w:tblCellMar>
      </w:tblPr>
      <w:tblGrid>
        <w:gridCol w:w="4356"/>
        <w:gridCol w:w="4644"/>
      </w:tblGrid>
      <w:tr>
        <w:tblPrEx>
          <w:tblCellMar>
            <w:top w:w="0" w:type="dxa"/>
            <w:left w:w="108" w:type="dxa"/>
            <w:bottom w:w="0" w:type="dxa"/>
            <w:right w:w="108" w:type="dxa"/>
          </w:tblCellMar>
        </w:tblPrEx>
        <w:trPr>
          <w:trHeight w:val="423" w:hRule="atLeast"/>
        </w:trPr>
        <w:tc>
          <w:tcPr>
            <w:tcW w:w="4356" w:type="dxa"/>
            <w:noWrap w:val="0"/>
            <w:vAlign w:val="center"/>
          </w:tcPr>
          <w:p>
            <w:pPr>
              <w:pStyle w:val="32"/>
              <w:snapToGrid w:val="0"/>
              <w:rPr>
                <w:rFonts w:hint="eastAsia" w:eastAsia="宋体"/>
                <w:color w:val="auto"/>
                <w:sz w:val="21"/>
                <w:szCs w:val="21"/>
                <w:highlight w:val="none"/>
                <w:lang w:eastAsia="zh-CN"/>
              </w:rPr>
            </w:pPr>
            <w:r>
              <w:rPr>
                <w:rFonts w:hint="eastAsia"/>
                <w:color w:val="auto"/>
                <w:sz w:val="21"/>
                <w:szCs w:val="21"/>
                <w:highlight w:val="none"/>
              </w:rPr>
              <w:t>招标人：</w:t>
            </w:r>
            <w:r>
              <w:rPr>
                <w:rFonts w:hint="eastAsia"/>
                <w:color w:val="auto"/>
                <w:sz w:val="21"/>
                <w:szCs w:val="21"/>
                <w:highlight w:val="none"/>
                <w:lang w:eastAsia="zh-CN"/>
              </w:rPr>
              <w:t>平阳县南麂镇人民政府</w:t>
            </w:r>
          </w:p>
        </w:tc>
        <w:tc>
          <w:tcPr>
            <w:tcW w:w="4644" w:type="dxa"/>
            <w:noWrap w:val="0"/>
            <w:vAlign w:val="center"/>
          </w:tcPr>
          <w:p>
            <w:pPr>
              <w:pStyle w:val="32"/>
              <w:snapToGrid w:val="0"/>
              <w:rPr>
                <w:rFonts w:hint="eastAsia" w:eastAsia="宋体"/>
                <w:color w:val="auto"/>
                <w:sz w:val="21"/>
                <w:szCs w:val="21"/>
                <w:highlight w:val="none"/>
                <w:lang w:eastAsia="zh-CN"/>
              </w:rPr>
            </w:pPr>
            <w:r>
              <w:rPr>
                <w:rFonts w:hint="eastAsia"/>
                <w:color w:val="auto"/>
                <w:sz w:val="21"/>
                <w:szCs w:val="21"/>
                <w:highlight w:val="none"/>
              </w:rPr>
              <w:t>招标代理机构：</w:t>
            </w:r>
            <w:r>
              <w:rPr>
                <w:rFonts w:hint="eastAsia"/>
                <w:color w:val="auto"/>
                <w:sz w:val="21"/>
                <w:szCs w:val="21"/>
                <w:highlight w:val="none"/>
                <w:lang w:val="en-US" w:eastAsia="zh-CN"/>
              </w:rPr>
              <w:t>融华工程管理有限公司</w:t>
            </w:r>
          </w:p>
        </w:tc>
      </w:tr>
      <w:tr>
        <w:trPr>
          <w:trHeight w:val="420" w:hRule="atLeast"/>
        </w:trPr>
        <w:tc>
          <w:tcPr>
            <w:tcW w:w="4356" w:type="dxa"/>
            <w:noWrap w:val="0"/>
            <w:vAlign w:val="center"/>
          </w:tcPr>
          <w:p>
            <w:pPr>
              <w:pStyle w:val="32"/>
              <w:snapToGrid w:val="0"/>
              <w:rPr>
                <w:rFonts w:hint="eastAsia" w:eastAsia="宋体"/>
                <w:color w:val="auto"/>
                <w:sz w:val="21"/>
                <w:szCs w:val="21"/>
                <w:highlight w:val="none"/>
                <w:lang w:eastAsia="zh-CN"/>
              </w:rPr>
            </w:pPr>
            <w:r>
              <w:rPr>
                <w:rFonts w:hint="eastAsia"/>
                <w:color w:val="auto"/>
                <w:sz w:val="21"/>
                <w:szCs w:val="21"/>
                <w:highlight w:val="none"/>
              </w:rPr>
              <w:t>地  址：</w:t>
            </w:r>
            <w:r>
              <w:rPr>
                <w:rFonts w:hint="eastAsia"/>
                <w:color w:val="auto"/>
                <w:sz w:val="21"/>
                <w:szCs w:val="21"/>
                <w:highlight w:val="none"/>
                <w:lang w:eastAsia="zh-CN"/>
              </w:rPr>
              <w:t>平阳县南麂镇</w:t>
            </w:r>
          </w:p>
        </w:tc>
        <w:tc>
          <w:tcPr>
            <w:tcW w:w="4644" w:type="dxa"/>
            <w:noWrap w:val="0"/>
            <w:vAlign w:val="center"/>
          </w:tcPr>
          <w:p>
            <w:pPr>
              <w:pStyle w:val="32"/>
              <w:snapToGrid w:val="0"/>
              <w:rPr>
                <w:rFonts w:hint="default" w:eastAsia="宋体"/>
                <w:color w:val="auto"/>
                <w:sz w:val="21"/>
                <w:szCs w:val="21"/>
                <w:highlight w:val="none"/>
                <w:lang w:val="en-US" w:eastAsia="zh-CN"/>
              </w:rPr>
            </w:pPr>
            <w:r>
              <w:rPr>
                <w:rFonts w:hint="eastAsia"/>
                <w:color w:val="auto"/>
                <w:sz w:val="21"/>
                <w:szCs w:val="21"/>
                <w:highlight w:val="none"/>
              </w:rPr>
              <w:t>地址：</w:t>
            </w:r>
            <w:r>
              <w:rPr>
                <w:rFonts w:hint="eastAsia"/>
                <w:color w:val="auto"/>
                <w:sz w:val="21"/>
                <w:szCs w:val="21"/>
                <w:highlight w:val="none"/>
                <w:lang w:eastAsia="zh-CN"/>
              </w:rPr>
              <w:t>平阳县鳌江镇蓝田花苑3幢2单元302室</w:t>
            </w:r>
          </w:p>
        </w:tc>
      </w:tr>
      <w:tr>
        <w:tblPrEx>
          <w:tblCellMar>
            <w:top w:w="0" w:type="dxa"/>
            <w:left w:w="108" w:type="dxa"/>
            <w:bottom w:w="0" w:type="dxa"/>
            <w:right w:w="108" w:type="dxa"/>
          </w:tblCellMar>
        </w:tblPrEx>
        <w:trPr>
          <w:trHeight w:val="423" w:hRule="atLeast"/>
        </w:trPr>
        <w:tc>
          <w:tcPr>
            <w:tcW w:w="4356" w:type="dxa"/>
            <w:noWrap w:val="0"/>
            <w:vAlign w:val="center"/>
          </w:tcPr>
          <w:p>
            <w:pPr>
              <w:pStyle w:val="32"/>
              <w:snapToGrid w:val="0"/>
              <w:rPr>
                <w:rFonts w:hint="eastAsia" w:eastAsia="宋体"/>
                <w:color w:val="auto"/>
                <w:sz w:val="21"/>
                <w:szCs w:val="21"/>
                <w:highlight w:val="none"/>
                <w:lang w:eastAsia="zh-CN"/>
              </w:rPr>
            </w:pPr>
            <w:r>
              <w:rPr>
                <w:rFonts w:hint="eastAsia"/>
                <w:color w:val="auto"/>
                <w:sz w:val="21"/>
                <w:szCs w:val="21"/>
                <w:highlight w:val="none"/>
              </w:rPr>
              <w:t>联系人：</w:t>
            </w:r>
            <w:r>
              <w:rPr>
                <w:rFonts w:hint="eastAsia"/>
                <w:color w:val="auto"/>
                <w:sz w:val="21"/>
                <w:szCs w:val="21"/>
                <w:highlight w:val="none"/>
                <w:lang w:eastAsia="zh-CN"/>
              </w:rPr>
              <w:t xml:space="preserve">卓先生 </w:t>
            </w:r>
          </w:p>
        </w:tc>
        <w:tc>
          <w:tcPr>
            <w:tcW w:w="4644" w:type="dxa"/>
            <w:noWrap w:val="0"/>
            <w:vAlign w:val="center"/>
          </w:tcPr>
          <w:p>
            <w:pPr>
              <w:pStyle w:val="32"/>
              <w:snapToGrid w:val="0"/>
              <w:rPr>
                <w:rFonts w:hint="default" w:eastAsia="宋体"/>
                <w:color w:val="auto"/>
                <w:sz w:val="21"/>
                <w:szCs w:val="21"/>
                <w:highlight w:val="none"/>
                <w:lang w:val="en-US" w:eastAsia="zh-CN"/>
              </w:rPr>
            </w:pPr>
            <w:r>
              <w:rPr>
                <w:rFonts w:hint="eastAsia"/>
                <w:color w:val="auto"/>
                <w:sz w:val="21"/>
                <w:szCs w:val="21"/>
                <w:highlight w:val="none"/>
              </w:rPr>
              <w:t>联系人：</w:t>
            </w:r>
            <w:r>
              <w:rPr>
                <w:rFonts w:hint="eastAsia"/>
                <w:color w:val="auto"/>
                <w:sz w:val="21"/>
                <w:szCs w:val="21"/>
                <w:highlight w:val="none"/>
                <w:lang w:val="en-US" w:eastAsia="zh-CN"/>
              </w:rPr>
              <w:t xml:space="preserve">姜先生 </w:t>
            </w:r>
          </w:p>
        </w:tc>
      </w:tr>
      <w:tr>
        <w:tblPrEx>
          <w:tblCellMar>
            <w:top w:w="0" w:type="dxa"/>
            <w:left w:w="108" w:type="dxa"/>
            <w:bottom w:w="0" w:type="dxa"/>
            <w:right w:w="108" w:type="dxa"/>
          </w:tblCellMar>
        </w:tblPrEx>
        <w:trPr>
          <w:trHeight w:val="420" w:hRule="atLeast"/>
        </w:trPr>
        <w:tc>
          <w:tcPr>
            <w:tcW w:w="4356" w:type="dxa"/>
            <w:noWrap w:val="0"/>
            <w:vAlign w:val="center"/>
          </w:tcPr>
          <w:p>
            <w:pPr>
              <w:pStyle w:val="32"/>
              <w:snapToGrid w:val="0"/>
              <w:rPr>
                <w:rFonts w:hint="eastAsia"/>
                <w:color w:val="auto"/>
                <w:sz w:val="21"/>
                <w:szCs w:val="21"/>
                <w:highlight w:val="none"/>
              </w:rPr>
            </w:pPr>
            <w:r>
              <w:rPr>
                <w:rFonts w:hint="eastAsia"/>
                <w:color w:val="auto"/>
                <w:sz w:val="21"/>
                <w:szCs w:val="21"/>
                <w:highlight w:val="none"/>
              </w:rPr>
              <w:t>电  话：</w:t>
            </w:r>
            <w:r>
              <w:rPr>
                <w:rFonts w:hint="eastAsia"/>
                <w:color w:val="auto"/>
                <w:sz w:val="21"/>
                <w:szCs w:val="21"/>
                <w:highlight w:val="none"/>
                <w:lang w:eastAsia="zh-CN"/>
              </w:rPr>
              <w:t>15168722126</w:t>
            </w:r>
            <w:r>
              <w:rPr>
                <w:rFonts w:hint="eastAsia"/>
                <w:color w:val="auto"/>
                <w:sz w:val="21"/>
                <w:szCs w:val="21"/>
                <w:highlight w:val="none"/>
              </w:rPr>
              <w:t xml:space="preserve"> </w:t>
            </w:r>
          </w:p>
        </w:tc>
        <w:tc>
          <w:tcPr>
            <w:tcW w:w="4644" w:type="dxa"/>
            <w:noWrap w:val="0"/>
            <w:vAlign w:val="center"/>
          </w:tcPr>
          <w:p>
            <w:pPr>
              <w:pStyle w:val="32"/>
              <w:snapToGrid w:val="0"/>
              <w:rPr>
                <w:rFonts w:hint="default" w:eastAsia="宋体"/>
                <w:color w:val="auto"/>
                <w:sz w:val="21"/>
                <w:szCs w:val="21"/>
                <w:highlight w:val="none"/>
                <w:lang w:val="en-US" w:eastAsia="zh-CN"/>
              </w:rPr>
            </w:pPr>
            <w:r>
              <w:rPr>
                <w:rFonts w:hint="eastAsia"/>
                <w:color w:val="auto"/>
                <w:sz w:val="21"/>
                <w:szCs w:val="21"/>
                <w:highlight w:val="none"/>
              </w:rPr>
              <w:t>电话：</w:t>
            </w:r>
            <w:r>
              <w:rPr>
                <w:rFonts w:hint="eastAsia"/>
                <w:color w:val="auto"/>
                <w:sz w:val="21"/>
                <w:szCs w:val="21"/>
                <w:highlight w:val="none"/>
                <w:lang w:eastAsia="zh-CN"/>
              </w:rPr>
              <w:t>15381581602</w:t>
            </w:r>
          </w:p>
        </w:tc>
      </w:tr>
    </w:tbl>
    <w:p>
      <w:pPr>
        <w:tabs>
          <w:tab w:val="left" w:pos="4678"/>
        </w:tabs>
        <w:spacing w:line="400" w:lineRule="exact"/>
        <w:jc w:val="right"/>
        <w:rPr>
          <w:rFonts w:hint="eastAsia" w:ascii="宋体" w:hAnsi="宋体"/>
          <w:color w:val="auto"/>
          <w:highlight w:val="none"/>
        </w:rPr>
      </w:pPr>
      <w:r>
        <w:rPr>
          <w:rFonts w:hint="eastAsia"/>
          <w:color w:val="auto"/>
          <w:highlight w:val="none"/>
        </w:rPr>
        <w:t xml:space="preserve">                   </w:t>
      </w:r>
      <w:r>
        <w:rPr>
          <w:rFonts w:hint="eastAsia"/>
          <w:color w:val="auto"/>
          <w:highlight w:val="none"/>
          <w:lang w:val="en-US" w:eastAsia="zh-CN"/>
        </w:rPr>
        <w:t>2023</w:t>
      </w:r>
      <w:r>
        <w:rPr>
          <w:rFonts w:hint="eastAsia" w:hAnsi="仿宋_GB2312" w:cs="仿宋_GB2312"/>
          <w:color w:val="auto"/>
          <w:highlight w:val="none"/>
        </w:rPr>
        <w:t>年</w:t>
      </w:r>
      <w:r>
        <w:rPr>
          <w:rFonts w:hint="eastAsia" w:hAnsi="仿宋_GB2312" w:cs="仿宋_GB2312"/>
          <w:color w:val="auto"/>
          <w:highlight w:val="none"/>
          <w:lang w:val="en-US" w:eastAsia="zh-CN"/>
        </w:rPr>
        <w:t xml:space="preserve"> 3</w:t>
      </w:r>
      <w:r>
        <w:rPr>
          <w:rFonts w:hint="eastAsia" w:hAnsi="仿宋_GB2312" w:cs="仿宋_GB2312"/>
          <w:color w:val="auto"/>
          <w:highlight w:val="none"/>
        </w:rPr>
        <w:t>月</w:t>
      </w:r>
      <w:r>
        <w:rPr>
          <w:rFonts w:hint="eastAsia" w:hAnsi="仿宋_GB2312" w:cs="仿宋_GB2312"/>
          <w:color w:val="auto"/>
          <w:highlight w:val="none"/>
          <w:lang w:val="en-US" w:eastAsia="zh-CN"/>
        </w:rPr>
        <w:t>23</w:t>
      </w:r>
      <w:r>
        <w:rPr>
          <w:rFonts w:hint="eastAsia" w:hAnsi="仿宋_GB2312" w:cs="仿宋_GB2312"/>
          <w:color w:val="auto"/>
          <w:highlight w:val="none"/>
        </w:rPr>
        <w:t xml:space="preserve">日  </w:t>
      </w:r>
      <w:r>
        <w:rPr>
          <w:rFonts w:hint="eastAsia" w:ascii="宋体" w:hAnsi="宋体"/>
          <w:color w:val="auto"/>
          <w:highlight w:val="none"/>
        </w:rPr>
        <w:t xml:space="preserve">       </w:t>
      </w:r>
    </w:p>
    <w:p>
      <w:pPr>
        <w:wordWrap w:val="0"/>
        <w:ind w:firstLine="4830" w:firstLineChars="2300"/>
        <w:jc w:val="center"/>
        <w:rPr>
          <w:rFonts w:hint="eastAsia" w:ascii="宋体" w:hAnsi="宋体"/>
          <w:color w:val="auto"/>
          <w:highlight w:val="none"/>
        </w:rPr>
      </w:pPr>
    </w:p>
    <w:p>
      <w:pPr>
        <w:wordWrap w:val="0"/>
        <w:ind w:firstLine="4830" w:firstLineChars="2300"/>
        <w:jc w:val="center"/>
        <w:rPr>
          <w:rFonts w:hint="eastAsia" w:ascii="宋体" w:hAnsi="宋体"/>
          <w:color w:val="auto"/>
          <w:highlight w:val="none"/>
        </w:rPr>
      </w:pPr>
    </w:p>
    <w:p>
      <w:pPr>
        <w:spacing w:after="240" w:afterLines="100"/>
        <w:jc w:val="center"/>
        <w:outlineLvl w:val="0"/>
        <w:rPr>
          <w:rFonts w:ascii="宋体" w:hAnsi="宋体"/>
          <w:b/>
          <w:color w:val="auto"/>
          <w:sz w:val="36"/>
          <w:szCs w:val="36"/>
          <w:highlight w:val="none"/>
        </w:rPr>
      </w:pPr>
      <w:bookmarkStart w:id="38" w:name="_Toc466365726"/>
      <w:r>
        <w:rPr>
          <w:rFonts w:hint="eastAsia" w:ascii="宋体" w:hAnsi="宋体"/>
          <w:b/>
          <w:color w:val="auto"/>
          <w:sz w:val="36"/>
          <w:szCs w:val="36"/>
          <w:highlight w:val="none"/>
        </w:rPr>
        <w:br w:type="page"/>
      </w:r>
      <w:r>
        <w:rPr>
          <w:rFonts w:hint="eastAsia" w:ascii="宋体" w:hAnsi="宋体"/>
          <w:b/>
          <w:color w:val="auto"/>
          <w:sz w:val="36"/>
          <w:szCs w:val="36"/>
          <w:highlight w:val="none"/>
        </w:rPr>
        <w:t>第二章  投标人须知</w:t>
      </w:r>
      <w:bookmarkEnd w:id="38"/>
    </w:p>
    <w:p>
      <w:pPr>
        <w:spacing w:line="400" w:lineRule="exact"/>
        <w:jc w:val="center"/>
        <w:outlineLvl w:val="1"/>
        <w:rPr>
          <w:rFonts w:ascii="宋体" w:hAnsi="宋体"/>
          <w:color w:val="auto"/>
          <w:highlight w:val="none"/>
        </w:rPr>
      </w:pPr>
      <w:bookmarkStart w:id="39" w:name="_Toc3463"/>
      <w:bookmarkStart w:id="40" w:name="_Toc3201"/>
      <w:bookmarkStart w:id="41" w:name="_Toc466365727"/>
      <w:bookmarkStart w:id="42" w:name="_Toc30964"/>
      <w:bookmarkStart w:id="43" w:name="_Toc239671835"/>
      <w:bookmarkStart w:id="44" w:name="_Toc19184"/>
      <w:bookmarkStart w:id="45" w:name="_Toc18234"/>
      <w:r>
        <w:rPr>
          <w:rFonts w:hint="eastAsia" w:ascii="宋体" w:hAnsi="宋体"/>
          <w:color w:val="auto"/>
          <w:highlight w:val="none"/>
        </w:rPr>
        <w:t>投标人须知前附表</w:t>
      </w:r>
      <w:bookmarkEnd w:id="39"/>
      <w:bookmarkEnd w:id="40"/>
      <w:bookmarkEnd w:id="41"/>
      <w:bookmarkEnd w:id="42"/>
      <w:bookmarkEnd w:id="43"/>
      <w:bookmarkEnd w:id="44"/>
      <w:bookmarkEnd w:id="45"/>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1545"/>
        <w:gridCol w:w="65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条款名称</w:t>
            </w:r>
          </w:p>
        </w:tc>
        <w:tc>
          <w:tcPr>
            <w:tcW w:w="6523"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编列内容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1.1.2</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招标人</w:t>
            </w:r>
          </w:p>
        </w:tc>
        <w:tc>
          <w:tcPr>
            <w:tcW w:w="6523" w:type="dxa"/>
            <w:noWrap w:val="0"/>
            <w:vAlign w:val="center"/>
          </w:tcPr>
          <w:p>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平阳县南麂镇人民政府</w:t>
            </w:r>
          </w:p>
          <w:p>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  址：</w:t>
            </w:r>
            <w:r>
              <w:rPr>
                <w:rFonts w:hint="eastAsia" w:ascii="宋体" w:cs="宋体"/>
                <w:color w:val="auto"/>
                <w:kern w:val="0"/>
                <w:szCs w:val="21"/>
                <w:highlight w:val="none"/>
                <w:lang w:eastAsia="zh-CN"/>
              </w:rPr>
              <w:t>平阳县南麂镇</w:t>
            </w:r>
          </w:p>
          <w:p>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color w:val="auto"/>
                <w:szCs w:val="21"/>
                <w:highlight w:val="none"/>
                <w:lang w:val="en-US" w:eastAsia="zh-CN"/>
              </w:rPr>
              <w:t>卓先生</w:t>
            </w:r>
          </w:p>
          <w:p>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 xml:space="preserve"> </w:t>
            </w:r>
            <w:r>
              <w:rPr>
                <w:rFonts w:hint="eastAsia"/>
                <w:color w:val="auto"/>
                <w:sz w:val="21"/>
                <w:szCs w:val="21"/>
                <w:highlight w:val="none"/>
                <w:lang w:eastAsia="zh-CN"/>
              </w:rPr>
              <w:t>13758813225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1.1.3</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招标代理机构</w:t>
            </w:r>
          </w:p>
        </w:tc>
        <w:tc>
          <w:tcPr>
            <w:tcW w:w="6523" w:type="dxa"/>
            <w:noWrap w:val="0"/>
            <w:vAlign w:val="center"/>
          </w:tcPr>
          <w:p>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val="en-US" w:eastAsia="zh-CN"/>
              </w:rPr>
              <w:t>融华工程管理有限公司</w:t>
            </w:r>
          </w:p>
          <w:p>
            <w:pPr>
              <w:spacing w:line="360" w:lineRule="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地  址：</w:t>
            </w:r>
            <w:r>
              <w:rPr>
                <w:rFonts w:hint="eastAsia" w:ascii="宋体" w:hAnsi="宋体" w:cs="宋体"/>
                <w:color w:val="auto"/>
                <w:szCs w:val="21"/>
                <w:highlight w:val="none"/>
                <w:lang w:val="en-US" w:eastAsia="zh-CN"/>
              </w:rPr>
              <w:t>平阳县鳌江镇蓝田花苑3幢2单元302室</w:t>
            </w:r>
          </w:p>
          <w:p>
            <w:pPr>
              <w:spacing w:line="360" w:lineRule="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联系人：</w:t>
            </w:r>
            <w:r>
              <w:rPr>
                <w:rFonts w:hint="eastAsia"/>
                <w:color w:val="auto"/>
                <w:szCs w:val="21"/>
                <w:highlight w:val="none"/>
                <w:lang w:val="en-US" w:eastAsia="zh-CN"/>
              </w:rPr>
              <w:t xml:space="preserve">姜先生 </w:t>
            </w:r>
          </w:p>
          <w:p>
            <w:pPr>
              <w:spacing w:line="360" w:lineRule="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15381581602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1.1.4</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6523" w:type="dxa"/>
            <w:noWrap w:val="0"/>
            <w:vAlign w:val="center"/>
          </w:tcPr>
          <w:p>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南麂镇新码头自然村到国姓岙自然村道路提升工程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1.1.5</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建设地点</w:t>
            </w:r>
          </w:p>
        </w:tc>
        <w:tc>
          <w:tcPr>
            <w:tcW w:w="6523" w:type="dxa"/>
            <w:noWrap w:val="0"/>
            <w:vAlign w:val="center"/>
          </w:tcPr>
          <w:p>
            <w:pPr>
              <w:spacing w:line="360" w:lineRule="auto"/>
              <w:rPr>
                <w:rFonts w:hint="eastAsia" w:ascii="宋体" w:hAnsi="宋体" w:eastAsia="宋体" w:cs="宋体"/>
                <w:color w:val="auto"/>
                <w:szCs w:val="21"/>
                <w:highlight w:val="none"/>
                <w:lang w:eastAsia="zh-CN"/>
              </w:rPr>
            </w:pPr>
            <w:r>
              <w:rPr>
                <w:rFonts w:hint="eastAsia"/>
                <w:color w:val="auto"/>
                <w:szCs w:val="22"/>
                <w:highlight w:val="none"/>
                <w:lang w:val="en-US" w:eastAsia="zh-CN"/>
              </w:rPr>
              <w:t>本</w:t>
            </w:r>
            <w:r>
              <w:rPr>
                <w:rFonts w:hint="eastAsia"/>
                <w:color w:val="auto"/>
                <w:szCs w:val="22"/>
                <w:highlight w:val="none"/>
              </w:rPr>
              <w:t>工程位于</w:t>
            </w:r>
            <w:r>
              <w:rPr>
                <w:rFonts w:hint="eastAsia"/>
                <w:color w:val="auto"/>
                <w:szCs w:val="22"/>
                <w:highlight w:val="none"/>
                <w:lang w:val="en-US" w:eastAsia="zh-CN"/>
              </w:rPr>
              <w:t>平阳县南麂镇，起始于新码头村南测附近，沿国姓岙南部海岸山体前行，终止于国姓岙自然村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资金来源</w:t>
            </w:r>
          </w:p>
        </w:tc>
        <w:tc>
          <w:tcPr>
            <w:tcW w:w="6523" w:type="dxa"/>
            <w:noWrap w:val="0"/>
            <w:vAlign w:val="center"/>
          </w:tcPr>
          <w:p>
            <w:pPr>
              <w:spacing w:line="360" w:lineRule="auto"/>
              <w:rPr>
                <w:rFonts w:hint="eastAsia" w:ascii="宋体" w:hAnsi="宋体" w:cs="宋体"/>
                <w:color w:val="auto"/>
                <w:szCs w:val="21"/>
                <w:highlight w:val="none"/>
              </w:rPr>
            </w:pPr>
            <w:r>
              <w:rPr>
                <w:rFonts w:hint="eastAsia"/>
                <w:color w:val="auto"/>
                <w:szCs w:val="22"/>
                <w:highlight w:val="none"/>
                <w:lang w:val="en-US" w:eastAsia="zh-CN"/>
              </w:rPr>
              <w:t>上级补助及自筹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1.2.2</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出资比例</w:t>
            </w:r>
          </w:p>
        </w:tc>
        <w:tc>
          <w:tcPr>
            <w:tcW w:w="6523" w:type="dxa"/>
            <w:noWrap w:val="0"/>
            <w:vAlign w:val="center"/>
          </w:tcPr>
          <w:p>
            <w:pPr>
              <w:spacing w:line="360" w:lineRule="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1.2.3</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资金落实情况</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已落实</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1.3.1</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招标范围</w:t>
            </w:r>
          </w:p>
        </w:tc>
        <w:tc>
          <w:tcPr>
            <w:tcW w:w="6523" w:type="dxa"/>
            <w:noWrap w:val="0"/>
            <w:vAlign w:val="center"/>
          </w:tcPr>
          <w:p>
            <w:pPr>
              <w:spacing w:line="360" w:lineRule="auto"/>
              <w:rPr>
                <w:rFonts w:hint="eastAsia" w:ascii="宋体" w:hAnsi="宋体" w:cs="宋体"/>
                <w:color w:val="auto"/>
                <w:szCs w:val="21"/>
                <w:highlight w:val="none"/>
              </w:rPr>
            </w:pPr>
            <w:r>
              <w:rPr>
                <w:rFonts w:hint="eastAsia"/>
                <w:color w:val="auto"/>
                <w:szCs w:val="22"/>
                <w:highlight w:val="none"/>
              </w:rPr>
              <w:t>本次招标共设1个施工合同段</w:t>
            </w:r>
            <w:r>
              <w:rPr>
                <w:rFonts w:hint="eastAsia"/>
                <w:color w:val="auto"/>
                <w:szCs w:val="22"/>
                <w:highlight w:val="none"/>
                <w:lang w:eastAsia="zh-CN"/>
              </w:rPr>
              <w:t>。</w:t>
            </w:r>
            <w:r>
              <w:rPr>
                <w:rFonts w:hint="eastAsia" w:ascii="宋体" w:hAnsi="宋体" w:eastAsia="宋体" w:cs="宋体"/>
                <w:color w:val="auto"/>
                <w:sz w:val="21"/>
                <w:szCs w:val="21"/>
                <w:highlight w:val="none"/>
                <w:lang w:eastAsia="zh-CN"/>
              </w:rPr>
              <w:t>主要</w:t>
            </w:r>
            <w:r>
              <w:rPr>
                <w:rFonts w:hint="eastAsia" w:ascii="宋体" w:hAnsi="宋体" w:cs="宋体"/>
                <w:color w:val="auto"/>
                <w:sz w:val="21"/>
                <w:szCs w:val="21"/>
                <w:highlight w:val="none"/>
                <w:lang w:val="en-US" w:eastAsia="zh-CN"/>
              </w:rPr>
              <w:t>建设内容包括路基、路面工程，涵洞排水工程，照明及交通安全设施工程</w:t>
            </w:r>
            <w:r>
              <w:rPr>
                <w:rFonts w:hint="eastAsia" w:ascii="宋体" w:hAnsi="宋体" w:eastAsia="宋体" w:cs="宋体"/>
                <w:color w:val="auto"/>
                <w:sz w:val="21"/>
                <w:szCs w:val="21"/>
                <w:highlight w:val="none"/>
                <w:lang w:eastAsia="zh-CN"/>
              </w:rPr>
              <w:t>，</w:t>
            </w:r>
            <w:r>
              <w:rPr>
                <w:rFonts w:hint="eastAsia" w:ascii="宋体" w:hAnsi="宋体" w:cs="宋体"/>
                <w:color w:val="auto"/>
                <w:szCs w:val="21"/>
                <w:highlight w:val="none"/>
              </w:rPr>
              <w:t>具体详见工程量清单和施工图纸。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1.3.2</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计划工期</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olor w:val="auto"/>
                <w:szCs w:val="21"/>
                <w:highlight w:val="none"/>
              </w:rPr>
              <w:t>计划工期：</w:t>
            </w:r>
            <w:r>
              <w:rPr>
                <w:rFonts w:hint="eastAsia" w:ascii="宋体" w:hAnsi="宋体"/>
                <w:color w:val="auto"/>
                <w:szCs w:val="21"/>
                <w:highlight w:val="none"/>
                <w:lang w:val="en-US" w:eastAsia="zh-CN"/>
              </w:rPr>
              <w:t>120日历天</w:t>
            </w:r>
            <w:r>
              <w:rPr>
                <w:rFonts w:hint="eastAsia" w:ascii="宋体" w:hAnsi="宋体"/>
                <w:color w:val="auto"/>
                <w:szCs w:val="21"/>
                <w:highlight w:val="none"/>
              </w:rPr>
              <w:t>，缺陷责任期 24 个月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1.3.3</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质量要求</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标段工程交（竣）工验收的质量评定：合格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1.4.1</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投标人资质条件、能力和信誉</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资质条件：见附录1</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财务要求：见附录2</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信誉要求：见附录3</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业绩要求：见附录4</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项目经理和项目总工资格：见附录5</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其他要求：无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1.4.2</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是否接受联合体投标</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1.9.1</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踏勘现场</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1.10.1</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投标预备会</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不召开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1.10.2</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投标人提出问题的截止时间</w:t>
            </w:r>
          </w:p>
        </w:tc>
        <w:tc>
          <w:tcPr>
            <w:tcW w:w="6523" w:type="dxa"/>
            <w:noWrap w:val="0"/>
            <w:vAlign w:val="center"/>
          </w:tcPr>
          <w:p>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 xml:space="preserve"> 4 </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 xml:space="preserve"> 3 </w:t>
            </w:r>
            <w:r>
              <w:rPr>
                <w:rFonts w:hint="eastAsia" w:ascii="宋体" w:hAnsi="宋体" w:cs="宋体"/>
                <w:color w:val="auto"/>
                <w:szCs w:val="21"/>
                <w:highlight w:val="none"/>
              </w:rPr>
              <w:t>日 1</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时 00 分之前在平阳县政府门户网站公共资源交易网(http://www.zjpy.gov.cn/col/col1229353018/index.html）建设工程项目窗口以不记名方式提交，并必须在此之前提交，逾期不予受理。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1.10.3</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招标人书面澄清的时间</w:t>
            </w:r>
          </w:p>
        </w:tc>
        <w:tc>
          <w:tcPr>
            <w:tcW w:w="6523" w:type="dxa"/>
            <w:noWrap w:val="0"/>
            <w:vAlign w:val="center"/>
          </w:tcPr>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日开始在平阳县政府门户网站公共资源交易网(http://www.zjpy.gov.cn/col/col1229353018/index.html）建设工程项目窗口下载。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1.11</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分  包</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允许，仅允许交通安全设施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008"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1.12</w:t>
            </w:r>
          </w:p>
        </w:tc>
        <w:tc>
          <w:tcPr>
            <w:tcW w:w="1541"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偏  离</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允许细微偏差，不允许重大偏差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2.1</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构成招标文件的其他材料</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招标人按规定报备后的标有编号的补遗书（如有）。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2.2.1</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投标人要求澄清招标文件的截止时间</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同1.10.2款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2.2.2</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投标截止时间</w:t>
            </w:r>
          </w:p>
        </w:tc>
        <w:tc>
          <w:tcPr>
            <w:tcW w:w="6523" w:type="dxa"/>
            <w:noWrap w:val="0"/>
            <w:vAlign w:val="center"/>
          </w:tcPr>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日09时 30 分（北京时间，下同）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2.2.3</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投标人确认收到招标文件澄清的时间</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无需确认。潜在投标人应自行关注网站公告，招标人不再一一通知。投标人因自身贻误行为导致投标失败的，责任自负。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2.3.2</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投标人确认收到招标文件修改的时间</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无需确认。潜在投标人应自行关注网站公告，招标人不再一一通知。投标人因自身贻误行为导致投标失败的，责任自负。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3.1.1</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构成投标文件的其他材料</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投标人认为需要提交的其他材料；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3.2.1</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工程量清单的填写方式</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投标人按照招标人提供的书面工程量清单填写工程量清单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3.2.5</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是否接受调价函</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3.3.1</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投标有效期</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自投标人提交投标文件截止之日起计算90天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3.4</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投标保证金</w:t>
            </w:r>
          </w:p>
        </w:tc>
        <w:tc>
          <w:tcPr>
            <w:tcW w:w="6523" w:type="dxa"/>
            <w:noWrap w:val="0"/>
            <w:vAlign w:val="center"/>
          </w:tcPr>
          <w:p>
            <w:pPr>
              <w:pStyle w:val="33"/>
              <w:ind w:left="42" w:leftChars="20" w:firstLine="0"/>
              <w:rPr>
                <w:rFonts w:hint="eastAsia"/>
                <w:color w:val="auto"/>
                <w:szCs w:val="21"/>
                <w:highlight w:val="none"/>
              </w:rPr>
            </w:pPr>
            <w:r>
              <w:rPr>
                <w:rFonts w:hint="eastAsia"/>
                <w:color w:val="auto"/>
                <w:szCs w:val="21"/>
                <w:highlight w:val="none"/>
              </w:rPr>
              <w:t>1、金额：人民币</w:t>
            </w:r>
            <w:r>
              <w:rPr>
                <w:rFonts w:hint="eastAsia"/>
                <w:color w:val="auto"/>
                <w:szCs w:val="21"/>
                <w:highlight w:val="none"/>
                <w:lang w:val="en-US" w:eastAsia="zh-CN"/>
              </w:rPr>
              <w:t>100000</w:t>
            </w:r>
            <w:r>
              <w:rPr>
                <w:rFonts w:hint="eastAsia"/>
                <w:color w:val="auto"/>
                <w:szCs w:val="21"/>
                <w:highlight w:val="none"/>
              </w:rPr>
              <w:t>元（大写</w:t>
            </w:r>
            <w:r>
              <w:rPr>
                <w:rFonts w:hint="eastAsia"/>
                <w:color w:val="auto"/>
                <w:szCs w:val="21"/>
                <w:highlight w:val="none"/>
                <w:lang w:val="en-US" w:eastAsia="zh-CN"/>
              </w:rPr>
              <w:t>拾</w:t>
            </w:r>
            <w:r>
              <w:rPr>
                <w:rFonts w:hint="eastAsia"/>
                <w:color w:val="auto"/>
                <w:szCs w:val="21"/>
                <w:highlight w:val="none"/>
              </w:rPr>
              <w:t>万元整）；</w:t>
            </w:r>
          </w:p>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2、投标保证金的形式：银行转账或保险电子保函或银行保函或融资</w:t>
            </w:r>
          </w:p>
          <w:p>
            <w:pPr>
              <w:spacing w:line="360" w:lineRule="auto"/>
              <w:jc w:val="both"/>
              <w:rPr>
                <w:rFonts w:hint="eastAsia"/>
                <w:color w:val="auto"/>
                <w:highlight w:val="none"/>
              </w:rPr>
            </w:pPr>
            <w:r>
              <w:rPr>
                <w:rFonts w:hint="eastAsia" w:ascii="宋体" w:hAnsi="宋体" w:cs="宋体"/>
                <w:color w:val="auto"/>
                <w:szCs w:val="21"/>
                <w:highlight w:val="none"/>
              </w:rPr>
              <w:t>担保机构保函。投标保证金（银行转账）截止时间为 2023 年</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日 09 时 30 分；保险电子保函、银行保函及融资担保机构保函办理截止时 间（以保费支付到账时间为准）为 2023 年</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 xml:space="preserve"> 月</w:t>
            </w:r>
            <w:r>
              <w:rPr>
                <w:rFonts w:hint="eastAsia" w:ascii="宋体" w:hAnsi="宋体" w:cs="宋体"/>
                <w:color w:val="auto"/>
                <w:szCs w:val="21"/>
                <w:highlight w:val="none"/>
                <w:lang w:val="en-US" w:eastAsia="zh-CN"/>
              </w:rPr>
              <w:t>19</w:t>
            </w:r>
            <w:r>
              <w:rPr>
                <w:rFonts w:hint="eastAsia" w:ascii="宋体" w:hAnsi="宋体" w:cs="宋体"/>
                <w:color w:val="auto"/>
                <w:szCs w:val="21"/>
                <w:highlight w:val="none"/>
              </w:rPr>
              <w:t>日 17 时（投标 截止时间前一天的 17 时）。 具体详见本章</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投标保证金注意事项。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3.5.2</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近年财务状况的年份要求</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201</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年、20</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年、202</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年</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注：本项目施工期间，如有基本账户被冻结等情况，业主视为中标人无法履约，有权要求立即退场，并承担相应的违约责任。若公司新成立未满三年，可提供最新财务状况参与投标。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3.5.3</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近五年完成的类似项目的年份要求</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不作要求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3.5.5</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近年发生的诉讼及仲裁情况的年份要求</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eastAsia="zh-CN"/>
              </w:rPr>
              <w:t>2020年1月1日</w:t>
            </w:r>
            <w:r>
              <w:rPr>
                <w:rFonts w:hint="eastAsia" w:ascii="宋体" w:hAnsi="宋体" w:cs="宋体"/>
                <w:color w:val="auto"/>
                <w:szCs w:val="21"/>
                <w:highlight w:val="none"/>
              </w:rPr>
              <w:t>以来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3.6</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是否允许递交备选投标方案</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3.7.3</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签字或盖章要求</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按招标文件格式规定的要求，签字或盖章。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3.7.4</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投标文件副本份数</w:t>
            </w:r>
          </w:p>
        </w:tc>
        <w:tc>
          <w:tcPr>
            <w:tcW w:w="6523" w:type="dxa"/>
            <w:noWrap w:val="0"/>
            <w:vAlign w:val="center"/>
          </w:tcPr>
          <w:p>
            <w:pPr>
              <w:widowControl/>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u w:val="single"/>
              </w:rPr>
              <w:t xml:space="preserve">2 </w:t>
            </w:r>
            <w:r>
              <w:rPr>
                <w:rFonts w:hint="eastAsia" w:ascii="宋体" w:hAnsi="宋体" w:cs="宋体"/>
                <w:color w:val="auto"/>
                <w:szCs w:val="21"/>
                <w:highlight w:val="none"/>
              </w:rPr>
              <w:t>份，另加1份投标文件电子文件（U盘），中标人应在签订合同协议书前再提供 6 份副本。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3.7.5</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装订要求</w:t>
            </w:r>
          </w:p>
        </w:tc>
        <w:tc>
          <w:tcPr>
            <w:tcW w:w="6523" w:type="dxa"/>
            <w:noWrap w:val="0"/>
            <w:vAlign w:val="center"/>
          </w:tcPr>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纸质投标文件应装订成册，不得采用活页夹装订，否则，招标人对由于纸质投标文件装订松散而造成的丢失或其他后果不承担任何责任。</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其他要求：电子文件（U 盘）应粘贴小标签，写明投标单位名称，与投标文件第二信封正本一起密封。</w:t>
            </w:r>
          </w:p>
          <w:tbl>
            <w:tblPr>
              <w:tblStyle w:val="17"/>
              <w:tblpPr w:leftFromText="180" w:rightFromText="180" w:vertAnchor="text" w:horzAnchor="page" w:tblpX="82" w:tblpY="32"/>
              <w:tblOverlap w:val="never"/>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5800"/>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5800" w:type="dxa"/>
                  <w:noWrap w:val="0"/>
                  <w:vAlign w:val="top"/>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_________（项目名称）_______投标文件电子版</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投标人：_______________________________________</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noWrap w:val="0"/>
                  <w:vAlign w:val="top"/>
                </w:tcPr>
                <w:p>
                  <w:pPr>
                    <w:spacing w:line="360" w:lineRule="auto"/>
                    <w:rPr>
                      <w:rFonts w:hint="eastAsia" w:ascii="宋体" w:hAnsi="宋体" w:cs="宋体"/>
                      <w:color w:val="auto"/>
                      <w:szCs w:val="21"/>
                      <w:highlight w:val="none"/>
                    </w:rPr>
                  </w:pPr>
                </w:p>
              </w:tc>
            </w:tr>
          </w:tbl>
          <w:p>
            <w:pPr>
              <w:spacing w:line="360" w:lineRule="auto"/>
              <w:rPr>
                <w:rFonts w:hint="eastAsia" w:ascii="宋体" w:hAnsi="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4.1.2</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封套上写明</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投标文件第一信封（商务及技术文件） 内层封套：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投标人邮政编码：______________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投标人地址：_______________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投标人名称：_______________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投标人联系人：______________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投标人联系电话：______________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招标人地址及名称：________________（寄）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投标文件第一信封（商务及技术文件）外层封套：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送达投标文件地址：______________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招标人名称：______________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（项目名称）施工招标第一信封（商务及技术文件）投标文件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在    年  月  日  时   分前不得开启</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投标文件第二信封（投标报价和工程量清单）内层封套：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投标人邮政编码：______________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投标人地址：_______________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投标人名称：_______________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投标人联系人：______________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投标人联系电话：______________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招标人地址及名称：________________（寄）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投标文件第二信封（投标报价和工程量清单）外层封套：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送达投标文件地址：______________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招标人名称：______________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（项目名称）施工招标第二信封（投标报价和工程量清单）投标文件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在    年  月  日  时   分前不得开启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4.2.2</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递交投标文件地点</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平阳县公共资源交易中心（平阳县鳌江镇火车站大道和环城路路口，和谐家园&lt;原剑桥华府&gt; 二层代理窗口）。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4.2.3</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是否退还投标文件</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4.2.6</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招标人通知延后投标截止时间的时间</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原定投标截止时间7天前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trPr>
        <w:tc>
          <w:tcPr>
            <w:tcW w:w="1009"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1540"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开标时间和地点</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投标文件第一信封开标时间：同投标截止时间</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投标文件第一信封开标地点：平阳县公共资源交易中心（平阳县鳌江镇火车站大道和环城路路口，和谐家园&lt;原剑桥华府&gt; 二层）</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投标文件第二信封开标时间：第一信封开标时通知</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投标文件第二信封开标地点：平阳县公共资源交易中心（平阳县鳌江镇火车站大道和环城路路口，和谐家园&lt;原剑桥华府&gt; 二层）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1009"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highlight w:val="none"/>
              </w:rPr>
            </w:pPr>
            <w:r>
              <w:rPr>
                <w:rFonts w:hint="eastAsia" w:ascii="宋体" w:hAnsi="宋体" w:cs="宋体"/>
                <w:color w:val="auto"/>
                <w:highlight w:val="none"/>
              </w:rPr>
              <w:t>5.2.1</w:t>
            </w:r>
          </w:p>
          <w:p>
            <w:pPr>
              <w:spacing w:line="360" w:lineRule="auto"/>
              <w:jc w:val="center"/>
              <w:rPr>
                <w:rFonts w:hint="eastAsia"/>
                <w:color w:val="auto"/>
                <w:highlight w:val="none"/>
              </w:rPr>
            </w:pPr>
            <w:r>
              <w:rPr>
                <w:rFonts w:hint="eastAsia" w:ascii="宋体" w:hAnsi="宋体" w:cs="宋体"/>
                <w:color w:val="auto"/>
                <w:highlight w:val="none"/>
              </w:rPr>
              <w:t xml:space="preserve">5.2.4 </w:t>
            </w:r>
          </w:p>
        </w:tc>
        <w:tc>
          <w:tcPr>
            <w:tcW w:w="1540"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开标程序</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（4）密封情况检查：投标人代表检查投标文件的密封情况；</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（5）开标顺序：按后递交先开标的顺序开标；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9"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6.1.1</w:t>
            </w:r>
          </w:p>
        </w:tc>
        <w:tc>
          <w:tcPr>
            <w:tcW w:w="1540"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评标委员会的组建</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评标工作由招标人依法组建的评标委员会负责，评标委员会成员为5人，全部从浙江省综合性评标专家库中随机抽取组成。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5" w:hRule="atLeast"/>
        </w:trPr>
        <w:tc>
          <w:tcPr>
            <w:tcW w:w="1009"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7.1</w:t>
            </w:r>
          </w:p>
        </w:tc>
        <w:tc>
          <w:tcPr>
            <w:tcW w:w="1540"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是否授权评标委员会确定中标人</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否，推荐的中标候选人的人数为1名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9"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7.3.1</w:t>
            </w:r>
          </w:p>
        </w:tc>
        <w:tc>
          <w:tcPr>
            <w:tcW w:w="1540"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履约担保</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履约担保金额：签约合同价的2%</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履约担保形式：现金（电汇或银行汇票形式）或银行保函或保险公司保函</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采用银行保函时，出具履约担保的银行级别：国有或股份制商业银行县（区、市）级及以上银行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9"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9.5</w:t>
            </w:r>
          </w:p>
        </w:tc>
        <w:tc>
          <w:tcPr>
            <w:tcW w:w="1540"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投诉</w:t>
            </w:r>
          </w:p>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（监督部门）</w:t>
            </w:r>
          </w:p>
        </w:tc>
        <w:tc>
          <w:tcPr>
            <w:tcW w:w="6523" w:type="dxa"/>
            <w:tcBorders>
              <w:top w:val="single" w:color="auto" w:sz="4" w:space="0"/>
              <w:bottom w:val="single" w:color="auto" w:sz="4" w:space="0"/>
            </w:tcBorders>
            <w:noWrap w:val="0"/>
            <w:vAlign w:val="center"/>
          </w:tcPr>
          <w:p>
            <w:pPr>
              <w:widowControl/>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第 9.5 款细化为：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投标人或者其他利害关系人对招标文件有异议的，应当在投标截止时间 10 日前提出。 </w:t>
            </w:r>
          </w:p>
          <w:p>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投标人对开标有异议的，应当在开标现场提出，招标人应当当场作出答复，并制作记录。</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投标人或者其他利害关系人对评标结果有异议的，应当在中标候选人公示期间提出。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招标人应当自收到异议之日起 3 日内作出答复。作出答复前，招标人应暂停招标投标活动。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投标人和其他利害关系人认为本次招标活动违反法律、法规和规章规定的，或对招标人就异议的答复不满意或逾期未答复的，有权向有关行政监督部门投诉。投诉应按《中华人民共和国招标投标法实施条例》（中华人民共和国国务院令第 613 号）和《工程建设项目招标投标活动投诉处理办法》（国家七部委令 2004 年第 11 号）、国家发改委等九部委 2013 年第 23 号令办理。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监督部门：平阳县交通运输局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地 址：平阳县昆阳镇雅山村昆雅路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电 话：0577-63112862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邮政编码：325400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9072" w:type="dxa"/>
            <w:gridSpan w:val="3"/>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需要补充的其它内容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9"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1540"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条款名称</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编列内容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9"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1.4</w:t>
            </w:r>
          </w:p>
        </w:tc>
        <w:tc>
          <w:tcPr>
            <w:tcW w:w="1540"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投标人资格要求</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1.4.3（12）、（13）、（14）目细化为：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（12）自</w:t>
            </w:r>
            <w:r>
              <w:rPr>
                <w:rFonts w:hint="eastAsia" w:ascii="宋体" w:hAnsi="宋体" w:cs="宋体"/>
                <w:color w:val="auto"/>
                <w:szCs w:val="21"/>
                <w:highlight w:val="none"/>
                <w:lang w:eastAsia="zh-CN"/>
              </w:rPr>
              <w:t>2020年1月1日</w:t>
            </w:r>
            <w:r>
              <w:rPr>
                <w:rFonts w:hint="eastAsia" w:ascii="宋体" w:hAnsi="宋体" w:cs="宋体"/>
                <w:color w:val="auto"/>
                <w:szCs w:val="21"/>
                <w:highlight w:val="none"/>
              </w:rPr>
              <w:t>以来有骗取中标或严重违约或重大工程质量问题的（以省级及以上交通主管部门的书面通报或司法机关出具的有关法律文书为准）；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（13）涉及正在诉讼的案件经评标委员会认定会对承担本项目造成重大影响；</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（14）被交通运输部、浙江省交通运输厅、浙江省发改委取消投标资格或禁止进入浙江省建设市场且处于有效期内；</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1.4.3补充第（16）目：</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（16）与招标人存在利害关系可能影响招标公正性的法人、其他组织或个人参加投标。单位负责人为同一人或者存在控股（含法定代表人控股）、管理关系的不同单位，同时参加本标段投标。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3"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1.11</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 1.11 款细化为：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本项目除交安设施外，严禁转包和违规分包，且不得再次分包。投标人拟在中标后将中标项目的部分工作进行分包的，应符合以下规定：</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分包应符合交通运输部《关于印发公路工程施工分包管理办法的通知》（交公路发【2011】685号）及</w:t>
            </w:r>
            <w:r>
              <w:rPr>
                <w:rFonts w:hint="eastAsia" w:ascii="宋体" w:hAnsi="宋体" w:cs="宋体"/>
                <w:color w:val="auto"/>
                <w:szCs w:val="21"/>
                <w:highlight w:val="none"/>
                <w:lang w:eastAsia="zh-CN"/>
              </w:rPr>
              <w:t>省交通运输厅关于印发《浙江省公路水运工程施工分包管理办法（试行）》的通知</w:t>
            </w:r>
            <w:r>
              <w:rPr>
                <w:rFonts w:hint="eastAsia" w:ascii="宋体" w:hAnsi="宋体" w:cs="宋体"/>
                <w:color w:val="auto"/>
                <w:szCs w:val="21"/>
                <w:highlight w:val="none"/>
              </w:rPr>
              <w:t>有关分包管理的规定。</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其他要求：投标人如有分包计划，应按第八章“投标文件格式”的要求填写“拟分包项目情况表”，且投标人中标后的分包应满足合同条款第4.3款的相关要求。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1.12</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偏离</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1.12.3 （2）目细化为：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（2）对于本章第1.12.2项（2）目所述的细微偏差，要求投标人对细微偏差进行澄清，只有投标人的澄清文件被三分之二及以上评标委员接受，投标人才能参加详细评审。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09" w:type="dxa"/>
            <w:noWrap w:val="0"/>
            <w:vAlign w:val="center"/>
          </w:tcPr>
          <w:p>
            <w:pPr>
              <w:spacing w:line="240" w:lineRule="exact"/>
              <w:ind w:firstLine="105" w:firstLineChars="50"/>
              <w:jc w:val="center"/>
              <w:rPr>
                <w:rFonts w:hint="eastAsia" w:ascii="宋体" w:hAnsi="宋体" w:cs="宋体"/>
                <w:color w:val="auto"/>
                <w:szCs w:val="21"/>
                <w:highlight w:val="none"/>
              </w:rPr>
            </w:pPr>
            <w:r>
              <w:rPr>
                <w:color w:val="auto"/>
                <w:szCs w:val="21"/>
                <w:highlight w:val="none"/>
              </w:rPr>
              <w:t>2.2</w:t>
            </w:r>
          </w:p>
        </w:tc>
        <w:tc>
          <w:tcPr>
            <w:tcW w:w="1540" w:type="dxa"/>
            <w:noWrap w:val="0"/>
            <w:vAlign w:val="center"/>
          </w:tcPr>
          <w:p>
            <w:pPr>
              <w:spacing w:line="240" w:lineRule="exact"/>
              <w:ind w:firstLine="105" w:firstLineChars="50"/>
              <w:jc w:val="center"/>
              <w:rPr>
                <w:rFonts w:hint="eastAsia" w:ascii="宋体" w:hAnsi="宋体" w:cs="宋体"/>
                <w:color w:val="auto"/>
                <w:szCs w:val="21"/>
                <w:highlight w:val="none"/>
              </w:rPr>
            </w:pPr>
            <w:r>
              <w:rPr>
                <w:rFonts w:hint="eastAsia"/>
                <w:color w:val="auto"/>
                <w:szCs w:val="21"/>
                <w:highlight w:val="none"/>
              </w:rPr>
              <w:t>招标文件的澄清</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第2.2.1 项、2.2.2 项细化为：</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 投标人应仔细阅读和检查招标文件的全部内容。如发现缺页或附件不全，应及时向招标人提出，以便补齐。如有疑问，应在投标人须知前附表规定的时间要求招标人对招标文件予以澄清。</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2.2.2  招标文件澄清的内容影响投标文件编制的，招标人将在投标人须知前附表规定的投标截止时间15日前，以电子文件形式上传至“</w:t>
            </w:r>
            <w:r>
              <w:rPr>
                <w:rFonts w:hint="eastAsia"/>
                <w:color w:val="auto"/>
                <w:highlight w:val="none"/>
              </w:rPr>
              <w:t>平阳县政府门户网站公共资源交易网</w:t>
            </w:r>
            <w:r>
              <w:rPr>
                <w:rFonts w:hint="eastAsia" w:ascii="宋体" w:hAnsi="宋体"/>
                <w:color w:val="auto"/>
                <w:szCs w:val="21"/>
                <w:highlight w:val="none"/>
              </w:rPr>
              <w:t>(</w:t>
            </w:r>
            <w:r>
              <w:rPr>
                <w:rFonts w:ascii="宋体" w:hAnsi="宋体"/>
                <w:color w:val="auto"/>
                <w:sz w:val="20"/>
                <w:szCs w:val="21"/>
                <w:highlight w:val="none"/>
              </w:rPr>
              <w:t>http://www.zjpy.gov.cn/col/col1229353018/index.html</w:t>
            </w:r>
            <w:r>
              <w:rPr>
                <w:rFonts w:hint="eastAsia" w:ascii="宋体" w:hAnsi="宋体"/>
                <w:color w:val="auto"/>
                <w:szCs w:val="21"/>
                <w:highlight w:val="none"/>
              </w:rPr>
              <w:t>)”供投标人下载，不足15天的，招标人将顺延递交投标文件的截止时间。</w:t>
            </w:r>
          </w:p>
          <w:p>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澄清的内容不影响投标文件编制的，将在投标人须知前附表规定的投标截止时间7天前，以上款相同的形式发布。</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xml:space="preserve"> 投标人在下载补遗书（补充、澄清、修改文件）后，无需进行确认。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09" w:type="dxa"/>
            <w:noWrap w:val="0"/>
            <w:vAlign w:val="center"/>
          </w:tcPr>
          <w:p>
            <w:pPr>
              <w:spacing w:line="240" w:lineRule="exact"/>
              <w:ind w:firstLine="105" w:firstLineChars="50"/>
              <w:jc w:val="center"/>
              <w:rPr>
                <w:rFonts w:hint="eastAsia" w:ascii="宋体" w:hAnsi="宋体" w:cs="宋体"/>
                <w:color w:val="auto"/>
                <w:szCs w:val="21"/>
                <w:highlight w:val="none"/>
              </w:rPr>
            </w:pPr>
            <w:r>
              <w:rPr>
                <w:color w:val="auto"/>
                <w:szCs w:val="21"/>
                <w:highlight w:val="none"/>
              </w:rPr>
              <w:t>2.3</w:t>
            </w:r>
          </w:p>
        </w:tc>
        <w:tc>
          <w:tcPr>
            <w:tcW w:w="1540" w:type="dxa"/>
            <w:noWrap w:val="0"/>
            <w:vAlign w:val="center"/>
          </w:tcPr>
          <w:p>
            <w:pPr>
              <w:spacing w:line="240" w:lineRule="exact"/>
              <w:ind w:firstLine="105" w:firstLineChars="50"/>
              <w:jc w:val="center"/>
              <w:rPr>
                <w:rFonts w:hint="eastAsia" w:ascii="宋体" w:hAnsi="宋体" w:cs="宋体"/>
                <w:color w:val="auto"/>
                <w:szCs w:val="21"/>
                <w:highlight w:val="none"/>
              </w:rPr>
            </w:pPr>
            <w:r>
              <w:rPr>
                <w:rFonts w:hint="eastAsia"/>
                <w:color w:val="auto"/>
                <w:szCs w:val="21"/>
                <w:highlight w:val="none"/>
              </w:rPr>
              <w:t>招标文件的修改</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第2.3.1项、2.3.2项细化为：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 在投标截止时间15 天前，招标人可以修改招标文件，并将修改的文件公布在平阳县政府门户网站公共资源交易网（http://www.zjpy.gov.cn/col/col1229353018/index.html）上，潜在投标人应自行关注网站公告，以便下载招标文件需要修改的内容。如果修改招标文件的时间距投标截止时间不足15 天，相应延长投标截止时间。</w:t>
            </w:r>
          </w:p>
          <w:p>
            <w:pPr>
              <w:pStyle w:val="2"/>
              <w:rPr>
                <w:rFonts w:hint="eastAsia"/>
                <w:color w:val="auto"/>
                <w:highlight w:val="none"/>
              </w:rPr>
            </w:pPr>
            <w:r>
              <w:rPr>
                <w:rFonts w:hint="eastAsia" w:ascii="宋体" w:hAnsi="宋体"/>
                <w:color w:val="auto"/>
                <w:szCs w:val="21"/>
                <w:highlight w:val="none"/>
              </w:rPr>
              <w:t>修改的内容不影响投标文件编制的，将在投标人须知前附表规定的投标截止时间7天前，以上款相同的形式发布。</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2.3.2投标人在下载补遗书（补充、澄清、修改文件）后，无需进行确认。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6" w:hRule="atLeast"/>
        </w:trPr>
        <w:tc>
          <w:tcPr>
            <w:tcW w:w="1009"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w:t>
            </w:r>
          </w:p>
        </w:tc>
        <w:tc>
          <w:tcPr>
            <w:tcW w:w="1540"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投标文件的组成</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第3.1.1项细化为：</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3.1.1投标文件应包括下列内容：</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第一信封（商务及技术文件）：</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（1）投标函及投标函附录；</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（2）法定代表人身份证明或附有法定代表人身份证明的授权委托书；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（3）投标保证金；</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（4）施工组织设计；</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（5）项目管理机构；</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（6）拟分包项目情况表；</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（7）资格审查资料；</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（8）承诺函；</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（9）投标人须知前附表规定的其他材料。</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第二信封（投标报价和工程量清单）</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（1）报价函；</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（2）已标价工程量清单；</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（3）合同用款估算表。</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以上内容必须按招标文件第八章的格式和要求填报，除招标文件另有规定外，投标人不得修改。</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补充3.1.3项：</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3.1.3 本项目采用书面工程量清单，投标人应提供以Excel格式保存的工程量清单电子文件（拷入U盘），密封在投标文件第二信封正本内。</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50" w:hRule="atLeast"/>
        </w:trPr>
        <w:tc>
          <w:tcPr>
            <w:tcW w:w="1004"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3.2</w:t>
            </w:r>
          </w:p>
        </w:tc>
        <w:tc>
          <w:tcPr>
            <w:tcW w:w="1545"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投标报价</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补充第3.2.7项</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3.2.7本项目招标人设有投标控制价，投标控制价以招标人报造价审查部门审核后的以施工图预算为基础的工程量清单预算，再乘以随机抽取的调整系数来确定。调整系数在三个连续值</w:t>
            </w:r>
            <w:r>
              <w:rPr>
                <w:rFonts w:hint="eastAsia" w:ascii="宋体" w:hAnsi="宋体" w:cs="宋体"/>
                <w:b/>
                <w:bCs/>
                <w:color w:val="auto"/>
                <w:szCs w:val="21"/>
                <w:highlight w:val="none"/>
              </w:rPr>
              <w:t xml:space="preserve">( </w:t>
            </w:r>
            <w:bookmarkStart w:id="1897" w:name="_GoBack"/>
            <w:r>
              <w:rPr>
                <w:rFonts w:hint="eastAsia" w:ascii="宋体" w:hAnsi="宋体" w:cs="宋体"/>
                <w:b/>
                <w:bCs/>
                <w:color w:val="auto"/>
                <w:szCs w:val="21"/>
                <w:highlight w:val="none"/>
                <w:lang w:eastAsia="zh-CN"/>
              </w:rPr>
              <w:t>0.9</w:t>
            </w:r>
            <w:r>
              <w:rPr>
                <w:rFonts w:hint="eastAsia" w:ascii="宋体" w:hAnsi="宋体" w:cs="宋体"/>
                <w:b/>
                <w:bCs/>
                <w:color w:val="auto"/>
                <w:szCs w:val="21"/>
                <w:highlight w:val="none"/>
                <w:lang w:val="en-US" w:eastAsia="zh-CN"/>
              </w:rPr>
              <w:t>3</w:t>
            </w:r>
            <w:bookmarkEnd w:id="1897"/>
            <w:r>
              <w:rPr>
                <w:rFonts w:hint="eastAsia" w:ascii="宋体" w:hAnsi="宋体" w:cs="宋体"/>
                <w:b/>
                <w:bCs/>
                <w:color w:val="auto"/>
                <w:szCs w:val="21"/>
                <w:highlight w:val="none"/>
                <w:lang w:eastAsia="zh-CN"/>
              </w:rPr>
              <w:t>、0.9</w:t>
            </w:r>
            <w:r>
              <w:rPr>
                <w:rFonts w:hint="eastAsia" w:ascii="宋体" w:hAnsi="宋体" w:cs="宋体"/>
                <w:b/>
                <w:bCs/>
                <w:color w:val="auto"/>
                <w:szCs w:val="21"/>
                <w:highlight w:val="none"/>
                <w:lang w:val="en-US" w:eastAsia="zh-CN"/>
              </w:rPr>
              <w:t>4</w:t>
            </w:r>
            <w:r>
              <w:rPr>
                <w:rFonts w:hint="eastAsia" w:ascii="宋体" w:hAnsi="宋体" w:cs="宋体"/>
                <w:b/>
                <w:bCs/>
                <w:color w:val="auto"/>
                <w:szCs w:val="21"/>
                <w:highlight w:val="none"/>
                <w:lang w:eastAsia="zh-CN"/>
              </w:rPr>
              <w:t>、0.9</w:t>
            </w: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rPr>
              <w:t>)</w:t>
            </w:r>
            <w:r>
              <w:rPr>
                <w:rFonts w:hint="eastAsia" w:ascii="宋体" w:hAnsi="宋体" w:cs="宋体"/>
                <w:color w:val="auto"/>
                <w:szCs w:val="21"/>
                <w:highlight w:val="none"/>
              </w:rPr>
              <w:t>中开标时随机抽取其中一值为调整系数。</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工程量清单预算价：</w:t>
            </w:r>
            <w:r>
              <w:rPr>
                <w:rFonts w:hint="eastAsia" w:ascii="宋体" w:hAnsi="宋体" w:cs="宋体"/>
                <w:color w:val="auto"/>
                <w:szCs w:val="21"/>
                <w:highlight w:val="none"/>
                <w:lang w:val="en-US" w:eastAsia="zh-CN"/>
              </w:rPr>
              <w:t>5309371</w:t>
            </w:r>
            <w:r>
              <w:rPr>
                <w:rFonts w:hint="eastAsia" w:ascii="宋体" w:hAnsi="宋体" w:cs="宋体"/>
                <w:color w:val="auto"/>
                <w:szCs w:val="21"/>
                <w:highlight w:val="none"/>
              </w:rPr>
              <w:t xml:space="preserve">元 </w:t>
            </w:r>
          </w:p>
          <w:p>
            <w:pPr>
              <w:spacing w:line="360" w:lineRule="auto"/>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投标人的报价应控制在招标人设定的投标控制价（含）以下，高于投标控制价的报价，作否决投标处理。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2" w:hRule="atLeast"/>
        </w:trPr>
        <w:tc>
          <w:tcPr>
            <w:tcW w:w="1004"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w:t>
            </w:r>
          </w:p>
        </w:tc>
        <w:tc>
          <w:tcPr>
            <w:tcW w:w="1545"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投标有效期</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第3.3.2项细化为：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86" w:hRule="atLeast"/>
        </w:trPr>
        <w:tc>
          <w:tcPr>
            <w:tcW w:w="1004"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3.4</w:t>
            </w:r>
          </w:p>
        </w:tc>
        <w:tc>
          <w:tcPr>
            <w:tcW w:w="1545"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投标保证金</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第3.4.3项细化为：</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3.4.3招标人与中标人签订合同后5日内，向未中标的投标人和中标人退还投标保证金。</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 3.4.4 项细化为：</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3.4.4 有下列情形之一的，投标保证金将不予退还：</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（1）投标人在规定的投标有效期内撤销或修改其投标文件；</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（2）中标人在收到中标通知书后，无正当理由拒签合同协议书、廉政合同、安全生产合同、工程质量责任合同、工程资金监管协议或未按招标文件规定提交履约担保；</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（3）投标人不接受依据评标办法的规定对其投标文件中细微偏差进行澄清和补正；</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（4）投标人提交了虚假资料或串通投标。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6" w:hRule="atLeast"/>
        </w:trPr>
        <w:tc>
          <w:tcPr>
            <w:tcW w:w="1004"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3.5</w:t>
            </w:r>
          </w:p>
        </w:tc>
        <w:tc>
          <w:tcPr>
            <w:tcW w:w="1545" w:type="dxa"/>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资格审查资料</w:t>
            </w:r>
          </w:p>
        </w:tc>
        <w:tc>
          <w:tcPr>
            <w:tcW w:w="6523" w:type="dxa"/>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第3.5.1项细化为：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3.5.1“投标人基本情况表”应附企业法人营业执照副本（全本）的复印件（并加盖单位章）、施工资质证书副本（全本）的复印件（并加盖单位章）、安全生产许可证副本（全本）的复印件（并加盖单位章）、基本账户开户许可证（或基本存款账户信息）的复印件（并加盖单位章）。投标人具有公路工程施工总承包一级及以上资质的，应附交通运输部 “全国公路建设市场信用信息管理系统” 从业企业查询（输入从业单位名称或组织机构代码查询）的网页截图复印件（并加盖单位章）。</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“拟委任的项目经理和项目总工资历表”应附以下资料：</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1）项目经理和项目总工的身份证（第二代身份证须双面复印）、公路工程相关专业中级及以上职称资格证书的复印件、在有效期内的安全生产考核合格证书（B类）及项目经理的公路工程专业二级及以上建造师注册证书的复印件；上述项目经理的公路工程专业二级及以上建造师注册证书、在有效期内安全生产考核合格证书（B类）及项目总工在有效期内的安全生产考核合格证书（B类）上的企业名称应与投标人名称一致，否则资格审查不予通过。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（2）项目经理若曾在其他在建合同工程中担任项目经理但已进行更换的，应附项目发包人的同意更换证明材料，否则更换前后的项目经理均视为有“在建合同工程”。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第3.5.3项细化为：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3.5.3 本项目不适用。</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第3.5.5项细化为：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3.5.5近3年内发生诉讼及仲裁的，中标人应在收到中标通知书签订合同协议书前如实向招标人说明相关情况。</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第3.5.7 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3.5.7 投标人在投标文件中填报的项目经理和项目总工不允许更换。</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第3.5.8项细化为：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3.5.8招标人有权核查投标人在投标文件中提供的材料，若在评标期间发现投标人提供了虚假资料，招标人有权对投标人的投标文件作否决投标处理，其投标保证金不予退还；若在评标结果公示期间发现作为中标候选人的投标人提供了虚假资料，招标人有权取消其中标资格，其投标保证金不予退还；若在合同实施期间发现投标人提供了虚假资料，招标人有权从合同价款或履约担保中扣除不超过2％签约合同价的金额作为违约金。同时招标人将投标人以上弄虚作假行为上报省级交通运输主管部门，作为不良记录纳入浙江省交通运输厅建设市场诚信信息系统和信用评价管理系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3"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3.7</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投标文件的编制</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第3.7.3项细化为：</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投标文件应用不褪色的材料书写或打印，投标函及投标函附录、承诺函、资格审查资料、已标价工程量清单（包括工程量清单说明、投标报价说明、其他说明及工程量清单各项表格〈表 5.1-表 5.2〉）的内容，应由投标人的法定代表人或其委托代理人逐页签署姓名不得由签名章代替（本页正文内容已由投标人的法定代表人或其委托代理人签署姓名的可不签署）并逐页加盖投标人单位章（本页正文内容已加盖单位章的除外）。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如果投标文件由委托代理人签署，则投标人需提交附有法定代表人身份证明的授权委托书，授权委托书应按规定的书面方式出具，并由法定代表人和委托代理人亲笔签名，不得使用印章、签名章或其他电子制版签名。 </w:t>
            </w:r>
          </w:p>
          <w:p>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如果由投标人的法定代表人亲自签署投标文件，则不需提交授权委托书。</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投标文件应尽量避免涂改、行间插字或删除。如果出现上述情况，改动之处应加盖单位章或由投标人的法定代表人或其委托代理人签字确认。 </w:t>
            </w:r>
          </w:p>
          <w:p>
            <w:pPr>
              <w:widowControl/>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第 3.7.4 项细化为： </w:t>
            </w:r>
          </w:p>
          <w:p>
            <w:pPr>
              <w:spacing w:line="220" w:lineRule="exact"/>
              <w:ind w:firstLine="420" w:firstLineChars="200"/>
              <w:jc w:val="left"/>
              <w:rPr>
                <w:rFonts w:hint="eastAsia" w:ascii="宋体" w:hAnsi="宋体" w:cs="宋体"/>
                <w:color w:val="auto"/>
                <w:kern w:val="0"/>
                <w:szCs w:val="21"/>
                <w:highlight w:val="none"/>
                <w:lang w:bidi="ar"/>
              </w:rPr>
            </w:pPr>
            <w:r>
              <w:rPr>
                <w:rFonts w:hint="eastAsia" w:ascii="宋体" w:hAnsi="宋体"/>
                <w:color w:val="auto"/>
                <w:szCs w:val="21"/>
                <w:highlight w:val="none"/>
              </w:rPr>
              <w:t>3.7.4 投标文件正本1份，副本2份（中标人中标后应在签订合同协议书前补交6份），另加1份投标文件电子文件（U盘），内容为：</w:t>
            </w:r>
            <w:r>
              <w:rPr>
                <w:rFonts w:hint="eastAsia" w:ascii="宋体" w:hAnsi="宋体"/>
                <w:b/>
                <w:bCs/>
                <w:color w:val="auto"/>
                <w:szCs w:val="21"/>
                <w:highlight w:val="none"/>
              </w:rPr>
              <w:t>投标文件全部内容，应含：除资格审查资料证明材料外的所有内容，包括以Excel格式保存的已标价工程量清单各项表格以及工程量清单单价分析表</w:t>
            </w:r>
            <w:r>
              <w:rPr>
                <w:rFonts w:hint="eastAsia" w:ascii="宋体" w:hAnsi="宋体"/>
                <w:color w:val="auto"/>
                <w:szCs w:val="21"/>
                <w:highlight w:val="none"/>
              </w:rPr>
              <w:t>。</w:t>
            </w:r>
            <w:r>
              <w:rPr>
                <w:rFonts w:hint="eastAsia" w:ascii="宋体" w:hAnsi="宋体" w:cs="宋体"/>
                <w:color w:val="auto"/>
                <w:kern w:val="0"/>
                <w:szCs w:val="21"/>
                <w:highlight w:val="none"/>
                <w:lang w:bidi="ar"/>
              </w:rPr>
              <w:t xml:space="preserve"> </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正本和副本的封面上应清楚地标记“正本”或“副本”的字样。当副本和正本不一致时，以正本为准。电子文件与书面文件不一致时，以书面文件为准。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3" w:hRule="atLeast"/>
        </w:trPr>
        <w:tc>
          <w:tcPr>
            <w:tcW w:w="1004" w:type="dxa"/>
            <w:tcBorders>
              <w:top w:val="single" w:color="auto" w:sz="4" w:space="0"/>
              <w:bottom w:val="single" w:color="auto" w:sz="4" w:space="0"/>
            </w:tcBorders>
            <w:noWrap w:val="0"/>
            <w:vAlign w:val="center"/>
          </w:tcPr>
          <w:p>
            <w:pPr>
              <w:spacing w:line="240" w:lineRule="exact"/>
              <w:jc w:val="center"/>
              <w:rPr>
                <w:rFonts w:hint="eastAsia" w:ascii="宋体" w:hAnsi="宋体" w:cs="宋体"/>
                <w:color w:val="auto"/>
                <w:szCs w:val="21"/>
                <w:highlight w:val="none"/>
              </w:rPr>
            </w:pPr>
            <w:r>
              <w:rPr>
                <w:rFonts w:hint="eastAsia"/>
                <w:color w:val="auto"/>
                <w:szCs w:val="21"/>
                <w:highlight w:val="none"/>
              </w:rPr>
              <w:t>4.1</w:t>
            </w:r>
          </w:p>
        </w:tc>
        <w:tc>
          <w:tcPr>
            <w:tcW w:w="1545" w:type="dxa"/>
            <w:tcBorders>
              <w:top w:val="single" w:color="auto" w:sz="4" w:space="0"/>
              <w:bottom w:val="single" w:color="auto" w:sz="4" w:space="0"/>
            </w:tcBorders>
            <w:noWrap w:val="0"/>
            <w:vAlign w:val="center"/>
          </w:tcPr>
          <w:p>
            <w:pPr>
              <w:spacing w:line="240" w:lineRule="exact"/>
              <w:jc w:val="center"/>
              <w:rPr>
                <w:rFonts w:hint="eastAsia" w:ascii="宋体" w:hAnsi="宋体" w:cs="宋体"/>
                <w:color w:val="auto"/>
                <w:szCs w:val="21"/>
                <w:highlight w:val="none"/>
              </w:rPr>
            </w:pPr>
            <w:r>
              <w:rPr>
                <w:rFonts w:hint="eastAsia" w:ascii="宋体" w:hAnsi="宋体"/>
                <w:color w:val="auto"/>
                <w:szCs w:val="21"/>
                <w:highlight w:val="none"/>
              </w:rPr>
              <w:t>投标文件的密封</w:t>
            </w:r>
          </w:p>
        </w:tc>
        <w:tc>
          <w:tcPr>
            <w:tcW w:w="6523" w:type="dxa"/>
            <w:tcBorders>
              <w:top w:val="single" w:color="auto" w:sz="4" w:space="0"/>
              <w:bottom w:val="single" w:color="auto" w:sz="4" w:space="0"/>
            </w:tcBorders>
            <w:noWrap w:val="0"/>
            <w:vAlign w:val="center"/>
          </w:tcPr>
          <w:p>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第4.1.1项细化为：</w:t>
            </w:r>
          </w:p>
          <w:p>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本次招标采用双信封形式，投标文件第一信封（商务及技术文件）以及第二信封（投标报价和工程量清单）应单独密封包装。第一信封（商务及技术文件）的正本与副本应分别包装在相应的内层封套里，然后统一密封在一个外层封套中。第二信封（投标报价和工程量清单）的正本与副本应分别包装在相应的内层封套里，投标文件电子文件（如需要）以及填写完毕的工程量固化清单电子文件（若采用工程量固化清单形式）应与第二信封（投标报价和工程量清单）正本包在同一个内层封套里，然后统一密封在一个外层封套中。内层和外层封套均应加贴封条，内层封套的封口处应加盖投标人单位章。外层封套上不应有任何投标人的识别标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8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开标时间和地点</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第5.1款细化为：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招标人在投标人须知前附表规定的时间和地点对收到的投标文件第一信封（商务及技术文件）公开开标。</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招标人在投标人须知前附表规定的时间和地点对投标文件第二信封（投标报价和工程量清单）进行开标。</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开标结果由投标人的法定代表人或其委托代理人签字确认，若未签字确认，视为该投标人默认开标结果。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8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5.2</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开标程序</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第5.2.4（6）目细化为：</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（6）由招标人代表在开标现场当场抽取调整系数、复合系数和下浮系数；</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第5.2.4（7）目细化为：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按照开标顺序，首先宣布投标文件第一信封（商务及技术文件）评审情况，对通过第一信封（商务及技术文件）评审的投标文件第二信封进行当众开标，公布投标人名称、标段名称、投标报价及其他内容，并记录在案；</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第5.2.5项细化为：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5.2.5第二信封（投标报价和工程量清单）开标过程中，若招标人发现投标文件出现以下任一情况，经监标人确认并当场宣布为否决投标：</w:t>
            </w:r>
          </w:p>
          <w:p>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（1）未在投标函上填写投标总价；</w:t>
            </w:r>
          </w:p>
          <w:p>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（2）投标报价超出招标人公布的投标控制价。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6.3</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评标</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第6.3 款补充以下内容：</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浙江省综合性评标专家库管理办法实施细则》（浙发改法规[2014]645号）的规定，本项目的评标工作将在开标后24小时之内开始进行，投标人应考虑评标委员会要求澄清投标文件内容的需要，合理安排工作，以便评标工作顺利进行，所产生的一切费用均由投标人自行承担。</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凡评标委员会拟作出否决投标决定的，应先向投标人进行书面询问核实。未进行询问核实程序的，不得做出否决投标决定，投标人放弃接受询问核实机会的除外（投人所留联系方式无法联系上、在30分钟内投标人不参加询问核实或未出具答复意见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第三章“评标办法”中规定的否决投标情形，由评标委员会审核并经过询标程序，其投标文件作否决处理。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7.1</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定标方式</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第7.1款细化为：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招标人依据评标委员会推荐的中标候选人经公示后确定中标人，并报经相关主管部门备案；评标委员会推荐中标候选人的人数见投标人须知前附表。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6"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7.2</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中标通知</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第7.2款细化为：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在本章第3.3款规定的投标有效期内，并报经相关主管部门备案后，招标人以书面形式向中标人发出中标通知书，同时将中标结果通知未中标的投标人。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6"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7.3</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履约担保</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第7.3.1项细化为:</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7.3.1在签订合同协议书、廉政合同、安全生产合同、工程质量责任合同、工程资金监管协议签，中标人应按投标人须知前附表规定的金额、担保形式和招标文件第四章“合同条款”规定的履约担保格式向招标人提交履约担保。</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采用银行保函时，出具银行保函的银行级别在投标人须知前附表中说明，所需的费用由中标人承担，中标人应保证银行保函有效。</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第3.7.3项细化为：</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7.3.2中标人不能按本章第3.7.1项提交履约担保的，视为放弃中标，其投标保证金不予退还，给招标人造成的损失超过投标保证金数额，中标人还应当对超过部分予以赔偿。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6"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7.4</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签订合同</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第7.4.1项细化为：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7.4.1 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第7.4.2项细化为：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7.4.2发出中标通知书后，招标人无正当理由拒签合同的，招标人向中标人退还投标保证金；给中标人造成损失的，还应当赔偿损失。</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第7.4.4项细化为：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7.4.4合同协议书经双方法定代表人或其授权的代理人签署并加盖单位章后生效。发包人和中标人在签订合同协议书的同时需按照本招标文件规定的格式和要求签订廉政合同、安全生产合同、工程质量责任合同和工程资金监管协议，明确双方在廉政建设、安全生产、工程质量和工程资金监管方面的权利和义务以及应承担的违约责任。</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第7.4.5项细化为：</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7.4.5如果根据本章第3.5.8项、第7.3.2项或第7.4.1项规定，招标人取消了中标人的中标资格，或者排名第一的中标候选人放弃中标或因不可抗力不能履行合同，或者被查实存在影响中标结果的违法行为等情形，排名第一的中标候选人不符合中标条件的，招标人可以按规定重新组织招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8.1</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重新招标</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第8.1（3）款细化为：</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（3）中标候选人未与招标人签订合同的；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10.1</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需要补充的其他内容</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第10.1款细化为：</w:t>
            </w:r>
          </w:p>
          <w:p>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10.1 自下载招标文件之日起，投标人应自行关注平阳县政府门户网站公共资源交易网(http://www.zjpy.gov.cn/col/col1229353018/index.html）公告，以便能及时了解招标人发布的补遗书（补充、澄清、修改文件）等招标信息，否则招标人不承担由此引起的一切后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10.2</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结果公示</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补充10.2款：</w:t>
            </w:r>
          </w:p>
          <w:p>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评标结束后，招标人将评标结果、投标人投标不良行为、否决投标原因及依据、以及中标候选人与中标有关的类似项目业绩情况在平阳县政府门户网站公共资源交易网(http://www.zjpy.gov.cn/col/col1229353018/index.html）公示三个工作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10.3</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行贿查询</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补充10.3款：</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10.3 行贿查询</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对公示的推荐中标候选人及拟委任的项目经理，招标人经中国裁判文书网查询，查实推荐中标候选人或拟委任的项目经理自</w:t>
            </w:r>
            <w:r>
              <w:rPr>
                <w:rFonts w:hint="eastAsia" w:ascii="宋体" w:hAnsi="宋体" w:cs="宋体"/>
                <w:color w:val="auto"/>
                <w:szCs w:val="21"/>
                <w:highlight w:val="none"/>
                <w:lang w:eastAsia="zh-CN"/>
              </w:rPr>
              <w:t>2020年1月1日</w:t>
            </w:r>
            <w:r>
              <w:rPr>
                <w:rFonts w:hint="eastAsia" w:ascii="宋体" w:hAnsi="宋体" w:cs="宋体"/>
                <w:color w:val="auto"/>
                <w:szCs w:val="21"/>
                <w:highlight w:val="none"/>
              </w:rPr>
              <w:t>以来有行贿受贿犯罪行为的，则取消该中标候选人的中标资格。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10.4</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投标文件的拒收情形</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10.4投标文件的拒收情形</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1、未密封的投标文件。</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2、逾期送达的或者未送达指定地点的投标文件。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10.5</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否决投标的情形</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10.5否决投标的情形</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凡是评标委员会拟做出否决投标认定的，应组织相关投标人询标。未进行询标程序的，不得做出否决投标的认定，投标人放弃询标机会的除外（投标人所留联系方式无法联系上、在规定的时限内投标人不参加询标或不予答复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投标文件存在第三章评标办法2.1、3.1、3.2.4各条款所列否决投标情形之一的，由评标委员会审核并经过询标程序，其投标文件将被否决，除本“否决投标的情形”规定的以外，招标文件中其他条款均不得作为否决投标认定的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2"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10.6</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需要补充的其他内容</w:t>
            </w:r>
          </w:p>
        </w:tc>
        <w:tc>
          <w:tcPr>
            <w:tcW w:w="6523" w:type="dxa"/>
            <w:tcBorders>
              <w:top w:val="single" w:color="auto" w:sz="4" w:space="0"/>
              <w:bottom w:val="single" w:color="auto" w:sz="4" w:space="0"/>
            </w:tcBorders>
            <w:noWrap w:val="0"/>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10.6招标人上传的招标文件与经备案的纸质招标文件应相一致，如发生不一致的情况，以上传的招标文件为准。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10.7</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招标代理服务费</w:t>
            </w:r>
          </w:p>
        </w:tc>
        <w:tc>
          <w:tcPr>
            <w:tcW w:w="6523" w:type="dxa"/>
            <w:tcBorders>
              <w:top w:val="single" w:color="auto" w:sz="4" w:space="0"/>
              <w:bottom w:val="single" w:color="auto" w:sz="4" w:space="0"/>
            </w:tcBorders>
            <w:noWrap w:val="0"/>
            <w:vAlign w:val="top"/>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本项目招标代理服务费为</w:t>
            </w:r>
            <w:r>
              <w:rPr>
                <w:rFonts w:hint="eastAsia" w:ascii="宋体" w:hAnsi="宋体" w:cs="宋体"/>
                <w:color w:val="auto"/>
                <w:szCs w:val="21"/>
                <w:highlight w:val="none"/>
                <w:u w:val="single"/>
                <w:lang w:val="en-US" w:eastAsia="zh-CN"/>
              </w:rPr>
              <w:t>30900</w:t>
            </w:r>
            <w:r>
              <w:rPr>
                <w:rFonts w:hint="eastAsia" w:ascii="宋体" w:hAnsi="宋体" w:cs="宋体"/>
                <w:color w:val="auto"/>
                <w:szCs w:val="21"/>
                <w:highlight w:val="none"/>
              </w:rPr>
              <w:t>元。招标代理费用的支付：中标人应在收到中标通知书前一次性支付给招标代理单位。招标代理服务费无须单列，投标人在投标报价时应综合考虑该部分费用，发包人不再另行支付。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004"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10.8</w:t>
            </w:r>
          </w:p>
        </w:tc>
        <w:tc>
          <w:tcPr>
            <w:tcW w:w="1545" w:type="dxa"/>
            <w:tcBorders>
              <w:top w:val="single" w:color="auto" w:sz="4" w:space="0"/>
              <w:bottom w:val="single" w:color="auto" w:sz="4" w:space="0"/>
            </w:tcBorders>
            <w:noWrap w:val="0"/>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w:t>
            </w:r>
          </w:p>
        </w:tc>
        <w:tc>
          <w:tcPr>
            <w:tcW w:w="6523" w:type="dxa"/>
            <w:tcBorders>
              <w:top w:val="single" w:color="auto" w:sz="4" w:space="0"/>
              <w:bottom w:val="single" w:color="auto" w:sz="4" w:space="0"/>
            </w:tcBorders>
            <w:noWrap w:val="0"/>
            <w:vAlign w:val="top"/>
          </w:tcPr>
          <w:p>
            <w:pPr>
              <w:spacing w:line="360" w:lineRule="auto"/>
              <w:rPr>
                <w:rFonts w:hint="eastAsia"/>
                <w:color w:val="auto"/>
                <w:szCs w:val="22"/>
                <w:highlight w:val="none"/>
              </w:rPr>
            </w:pPr>
            <w:r>
              <w:rPr>
                <w:rFonts w:hint="eastAsia"/>
                <w:color w:val="auto"/>
                <w:highlight w:val="none"/>
              </w:rPr>
              <w:t>中</w:t>
            </w:r>
            <w:r>
              <w:rPr>
                <w:rFonts w:hint="eastAsia"/>
                <w:color w:val="auto"/>
                <w:szCs w:val="22"/>
                <w:highlight w:val="none"/>
              </w:rPr>
              <w:t>标单位在中标期间或施工期间，如有发生企业资质平移（法律主体发生变化），发包人可视为中标人无法履约，有权取消其中标资格或解除施工合同，中标人并承担相应赔偿责任。</w:t>
            </w:r>
          </w:p>
          <w:p>
            <w:pPr>
              <w:spacing w:line="360" w:lineRule="auto"/>
              <w:rPr>
                <w:rFonts w:hint="eastAsia"/>
                <w:color w:val="auto"/>
                <w:highlight w:val="none"/>
              </w:rPr>
            </w:pPr>
            <w:r>
              <w:rPr>
                <w:rFonts w:hint="eastAsia"/>
                <w:color w:val="auto"/>
                <w:szCs w:val="22"/>
                <w:highlight w:val="none"/>
              </w:rPr>
              <w:t>招标人上传的招标文件与经备案的纸质招标文件应相一致，如发生不一致的情况，以上传的招标文件为准。</w:t>
            </w:r>
          </w:p>
        </w:tc>
      </w:tr>
    </w:tbl>
    <w:p>
      <w:pPr>
        <w:spacing w:line="260" w:lineRule="exact"/>
        <w:rPr>
          <w:rFonts w:ascii="宋体" w:hAnsi="宋体"/>
          <w:color w:val="auto"/>
          <w:highlight w:val="none"/>
        </w:rPr>
      </w:pPr>
      <w:r>
        <w:rPr>
          <w:rFonts w:ascii="宋体" w:hAnsi="宋体"/>
          <w:color w:val="auto"/>
          <w:highlight w:val="none"/>
        </w:rPr>
        <w:br w:type="page"/>
      </w:r>
      <w:r>
        <w:rPr>
          <w:rFonts w:hint="eastAsia" w:ascii="宋体" w:hAnsi="宋体"/>
          <w:color w:val="auto"/>
          <w:highlight w:val="none"/>
        </w:rPr>
        <w:t>附录</w:t>
      </w:r>
    </w:p>
    <w:p>
      <w:pPr>
        <w:spacing w:line="400" w:lineRule="exact"/>
        <w:jc w:val="center"/>
        <w:outlineLvl w:val="2"/>
        <w:rPr>
          <w:rFonts w:ascii="宋体" w:hAnsi="宋体"/>
          <w:color w:val="auto"/>
          <w:sz w:val="28"/>
          <w:highlight w:val="none"/>
        </w:rPr>
      </w:pPr>
      <w:bookmarkStart w:id="46" w:name="_Toc9235"/>
      <w:bookmarkStart w:id="47" w:name="_Toc14693"/>
      <w:bookmarkStart w:id="48" w:name="_Toc21279"/>
      <w:bookmarkStart w:id="49" w:name="_Toc24936"/>
      <w:bookmarkStart w:id="50" w:name="_Toc466365728"/>
      <w:bookmarkStart w:id="51" w:name="_Toc239671836"/>
      <w:bookmarkStart w:id="52" w:name="_Toc8784"/>
      <w:r>
        <w:rPr>
          <w:rFonts w:hint="eastAsia" w:ascii="宋体" w:hAnsi="宋体"/>
          <w:color w:val="auto"/>
          <w:sz w:val="28"/>
          <w:highlight w:val="none"/>
        </w:rPr>
        <w:t>附录1  资格审查条件（资质最低条件）</w:t>
      </w:r>
      <w:bookmarkEnd w:id="46"/>
      <w:bookmarkEnd w:id="47"/>
      <w:bookmarkEnd w:id="48"/>
      <w:bookmarkEnd w:id="49"/>
      <w:bookmarkEnd w:id="50"/>
      <w:bookmarkEnd w:id="51"/>
      <w:bookmarkEnd w:id="52"/>
    </w:p>
    <w:p>
      <w:pPr>
        <w:spacing w:line="400" w:lineRule="exact"/>
        <w:jc w:val="center"/>
        <w:rPr>
          <w:rFonts w:ascii="宋体" w:hAnsi="宋体"/>
          <w:color w:val="auto"/>
          <w:highlight w:val="none"/>
        </w:rPr>
      </w:pPr>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65" w:hRule="atLeast"/>
        </w:trPr>
        <w:tc>
          <w:tcPr>
            <w:tcW w:w="9072" w:type="dxa"/>
            <w:noWrap w:val="0"/>
            <w:vAlign w:val="center"/>
          </w:tcPr>
          <w:p>
            <w:pPr>
              <w:spacing w:line="400" w:lineRule="exact"/>
              <w:jc w:val="center"/>
              <w:rPr>
                <w:rFonts w:ascii="宋体" w:hAnsi="宋体"/>
                <w:color w:val="auto"/>
                <w:sz w:val="24"/>
                <w:highlight w:val="none"/>
              </w:rPr>
            </w:pPr>
            <w:r>
              <w:rPr>
                <w:rFonts w:hint="eastAsia" w:ascii="宋体" w:hAnsi="宋体"/>
                <w:color w:val="auto"/>
                <w:sz w:val="24"/>
                <w:highlight w:val="none"/>
              </w:rPr>
              <w:t>施工企业资质等级要求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74" w:hRule="atLeast"/>
        </w:trPr>
        <w:tc>
          <w:tcPr>
            <w:tcW w:w="9072" w:type="dxa"/>
            <w:noWrap w:val="0"/>
            <w:vAlign w:val="center"/>
          </w:tcPr>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1、投标人具有独立法人资格，具有公路工程施工总承包三级及以上资质。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如投标人企业资质为公路工程施工总承包一级及以上资质的，应列入交通运输部网站(http://www.moc.gov.cn)全国公路建设市场信用信息管理系统最新公布的公路工程施工资质企业名录，且投标人名称与上述名录相符。</w:t>
            </w:r>
          </w:p>
        </w:tc>
      </w:tr>
    </w:tbl>
    <w:p>
      <w:pPr>
        <w:spacing w:line="400" w:lineRule="exact"/>
        <w:ind w:firstLine="420" w:firstLineChars="200"/>
        <w:rPr>
          <w:rFonts w:hint="eastAsia" w:ascii="宋体" w:hAnsi="宋体"/>
          <w:color w:val="auto"/>
          <w:szCs w:val="21"/>
          <w:highlight w:val="none"/>
        </w:rPr>
      </w:pPr>
    </w:p>
    <w:p>
      <w:pPr>
        <w:spacing w:line="400" w:lineRule="exact"/>
        <w:rPr>
          <w:rFonts w:hint="eastAsia" w:ascii="宋体" w:hAnsi="宋体"/>
          <w:color w:val="auto"/>
          <w:highlight w:val="none"/>
        </w:rPr>
      </w:pPr>
    </w:p>
    <w:p>
      <w:pPr>
        <w:spacing w:line="400" w:lineRule="exact"/>
        <w:rPr>
          <w:rFonts w:hint="eastAsia" w:ascii="宋体" w:hAnsi="宋体"/>
          <w:color w:val="auto"/>
          <w:highlight w:val="none"/>
        </w:rPr>
      </w:pPr>
    </w:p>
    <w:p>
      <w:pPr>
        <w:spacing w:line="400" w:lineRule="exact"/>
        <w:jc w:val="center"/>
        <w:rPr>
          <w:rFonts w:hint="eastAsia" w:ascii="宋体" w:hAnsi="宋体"/>
          <w:color w:val="auto"/>
          <w:sz w:val="28"/>
          <w:highlight w:val="none"/>
        </w:rPr>
      </w:pPr>
      <w:r>
        <w:rPr>
          <w:rFonts w:hint="eastAsia" w:ascii="宋体" w:hAnsi="宋体"/>
          <w:color w:val="auto"/>
          <w:sz w:val="28"/>
          <w:highlight w:val="none"/>
        </w:rPr>
        <w:br w:type="page"/>
      </w:r>
      <w:bookmarkStart w:id="53" w:name="_Toc15779"/>
      <w:bookmarkStart w:id="54" w:name="_Toc25468"/>
      <w:bookmarkStart w:id="55" w:name="_Toc239671837"/>
      <w:bookmarkStart w:id="56" w:name="_Toc2204"/>
      <w:bookmarkStart w:id="57" w:name="_Toc25017"/>
      <w:bookmarkStart w:id="58" w:name="_Toc10552"/>
    </w:p>
    <w:p>
      <w:pPr>
        <w:spacing w:line="400" w:lineRule="exact"/>
        <w:jc w:val="center"/>
        <w:outlineLvl w:val="2"/>
        <w:rPr>
          <w:rFonts w:ascii="宋体" w:hAnsi="宋体"/>
          <w:color w:val="auto"/>
          <w:sz w:val="28"/>
          <w:highlight w:val="none"/>
        </w:rPr>
      </w:pPr>
      <w:bookmarkStart w:id="59" w:name="_Toc466365729"/>
      <w:r>
        <w:rPr>
          <w:rFonts w:hint="eastAsia" w:ascii="宋体" w:hAnsi="宋体"/>
          <w:color w:val="auto"/>
          <w:sz w:val="28"/>
          <w:highlight w:val="none"/>
        </w:rPr>
        <w:t>附录2  资格审查条件（财务最低要求）</w:t>
      </w:r>
      <w:bookmarkEnd w:id="53"/>
      <w:bookmarkEnd w:id="54"/>
      <w:bookmarkEnd w:id="55"/>
      <w:bookmarkEnd w:id="56"/>
      <w:bookmarkEnd w:id="57"/>
      <w:bookmarkEnd w:id="58"/>
      <w:bookmarkEnd w:id="59"/>
    </w:p>
    <w:p>
      <w:pPr>
        <w:spacing w:line="400" w:lineRule="exact"/>
        <w:jc w:val="center"/>
        <w:rPr>
          <w:rFonts w:ascii="宋体" w:hAnsi="宋体"/>
          <w:color w:val="auto"/>
          <w:sz w:val="28"/>
          <w:highlight w:val="none"/>
        </w:rPr>
      </w:pPr>
    </w:p>
    <w:tbl>
      <w:tblPr>
        <w:tblStyle w:val="17"/>
        <w:tblW w:w="0" w:type="auto"/>
        <w:tblInd w:w="39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8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788" w:type="dxa"/>
            <w:noWrap w:val="0"/>
            <w:vAlign w:val="center"/>
          </w:tcPr>
          <w:p>
            <w:pPr>
              <w:jc w:val="center"/>
              <w:rPr>
                <w:rFonts w:ascii="宋体" w:hAnsi="宋体"/>
                <w:color w:val="auto"/>
                <w:highlight w:val="none"/>
              </w:rPr>
            </w:pPr>
            <w:r>
              <w:rPr>
                <w:rFonts w:hint="eastAsia" w:ascii="宋体" w:hAnsi="宋体"/>
                <w:color w:val="auto"/>
                <w:highlight w:val="none"/>
              </w:rPr>
              <w:t>财务要求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41" w:hRule="atLeast"/>
        </w:trPr>
        <w:tc>
          <w:tcPr>
            <w:tcW w:w="8788" w:type="dxa"/>
            <w:noWrap w:val="0"/>
            <w:vAlign w:val="center"/>
          </w:tcPr>
          <w:p>
            <w:pPr>
              <w:spacing w:line="360" w:lineRule="auto"/>
              <w:ind w:firstLine="420" w:firstLineChars="200"/>
              <w:rPr>
                <w:rFonts w:hint="eastAsia" w:ascii="宋体" w:hAnsi="宋体"/>
                <w:color w:val="auto"/>
                <w:highlight w:val="none"/>
              </w:rPr>
            </w:pPr>
            <w:r>
              <w:rPr>
                <w:rFonts w:hint="eastAsia" w:ascii="宋体" w:hAnsi="宋体"/>
                <w:color w:val="auto"/>
                <w:highlight w:val="none"/>
              </w:rPr>
              <w:t>承诺提供不少于</w:t>
            </w:r>
            <w:r>
              <w:rPr>
                <w:rFonts w:hint="eastAsia" w:ascii="宋体" w:hAnsi="宋体"/>
                <w:color w:val="auto"/>
                <w:highlight w:val="none"/>
                <w:lang w:val="en-US" w:eastAsia="zh-CN"/>
              </w:rPr>
              <w:t>5</w:t>
            </w:r>
            <w:r>
              <w:rPr>
                <w:rFonts w:hint="eastAsia" w:ascii="宋体" w:hAnsi="宋体"/>
                <w:color w:val="auto"/>
                <w:highlight w:val="none"/>
              </w:rPr>
              <w:t>0万元人民币的流动资金（由投标人自行决定采用银行信贷证明或财务</w:t>
            </w:r>
          </w:p>
          <w:p>
            <w:pPr>
              <w:spacing w:line="360" w:lineRule="auto"/>
              <w:rPr>
                <w:rFonts w:hint="eastAsia" w:ascii="宋体" w:hAnsi="宋体"/>
                <w:color w:val="auto"/>
                <w:highlight w:val="none"/>
              </w:rPr>
            </w:pPr>
            <w:r>
              <w:rPr>
                <w:rFonts w:hint="eastAsia" w:ascii="宋体" w:hAnsi="宋体"/>
                <w:color w:val="auto"/>
                <w:highlight w:val="none"/>
              </w:rPr>
              <w:t>能力承诺书）。</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若采用银行信贷证明，开具银行信贷证明的银行级别：国有或股份制商业银行县（区、市）</w:t>
            </w:r>
          </w:p>
          <w:p>
            <w:pPr>
              <w:spacing w:line="360" w:lineRule="auto"/>
              <w:rPr>
                <w:rFonts w:ascii="宋体" w:hAnsi="宋体"/>
                <w:color w:val="auto"/>
                <w:highlight w:val="none"/>
              </w:rPr>
            </w:pPr>
            <w:r>
              <w:rPr>
                <w:rFonts w:hint="eastAsia" w:ascii="宋体" w:hAnsi="宋体"/>
                <w:color w:val="auto"/>
                <w:highlight w:val="none"/>
              </w:rPr>
              <w:t>级及以上支行。</w:t>
            </w:r>
          </w:p>
        </w:tc>
      </w:tr>
    </w:tbl>
    <w:p>
      <w:pPr>
        <w:spacing w:line="400" w:lineRule="exact"/>
        <w:rPr>
          <w:rFonts w:ascii="宋体" w:hAnsi="宋体"/>
          <w:color w:val="auto"/>
          <w:highlight w:val="none"/>
        </w:rPr>
      </w:pPr>
    </w:p>
    <w:p>
      <w:pPr>
        <w:spacing w:line="400" w:lineRule="exact"/>
        <w:jc w:val="center"/>
        <w:outlineLvl w:val="2"/>
        <w:rPr>
          <w:rFonts w:ascii="宋体" w:hAnsi="宋体"/>
          <w:color w:val="auto"/>
          <w:sz w:val="28"/>
          <w:highlight w:val="none"/>
        </w:rPr>
      </w:pPr>
      <w:r>
        <w:rPr>
          <w:rFonts w:ascii="宋体" w:hAnsi="宋体"/>
          <w:color w:val="auto"/>
          <w:highlight w:val="none"/>
        </w:rPr>
        <w:br w:type="page"/>
      </w:r>
      <w:bookmarkStart w:id="60" w:name="_Toc239671839"/>
      <w:bookmarkStart w:id="61" w:name="_Toc19847"/>
      <w:bookmarkStart w:id="62" w:name="_Toc19970"/>
      <w:bookmarkStart w:id="63" w:name="_Toc16258"/>
      <w:bookmarkStart w:id="64" w:name="_Toc466365730"/>
      <w:bookmarkStart w:id="65" w:name="_Toc10875"/>
      <w:bookmarkStart w:id="66" w:name="_Toc19049"/>
      <w:r>
        <w:rPr>
          <w:rFonts w:hint="eastAsia" w:ascii="宋体" w:hAnsi="宋体"/>
          <w:color w:val="auto"/>
          <w:sz w:val="28"/>
          <w:highlight w:val="none"/>
        </w:rPr>
        <w:t>附录3  资格审查条件（业绩最低要求）</w:t>
      </w:r>
      <w:bookmarkEnd w:id="60"/>
      <w:bookmarkEnd w:id="61"/>
      <w:bookmarkEnd w:id="62"/>
      <w:bookmarkEnd w:id="63"/>
      <w:bookmarkEnd w:id="64"/>
      <w:bookmarkEnd w:id="65"/>
      <w:bookmarkEnd w:id="66"/>
    </w:p>
    <w:p>
      <w:pPr>
        <w:spacing w:line="400" w:lineRule="exact"/>
        <w:jc w:val="center"/>
        <w:rPr>
          <w:rFonts w:ascii="宋体" w:hAnsi="宋体"/>
          <w:color w:val="auto"/>
          <w:sz w:val="28"/>
          <w:highlight w:val="none"/>
        </w:rPr>
      </w:pP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64" w:hRule="atLeast"/>
        </w:trPr>
        <w:tc>
          <w:tcPr>
            <w:tcW w:w="9072" w:type="dxa"/>
            <w:noWrap w:val="0"/>
            <w:vAlign w:val="center"/>
          </w:tcPr>
          <w:p>
            <w:pPr>
              <w:jc w:val="center"/>
              <w:rPr>
                <w:rFonts w:ascii="宋体" w:hAnsi="宋体"/>
                <w:color w:val="auto"/>
                <w:highlight w:val="none"/>
              </w:rPr>
            </w:pPr>
            <w:r>
              <w:rPr>
                <w:rFonts w:hint="eastAsia" w:ascii="宋体" w:hAnsi="宋体"/>
                <w:color w:val="auto"/>
                <w:highlight w:val="none"/>
              </w:rPr>
              <w:t>业绩要求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8" w:hRule="atLeast"/>
        </w:trPr>
        <w:tc>
          <w:tcPr>
            <w:tcW w:w="9072" w:type="dxa"/>
            <w:noWrap w:val="0"/>
            <w:vAlign w:val="center"/>
          </w:tcPr>
          <w:p>
            <w:pPr>
              <w:spacing w:line="400" w:lineRule="exact"/>
              <w:rPr>
                <w:rFonts w:hint="eastAsia" w:ascii="宋体" w:hAnsi="宋体"/>
                <w:color w:val="auto"/>
                <w:highlight w:val="none"/>
              </w:rPr>
            </w:pPr>
            <w:r>
              <w:rPr>
                <w:rFonts w:hint="eastAsia" w:ascii="宋体" w:hAnsi="宋体"/>
                <w:color w:val="auto"/>
                <w:highlight w:val="none"/>
              </w:rPr>
              <w:t>本项目不</w:t>
            </w:r>
            <w:r>
              <w:rPr>
                <w:rFonts w:hint="eastAsia" w:ascii="宋体" w:hAnsi="宋体" w:cs="宋体"/>
                <w:color w:val="auto"/>
                <w:szCs w:val="21"/>
                <w:highlight w:val="none"/>
              </w:rPr>
              <w:t>作要求</w:t>
            </w:r>
          </w:p>
        </w:tc>
      </w:tr>
    </w:tbl>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hint="eastAsia"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320" w:lineRule="exact"/>
        <w:textAlignment w:val="baseline"/>
        <w:rPr>
          <w:rFonts w:hint="eastAsia" w:ascii="宋体" w:hAnsi="宋体"/>
          <w:color w:val="auto"/>
          <w:highlight w:val="none"/>
        </w:rPr>
      </w:pPr>
      <w:bookmarkStart w:id="67" w:name="_Toc239671841"/>
      <w:bookmarkStart w:id="68" w:name="_Toc239671842"/>
      <w:bookmarkStart w:id="69" w:name="_Toc28881"/>
      <w:bookmarkStart w:id="70" w:name="_Toc238900310"/>
      <w:bookmarkStart w:id="71" w:name="_Toc31578"/>
      <w:bookmarkStart w:id="72" w:name="_Toc26221"/>
    </w:p>
    <w:p>
      <w:pPr>
        <w:spacing w:line="400" w:lineRule="exact"/>
        <w:jc w:val="center"/>
        <w:outlineLvl w:val="2"/>
        <w:rPr>
          <w:rFonts w:ascii="宋体" w:hAnsi="宋体"/>
          <w:color w:val="auto"/>
          <w:sz w:val="28"/>
          <w:highlight w:val="none"/>
        </w:rPr>
      </w:pPr>
      <w:bookmarkStart w:id="73" w:name="_Toc466365731"/>
      <w:r>
        <w:rPr>
          <w:rFonts w:hint="eastAsia" w:ascii="宋体" w:hAnsi="宋体"/>
          <w:color w:val="auto"/>
          <w:sz w:val="28"/>
          <w:highlight w:val="none"/>
        </w:rPr>
        <w:t>附录4 资格审查条件（信誉最低要求）</w:t>
      </w:r>
      <w:bookmarkEnd w:id="73"/>
    </w:p>
    <w:p>
      <w:pPr>
        <w:spacing w:line="400" w:lineRule="exact"/>
        <w:jc w:val="center"/>
        <w:rPr>
          <w:rFonts w:ascii="宋体" w:hAnsi="宋体"/>
          <w:color w:val="auto"/>
          <w:sz w:val="28"/>
          <w:highlight w:val="none"/>
        </w:rPr>
      </w:pP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64" w:hRule="atLeast"/>
        </w:trPr>
        <w:tc>
          <w:tcPr>
            <w:tcW w:w="9072" w:type="dxa"/>
            <w:noWrap w:val="0"/>
            <w:vAlign w:val="center"/>
          </w:tcPr>
          <w:p>
            <w:pPr>
              <w:jc w:val="center"/>
              <w:rPr>
                <w:rFonts w:ascii="宋体" w:hAnsi="宋体"/>
                <w:color w:val="auto"/>
                <w:highlight w:val="none"/>
              </w:rPr>
            </w:pPr>
            <w:r>
              <w:rPr>
                <w:rFonts w:hint="eastAsia" w:ascii="宋体" w:hAnsi="宋体"/>
                <w:color w:val="auto"/>
                <w:highlight w:val="none"/>
              </w:rPr>
              <w:t>信誉要求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8" w:hRule="atLeast"/>
        </w:trPr>
        <w:tc>
          <w:tcPr>
            <w:tcW w:w="9072" w:type="dxa"/>
            <w:noWrap w:val="0"/>
            <w:vAlign w:val="center"/>
          </w:tcPr>
          <w:p>
            <w:pPr>
              <w:spacing w:line="400" w:lineRule="exact"/>
              <w:ind w:firstLine="420" w:firstLineChars="200"/>
              <w:rPr>
                <w:rFonts w:hint="eastAsia"/>
                <w:color w:val="auto"/>
                <w:highlight w:val="none"/>
              </w:rPr>
            </w:pPr>
            <w:r>
              <w:rPr>
                <w:rFonts w:hint="eastAsia"/>
                <w:color w:val="auto"/>
                <w:highlight w:val="none"/>
              </w:rPr>
              <w:t>1、不存在投标人须知第1.4.3项的情形；</w:t>
            </w:r>
          </w:p>
          <w:p>
            <w:pPr>
              <w:spacing w:line="400" w:lineRule="exact"/>
              <w:ind w:firstLine="420" w:firstLineChars="200"/>
              <w:rPr>
                <w:rFonts w:hint="eastAsia"/>
                <w:color w:val="auto"/>
                <w:highlight w:val="none"/>
              </w:rPr>
            </w:pPr>
            <w:r>
              <w:rPr>
                <w:rFonts w:hint="eastAsia"/>
                <w:color w:val="auto"/>
                <w:highlight w:val="none"/>
              </w:rPr>
              <w:t>2、近三年（自</w:t>
            </w:r>
            <w:r>
              <w:rPr>
                <w:rFonts w:hint="eastAsia"/>
                <w:color w:val="auto"/>
                <w:highlight w:val="none"/>
                <w:lang w:eastAsia="zh-CN"/>
              </w:rPr>
              <w:t>2020年1月1日</w:t>
            </w:r>
            <w:r>
              <w:rPr>
                <w:rFonts w:hint="eastAsia"/>
                <w:color w:val="auto"/>
                <w:highlight w:val="none"/>
              </w:rPr>
              <w:t>以来），投标人无行贿犯罪行为；</w:t>
            </w:r>
          </w:p>
          <w:p>
            <w:pPr>
              <w:spacing w:line="400" w:lineRule="exact"/>
              <w:ind w:firstLine="420" w:firstLineChars="200"/>
              <w:rPr>
                <w:rFonts w:hint="eastAsia"/>
                <w:color w:val="auto"/>
                <w:highlight w:val="none"/>
              </w:rPr>
            </w:pPr>
            <w:r>
              <w:rPr>
                <w:rFonts w:hint="eastAsia"/>
                <w:color w:val="auto"/>
                <w:highlight w:val="none"/>
              </w:rPr>
              <w:t>3、投标人在投标截止时间前没有被人民法院列入失信被执行人（法人或其他组织）名单（已执行完结需提供法院结案的有关法律文书）。</w:t>
            </w:r>
          </w:p>
          <w:p>
            <w:pPr>
              <w:pStyle w:val="2"/>
              <w:spacing w:before="120"/>
              <w:ind w:firstLineChars="200"/>
              <w:rPr>
                <w:rFonts w:hint="eastAsia"/>
                <w:color w:val="auto"/>
                <w:highlight w:val="none"/>
              </w:rPr>
            </w:pPr>
            <w:r>
              <w:rPr>
                <w:rFonts w:hint="eastAsia"/>
                <w:color w:val="auto"/>
                <w:highlight w:val="none"/>
              </w:rPr>
              <w:t>4、</w:t>
            </w:r>
            <w:bookmarkStart w:id="74" w:name="_Toc526234602"/>
            <w:bookmarkStart w:id="75" w:name="_Toc526106189"/>
            <w:bookmarkStart w:id="76" w:name="_Toc526109108"/>
            <w:bookmarkStart w:id="77" w:name="_Toc526331292"/>
            <w:r>
              <w:rPr>
                <w:rFonts w:hint="eastAsia"/>
                <w:color w:val="auto"/>
                <w:szCs w:val="24"/>
                <w:highlight w:val="none"/>
              </w:rPr>
              <w:t>未被工商行政管理部门在国家企业信息公示系统中列入严重违法企业名单的。</w:t>
            </w:r>
            <w:bookmarkEnd w:id="74"/>
            <w:bookmarkEnd w:id="75"/>
            <w:bookmarkEnd w:id="76"/>
            <w:bookmarkEnd w:id="77"/>
          </w:p>
        </w:tc>
      </w:tr>
    </w:tbl>
    <w:p>
      <w:pPr>
        <w:spacing w:line="320" w:lineRule="exact"/>
        <w:textAlignment w:val="baseline"/>
        <w:rPr>
          <w:rFonts w:hint="eastAsia" w:ascii="宋体" w:hAnsi="宋体"/>
          <w:color w:val="auto"/>
          <w:highlight w:val="none"/>
        </w:rPr>
      </w:pPr>
      <w:r>
        <w:rPr>
          <w:rFonts w:hint="eastAsia" w:ascii="宋体" w:hAnsi="宋体"/>
          <w:color w:val="auto"/>
          <w:highlight w:val="none"/>
        </w:rPr>
        <w:t>注：投标人有无行贿犯罪行为认定：以中国裁判文书网查询结果为准，时间以法院判决书判决日期</w:t>
      </w:r>
    </w:p>
    <w:p>
      <w:pPr>
        <w:spacing w:line="320" w:lineRule="exact"/>
        <w:textAlignment w:val="baseline"/>
        <w:rPr>
          <w:rFonts w:hint="eastAsia" w:ascii="宋体" w:hAnsi="宋体"/>
          <w:color w:val="auto"/>
          <w:highlight w:val="none"/>
        </w:rPr>
      </w:pPr>
      <w:r>
        <w:rPr>
          <w:rFonts w:hint="eastAsia" w:ascii="宋体" w:hAnsi="宋体"/>
          <w:color w:val="auto"/>
          <w:highlight w:val="none"/>
        </w:rPr>
        <w:t>为准，投标人按投标文件格式（九）履约行为表提供即可。</w:t>
      </w:r>
    </w:p>
    <w:p>
      <w:pPr>
        <w:spacing w:line="320" w:lineRule="exact"/>
        <w:textAlignment w:val="baseline"/>
        <w:rPr>
          <w:rFonts w:hint="eastAsia" w:ascii="宋体" w:hAnsi="宋体"/>
          <w:color w:val="auto"/>
          <w:highlight w:val="none"/>
        </w:rPr>
      </w:pPr>
      <w:r>
        <w:rPr>
          <w:rFonts w:hint="eastAsia" w:ascii="宋体" w:hAnsi="宋体"/>
          <w:color w:val="auto"/>
          <w:highlight w:val="none"/>
        </w:rPr>
        <w:t xml:space="preserve"> </w:t>
      </w:r>
    </w:p>
    <w:p>
      <w:pPr>
        <w:spacing w:line="400" w:lineRule="exact"/>
        <w:jc w:val="center"/>
        <w:outlineLvl w:val="2"/>
        <w:rPr>
          <w:rFonts w:ascii="宋体" w:hAnsi="宋体"/>
          <w:color w:val="auto"/>
          <w:highlight w:val="none"/>
        </w:rPr>
      </w:pPr>
    </w:p>
    <w:p>
      <w:pPr>
        <w:spacing w:line="400" w:lineRule="exact"/>
        <w:jc w:val="center"/>
        <w:outlineLvl w:val="2"/>
        <w:rPr>
          <w:rFonts w:ascii="宋体" w:hAnsi="宋体"/>
          <w:color w:val="auto"/>
          <w:highlight w:val="none"/>
        </w:rPr>
      </w:pPr>
    </w:p>
    <w:p>
      <w:pPr>
        <w:spacing w:line="400" w:lineRule="exact"/>
        <w:jc w:val="center"/>
        <w:outlineLvl w:val="2"/>
        <w:rPr>
          <w:rFonts w:ascii="宋体" w:hAnsi="宋体"/>
          <w:color w:val="auto"/>
          <w:highlight w:val="none"/>
        </w:rPr>
      </w:pPr>
    </w:p>
    <w:p>
      <w:pPr>
        <w:spacing w:line="400" w:lineRule="exact"/>
        <w:jc w:val="center"/>
        <w:outlineLvl w:val="2"/>
        <w:rPr>
          <w:rFonts w:ascii="宋体" w:hAnsi="宋体"/>
          <w:color w:val="auto"/>
          <w:highlight w:val="none"/>
        </w:rPr>
      </w:pPr>
    </w:p>
    <w:p>
      <w:pPr>
        <w:spacing w:line="400" w:lineRule="exact"/>
        <w:jc w:val="center"/>
        <w:outlineLvl w:val="2"/>
        <w:rPr>
          <w:rFonts w:ascii="宋体" w:hAnsi="宋体"/>
          <w:color w:val="auto"/>
          <w:highlight w:val="none"/>
        </w:rPr>
      </w:pPr>
    </w:p>
    <w:p>
      <w:pPr>
        <w:spacing w:line="400" w:lineRule="exact"/>
        <w:jc w:val="center"/>
        <w:outlineLvl w:val="2"/>
        <w:rPr>
          <w:rFonts w:ascii="宋体" w:hAnsi="宋体"/>
          <w:color w:val="auto"/>
          <w:highlight w:val="none"/>
        </w:rPr>
      </w:pPr>
    </w:p>
    <w:p>
      <w:pPr>
        <w:spacing w:line="400" w:lineRule="exact"/>
        <w:jc w:val="center"/>
        <w:outlineLvl w:val="2"/>
        <w:rPr>
          <w:rFonts w:ascii="宋体" w:hAnsi="宋体"/>
          <w:color w:val="auto"/>
          <w:highlight w:val="none"/>
        </w:rPr>
      </w:pPr>
    </w:p>
    <w:p>
      <w:pPr>
        <w:spacing w:line="400" w:lineRule="exact"/>
        <w:jc w:val="center"/>
        <w:outlineLvl w:val="2"/>
        <w:rPr>
          <w:rFonts w:ascii="宋体" w:hAnsi="宋体"/>
          <w:color w:val="auto"/>
          <w:highlight w:val="none"/>
        </w:rPr>
      </w:pPr>
    </w:p>
    <w:p>
      <w:pPr>
        <w:spacing w:line="400" w:lineRule="exact"/>
        <w:jc w:val="center"/>
        <w:outlineLvl w:val="2"/>
        <w:rPr>
          <w:rFonts w:hint="eastAsia" w:ascii="宋体" w:hAnsi="宋体"/>
          <w:color w:val="auto"/>
          <w:sz w:val="28"/>
          <w:highlight w:val="none"/>
        </w:rPr>
      </w:pPr>
      <w:r>
        <w:rPr>
          <w:rFonts w:ascii="宋体" w:hAnsi="宋体"/>
          <w:color w:val="auto"/>
          <w:highlight w:val="none"/>
        </w:rPr>
        <w:br w:type="page"/>
      </w:r>
      <w:bookmarkStart w:id="78" w:name="_Toc466365732"/>
      <w:r>
        <w:rPr>
          <w:rFonts w:hint="eastAsia" w:ascii="宋体" w:hAnsi="宋体"/>
          <w:color w:val="auto"/>
          <w:sz w:val="28"/>
          <w:highlight w:val="none"/>
        </w:rPr>
        <w:t>附录5  资格审查条件（项目经理和项目总工最低要求）</w:t>
      </w:r>
      <w:bookmarkEnd w:id="78"/>
    </w:p>
    <w:p>
      <w:pPr>
        <w:spacing w:line="400" w:lineRule="exact"/>
        <w:rPr>
          <w:rFonts w:hint="eastAsia" w:ascii="宋体" w:hAnsi="宋体"/>
          <w:color w:val="auto"/>
          <w:sz w:val="18"/>
          <w:szCs w:val="18"/>
          <w:highlight w:val="none"/>
        </w:rPr>
      </w:pP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993"/>
        <w:gridCol w:w="63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75" w:hRule="atLeast"/>
          <w:jc w:val="center"/>
        </w:trPr>
        <w:tc>
          <w:tcPr>
            <w:tcW w:w="1656" w:type="dxa"/>
            <w:noWrap w:val="0"/>
            <w:vAlign w:val="center"/>
          </w:tcPr>
          <w:p>
            <w:pPr>
              <w:spacing w:line="400" w:lineRule="exact"/>
              <w:jc w:val="center"/>
              <w:rPr>
                <w:rFonts w:ascii="宋体" w:hAnsi="宋体"/>
                <w:color w:val="auto"/>
                <w:highlight w:val="none"/>
              </w:rPr>
            </w:pPr>
            <w:r>
              <w:rPr>
                <w:rFonts w:hint="eastAsia" w:ascii="宋体" w:hAnsi="宋体"/>
                <w:color w:val="auto"/>
                <w:highlight w:val="none"/>
              </w:rPr>
              <w:t>人员</w:t>
            </w:r>
          </w:p>
        </w:tc>
        <w:tc>
          <w:tcPr>
            <w:tcW w:w="993" w:type="dxa"/>
            <w:noWrap w:val="0"/>
            <w:vAlign w:val="center"/>
          </w:tcPr>
          <w:p>
            <w:pPr>
              <w:spacing w:line="400" w:lineRule="exact"/>
              <w:jc w:val="center"/>
              <w:rPr>
                <w:rFonts w:ascii="宋体" w:hAnsi="宋体"/>
                <w:color w:val="auto"/>
                <w:highlight w:val="none"/>
              </w:rPr>
            </w:pPr>
            <w:r>
              <w:rPr>
                <w:rFonts w:hint="eastAsia" w:ascii="宋体" w:hAnsi="宋体"/>
                <w:color w:val="auto"/>
                <w:highlight w:val="none"/>
              </w:rPr>
              <w:t>数量</w:t>
            </w:r>
          </w:p>
        </w:tc>
        <w:tc>
          <w:tcPr>
            <w:tcW w:w="6330" w:type="dxa"/>
            <w:noWrap w:val="0"/>
            <w:vAlign w:val="center"/>
          </w:tcPr>
          <w:p>
            <w:pPr>
              <w:spacing w:line="400" w:lineRule="exact"/>
              <w:jc w:val="center"/>
              <w:rPr>
                <w:rFonts w:hint="eastAsia" w:ascii="宋体" w:hAnsi="宋体"/>
                <w:color w:val="auto"/>
                <w:highlight w:val="none"/>
              </w:rPr>
            </w:pPr>
            <w:r>
              <w:rPr>
                <w:rFonts w:hint="eastAsia" w:ascii="宋体" w:hAnsi="宋体"/>
                <w:color w:val="auto"/>
                <w:highlight w:val="none"/>
              </w:rPr>
              <w:t>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3" w:hRule="atLeast"/>
          <w:jc w:val="center"/>
        </w:trPr>
        <w:tc>
          <w:tcPr>
            <w:tcW w:w="1656" w:type="dxa"/>
            <w:noWrap w:val="0"/>
            <w:vAlign w:val="center"/>
          </w:tcPr>
          <w:p>
            <w:pPr>
              <w:spacing w:line="300" w:lineRule="exact"/>
              <w:jc w:val="center"/>
              <w:rPr>
                <w:rFonts w:ascii="宋体" w:hAnsi="宋体"/>
                <w:color w:val="auto"/>
                <w:highlight w:val="none"/>
              </w:rPr>
            </w:pPr>
            <w:r>
              <w:rPr>
                <w:rFonts w:hint="eastAsia" w:ascii="宋体" w:hAnsi="宋体"/>
                <w:color w:val="auto"/>
                <w:highlight w:val="none"/>
              </w:rPr>
              <w:t>项目经理</w:t>
            </w:r>
          </w:p>
        </w:tc>
        <w:tc>
          <w:tcPr>
            <w:tcW w:w="993" w:type="dxa"/>
            <w:noWrap w:val="0"/>
            <w:vAlign w:val="center"/>
          </w:tcPr>
          <w:p>
            <w:pPr>
              <w:spacing w:line="300" w:lineRule="exact"/>
              <w:jc w:val="center"/>
              <w:rPr>
                <w:rFonts w:ascii="宋体" w:hAnsi="宋体"/>
                <w:color w:val="auto"/>
                <w:highlight w:val="none"/>
              </w:rPr>
            </w:pPr>
            <w:r>
              <w:rPr>
                <w:rFonts w:hint="eastAsia" w:ascii="宋体" w:hAnsi="宋体"/>
                <w:color w:val="auto"/>
                <w:highlight w:val="none"/>
              </w:rPr>
              <w:t>1</w:t>
            </w:r>
          </w:p>
        </w:tc>
        <w:tc>
          <w:tcPr>
            <w:tcW w:w="6330" w:type="dxa"/>
            <w:noWrap w:val="0"/>
            <w:vAlign w:val="center"/>
          </w:tcPr>
          <w:p>
            <w:pPr>
              <w:pStyle w:val="2"/>
              <w:numPr>
                <w:ilvl w:val="0"/>
                <w:numId w:val="2"/>
              </w:numPr>
              <w:spacing w:before="0" w:beforeLines="0" w:after="0" w:line="360" w:lineRule="auto"/>
              <w:ind w:firstLine="210"/>
              <w:rPr>
                <w:rFonts w:hint="eastAsia"/>
                <w:color w:val="auto"/>
                <w:szCs w:val="22"/>
                <w:highlight w:val="none"/>
              </w:rPr>
            </w:pPr>
            <w:r>
              <w:rPr>
                <w:rFonts w:hint="eastAsia"/>
                <w:color w:val="auto"/>
                <w:szCs w:val="22"/>
                <w:highlight w:val="none"/>
              </w:rPr>
              <w:t>持有公路工程专业二级及以上建造师注册证书，并具备公路工程相关专业中级及以上职称，并有在有效期内的项目经理安全生产考核合格证书（B 类）。上述建造师注册证书和安全生产考核合格证书（B 类）中的聘用企业名称应与投标人名称一致。</w:t>
            </w:r>
          </w:p>
          <w:p>
            <w:pPr>
              <w:pStyle w:val="2"/>
              <w:numPr>
                <w:ilvl w:val="0"/>
                <w:numId w:val="2"/>
              </w:numPr>
              <w:spacing w:before="0" w:beforeLines="0" w:after="0" w:line="360" w:lineRule="auto"/>
              <w:ind w:firstLine="210"/>
              <w:rPr>
                <w:rFonts w:hint="eastAsia"/>
                <w:color w:val="auto"/>
                <w:szCs w:val="22"/>
                <w:highlight w:val="none"/>
              </w:rPr>
            </w:pPr>
            <w:r>
              <w:rPr>
                <w:rFonts w:hint="eastAsia"/>
                <w:color w:val="auto"/>
                <w:szCs w:val="22"/>
                <w:highlight w:val="none"/>
              </w:rPr>
              <w:t>拟委任的项目经理未在其他在建合同工程中任项目经理。</w:t>
            </w:r>
          </w:p>
          <w:p>
            <w:pPr>
              <w:pStyle w:val="2"/>
              <w:spacing w:before="0" w:beforeLines="0" w:after="0" w:line="360" w:lineRule="auto"/>
              <w:ind w:firstLine="210"/>
              <w:rPr>
                <w:rFonts w:hint="eastAsia"/>
                <w:color w:val="auto"/>
                <w:szCs w:val="22"/>
                <w:highlight w:val="none"/>
              </w:rPr>
            </w:pPr>
            <w:r>
              <w:rPr>
                <w:rFonts w:hint="eastAsia"/>
                <w:color w:val="auto"/>
                <w:szCs w:val="22"/>
                <w:highlight w:val="none"/>
              </w:rPr>
              <w:t xml:space="preserve">3、自 2019年 </w:t>
            </w:r>
            <w:r>
              <w:rPr>
                <w:rFonts w:hint="eastAsia"/>
                <w:color w:val="auto"/>
                <w:szCs w:val="22"/>
                <w:highlight w:val="none"/>
                <w:lang w:val="en-US" w:eastAsia="zh-CN"/>
              </w:rPr>
              <w:t>7</w:t>
            </w:r>
            <w:r>
              <w:rPr>
                <w:rFonts w:hint="eastAsia"/>
                <w:color w:val="auto"/>
                <w:szCs w:val="22"/>
                <w:highlight w:val="none"/>
              </w:rPr>
              <w:t>月 1 日以来，拟委任项目经理无行贿犯罪行为。</w:t>
            </w:r>
          </w:p>
          <w:p>
            <w:pPr>
              <w:pStyle w:val="2"/>
              <w:spacing w:before="0" w:beforeLines="0" w:after="0" w:line="360" w:lineRule="auto"/>
              <w:ind w:firstLine="210"/>
              <w:rPr>
                <w:rFonts w:hint="eastAsia"/>
                <w:color w:val="auto"/>
                <w:highlight w:val="none"/>
              </w:rPr>
            </w:pPr>
            <w:r>
              <w:rPr>
                <w:rFonts w:hint="eastAsia"/>
                <w:color w:val="auto"/>
                <w:szCs w:val="22"/>
                <w:highlight w:val="none"/>
              </w:rPr>
              <w:t>4、若职称证书上无专业名称，须提供原职称评审委员会出具的相关证明材料。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1877" w:hRule="atLeast"/>
          <w:jc w:val="center"/>
        </w:trPr>
        <w:tc>
          <w:tcPr>
            <w:tcW w:w="1656" w:type="dxa"/>
            <w:noWrap w:val="0"/>
            <w:vAlign w:val="center"/>
          </w:tcPr>
          <w:p>
            <w:pPr>
              <w:spacing w:line="300" w:lineRule="exact"/>
              <w:jc w:val="center"/>
              <w:rPr>
                <w:rFonts w:ascii="宋体" w:hAnsi="宋体"/>
                <w:color w:val="auto"/>
                <w:highlight w:val="none"/>
              </w:rPr>
            </w:pPr>
            <w:r>
              <w:rPr>
                <w:rFonts w:hint="eastAsia" w:ascii="宋体" w:hAnsi="宋体"/>
                <w:color w:val="auto"/>
                <w:highlight w:val="none"/>
              </w:rPr>
              <w:t>项目总工</w:t>
            </w:r>
          </w:p>
        </w:tc>
        <w:tc>
          <w:tcPr>
            <w:tcW w:w="993" w:type="dxa"/>
            <w:noWrap w:val="0"/>
            <w:vAlign w:val="center"/>
          </w:tcPr>
          <w:p>
            <w:pPr>
              <w:spacing w:line="300" w:lineRule="exact"/>
              <w:jc w:val="center"/>
              <w:rPr>
                <w:rFonts w:ascii="宋体" w:hAnsi="宋体"/>
                <w:color w:val="auto"/>
                <w:highlight w:val="none"/>
              </w:rPr>
            </w:pPr>
            <w:r>
              <w:rPr>
                <w:rFonts w:hint="eastAsia" w:ascii="宋体" w:hAnsi="宋体"/>
                <w:color w:val="auto"/>
                <w:highlight w:val="none"/>
              </w:rPr>
              <w:t>1</w:t>
            </w:r>
          </w:p>
        </w:tc>
        <w:tc>
          <w:tcPr>
            <w:tcW w:w="6330" w:type="dxa"/>
            <w:noWrap w:val="0"/>
            <w:vAlign w:val="center"/>
          </w:tcPr>
          <w:p>
            <w:pPr>
              <w:spacing w:line="360" w:lineRule="auto"/>
              <w:ind w:firstLine="420" w:firstLineChars="200"/>
              <w:textAlignment w:val="baseline"/>
              <w:rPr>
                <w:color w:val="auto"/>
                <w:highlight w:val="none"/>
              </w:rPr>
            </w:pPr>
            <w:r>
              <w:rPr>
                <w:color w:val="auto"/>
                <w:highlight w:val="none"/>
              </w:rPr>
              <w:t>1、具有公路工程相关专业中级及以上职称，并具有在有效期内的安全生产考核合格证书（B 类）。上述安全生产考核合格证书（B类）中的聘用企业名称应与投标人名称一致。</w:t>
            </w:r>
          </w:p>
          <w:p>
            <w:pPr>
              <w:spacing w:line="360" w:lineRule="auto"/>
              <w:ind w:firstLine="420" w:firstLineChars="200"/>
              <w:textAlignment w:val="baseline"/>
              <w:rPr>
                <w:color w:val="auto"/>
                <w:highlight w:val="none"/>
              </w:rPr>
            </w:pPr>
            <w:r>
              <w:rPr>
                <w:color w:val="auto"/>
                <w:highlight w:val="none"/>
              </w:rPr>
              <w:t>2、若职称证书上无专业名称，须提供原职称评审委员会出具的相关证明材料。</w:t>
            </w:r>
          </w:p>
        </w:tc>
      </w:tr>
    </w:tbl>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注：</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1、拟委任的项目经理有无行贿犯罪行为认定：以中国裁判文书网查询结果为准，时间以法</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院判决书判决日期为准，投标人按投标文件格式（九）履约行为表提供即可。</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2、在建合同工程的开始时间为合同工程中标通知书发出之日（不通过招标方式的，开始时间为</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合同签订之日），结束时间为该合同工程通过交（竣工）验收或合同解除之日。</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3、拟委任项目经理是否有“在建合同工程”按以下原则认定：</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a.若合同协议书尚未签订，则中标通知书中明确的项目经理和备选项目经理均视为有“在建合</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同工程”；</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b.若合同协议书已签订的，则仅合同协议书中明确的项目经理视为有“在建合同工程”。</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c.在建合同工程未通过交（竣工）验收或合同解除前，合同协议书中明确的项目经理已经更换的，则现任项目经理视为有“在建合同工程”，同时应在投标文件中附项目发包人的同意更换证明材料，否则更换前后的项目经理均视为有“在建合同工程”。</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4、“在建合同工程”范围：包括在中华人民共和国境内所有建设工程，不受地域、行业和投资 性质的限制。</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5、中标候选公示期间，项目经理如有在建项目，将上报主管部门。</w:t>
      </w:r>
    </w:p>
    <w:p>
      <w:pPr>
        <w:wordWrap w:val="0"/>
        <w:snapToGrid w:val="0"/>
        <w:spacing w:line="360" w:lineRule="exact"/>
        <w:ind w:firstLine="420" w:firstLineChars="200"/>
        <w:rPr>
          <w:rFonts w:hint="eastAsia"/>
          <w:color w:val="auto"/>
          <w:szCs w:val="21"/>
          <w:highlight w:val="none"/>
        </w:rPr>
      </w:pPr>
      <w:r>
        <w:rPr>
          <w:rFonts w:hint="eastAsia"/>
          <w:color w:val="auto"/>
          <w:szCs w:val="21"/>
          <w:highlight w:val="none"/>
        </w:rPr>
        <w:t>6、投标人主要管理人员中项目经理的职称证信息、建造师注册证书信息、安全生产考核合格证</w:t>
      </w:r>
    </w:p>
    <w:p>
      <w:pPr>
        <w:wordWrap w:val="0"/>
        <w:snapToGrid w:val="0"/>
        <w:spacing w:line="360" w:lineRule="exact"/>
        <w:rPr>
          <w:rFonts w:hint="eastAsia"/>
          <w:color w:val="auto"/>
          <w:szCs w:val="21"/>
          <w:highlight w:val="none"/>
        </w:rPr>
      </w:pPr>
      <w:r>
        <w:rPr>
          <w:rFonts w:hint="eastAsia"/>
          <w:color w:val="auto"/>
          <w:szCs w:val="21"/>
          <w:highlight w:val="none"/>
        </w:rPr>
        <w:t>书信息以及项目总工的职称证信息、安全生产考核合格证书信息在浙江省交通运输厅建设市场诚信信 息系统中已全部公开的，可在诚信信息系统一览表后提供含有该系统水印的《主要人员信息一览表》打印件。</w:t>
      </w:r>
    </w:p>
    <w:p>
      <w:pPr>
        <w:rPr>
          <w:rFonts w:ascii="宋体" w:hAnsi="宋体"/>
          <w:color w:val="auto"/>
          <w:highlight w:val="none"/>
        </w:rPr>
      </w:pPr>
    </w:p>
    <w:bookmarkEnd w:id="67"/>
    <w:bookmarkEnd w:id="68"/>
    <w:bookmarkEnd w:id="69"/>
    <w:bookmarkEnd w:id="70"/>
    <w:bookmarkEnd w:id="71"/>
    <w:bookmarkEnd w:id="72"/>
    <w:p>
      <w:pPr>
        <w:pStyle w:val="5"/>
        <w:spacing w:before="240" w:after="120" w:line="360" w:lineRule="auto"/>
        <w:rPr>
          <w:rFonts w:hint="eastAsia" w:ascii="Times New Roman" w:hAnsi="Times New Roman"/>
          <w:b w:val="0"/>
          <w:color w:val="auto"/>
          <w:sz w:val="24"/>
          <w:szCs w:val="24"/>
          <w:highlight w:val="none"/>
        </w:rPr>
      </w:pPr>
      <w:bookmarkStart w:id="79" w:name="_Toc233423175"/>
      <w:bookmarkStart w:id="80" w:name="_Toc466365733"/>
      <w:bookmarkStart w:id="81" w:name="_Toc324107587"/>
      <w:bookmarkStart w:id="82" w:name="_Toc243899806"/>
      <w:bookmarkStart w:id="83" w:name="_Toc241744704"/>
      <w:bookmarkStart w:id="84" w:name="_Toc262646081"/>
      <w:bookmarkStart w:id="85" w:name="_Toc233429685"/>
      <w:bookmarkStart w:id="86" w:name="_Toc241741404"/>
      <w:bookmarkStart w:id="87" w:name="_Toc14014"/>
      <w:bookmarkStart w:id="88" w:name="_Toc20480"/>
      <w:bookmarkStart w:id="89" w:name="_Toc241637402"/>
      <w:bookmarkStart w:id="90" w:name="_Toc13371"/>
      <w:bookmarkStart w:id="91" w:name="_Toc360485583"/>
      <w:bookmarkStart w:id="92" w:name="_Toc292754421"/>
      <w:bookmarkStart w:id="93" w:name="_Toc233435902"/>
      <w:bookmarkStart w:id="94" w:name="_Toc318820923"/>
      <w:r>
        <w:rPr>
          <w:rFonts w:ascii="Times New Roman" w:hAnsi="Times New Roman"/>
          <w:b w:val="0"/>
          <w:color w:val="auto"/>
          <w:sz w:val="24"/>
          <w:szCs w:val="24"/>
          <w:highlight w:val="none"/>
        </w:rPr>
        <w:t>1</w:t>
      </w:r>
      <w:r>
        <w:rPr>
          <w:rFonts w:hint="eastAsia" w:ascii="Times New Roman" w:hAnsi="Times New Roman"/>
          <w:b w:val="0"/>
          <w:color w:val="auto"/>
          <w:sz w:val="24"/>
          <w:szCs w:val="24"/>
          <w:highlight w:val="none"/>
        </w:rPr>
        <w:t>．总则</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6"/>
        <w:spacing w:before="120" w:after="120" w:afterLines="50" w:line="360" w:lineRule="auto"/>
        <w:rPr>
          <w:rFonts w:hint="eastAsia" w:eastAsia="黑体"/>
          <w:color w:val="auto"/>
          <w:sz w:val="21"/>
          <w:szCs w:val="21"/>
          <w:highlight w:val="none"/>
        </w:rPr>
      </w:pPr>
      <w:bookmarkStart w:id="95" w:name="_Toc233290291"/>
      <w:bookmarkStart w:id="96" w:name="_Toc233429686"/>
      <w:bookmarkStart w:id="97" w:name="_Toc241637403"/>
      <w:bookmarkStart w:id="98" w:name="_Toc292754422"/>
      <w:bookmarkStart w:id="99" w:name="_Toc466365734"/>
      <w:bookmarkStart w:id="100" w:name="_Toc318820924"/>
      <w:bookmarkStart w:id="101" w:name="_Toc233435903"/>
      <w:bookmarkStart w:id="102" w:name="_Toc28454"/>
      <w:bookmarkStart w:id="103" w:name="_Toc262646082"/>
      <w:bookmarkStart w:id="104" w:name="_Toc360485584"/>
      <w:bookmarkStart w:id="105" w:name="_Toc233423176"/>
      <w:bookmarkStart w:id="106" w:name="_Toc4937"/>
      <w:bookmarkStart w:id="107" w:name="_Toc233214745"/>
      <w:bookmarkStart w:id="108" w:name="_Toc2391"/>
      <w:bookmarkStart w:id="109" w:name="_Toc324107588"/>
      <w:r>
        <w:rPr>
          <w:rFonts w:hint="eastAsia" w:eastAsia="黑体"/>
          <w:color w:val="auto"/>
          <w:sz w:val="21"/>
          <w:szCs w:val="21"/>
          <w:highlight w:val="none"/>
        </w:rPr>
        <w:t>1.1  项目概况</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spacing w:line="360" w:lineRule="auto"/>
        <w:ind w:firstLine="420" w:firstLineChars="200"/>
        <w:rPr>
          <w:rFonts w:hint="eastAsia" w:ascii="宋体" w:hAnsi="宋体"/>
          <w:color w:val="auto"/>
          <w:szCs w:val="21"/>
          <w:highlight w:val="none"/>
        </w:rPr>
      </w:pPr>
      <w:bookmarkStart w:id="110" w:name="_Toc233290292"/>
      <w:bookmarkStart w:id="111" w:name="_Toc233214746"/>
      <w:bookmarkStart w:id="112" w:name="_Toc233429687"/>
      <w:bookmarkStart w:id="113" w:name="_Toc233435904"/>
      <w:bookmarkStart w:id="114" w:name="_Toc233423177"/>
      <w:r>
        <w:rPr>
          <w:rFonts w:hint="eastAsia" w:ascii="宋体" w:hAnsi="宋体"/>
          <w:color w:val="auto"/>
          <w:szCs w:val="21"/>
          <w:highlight w:val="none"/>
        </w:rPr>
        <w:t>1.1.1  根据《中华人民共和国招标投标法》等有关法律、法规和规章的规定，本招标项目已具备招标条件，现对本标段施工进行招标。</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1.1.2  本招标项目招标人：见投标人须知前附表。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1.1.3  本标段招标代理机构：见投标人须知前附表。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1.1.4  本招标项目名称：见投标人须知前附表。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1.1.5  本标段建设地点：见投标人须知前附表。</w:t>
      </w:r>
    </w:p>
    <w:p>
      <w:pPr>
        <w:pStyle w:val="6"/>
        <w:spacing w:before="120" w:after="120" w:afterLines="50" w:line="360" w:lineRule="auto"/>
        <w:rPr>
          <w:rFonts w:hint="eastAsia" w:eastAsia="黑体"/>
          <w:color w:val="auto"/>
          <w:sz w:val="21"/>
          <w:szCs w:val="21"/>
          <w:highlight w:val="none"/>
        </w:rPr>
      </w:pPr>
      <w:bookmarkStart w:id="115" w:name="_Toc318820925"/>
      <w:bookmarkStart w:id="116" w:name="_Toc14265"/>
      <w:bookmarkStart w:id="117" w:name="_Toc20974"/>
      <w:bookmarkStart w:id="118" w:name="_Toc324107589"/>
      <w:bookmarkStart w:id="119" w:name="_Toc292754423"/>
      <w:bookmarkStart w:id="120" w:name="_Toc466365735"/>
      <w:bookmarkStart w:id="121" w:name="_Toc20630"/>
      <w:bookmarkStart w:id="122" w:name="_Toc360485585"/>
      <w:bookmarkStart w:id="123" w:name="_Toc262646083"/>
      <w:bookmarkStart w:id="124" w:name="_Toc241637404"/>
      <w:r>
        <w:rPr>
          <w:rFonts w:hint="eastAsia" w:eastAsia="黑体"/>
          <w:color w:val="auto"/>
          <w:sz w:val="21"/>
          <w:szCs w:val="21"/>
          <w:highlight w:val="none"/>
        </w:rPr>
        <w:t>1.2  资金来源和落实情况</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spacing w:line="360" w:lineRule="auto"/>
        <w:ind w:firstLine="420" w:firstLineChars="200"/>
        <w:rPr>
          <w:rFonts w:hint="eastAsia" w:ascii="宋体" w:hAnsi="宋体"/>
          <w:color w:val="auto"/>
          <w:szCs w:val="21"/>
          <w:highlight w:val="none"/>
        </w:rPr>
      </w:pPr>
      <w:bookmarkStart w:id="125" w:name="_Toc233290293"/>
      <w:bookmarkStart w:id="126" w:name="_Toc233423178"/>
      <w:bookmarkStart w:id="127" w:name="_Toc233435905"/>
      <w:bookmarkStart w:id="128" w:name="_Toc233429688"/>
      <w:bookmarkStart w:id="129" w:name="_Toc233214747"/>
      <w:r>
        <w:rPr>
          <w:rFonts w:hint="eastAsia" w:ascii="宋体" w:hAnsi="宋体"/>
          <w:color w:val="auto"/>
          <w:szCs w:val="21"/>
          <w:highlight w:val="none"/>
        </w:rPr>
        <w:t>1.2.1  本招标项目的资金来源：见投标人须知前附表。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1.2.2  本招标项目的出资比例：见投标人须知前附表。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1.2.3  本招标项目的资金落实情况：见投标人须知前附表。</w:t>
      </w:r>
    </w:p>
    <w:p>
      <w:pPr>
        <w:pStyle w:val="6"/>
        <w:spacing w:before="120" w:after="120" w:afterLines="50" w:line="360" w:lineRule="auto"/>
        <w:rPr>
          <w:rFonts w:hint="eastAsia" w:eastAsia="黑体"/>
          <w:color w:val="auto"/>
          <w:sz w:val="21"/>
          <w:szCs w:val="21"/>
          <w:highlight w:val="none"/>
        </w:rPr>
      </w:pPr>
      <w:bookmarkStart w:id="130" w:name="_Toc318820926"/>
      <w:bookmarkStart w:id="131" w:name="_Toc22723"/>
      <w:bookmarkStart w:id="132" w:name="_Toc324107590"/>
      <w:bookmarkStart w:id="133" w:name="_Toc360485586"/>
      <w:bookmarkStart w:id="134" w:name="_Toc262646084"/>
      <w:bookmarkStart w:id="135" w:name="_Toc466365736"/>
      <w:bookmarkStart w:id="136" w:name="_Toc4612"/>
      <w:bookmarkStart w:id="137" w:name="_Toc241637405"/>
      <w:bookmarkStart w:id="138" w:name="_Toc26059"/>
      <w:bookmarkStart w:id="139" w:name="_Toc292754424"/>
      <w:r>
        <w:rPr>
          <w:rFonts w:hint="eastAsia" w:eastAsia="黑体"/>
          <w:color w:val="auto"/>
          <w:sz w:val="21"/>
          <w:szCs w:val="21"/>
          <w:highlight w:val="none"/>
        </w:rPr>
        <w:t>1.3  招标范围、计划工期和质量要求</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spacing w:line="360" w:lineRule="auto"/>
        <w:ind w:firstLine="420" w:firstLineChars="200"/>
        <w:rPr>
          <w:rFonts w:hint="eastAsia" w:ascii="宋体" w:hAnsi="宋体"/>
          <w:color w:val="auto"/>
          <w:szCs w:val="21"/>
          <w:highlight w:val="none"/>
        </w:rPr>
      </w:pPr>
      <w:bookmarkStart w:id="140" w:name="_Toc233423179"/>
      <w:bookmarkStart w:id="141" w:name="_Toc233429689"/>
      <w:bookmarkStart w:id="142" w:name="_Toc233290294"/>
      <w:bookmarkStart w:id="143" w:name="_Toc233214748"/>
      <w:bookmarkStart w:id="144" w:name="_Toc233435906"/>
      <w:r>
        <w:rPr>
          <w:rFonts w:hint="eastAsia" w:ascii="宋体" w:hAnsi="宋体"/>
          <w:color w:val="auto"/>
          <w:szCs w:val="21"/>
          <w:highlight w:val="none"/>
        </w:rPr>
        <w:t>1.3.1  本次招标范围：见投标人须知前附表。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1.3.2  本标段的计划工期：见投标人须知前附表。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1.3.3  本标段的质量要求：见投标人须知前附表。</w:t>
      </w:r>
    </w:p>
    <w:p>
      <w:pPr>
        <w:pStyle w:val="6"/>
        <w:spacing w:before="120" w:after="120" w:afterLines="50" w:line="360" w:lineRule="auto"/>
        <w:rPr>
          <w:rFonts w:hint="eastAsia" w:eastAsia="黑体"/>
          <w:color w:val="auto"/>
          <w:sz w:val="21"/>
          <w:szCs w:val="21"/>
          <w:highlight w:val="none"/>
        </w:rPr>
      </w:pPr>
      <w:bookmarkStart w:id="145" w:name="_Toc241741405"/>
      <w:bookmarkStart w:id="146" w:name="_Toc360485587"/>
      <w:bookmarkStart w:id="147" w:name="_Toc241637406"/>
      <w:bookmarkStart w:id="148" w:name="_Toc241744705"/>
      <w:bookmarkStart w:id="149" w:name="_Toc152045534"/>
      <w:bookmarkStart w:id="150" w:name="_Toc262646085"/>
      <w:bookmarkStart w:id="151" w:name="_Toc324107591"/>
      <w:bookmarkStart w:id="152" w:name="_Toc152042310"/>
      <w:bookmarkStart w:id="153" w:name="_Toc243899807"/>
      <w:bookmarkStart w:id="154" w:name="_Toc318820927"/>
      <w:bookmarkStart w:id="155" w:name="_Toc466365737"/>
      <w:bookmarkStart w:id="156" w:name="_Toc10022"/>
      <w:bookmarkStart w:id="157" w:name="_Toc292754425"/>
      <w:bookmarkStart w:id="158" w:name="_Toc144974502"/>
      <w:bookmarkStart w:id="159" w:name="_Toc19307"/>
      <w:bookmarkStart w:id="160" w:name="_Toc179632551"/>
      <w:r>
        <w:rPr>
          <w:rFonts w:hint="eastAsia" w:eastAsia="黑体"/>
          <w:color w:val="auto"/>
          <w:sz w:val="21"/>
          <w:szCs w:val="21"/>
          <w:highlight w:val="none"/>
        </w:rPr>
        <w:t>1.4  投标人资格要求</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1.4.1  投标人应具备承担本标段施工的资质条件、能力和信誉。</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（1）资质条件：见投标人须知前附表；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（2）财务要求：见投标人须知前附表；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（3）业绩要求：见投标人须知前附表；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（4）信誉要求：见投标人须知前附表；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（5）项目经理资格：见投标人须知前附表；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（6）其他要求：见投标人须知前附表。</w:t>
      </w:r>
    </w:p>
    <w:bookmarkEnd w:id="140"/>
    <w:bookmarkEnd w:id="141"/>
    <w:bookmarkEnd w:id="142"/>
    <w:bookmarkEnd w:id="143"/>
    <w:bookmarkEnd w:id="144"/>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1.4.2  投标人须知前附表规定接受联合体投标的，除应符合本章第1.4.1项和投标人须知前附表的要求外，还应遵守以下规定：</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（1）联合体各方应按招标文件提供的格式签订联合体协议书，明确联合体牵头人和各方权利义务；</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（2）由同一专业的单位组成的联合体，按照资质等级较低的单位确定资质等级；</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（3）联合体各方不得再以自己名义单独或参加其他联合体在同一标段中投标；</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（4）联合体所有成员数量不得超过投标人须知前附表规定的数量；</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（5）联合体牵头人所承担的工程量必须超过总工程量的50%；</w:t>
      </w:r>
    </w:p>
    <w:p>
      <w:pPr>
        <w:spacing w:line="360" w:lineRule="auto"/>
        <w:ind w:firstLine="420" w:firstLineChars="200"/>
        <w:rPr>
          <w:rFonts w:hint="eastAsia" w:ascii="方正隶书简体" w:hAnsi="方正隶书简体" w:eastAsia="方正隶书简体"/>
          <w:color w:val="auto"/>
          <w:szCs w:val="21"/>
          <w:highlight w:val="none"/>
        </w:rPr>
      </w:pPr>
      <w:r>
        <w:rPr>
          <w:rFonts w:hint="eastAsia" w:ascii="宋体" w:hAnsi="宋体"/>
          <w:color w:val="auto"/>
          <w:szCs w:val="21"/>
          <w:highlight w:val="none"/>
        </w:rPr>
        <w:t>（6）联合体各方应分别按照本招标文件的要求，填写投标文件中的相应表格，并由联合体牵头人负责对联合体各成员的资料进行统一汇总后一并提交给招标人；联合体牵头人所提交的投标文件认为已代表了联合体各成员的真实情况；</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（7）尽管委任了联合体牵头人，但联合体各成员在投标、签约与履行合同过程中，仍负有连带和各自的法律责任。</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1.4.3  投标人不得存在下列情形之一：</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（1）为招标人不具有独立法人资格的附属机构（单位）；</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（2）为本标段前期准备提供设计或咨询服务的，但设计施工总承包的除外；</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（3）为本标段的监理人；</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（4）为本标段的代建人；</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（5）为本标段提供招标代理服务的；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（6）与本标段的监理人或代建人或招标代理机构同为一个法定代表人的；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（7）与本标段的监理人或代建人或招标代理机构相互控股或参股的；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（8）与本标段的监理人或代建人或招标代理机构相互任职或工作的；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（9）被责令停业的；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（10）被暂停或取消投标资格的；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（11）财产被接管或冻结的；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（12）在最近三年内有骗取中标或严重违约或重大工程质量问题的；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（13）被省级及以上交通主管部门取消项目所在地的投标资格或禁止进入该区域公路建设市场且处于有效期内；</w:t>
      </w:r>
    </w:p>
    <w:p>
      <w:pPr>
        <w:spacing w:line="360" w:lineRule="auto"/>
        <w:ind w:firstLine="420" w:firstLineChars="200"/>
        <w:rPr>
          <w:rFonts w:hint="eastAsia" w:ascii="隶书" w:eastAsia="隶书"/>
          <w:color w:val="auto"/>
          <w:szCs w:val="21"/>
          <w:highlight w:val="none"/>
        </w:rPr>
      </w:pPr>
      <w:r>
        <w:rPr>
          <w:rFonts w:hint="eastAsia" w:ascii="宋体" w:hAnsi="宋体"/>
          <w:color w:val="auto"/>
          <w:szCs w:val="21"/>
          <w:highlight w:val="none"/>
        </w:rPr>
        <w:t>（14）为投资参股本项目的法人单位。</w:t>
      </w:r>
    </w:p>
    <w:p>
      <w:pPr>
        <w:pStyle w:val="6"/>
        <w:spacing w:before="120" w:after="120" w:afterLines="50" w:line="360" w:lineRule="auto"/>
        <w:rPr>
          <w:rFonts w:hint="eastAsia" w:eastAsia="黑体"/>
          <w:color w:val="auto"/>
          <w:sz w:val="21"/>
          <w:szCs w:val="21"/>
          <w:highlight w:val="none"/>
        </w:rPr>
      </w:pPr>
      <w:bookmarkStart w:id="161" w:name="_Toc22886"/>
      <w:bookmarkStart w:id="162" w:name="_Toc318820928"/>
      <w:bookmarkStart w:id="163" w:name="_Toc241744706"/>
      <w:bookmarkStart w:id="164" w:name="_Toc243899808"/>
      <w:bookmarkStart w:id="165" w:name="_Toc152045535"/>
      <w:bookmarkStart w:id="166" w:name="_Toc324107592"/>
      <w:bookmarkStart w:id="167" w:name="_Toc262646086"/>
      <w:bookmarkStart w:id="168" w:name="_Toc241637407"/>
      <w:bookmarkStart w:id="169" w:name="_Toc22862"/>
      <w:bookmarkStart w:id="170" w:name="_Toc17730"/>
      <w:bookmarkStart w:id="171" w:name="_Toc292754426"/>
      <w:bookmarkStart w:id="172" w:name="_Toc360485588"/>
      <w:bookmarkStart w:id="173" w:name="_Toc241741406"/>
      <w:bookmarkStart w:id="174" w:name="_Toc152042311"/>
      <w:bookmarkStart w:id="175" w:name="_Toc144974503"/>
      <w:bookmarkStart w:id="176" w:name="_Toc466365738"/>
      <w:bookmarkStart w:id="177" w:name="_Toc179632552"/>
      <w:r>
        <w:rPr>
          <w:rFonts w:hint="eastAsia" w:eastAsia="黑体"/>
          <w:color w:val="auto"/>
          <w:sz w:val="21"/>
          <w:szCs w:val="21"/>
          <w:highlight w:val="none"/>
        </w:rPr>
        <w:t>1.5  费用承担</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投标人准备和参加投标活动发生的费用自理。</w:t>
      </w:r>
    </w:p>
    <w:p>
      <w:pPr>
        <w:pStyle w:val="6"/>
        <w:spacing w:before="120" w:after="120" w:afterLines="50" w:line="360" w:lineRule="auto"/>
        <w:rPr>
          <w:rFonts w:hint="eastAsia" w:eastAsia="黑体"/>
          <w:color w:val="auto"/>
          <w:sz w:val="21"/>
          <w:szCs w:val="21"/>
          <w:highlight w:val="none"/>
        </w:rPr>
      </w:pPr>
      <w:bookmarkStart w:id="178" w:name="_Toc243899809"/>
      <w:bookmarkStart w:id="179" w:name="_Toc241744707"/>
      <w:bookmarkStart w:id="180" w:name="_Toc292754427"/>
      <w:bookmarkStart w:id="181" w:name="_Toc152045536"/>
      <w:bookmarkStart w:id="182" w:name="_Toc10192"/>
      <w:bookmarkStart w:id="183" w:name="_Toc179632553"/>
      <w:bookmarkStart w:id="184" w:name="_Toc144974504"/>
      <w:bookmarkStart w:id="185" w:name="_Toc31057"/>
      <w:bookmarkStart w:id="186" w:name="_Toc360485589"/>
      <w:bookmarkStart w:id="187" w:name="_Toc241637408"/>
      <w:bookmarkStart w:id="188" w:name="_Toc466365739"/>
      <w:bookmarkStart w:id="189" w:name="_Toc152042312"/>
      <w:bookmarkStart w:id="190" w:name="_Toc30062"/>
      <w:bookmarkStart w:id="191" w:name="_Toc241741407"/>
      <w:bookmarkStart w:id="192" w:name="_Toc318820929"/>
      <w:bookmarkStart w:id="193" w:name="_Toc324107593"/>
      <w:bookmarkStart w:id="194" w:name="_Toc262646087"/>
      <w:r>
        <w:rPr>
          <w:rFonts w:hint="eastAsia" w:eastAsia="黑体"/>
          <w:color w:val="auto"/>
          <w:sz w:val="21"/>
          <w:szCs w:val="21"/>
          <w:highlight w:val="none"/>
        </w:rPr>
        <w:t>1.6  保密</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参与招标投标活动的各方应对招标文件和投标文件中的商业和技术等秘密保密，违者应对由此造成的后果承担法律责任。 </w:t>
      </w:r>
    </w:p>
    <w:p>
      <w:pPr>
        <w:pStyle w:val="6"/>
        <w:spacing w:before="120" w:after="120" w:afterLines="50" w:line="360" w:lineRule="auto"/>
        <w:rPr>
          <w:rFonts w:hint="eastAsia" w:eastAsia="黑体"/>
          <w:color w:val="auto"/>
          <w:sz w:val="21"/>
          <w:szCs w:val="21"/>
          <w:highlight w:val="none"/>
        </w:rPr>
      </w:pPr>
      <w:bookmarkStart w:id="195" w:name="_Toc144974505"/>
      <w:bookmarkStart w:id="196" w:name="_Toc262646088"/>
      <w:bookmarkStart w:id="197" w:name="_Toc241637409"/>
      <w:bookmarkStart w:id="198" w:name="_Toc243899810"/>
      <w:bookmarkStart w:id="199" w:name="_Toc292754428"/>
      <w:bookmarkStart w:id="200" w:name="_Toc241744708"/>
      <w:bookmarkStart w:id="201" w:name="_Toc360485590"/>
      <w:bookmarkStart w:id="202" w:name="_Toc8313"/>
      <w:bookmarkStart w:id="203" w:name="_Toc152042313"/>
      <w:bookmarkStart w:id="204" w:name="_Toc241741408"/>
      <w:bookmarkStart w:id="205" w:name="_Toc318820930"/>
      <w:bookmarkStart w:id="206" w:name="_Toc1999"/>
      <w:bookmarkStart w:id="207" w:name="_Toc179632554"/>
      <w:bookmarkStart w:id="208" w:name="_Toc29551"/>
      <w:bookmarkStart w:id="209" w:name="_Toc466365740"/>
      <w:bookmarkStart w:id="210" w:name="_Toc324107594"/>
      <w:bookmarkStart w:id="211" w:name="_Toc152045537"/>
      <w:r>
        <w:rPr>
          <w:rFonts w:hint="eastAsia" w:eastAsia="黑体"/>
          <w:color w:val="auto"/>
          <w:sz w:val="21"/>
          <w:szCs w:val="21"/>
          <w:highlight w:val="none"/>
        </w:rPr>
        <w:t>1.7  语言</w:t>
      </w:r>
      <w:bookmarkEnd w:id="195"/>
      <w:r>
        <w:rPr>
          <w:rFonts w:hint="eastAsia" w:eastAsia="黑体"/>
          <w:color w:val="auto"/>
          <w:sz w:val="21"/>
          <w:szCs w:val="21"/>
          <w:highlight w:val="none"/>
        </w:rPr>
        <w:t>文字</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除专用术语外，与招标投标有关的语言均使用中文。必要时专用术语应附有中文注释。</w:t>
      </w:r>
    </w:p>
    <w:p>
      <w:pPr>
        <w:pStyle w:val="6"/>
        <w:spacing w:before="120" w:after="120" w:afterLines="50" w:line="360" w:lineRule="auto"/>
        <w:rPr>
          <w:rFonts w:hint="eastAsia" w:eastAsia="黑体"/>
          <w:color w:val="auto"/>
          <w:sz w:val="21"/>
          <w:szCs w:val="21"/>
          <w:highlight w:val="none"/>
        </w:rPr>
      </w:pPr>
      <w:bookmarkStart w:id="212" w:name="_Toc241744709"/>
      <w:bookmarkStart w:id="213" w:name="_Toc466365741"/>
      <w:bookmarkStart w:id="214" w:name="_Toc179632555"/>
      <w:bookmarkStart w:id="215" w:name="_Toc324107595"/>
      <w:bookmarkStart w:id="216" w:name="_Toc292754429"/>
      <w:bookmarkStart w:id="217" w:name="_Toc15842"/>
      <w:bookmarkStart w:id="218" w:name="_Toc241741409"/>
      <w:bookmarkStart w:id="219" w:name="_Toc4014"/>
      <w:bookmarkStart w:id="220" w:name="_Toc241637410"/>
      <w:bookmarkStart w:id="221" w:name="_Toc144974506"/>
      <w:bookmarkStart w:id="222" w:name="_Toc152042314"/>
      <w:bookmarkStart w:id="223" w:name="_Toc243899811"/>
      <w:bookmarkStart w:id="224" w:name="_Toc152045538"/>
      <w:bookmarkStart w:id="225" w:name="_Toc25571"/>
      <w:bookmarkStart w:id="226" w:name="_Toc262646089"/>
      <w:bookmarkStart w:id="227" w:name="_Toc318820931"/>
      <w:bookmarkStart w:id="228" w:name="_Toc360485591"/>
      <w:r>
        <w:rPr>
          <w:rFonts w:hint="eastAsia" w:eastAsia="黑体"/>
          <w:color w:val="auto"/>
          <w:sz w:val="21"/>
          <w:szCs w:val="21"/>
          <w:highlight w:val="none"/>
        </w:rPr>
        <w:t>1.8  计量单位</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所有计量均采用中华人民共和国法定计量单位。</w:t>
      </w:r>
    </w:p>
    <w:p>
      <w:pPr>
        <w:pStyle w:val="6"/>
        <w:spacing w:before="120" w:after="120" w:afterLines="50" w:line="360" w:lineRule="auto"/>
        <w:rPr>
          <w:rFonts w:hint="eastAsia" w:eastAsia="黑体"/>
          <w:color w:val="auto"/>
          <w:sz w:val="21"/>
          <w:szCs w:val="21"/>
          <w:highlight w:val="none"/>
        </w:rPr>
      </w:pPr>
      <w:bookmarkStart w:id="229" w:name="_Toc262646090"/>
      <w:bookmarkStart w:id="230" w:name="_Toc324107596"/>
      <w:bookmarkStart w:id="231" w:name="_Toc241741410"/>
      <w:bookmarkStart w:id="232" w:name="_Toc292754430"/>
      <w:bookmarkStart w:id="233" w:name="_Toc241637411"/>
      <w:bookmarkStart w:id="234" w:name="_Toc241744710"/>
      <w:bookmarkStart w:id="235" w:name="_Toc152045539"/>
      <w:bookmarkStart w:id="236" w:name="_Toc270"/>
      <w:bookmarkStart w:id="237" w:name="_Toc152042315"/>
      <w:bookmarkStart w:id="238" w:name="_Toc318820932"/>
      <w:bookmarkStart w:id="239" w:name="_Toc466365742"/>
      <w:bookmarkStart w:id="240" w:name="_Toc17314"/>
      <w:bookmarkStart w:id="241" w:name="_Toc360485592"/>
      <w:bookmarkStart w:id="242" w:name="_Toc9146"/>
      <w:bookmarkStart w:id="243" w:name="_Toc179632556"/>
      <w:bookmarkStart w:id="244" w:name="_Toc243899812"/>
      <w:bookmarkStart w:id="245" w:name="_Toc144974507"/>
      <w:r>
        <w:rPr>
          <w:rFonts w:hint="eastAsia" w:eastAsia="黑体"/>
          <w:color w:val="auto"/>
          <w:sz w:val="21"/>
          <w:szCs w:val="21"/>
          <w:highlight w:val="none"/>
        </w:rPr>
        <w:t>1.9  踏勘现场</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1.9.1  投标人须知前附表规定组织踏勘现场的，招标人按投标人须知前附表规定的时间、地点组织投标人踏勘项目现场。 </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1.9.2  投标人踏勘现场发生的费用自理。</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1.9.3  除招标人的原因外，投标人自行负责在踏勘现场中所发生的人员伤亡和财产损失。</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1.9.4  招标人在踏勘现场中介绍的工程场地和相关的周边环境情况，供投标人在编制投标文件时参考，招标人不对投标人据此作出的判断和决策负责。</w:t>
      </w:r>
    </w:p>
    <w:p>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1.9.5</w:t>
      </w:r>
      <w:r>
        <w:rPr>
          <w:rFonts w:hint="eastAsia" w:ascii="宋体" w:hAnsi="宋体" w:cs="宋体"/>
          <w:color w:val="auto"/>
          <w:szCs w:val="21"/>
          <w:highlight w:val="none"/>
        </w:rPr>
        <w:t xml:space="preserve">  招标人提供的本合同工程的水文、地质、气象和料场分布、取土场、弃土场位置等参考资料，并不构成合同文件的组成部分，投标人应对自己就上述资料的解释、推论和应用负责，招标人不对投标人据此作出的判断和决策承担任何责任。</w:t>
      </w:r>
    </w:p>
    <w:p>
      <w:pPr>
        <w:pStyle w:val="6"/>
        <w:spacing w:before="120" w:after="120" w:afterLines="50" w:line="360" w:lineRule="auto"/>
        <w:rPr>
          <w:rFonts w:hint="eastAsia" w:eastAsia="黑体"/>
          <w:color w:val="auto"/>
          <w:sz w:val="21"/>
          <w:szCs w:val="21"/>
          <w:highlight w:val="none"/>
        </w:rPr>
      </w:pPr>
      <w:bookmarkStart w:id="246" w:name="_Toc360485593"/>
      <w:bookmarkStart w:id="247" w:name="_Toc233429695"/>
      <w:bookmarkStart w:id="248" w:name="_Toc241637412"/>
      <w:bookmarkStart w:id="249" w:name="_Toc27276"/>
      <w:bookmarkStart w:id="250" w:name="_Toc20451"/>
      <w:bookmarkStart w:id="251" w:name="_Toc292754431"/>
      <w:bookmarkStart w:id="252" w:name="_Toc318820933"/>
      <w:bookmarkStart w:id="253" w:name="_Toc466365743"/>
      <w:bookmarkStart w:id="254" w:name="_Toc233423185"/>
      <w:bookmarkStart w:id="255" w:name="_Toc233214754"/>
      <w:bookmarkStart w:id="256" w:name="_Toc262646091"/>
      <w:bookmarkStart w:id="257" w:name="_Toc233290300"/>
      <w:bookmarkStart w:id="258" w:name="_Toc233435912"/>
      <w:bookmarkStart w:id="259" w:name="_Toc10541"/>
      <w:bookmarkStart w:id="260" w:name="_Toc324107597"/>
      <w:r>
        <w:rPr>
          <w:rFonts w:hint="eastAsia" w:eastAsia="黑体"/>
          <w:color w:val="auto"/>
          <w:sz w:val="21"/>
          <w:szCs w:val="21"/>
          <w:highlight w:val="none"/>
        </w:rPr>
        <w:t>1.10  投标预备会</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1.10.1  投标人须知前附表规定召开投标预备会的，招标人按投标人须知前附表规定的时间和地点召开投标预备会，澄清投标人提出的问题。</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1.10.2  投标人应在投标人须知前附表规定的时间前，以书面形式将提出的问题送达招标人，以便招标人在会议期间澄清。</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1.10.3  投标预备会后，招标人在投标人须知前附表规定的时间内，将对投标人所提问题的澄清，以书面方式通知所有购买招标文件的投标人。该澄清内容为招标文件的组成部分。</w:t>
      </w:r>
    </w:p>
    <w:p>
      <w:pPr>
        <w:pStyle w:val="6"/>
        <w:spacing w:before="120" w:after="120" w:afterLines="50" w:line="360" w:lineRule="auto"/>
        <w:rPr>
          <w:rFonts w:hint="eastAsia" w:ascii="黑体" w:eastAsia="黑体"/>
          <w:b w:val="0"/>
          <w:color w:val="auto"/>
          <w:sz w:val="21"/>
          <w:szCs w:val="21"/>
          <w:highlight w:val="none"/>
        </w:rPr>
      </w:pPr>
      <w:bookmarkStart w:id="261" w:name="_Toc360485594"/>
      <w:bookmarkStart w:id="262" w:name="_Toc292754432"/>
      <w:bookmarkStart w:id="263" w:name="_Toc233429696"/>
      <w:bookmarkStart w:id="264" w:name="_Toc241637413"/>
      <w:bookmarkStart w:id="265" w:name="_Toc233214755"/>
      <w:bookmarkStart w:id="266" w:name="_Toc262646092"/>
      <w:bookmarkStart w:id="267" w:name="_Toc233435913"/>
      <w:bookmarkStart w:id="268" w:name="_Toc27735"/>
      <w:bookmarkStart w:id="269" w:name="_Toc318820934"/>
      <w:bookmarkStart w:id="270" w:name="_Toc4186"/>
      <w:bookmarkStart w:id="271" w:name="_Toc233423186"/>
      <w:bookmarkStart w:id="272" w:name="_Toc324107598"/>
      <w:bookmarkStart w:id="273" w:name="_Toc233290301"/>
      <w:bookmarkStart w:id="274" w:name="_Toc466365744"/>
      <w:bookmarkStart w:id="275" w:name="_Toc15204"/>
      <w:r>
        <w:rPr>
          <w:rFonts w:eastAsia="黑体"/>
          <w:color w:val="auto"/>
          <w:sz w:val="21"/>
          <w:szCs w:val="21"/>
          <w:highlight w:val="none"/>
        </w:rPr>
        <w:t>1.</w:t>
      </w:r>
      <w:r>
        <w:rPr>
          <w:rFonts w:hint="eastAsia" w:eastAsia="黑体"/>
          <w:color w:val="auto"/>
          <w:sz w:val="21"/>
          <w:szCs w:val="21"/>
          <w:highlight w:val="none"/>
        </w:rPr>
        <w:t>11</w:t>
      </w:r>
      <w:r>
        <w:rPr>
          <w:rFonts w:eastAsia="黑体"/>
          <w:color w:val="auto"/>
          <w:sz w:val="21"/>
          <w:szCs w:val="21"/>
          <w:highlight w:val="none"/>
        </w:rPr>
        <w:t xml:space="preserve"> </w:t>
      </w:r>
      <w:r>
        <w:rPr>
          <w:rFonts w:hint="eastAsia" w:ascii="黑体" w:eastAsia="黑体"/>
          <w:b w:val="0"/>
          <w:color w:val="auto"/>
          <w:sz w:val="21"/>
          <w:szCs w:val="21"/>
          <w:highlight w:val="none"/>
        </w:rPr>
        <w:t xml:space="preserve"> 分包</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本项目严禁转包和违规分包，且不得再次分包。投标人拟在中标后将中标项目的部分非主体、非关键性工作进行分包的，应符合以下规定：</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分包内容要求：允许分包的工程范围仅限于非关键性工程或适合专业化队伍施工的专业工程；</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分包金额要求：专业工程分包的工程量累计不得超过总工程量的30%；</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接受分包的第三人资质要求：分包人的资格能力应与其分包工程的标准和规模相适应，具备相应的承包资质或劳务分包资质；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其他要求：投标人如有分包计划，应按第八章“投标文件格式”的要求填写“拟分包项目情况表”，且投标人中标后的分包应满足合同条款第4.3款的相关要求。</w:t>
      </w:r>
    </w:p>
    <w:p>
      <w:pPr>
        <w:pStyle w:val="6"/>
        <w:spacing w:before="120" w:after="120" w:afterLines="50" w:line="360" w:lineRule="auto"/>
        <w:rPr>
          <w:rFonts w:hint="eastAsia" w:ascii="黑体" w:eastAsia="黑体"/>
          <w:b w:val="0"/>
          <w:color w:val="auto"/>
          <w:sz w:val="21"/>
          <w:szCs w:val="21"/>
          <w:highlight w:val="none"/>
        </w:rPr>
      </w:pPr>
      <w:bookmarkStart w:id="276" w:name="_Toc318820935"/>
      <w:bookmarkStart w:id="277" w:name="_Toc3682"/>
      <w:bookmarkStart w:id="278" w:name="_Toc233214756"/>
      <w:bookmarkStart w:id="279" w:name="_Toc360485595"/>
      <w:bookmarkStart w:id="280" w:name="_Toc233290302"/>
      <w:bookmarkStart w:id="281" w:name="_Toc292754433"/>
      <w:bookmarkStart w:id="282" w:name="_Toc262646093"/>
      <w:bookmarkStart w:id="283" w:name="_Toc233429697"/>
      <w:bookmarkStart w:id="284" w:name="_Toc233423187"/>
      <w:bookmarkStart w:id="285" w:name="_Toc476"/>
      <w:bookmarkStart w:id="286" w:name="_Toc466365745"/>
      <w:bookmarkStart w:id="287" w:name="_Toc241637414"/>
      <w:bookmarkStart w:id="288" w:name="_Toc24296"/>
      <w:bookmarkStart w:id="289" w:name="_Toc233435914"/>
      <w:bookmarkStart w:id="290" w:name="_Toc324107599"/>
      <w:r>
        <w:rPr>
          <w:rFonts w:eastAsia="黑体"/>
          <w:color w:val="auto"/>
          <w:sz w:val="21"/>
          <w:szCs w:val="21"/>
          <w:highlight w:val="none"/>
        </w:rPr>
        <w:t>1.</w:t>
      </w:r>
      <w:r>
        <w:rPr>
          <w:rFonts w:hint="eastAsia" w:eastAsia="黑体"/>
          <w:color w:val="auto"/>
          <w:sz w:val="21"/>
          <w:szCs w:val="21"/>
          <w:highlight w:val="none"/>
        </w:rPr>
        <w:t>12</w:t>
      </w:r>
      <w:r>
        <w:rPr>
          <w:rFonts w:eastAsia="黑体"/>
          <w:color w:val="auto"/>
          <w:sz w:val="21"/>
          <w:szCs w:val="21"/>
          <w:highlight w:val="none"/>
        </w:rPr>
        <w:t xml:space="preserve"> </w:t>
      </w:r>
      <w:r>
        <w:rPr>
          <w:rFonts w:hint="eastAsia" w:ascii="黑体" w:eastAsia="黑体"/>
          <w:b w:val="0"/>
          <w:color w:val="auto"/>
          <w:sz w:val="21"/>
          <w:szCs w:val="21"/>
          <w:highlight w:val="none"/>
        </w:rPr>
        <w:t xml:space="preserve"> 偏离</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投标人须知前附表允许投标文件偏离招标文件某些要求的，偏离应当符合招标文件规定的偏离范围和幅度。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偏离即偏差，偏差分重大偏差和细微偏差。</w:t>
      </w:r>
    </w:p>
    <w:p>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1.12.1</w:t>
      </w:r>
      <w:r>
        <w:rPr>
          <w:rFonts w:hint="eastAsia" w:ascii="宋体" w:hAnsi="宋体" w:cs="宋体"/>
          <w:color w:val="auto"/>
          <w:szCs w:val="21"/>
          <w:highlight w:val="none"/>
        </w:rPr>
        <w:t xml:space="preserve"> 投标文件不符合第三章“评标办法”第2.1款所列的初步评审标准以及按照第三章“评标办法”第3.1.3项和第3.1.4项的规定对投标价进行算术性错误修正及其他错误修正后，最终投标报价超过投标控制价上限（如有）的，属于重大偏差，视为对招标文件未作出实质性响应，按否决投标处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1.12.2 投标文件中的下列偏差为细微偏差：</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在按照第三章“评标办法”第3.1.3项和第3.1.4项的规定对投标价进行算术性错误修正及其他错误修正后，最终投标报价未超过投标控制价上限（如有）的情况下，出现第三章“评标办法”第3.1.3项所列的投标报价的算术性错误和第三章“评标办法”第3.1.4项所列的投标报价的其他错误；</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（2）施工组织设计（含关键工程技术方案）和项目管理机构不够完善。</w:t>
      </w:r>
    </w:p>
    <w:p>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1.12.3 评标委员会对投标文件中的细微偏差按如下规定处理：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（1）对于本章第1.12.2项（1）目所述的细微偏差，按照第三章“评标办法”第3.1.3项和第3.1.4项的规定予以修正并要求投标人进行澄清；</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对于本章第1.12.2项（2）目所述的细微偏差，如果采用合理低价法或经评审的最低投标价法评标，应要求投标人对细微偏差进行澄清，只有投标人的澄清文件被评标委员会接受，投标人才能参加评标价的最终评比。如果采用综合评估法评标，评标委员会可在相关评分因素的评分中酌情扣分，但最多扣分不得超过各评分因素权重分值的40%。</w:t>
      </w:r>
    </w:p>
    <w:p>
      <w:pPr>
        <w:pStyle w:val="5"/>
        <w:spacing w:before="240" w:after="120" w:line="360" w:lineRule="auto"/>
        <w:rPr>
          <w:rFonts w:hint="eastAsia" w:ascii="Times New Roman" w:hAnsi="Times New Roman"/>
          <w:b w:val="0"/>
          <w:color w:val="auto"/>
          <w:sz w:val="24"/>
          <w:szCs w:val="24"/>
          <w:highlight w:val="none"/>
        </w:rPr>
      </w:pPr>
      <w:bookmarkStart w:id="291" w:name="_Toc243899813"/>
      <w:bookmarkStart w:id="292" w:name="_Toc233214757"/>
      <w:bookmarkStart w:id="293" w:name="_Toc25739"/>
      <w:bookmarkStart w:id="294" w:name="_Toc233423188"/>
      <w:bookmarkStart w:id="295" w:name="_Toc360485596"/>
      <w:bookmarkStart w:id="296" w:name="_Toc241637415"/>
      <w:bookmarkStart w:id="297" w:name="_Toc233429698"/>
      <w:bookmarkStart w:id="298" w:name="_Toc318820936"/>
      <w:bookmarkStart w:id="299" w:name="_Toc262646094"/>
      <w:bookmarkStart w:id="300" w:name="_Toc292754434"/>
      <w:bookmarkStart w:id="301" w:name="_Toc241744711"/>
      <w:bookmarkStart w:id="302" w:name="_Toc16111"/>
      <w:bookmarkStart w:id="303" w:name="_Toc324107600"/>
      <w:bookmarkStart w:id="304" w:name="_Toc241741411"/>
      <w:bookmarkStart w:id="305" w:name="_Toc233290303"/>
      <w:bookmarkStart w:id="306" w:name="_Toc233435915"/>
      <w:bookmarkStart w:id="307" w:name="_Toc2410"/>
      <w:bookmarkStart w:id="308" w:name="_Toc466365746"/>
      <w:r>
        <w:rPr>
          <w:rFonts w:hint="eastAsia" w:ascii="Times New Roman" w:hAnsi="Times New Roman"/>
          <w:b w:val="0"/>
          <w:color w:val="auto"/>
          <w:sz w:val="24"/>
          <w:szCs w:val="24"/>
          <w:highlight w:val="none"/>
        </w:rPr>
        <w:t>2．招标文件</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6"/>
        <w:spacing w:before="120" w:after="120" w:afterLines="50" w:line="360" w:lineRule="auto"/>
        <w:rPr>
          <w:rFonts w:hint="eastAsia" w:ascii="黑体" w:eastAsia="黑体"/>
          <w:b w:val="0"/>
          <w:color w:val="auto"/>
          <w:sz w:val="21"/>
          <w:szCs w:val="21"/>
          <w:highlight w:val="none"/>
        </w:rPr>
      </w:pPr>
      <w:bookmarkStart w:id="309" w:name="_Toc324107601"/>
      <w:bookmarkStart w:id="310" w:name="_Toc262646095"/>
      <w:bookmarkStart w:id="311" w:name="_Toc233429699"/>
      <w:bookmarkStart w:id="312" w:name="_Toc466365747"/>
      <w:bookmarkStart w:id="313" w:name="_Toc233423189"/>
      <w:bookmarkStart w:id="314" w:name="_Toc360485597"/>
      <w:bookmarkStart w:id="315" w:name="_Toc233435916"/>
      <w:bookmarkStart w:id="316" w:name="_Toc16479"/>
      <w:bookmarkStart w:id="317" w:name="_Toc21909"/>
      <w:bookmarkStart w:id="318" w:name="_Toc292754435"/>
      <w:bookmarkStart w:id="319" w:name="_Toc29689"/>
      <w:bookmarkStart w:id="320" w:name="_Toc241637416"/>
      <w:bookmarkStart w:id="321" w:name="_Toc318820937"/>
      <w:bookmarkStart w:id="322" w:name="_Toc233214758"/>
      <w:bookmarkStart w:id="323" w:name="_Toc233290304"/>
      <w:r>
        <w:rPr>
          <w:rFonts w:hint="eastAsia" w:eastAsia="黑体"/>
          <w:color w:val="auto"/>
          <w:sz w:val="21"/>
          <w:szCs w:val="21"/>
          <w:highlight w:val="none"/>
        </w:rPr>
        <w:t>2.1</w:t>
      </w:r>
      <w:r>
        <w:rPr>
          <w:rFonts w:eastAsia="黑体"/>
          <w:color w:val="auto"/>
          <w:sz w:val="21"/>
          <w:szCs w:val="21"/>
          <w:highlight w:val="none"/>
        </w:rPr>
        <w:t xml:space="preserve"> </w:t>
      </w:r>
      <w:r>
        <w:rPr>
          <w:rFonts w:hint="eastAsia" w:ascii="黑体" w:eastAsia="黑体"/>
          <w:b w:val="0"/>
          <w:color w:val="auto"/>
          <w:sz w:val="21"/>
          <w:szCs w:val="21"/>
          <w:highlight w:val="none"/>
        </w:rPr>
        <w:t xml:space="preserve"> 招标文件的组成</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本招标文件包括：</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（1）招标公告（或投标邀请书）；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（2）投标人须知；</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（3）评标办法；</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（4）合同条款及格式；</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（5）工程量清单；</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（6）图纸；</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（7）技术规范；</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（8）投标文件格式；</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（9）投标人须知前附表规定的其他材料。</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根据本章第1.10款、第2.2款和第2.3款对招标文件所作的澄清、修改，构成招标文件的组成部分。</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当招标文件、招标文件的澄清或修改等在同一内容的表述上不一致时，以最后发出的书面文件为准。</w:t>
      </w:r>
    </w:p>
    <w:p>
      <w:pPr>
        <w:pStyle w:val="6"/>
        <w:spacing w:before="120" w:after="120" w:afterLines="50" w:line="360" w:lineRule="auto"/>
        <w:rPr>
          <w:rFonts w:hint="eastAsia" w:ascii="黑体" w:eastAsia="黑体"/>
          <w:b w:val="0"/>
          <w:color w:val="auto"/>
          <w:sz w:val="21"/>
          <w:szCs w:val="21"/>
          <w:highlight w:val="none"/>
        </w:rPr>
      </w:pPr>
      <w:bookmarkStart w:id="324" w:name="_Toc12946"/>
      <w:bookmarkStart w:id="325" w:name="_Toc262646096"/>
      <w:bookmarkStart w:id="326" w:name="_Toc27886"/>
      <w:bookmarkStart w:id="327" w:name="_Toc292754436"/>
      <w:bookmarkStart w:id="328" w:name="_Toc233435917"/>
      <w:bookmarkStart w:id="329" w:name="_Toc233423190"/>
      <w:bookmarkStart w:id="330" w:name="_Toc466365748"/>
      <w:bookmarkStart w:id="331" w:name="_Toc318820938"/>
      <w:bookmarkStart w:id="332" w:name="_Toc324107602"/>
      <w:bookmarkStart w:id="333" w:name="_Toc17686"/>
      <w:bookmarkStart w:id="334" w:name="_Toc241637417"/>
      <w:bookmarkStart w:id="335" w:name="_Toc233214759"/>
      <w:bookmarkStart w:id="336" w:name="_Toc360485598"/>
      <w:bookmarkStart w:id="337" w:name="_Toc233429700"/>
      <w:bookmarkStart w:id="338" w:name="_Toc233290305"/>
      <w:r>
        <w:rPr>
          <w:rFonts w:hint="eastAsia" w:eastAsia="黑体"/>
          <w:color w:val="auto"/>
          <w:sz w:val="21"/>
          <w:szCs w:val="21"/>
          <w:highlight w:val="none"/>
        </w:rPr>
        <w:t>2.2</w:t>
      </w:r>
      <w:r>
        <w:rPr>
          <w:rFonts w:eastAsia="黑体"/>
          <w:color w:val="auto"/>
          <w:sz w:val="21"/>
          <w:szCs w:val="21"/>
          <w:highlight w:val="none"/>
        </w:rPr>
        <w:t xml:space="preserve"> </w:t>
      </w:r>
      <w:r>
        <w:rPr>
          <w:rFonts w:hint="eastAsia" w:ascii="黑体" w:eastAsia="黑体"/>
          <w:b w:val="0"/>
          <w:color w:val="auto"/>
          <w:sz w:val="21"/>
          <w:szCs w:val="21"/>
          <w:highlight w:val="none"/>
        </w:rPr>
        <w:t xml:space="preserve"> 招标文件的澄清</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 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 招标文件澄清的内容影响投标文件编制的，招标人将在投标人须知前附表规定的投标截止 时 间 15 日 前 ， 以 电 子 文 件 形 式 上 传 至 “ 平 阳 县 政 府 门 户 网 站 公 共 资 源 交 易 网(http://www.zjpy.gov.cn/col/col1229353018/index.html)”供投标人下载，不足 15 天的，招标人将顺延递交投标文件的截止时间。</w:t>
      </w:r>
    </w:p>
    <w:p>
      <w:pPr>
        <w:pStyle w:val="2"/>
        <w:rPr>
          <w:rFonts w:hint="eastAsia"/>
          <w:color w:val="auto"/>
          <w:highlight w:val="none"/>
        </w:rPr>
      </w:pPr>
      <w:r>
        <w:rPr>
          <w:rFonts w:hint="eastAsia" w:ascii="宋体" w:hAnsi="宋体"/>
          <w:color w:val="auto"/>
          <w:szCs w:val="21"/>
          <w:highlight w:val="none"/>
        </w:rPr>
        <w:t>澄清的内容不影响投标文件编制的，将在投标人须知前附表规定的投标截止时间7天前，以上款相同的形式发布。</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 投标人确认招标文件澄清的时间方式见投标人须知前附表。</w:t>
      </w:r>
    </w:p>
    <w:p>
      <w:pPr>
        <w:pStyle w:val="6"/>
        <w:spacing w:before="120" w:beforeLines="50" w:after="120" w:afterLines="50" w:line="360" w:lineRule="auto"/>
        <w:rPr>
          <w:rFonts w:hint="eastAsia" w:ascii="宋体" w:hAnsi="宋体" w:cs="宋体"/>
          <w:b w:val="0"/>
          <w:color w:val="auto"/>
          <w:sz w:val="21"/>
          <w:szCs w:val="21"/>
          <w:highlight w:val="none"/>
        </w:rPr>
      </w:pPr>
      <w:bookmarkStart w:id="339" w:name="_Toc318820939"/>
      <w:bookmarkStart w:id="340" w:name="_Toc233435918"/>
      <w:bookmarkStart w:id="341" w:name="_Toc233290306"/>
      <w:bookmarkStart w:id="342" w:name="_Toc233423191"/>
      <w:bookmarkStart w:id="343" w:name="_Toc5924"/>
      <w:bookmarkStart w:id="344" w:name="_Toc241637418"/>
      <w:bookmarkStart w:id="345" w:name="_Toc262646097"/>
      <w:bookmarkStart w:id="346" w:name="_Toc233429701"/>
      <w:bookmarkStart w:id="347" w:name="_Toc466365749"/>
      <w:bookmarkStart w:id="348" w:name="_Toc13189"/>
      <w:bookmarkStart w:id="349" w:name="_Toc22259"/>
      <w:bookmarkStart w:id="350" w:name="_Toc233214760"/>
      <w:bookmarkStart w:id="351" w:name="_Toc360485599"/>
      <w:bookmarkStart w:id="352" w:name="_Toc292754437"/>
      <w:bookmarkStart w:id="353" w:name="_Toc324107603"/>
      <w:r>
        <w:rPr>
          <w:rFonts w:hint="eastAsia" w:ascii="宋体" w:hAnsi="宋体" w:cs="宋体"/>
          <w:color w:val="auto"/>
          <w:sz w:val="21"/>
          <w:szCs w:val="21"/>
          <w:highlight w:val="none"/>
        </w:rPr>
        <w:t xml:space="preserve">2.3 </w:t>
      </w:r>
      <w:r>
        <w:rPr>
          <w:rFonts w:hint="eastAsia" w:ascii="宋体" w:hAnsi="宋体" w:cs="宋体"/>
          <w:b w:val="0"/>
          <w:color w:val="auto"/>
          <w:sz w:val="21"/>
          <w:szCs w:val="21"/>
          <w:highlight w:val="none"/>
        </w:rPr>
        <w:t xml:space="preserve"> 招标文件的修改</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 修改的内容影响投标文件编制的，招标人将在投标截止时间 15 天前，以电子文件形式上传“平阳县政府门户网站公共资源交易网(http://www.zjpy.gov.cn/col/col1229353018/index.html)”供潜在投标人自己下载，不足 15 天的，招标人将顺延递交投标文件的截止时间。</w:t>
      </w:r>
    </w:p>
    <w:p>
      <w:pPr>
        <w:pStyle w:val="2"/>
        <w:ind w:firstLine="420" w:firstLineChars="200"/>
        <w:rPr>
          <w:rFonts w:hint="eastAsia"/>
          <w:color w:val="auto"/>
          <w:highlight w:val="none"/>
        </w:rPr>
      </w:pPr>
      <w:r>
        <w:rPr>
          <w:rFonts w:hint="eastAsia" w:ascii="宋体" w:hAnsi="宋体"/>
          <w:color w:val="auto"/>
          <w:szCs w:val="21"/>
          <w:highlight w:val="none"/>
        </w:rPr>
        <w:t>修改的内容不影响投标文件编制的，将在投标人须知前附表规定的投标截止时间7天前，以上款相同的形式发布。</w:t>
      </w:r>
    </w:p>
    <w:p>
      <w:pPr>
        <w:pStyle w:val="2"/>
        <w:spacing w:before="120" w:line="360" w:lineRule="auto"/>
        <w:ind w:firstLineChars="200"/>
        <w:rPr>
          <w:rFonts w:hint="eastAsia" w:ascii="宋体" w:hAnsi="宋体" w:cs="宋体"/>
          <w:color w:val="auto"/>
          <w:highlight w:val="none"/>
        </w:rPr>
      </w:pPr>
      <w:r>
        <w:rPr>
          <w:rFonts w:hint="eastAsia" w:ascii="宋体" w:hAnsi="宋体" w:cs="宋体"/>
          <w:color w:val="auto"/>
          <w:highlight w:val="none"/>
        </w:rPr>
        <w:t>2.3.2投标人确认招标文件修改内容的时间方式见投标人须知前附表。</w:t>
      </w:r>
    </w:p>
    <w:p>
      <w:pPr>
        <w:pStyle w:val="5"/>
        <w:spacing w:before="240" w:after="120" w:line="360" w:lineRule="auto"/>
        <w:rPr>
          <w:rFonts w:hint="eastAsia" w:ascii="Times New Roman" w:hAnsi="Times New Roman"/>
          <w:b w:val="0"/>
          <w:color w:val="auto"/>
          <w:sz w:val="24"/>
          <w:szCs w:val="24"/>
          <w:highlight w:val="none"/>
        </w:rPr>
      </w:pPr>
      <w:bookmarkStart w:id="354" w:name="_Toc233290307"/>
      <w:bookmarkStart w:id="355" w:name="_Toc324107604"/>
      <w:bookmarkStart w:id="356" w:name="_Toc233429702"/>
      <w:bookmarkStart w:id="357" w:name="_Toc7752"/>
      <w:bookmarkStart w:id="358" w:name="_Toc243899814"/>
      <w:bookmarkStart w:id="359" w:name="_Toc233423192"/>
      <w:bookmarkStart w:id="360" w:name="_Toc17908"/>
      <w:bookmarkStart w:id="361" w:name="_Toc233214761"/>
      <w:bookmarkStart w:id="362" w:name="_Toc466365750"/>
      <w:bookmarkStart w:id="363" w:name="_Toc360485600"/>
      <w:bookmarkStart w:id="364" w:name="_Toc241741412"/>
      <w:bookmarkStart w:id="365" w:name="_Toc292754438"/>
      <w:bookmarkStart w:id="366" w:name="_Toc262646098"/>
      <w:bookmarkStart w:id="367" w:name="_Toc233435919"/>
      <w:bookmarkStart w:id="368" w:name="_Toc318820940"/>
      <w:bookmarkStart w:id="369" w:name="_Toc241744712"/>
      <w:bookmarkStart w:id="370" w:name="_Toc30805"/>
      <w:bookmarkStart w:id="371" w:name="_Toc241637419"/>
      <w:r>
        <w:rPr>
          <w:rFonts w:hint="eastAsia" w:ascii="Times New Roman" w:hAnsi="Times New Roman"/>
          <w:b w:val="0"/>
          <w:color w:val="auto"/>
          <w:sz w:val="24"/>
          <w:szCs w:val="24"/>
          <w:highlight w:val="none"/>
        </w:rPr>
        <w:t>3．投标文件</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6"/>
        <w:spacing w:before="120" w:beforeLines="50" w:after="0" w:line="360" w:lineRule="auto"/>
        <w:rPr>
          <w:rFonts w:hint="eastAsia" w:ascii="黑体" w:eastAsia="黑体"/>
          <w:b w:val="0"/>
          <w:color w:val="auto"/>
          <w:sz w:val="21"/>
          <w:szCs w:val="21"/>
          <w:highlight w:val="none"/>
        </w:rPr>
      </w:pPr>
      <w:bookmarkStart w:id="372" w:name="_Toc324107605"/>
      <w:bookmarkStart w:id="373" w:name="_Toc10831"/>
      <w:bookmarkStart w:id="374" w:name="_Toc262646099"/>
      <w:bookmarkStart w:id="375" w:name="_Toc360485601"/>
      <w:bookmarkStart w:id="376" w:name="_Toc233214762"/>
      <w:bookmarkStart w:id="377" w:name="_Toc233423193"/>
      <w:bookmarkStart w:id="378" w:name="_Toc233435920"/>
      <w:bookmarkStart w:id="379" w:name="_Toc233290308"/>
      <w:bookmarkStart w:id="380" w:name="_Toc241637420"/>
      <w:bookmarkStart w:id="381" w:name="_Toc466365751"/>
      <w:bookmarkStart w:id="382" w:name="_Toc233429703"/>
      <w:bookmarkStart w:id="383" w:name="_Toc318820941"/>
      <w:bookmarkStart w:id="384" w:name="_Toc27031"/>
      <w:bookmarkStart w:id="385" w:name="_Toc292754439"/>
      <w:r>
        <w:rPr>
          <w:rFonts w:hint="eastAsia" w:eastAsia="黑体"/>
          <w:color w:val="auto"/>
          <w:sz w:val="21"/>
          <w:szCs w:val="21"/>
          <w:highlight w:val="none"/>
        </w:rPr>
        <w:t>3.1</w:t>
      </w:r>
      <w:r>
        <w:rPr>
          <w:rFonts w:eastAsia="黑体"/>
          <w:color w:val="auto"/>
          <w:sz w:val="21"/>
          <w:szCs w:val="21"/>
          <w:highlight w:val="none"/>
        </w:rPr>
        <w:t xml:space="preserve"> </w:t>
      </w:r>
      <w:r>
        <w:rPr>
          <w:rFonts w:hint="eastAsia" w:ascii="黑体" w:eastAsia="黑体"/>
          <w:b w:val="0"/>
          <w:color w:val="auto"/>
          <w:sz w:val="21"/>
          <w:szCs w:val="21"/>
          <w:highlight w:val="none"/>
        </w:rPr>
        <w:t xml:space="preserve"> 投标文件的组成</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spacing w:line="360" w:lineRule="auto"/>
        <w:ind w:firstLine="420" w:firstLineChars="200"/>
        <w:rPr>
          <w:rFonts w:hint="eastAsia" w:ascii="宋体" w:hAnsi="宋体"/>
          <w:color w:val="auto"/>
          <w:szCs w:val="21"/>
          <w:highlight w:val="none"/>
        </w:rPr>
      </w:pPr>
      <w:bookmarkStart w:id="386" w:name="_Toc233435921"/>
      <w:bookmarkStart w:id="387" w:name="_Toc233423194"/>
      <w:bookmarkStart w:id="388" w:name="_Toc233429704"/>
      <w:bookmarkStart w:id="389" w:name="_Toc233214763"/>
      <w:bookmarkStart w:id="390" w:name="_Toc233290309"/>
      <w:r>
        <w:rPr>
          <w:rFonts w:hint="eastAsia" w:ascii="宋体" w:hAnsi="宋体"/>
          <w:color w:val="auto"/>
          <w:szCs w:val="21"/>
          <w:highlight w:val="none"/>
        </w:rPr>
        <w:t>3.1.1投标文件应包括下列内容：</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第一信封（商务及技术文件）：</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（1）投标函及投标函附录；</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（2）法定代表人身份证明或附有法定代表人身份证明的授权委托书；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（3）联合体协议书；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（4）投标保证金；</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（5）施工组织设计；</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（6）项目管理机构；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（7）拟分包项目情况表；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（8）资格审查资料；</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（9）承诺函；</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（10）投标人须知前附表规定的其他材料。</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第二信封（投标报价和工程量清单）</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 投标函；</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 已标价工程量清单；</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 调价函及调价后的工程量清单（如有）。</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3.1.2 投标人须知前附表规定不接受联合体投标的，或投标人没有组成联合体的，投标文件不包括本章第3.1.1（3）目所指的联合体协议书。</w:t>
      </w:r>
    </w:p>
    <w:p>
      <w:pPr>
        <w:pStyle w:val="6"/>
        <w:spacing w:before="120" w:beforeLines="50" w:after="120" w:afterLines="50" w:line="360" w:lineRule="auto"/>
        <w:rPr>
          <w:rFonts w:hint="eastAsia" w:ascii="黑体" w:eastAsia="黑体"/>
          <w:b w:val="0"/>
          <w:color w:val="auto"/>
          <w:sz w:val="21"/>
          <w:szCs w:val="21"/>
          <w:highlight w:val="none"/>
        </w:rPr>
      </w:pPr>
      <w:bookmarkStart w:id="391" w:name="_Toc262646100"/>
      <w:bookmarkStart w:id="392" w:name="_Toc27133"/>
      <w:bookmarkStart w:id="393" w:name="_Toc20306"/>
      <w:bookmarkStart w:id="394" w:name="_Toc466365752"/>
      <w:bookmarkStart w:id="395" w:name="_Toc292754440"/>
      <w:bookmarkStart w:id="396" w:name="_Toc360485602"/>
      <w:bookmarkStart w:id="397" w:name="_Toc19692"/>
      <w:bookmarkStart w:id="398" w:name="_Toc318820942"/>
      <w:bookmarkStart w:id="399" w:name="_Toc241637421"/>
      <w:bookmarkStart w:id="400" w:name="_Toc324107606"/>
      <w:r>
        <w:rPr>
          <w:rFonts w:hint="eastAsia" w:eastAsia="黑体"/>
          <w:color w:val="auto"/>
          <w:sz w:val="21"/>
          <w:szCs w:val="21"/>
          <w:highlight w:val="none"/>
        </w:rPr>
        <w:t>3.2</w:t>
      </w:r>
      <w:r>
        <w:rPr>
          <w:rFonts w:eastAsia="黑体"/>
          <w:color w:val="auto"/>
          <w:sz w:val="21"/>
          <w:szCs w:val="21"/>
          <w:highlight w:val="none"/>
        </w:rPr>
        <w:t xml:space="preserve"> </w:t>
      </w:r>
      <w:r>
        <w:rPr>
          <w:rFonts w:hint="eastAsia" w:ascii="黑体" w:eastAsia="黑体"/>
          <w:b w:val="0"/>
          <w:color w:val="auto"/>
          <w:sz w:val="21"/>
          <w:szCs w:val="21"/>
          <w:highlight w:val="none"/>
        </w:rPr>
        <w:t xml:space="preserve"> 投标报价</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3.2.1  投标人应按第五章“工程量清单”的要求填写相应表格。</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工程量清单的填写分下列两种方式。投标人应按投标人须知前附表规定的方式填写工程量清单。</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本项目招标采用工程量固化清单，招标人在出售招标文件的同时向投标人提供工程量固化清单电子文件（光盘或U盘）。投标人填写工程量清单中的单价及总额价，即可完成投标工程量清单的编制，确定投标报价，并打印出投标工程量清单，编入投标文件。投标人未在工程量清单中填入单价或总额价的工程子目，将被认为其已包含在工程量清单其他子目的单价和总额价中，招标人将不予支付。</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必须严格遵循工程量固化清单电子文件中的数据、格式及运算定义，并将已填写完毕的投标工程量清单电子文件单独拷入招标人提供的光盘（或U盘）中，密封在投标文件正本内一并交回。严禁投标人修改工程量固化清单电子文件中的数据、格式及运算定义。</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投标人根据招标人提供的工程量固化清单电子文件填报完成并打印的投标工程量清单中的投标报价和投标函大写金额报价应一致，如果报价金额出现差异时，则以投标函大写金额报价为准。</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本项目招标由招标人提供书面工程量清单，由投标人按照招标人提供的工程量清单填写本合同各工程子目的单价、合价和总额价。评标委员会将按照第三章“评标办法”第3.1.3项和第3.1.4项的规定对投标价进行算术性错误修正及其他错误修正。</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3.2.2  投标人在投标截止时间前修改投标函中的投标总报价，应同时修改第五章“工程量清单”中的相应报价。此修改须符合本章第4.3款的有关要求。</w:t>
      </w:r>
    </w:p>
    <w:p>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3.2.3</w:t>
      </w:r>
      <w:r>
        <w:rPr>
          <w:rFonts w:hint="eastAsia" w:ascii="宋体" w:hAnsi="宋体" w:cs="宋体"/>
          <w:color w:val="auto"/>
          <w:szCs w:val="21"/>
          <w:highlight w:val="none"/>
        </w:rPr>
        <w:t xml:space="preserve"> 投标人如果发现工程量清单中的数量与图纸中数量不一致时，应立即通知招标人核查，除非招标人以书面方式予以更正，否则，应以工程量清单中列出的数量为准。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3.2.4投标人应根据《公路水运工程安全生产监督管理办法》，在投标总价中计入安全生产费用，安全生产费用应符合合同条款第9.2.5项的规定。工程量清单100章内列有上述安全生产费的支付子目，由投标人按招标文件的规定填写总额价。</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3.2.5除投标人须知前附表另有规定外，招标人不接受调价函。若招标人接受调价函，则应在招标文件中给出调价函的格式。投标人若有调价函则应遵循如下规定：</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（1）调价函必须采用招标文件规定的格式；调价函应说明调价后的最终报价，并以最终报价为准，而且投标人只能有一次调价的机会。</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（2）工程量清单中招标人指定的报价不允许调价。</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（3）调价函必须附有调价后的工程量清单；调价函必须粘贴或机械装订在投标文件正本首页，与投标文件一起密封提交。</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若投标人未提交调价后的工程量清单，或调价函未装在投标文件正本首页，调价函均视为无效，仍以原报价作为最终报价。若投标人提交的调价函多于一个，或对不允许调价的内容进行了调价，或调价函有附加条件，投标文件作为废标处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（4）若招标人接受调价函，投标人调价后的工程量清单和有效调价函的大写金额报价应保持一致，如果报价金额出现差异时，则以有效调价函的大写金额报价为准。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3.2.6 在合同实施期间，投标人填写的单价、合价和总额价是否由于物价波动进行价格调整按照合同条款第16.1款的规定处理。如果按照合同条款第16.1.1项的规定采用价格调整公式进行价格调整，由招标人根据项目实际情况测算确定价格调整公式中的变值权重范围，并在投标函附录价格指数和权重表中约定范围；投标人在此范围内填写各可调因子的权重，合同实施期间将按此权重进行调价。</w:t>
      </w:r>
    </w:p>
    <w:p>
      <w:pPr>
        <w:pStyle w:val="33"/>
        <w:keepNext w:val="0"/>
        <w:keepLines w:val="0"/>
        <w:pageBreakBefore w:val="0"/>
        <w:widowControl w:val="0"/>
        <w:numPr>
          <w:ilvl w:val="0"/>
          <w:numId w:val="0"/>
        </w:numPr>
        <w:tabs>
          <w:tab w:val="left" w:pos="1648"/>
        </w:tabs>
        <w:kinsoku/>
        <w:wordWrap/>
        <w:overflowPunct/>
        <w:topLinePunct w:val="0"/>
        <w:autoSpaceDE w:val="0"/>
        <w:autoSpaceDN w:val="0"/>
        <w:bidi w:val="0"/>
        <w:adjustRightInd/>
        <w:snapToGrid/>
        <w:spacing w:before="62" w:after="0" w:line="400" w:lineRule="exact"/>
        <w:ind w:right="0" w:rightChars="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3.3投标有效期</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3.3.1 除投标人须知前附表另有规定外，投标有效期为 90 日。</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3.3.2 在投标有效期内，投标人撤销投标文件的，应承担招标文件和法律规定的责任。</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3.3.3 出现特殊情况需要延长投标有效期的，招标人以书面形式通知所有投标人延长投标有效</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期。投标人应予以书面答复，同意延长的，应相应延长其投标保证金的有效期，但不得要求或被允许修改其投标文件；投标人拒绝延长的，其投标失效，但投标人有权收回其投标保证金及以现金或支票形式递交的投标保证金的银行同期活期存款利息。</w:t>
      </w:r>
    </w:p>
    <w:p>
      <w:pPr>
        <w:pStyle w:val="33"/>
        <w:keepNext w:val="0"/>
        <w:keepLines w:val="0"/>
        <w:pageBreakBefore w:val="0"/>
        <w:widowControl w:val="0"/>
        <w:numPr>
          <w:ilvl w:val="0"/>
          <w:numId w:val="0"/>
        </w:numPr>
        <w:tabs>
          <w:tab w:val="left" w:pos="1648"/>
        </w:tabs>
        <w:kinsoku/>
        <w:wordWrap/>
        <w:overflowPunct/>
        <w:topLinePunct w:val="0"/>
        <w:autoSpaceDE w:val="0"/>
        <w:autoSpaceDN w:val="0"/>
        <w:bidi w:val="0"/>
        <w:adjustRightInd/>
        <w:snapToGrid/>
        <w:spacing w:before="62" w:after="0" w:line="400" w:lineRule="exact"/>
        <w:ind w:right="0" w:rightChars="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3.4 投标保证金</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3.4.1 投标人在递交投标文件的同时，应按投标人须知前附表规定的金额、担保形式和第九章</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“投标文件格式”规定的投标保证金格式递交投标保证金，并作为其投标文件的组成部分。联合体</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投标的，其投标保证金由牵头人递交，并应符合投标人须知前附表的规定。</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3.4.2 投标人不按本章第 3.4.1 项要求提交投标保证金的，评标委员会将否决其投标。</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3.4.3 投标保证金的退还见投标人须知前附表。</w:t>
      </w:r>
    </w:p>
    <w:p>
      <w:pPr>
        <w:pStyle w:val="40"/>
        <w:keepNext w:val="0"/>
        <w:keepLines w:val="0"/>
        <w:pageBreakBefore w:val="0"/>
        <w:widowControl w:val="0"/>
        <w:kinsoku/>
        <w:wordWrap/>
        <w:overflowPunct/>
        <w:topLinePunct w:val="0"/>
        <w:autoSpaceDE w:val="0"/>
        <w:autoSpaceDN w:val="0"/>
        <w:bidi w:val="0"/>
        <w:adjustRightInd/>
        <w:snapToGrid/>
        <w:spacing w:line="400" w:lineRule="exact"/>
        <w:ind w:right="124"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3.4.4 投标保证金不予退还的情形见投标人须知前附表</w:t>
      </w:r>
    </w:p>
    <w:p>
      <w:pPr>
        <w:pStyle w:val="6"/>
        <w:spacing w:before="120" w:beforeLines="50" w:after="120" w:afterLines="50" w:line="360" w:lineRule="auto"/>
        <w:rPr>
          <w:rFonts w:hint="eastAsia" w:ascii="黑体" w:eastAsia="黑体"/>
          <w:b w:val="0"/>
          <w:color w:val="auto"/>
          <w:sz w:val="21"/>
          <w:szCs w:val="21"/>
          <w:highlight w:val="none"/>
        </w:rPr>
      </w:pPr>
      <w:bookmarkStart w:id="401" w:name="_Toc23852"/>
      <w:bookmarkStart w:id="402" w:name="_Toc27135"/>
      <w:bookmarkStart w:id="403" w:name="_Toc262646103"/>
      <w:bookmarkStart w:id="404" w:name="_Toc466365755"/>
      <w:bookmarkStart w:id="405" w:name="_Toc233429707"/>
      <w:bookmarkStart w:id="406" w:name="_Toc324107609"/>
      <w:bookmarkStart w:id="407" w:name="_Toc233435924"/>
      <w:bookmarkStart w:id="408" w:name="_Toc292754443"/>
      <w:bookmarkStart w:id="409" w:name="_Toc241637424"/>
      <w:bookmarkStart w:id="410" w:name="_Toc360485605"/>
      <w:bookmarkStart w:id="411" w:name="_Toc233290312"/>
      <w:bookmarkStart w:id="412" w:name="_Toc233423197"/>
      <w:bookmarkStart w:id="413" w:name="_Toc23825"/>
      <w:bookmarkStart w:id="414" w:name="_Toc318820945"/>
      <w:bookmarkStart w:id="415" w:name="_Toc233214766"/>
      <w:r>
        <w:rPr>
          <w:rFonts w:eastAsia="黑体"/>
          <w:color w:val="auto"/>
          <w:sz w:val="21"/>
          <w:szCs w:val="21"/>
          <w:highlight w:val="none"/>
        </w:rPr>
        <w:t>3.5</w:t>
      </w:r>
      <w:r>
        <w:rPr>
          <w:rFonts w:hint="eastAsia" w:ascii="黑体" w:eastAsia="黑体"/>
          <w:b w:val="0"/>
          <w:color w:val="auto"/>
          <w:sz w:val="21"/>
          <w:szCs w:val="21"/>
          <w:highlight w:val="none"/>
        </w:rPr>
        <w:t xml:space="preserve">  资格审查资料</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3.5.1 “投标人基本情况表”应附企业法人营业执照副本（全本）的复印件（并加盖单位章）、施工资质证书副本（全本）的复印件（并加盖单位章）、安全生产许可证副本（全本）的复印件（并加盖单位章）、基本账户开户许可证或基本存款账户信息的复印件（并加盖单位章）。</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拟委任的项目经理和项目总工资历表”应附项目经理（以及备选人）和项目总工（以及备选人）的身份证、职称资格证书以及资格审查条件所要求的其他相关证书（如：建造师注册证书、安全生产考核合格证书等）的复印件。。</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3.5.2  “近年财务状况表”应附经会计师事务所或审计机构审计的财务会计报表，包括资产负债表、现金流量表、利润表和财务情况说明书的复印件，具体年份要求见投标人须知前附表。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3.5.3 “近年完成的类似项目情况表”应附中标通知书和（或）合同协议书、工程接收证书（工程竣工验收证书）的复印件，具体年份要求见投标人须知前附表。每张表格只填写一个项目，并标明序号。</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工程接收证书（工程竣工验收证书）可以是发包人出具的公路工程（标段）交（竣工）验收证书或竣工 验收委员会出具的公路工程竣工验收鉴定书或质量监督机构对各参建单位签发的工作综合评价等级证书。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3.5.4  “正在施工和新承接的项目情况表”应附中标通知书和（或）合同协议书复印件。每张表格只填写一个项目，并标明序号。</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3.5.5  “近年发生的诉讼及仲裁情况”应说明相关情况，并附法院或仲裁机构作出的判决、裁决等有关法律文书复印件，具体年份要求见投标人须知前附表。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3.5.6  投标人须知前附表规定接受联合体投标的，本章第3.5.1项至第3.5.5项规定的表格和资料应包括联合体各方相关情况。</w:t>
      </w:r>
    </w:p>
    <w:p>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3.5.7</w:t>
      </w:r>
      <w:r>
        <w:rPr>
          <w:rFonts w:hint="eastAsia" w:ascii="宋体" w:hAnsi="宋体" w:cs="宋体"/>
          <w:color w:val="auto"/>
          <w:szCs w:val="21"/>
          <w:highlight w:val="none"/>
        </w:rPr>
        <w:t xml:space="preserve"> 投标人在投标文件中填报的项目经理（以及备选人）和项目总工（以及备选人）不允许更换。</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3.5.8 </w:t>
      </w:r>
      <w:r>
        <w:rPr>
          <w:rFonts w:hint="eastAsia" w:ascii="宋体" w:hAnsi="宋体"/>
          <w:color w:val="auto"/>
          <w:szCs w:val="21"/>
          <w:highlight w:val="none"/>
        </w:rPr>
        <w:t>招标人有权核查投标人在投标文件中提供的材料，若在评标期间发现投标人提供了虚假资料，招标人有权对投标人的投标文件作否决投标处理，并没收其投标保证金及同期银行存款利息；若在评标结果公示期间发现作为中标候选人的投标人提供了虚假资料，招标人有权取消其中标资格并没收其投标保证金及同期银行存款利息；若在合同实施期间发现投标人提供了虚假资料，招标人有权从合同价款或履约担保中扣除不超过2%签约合同价的金额作为违约金。同时招标人将投标人以上弄虚作假行为上报省级交通运输主管部门，作为不良记录纳入浙江省交通建设市场诚信信息系统和信用评价管理系统。</w:t>
      </w:r>
    </w:p>
    <w:p>
      <w:pPr>
        <w:pStyle w:val="6"/>
        <w:spacing w:before="120" w:beforeLines="50" w:after="120" w:afterLines="50" w:line="360" w:lineRule="auto"/>
        <w:rPr>
          <w:rFonts w:hint="eastAsia" w:ascii="黑体" w:eastAsia="黑体"/>
          <w:b w:val="0"/>
          <w:color w:val="auto"/>
          <w:sz w:val="21"/>
          <w:szCs w:val="21"/>
          <w:highlight w:val="none"/>
        </w:rPr>
      </w:pPr>
      <w:bookmarkStart w:id="416" w:name="_Toc292754444"/>
      <w:bookmarkStart w:id="417" w:name="_Toc233423198"/>
      <w:bookmarkStart w:id="418" w:name="_Toc324107610"/>
      <w:bookmarkStart w:id="419" w:name="_Toc28234"/>
      <w:bookmarkStart w:id="420" w:name="_Toc23264"/>
      <w:bookmarkStart w:id="421" w:name="_Toc466365756"/>
      <w:bookmarkStart w:id="422" w:name="_Toc233290313"/>
      <w:bookmarkStart w:id="423" w:name="_Toc233214767"/>
      <w:bookmarkStart w:id="424" w:name="_Toc262646104"/>
      <w:bookmarkStart w:id="425" w:name="_Toc360485606"/>
      <w:bookmarkStart w:id="426" w:name="_Toc233429708"/>
      <w:bookmarkStart w:id="427" w:name="_Toc233435925"/>
      <w:bookmarkStart w:id="428" w:name="_Toc241637425"/>
      <w:bookmarkStart w:id="429" w:name="_Toc1260"/>
      <w:bookmarkStart w:id="430" w:name="_Toc318820946"/>
      <w:r>
        <w:rPr>
          <w:rFonts w:eastAsia="黑体"/>
          <w:color w:val="auto"/>
          <w:sz w:val="21"/>
          <w:szCs w:val="21"/>
          <w:highlight w:val="none"/>
        </w:rPr>
        <w:t>3.6</w:t>
      </w:r>
      <w:r>
        <w:rPr>
          <w:rFonts w:hint="eastAsia" w:ascii="黑体" w:eastAsia="黑体"/>
          <w:b w:val="0"/>
          <w:color w:val="auto"/>
          <w:sz w:val="21"/>
          <w:szCs w:val="21"/>
          <w:highlight w:val="none"/>
        </w:rPr>
        <w:t xml:space="preserve">  备选投标方案</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6"/>
        <w:spacing w:before="120" w:beforeLines="50" w:after="120" w:afterLines="50" w:line="360" w:lineRule="auto"/>
        <w:rPr>
          <w:rFonts w:eastAsia="黑体"/>
          <w:b w:val="0"/>
          <w:color w:val="auto"/>
          <w:sz w:val="21"/>
          <w:szCs w:val="21"/>
          <w:highlight w:val="none"/>
        </w:rPr>
      </w:pPr>
      <w:bookmarkStart w:id="431" w:name="_Toc324107611"/>
      <w:bookmarkStart w:id="432" w:name="_Toc466365757"/>
      <w:bookmarkStart w:id="433" w:name="_Toc360485607"/>
      <w:bookmarkStart w:id="434" w:name="_Toc233423199"/>
      <w:bookmarkStart w:id="435" w:name="_Toc233290314"/>
      <w:bookmarkStart w:id="436" w:name="_Toc292754445"/>
      <w:bookmarkStart w:id="437" w:name="_Toc7998"/>
      <w:bookmarkStart w:id="438" w:name="_Toc318820947"/>
      <w:bookmarkStart w:id="439" w:name="_Toc233429709"/>
      <w:bookmarkStart w:id="440" w:name="_Toc241637426"/>
      <w:bookmarkStart w:id="441" w:name="_Toc233435926"/>
      <w:bookmarkStart w:id="442" w:name="_Toc4282"/>
      <w:bookmarkStart w:id="443" w:name="_Toc262646105"/>
      <w:bookmarkStart w:id="444" w:name="_Toc32089"/>
      <w:bookmarkStart w:id="445" w:name="_Toc233214768"/>
      <w:r>
        <w:rPr>
          <w:rFonts w:eastAsia="黑体"/>
          <w:color w:val="auto"/>
          <w:sz w:val="21"/>
          <w:szCs w:val="21"/>
          <w:highlight w:val="none"/>
        </w:rPr>
        <w:t>3.7</w:t>
      </w:r>
      <w:r>
        <w:rPr>
          <w:rFonts w:eastAsia="黑体"/>
          <w:b w:val="0"/>
          <w:color w:val="auto"/>
          <w:sz w:val="21"/>
          <w:szCs w:val="21"/>
          <w:highlight w:val="none"/>
        </w:rPr>
        <w:t xml:space="preserve">  投标文件的编制</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3.7.1投标文件应按第八章“投标文件格式”进行编写，如有必要，可以增加附页，作为投标文件的组成部分。其中，投标函附录在满足招标文件实质性要求的基础上，可以提出比招标文件要求更有利于招标人的承诺。</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3.7.2 投标文件应当对招标文件有关工期、投标有效期、质量要求、技术标准和要求、招标范围等实质性内容作出响应。</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3.7.3投标文件应用不褪色的材料书写或打印，投标函及投标函附录、承诺函、已标价工程量清单（包括工程量清单说明、投标报价说明、计日工说明、其他说明及工程量清单各项表格&lt;工程量清单表 5.1~表 5.2&gt;）、调价函及调价后的工程量清单（如有）的内容应由投标人的法定代表人或其委托代理人逐页签署姓名（本页正文内容已由投标人的法定代表人或其委托代理人签署姓名的可不签署）并逐页加盖投标人单位章（本页正文内容已加盖单位章的除外）。</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如果投标文件由委托代理人签署，则投标人需提交附有法定代表人身份证明的授权委托书，授权委托书应按规定的书面方式出具，并由法定代表人和委托代理人亲笔签名，不得使用印章、签名章或其他电子制版签名。</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如果由投标人的法定代表人亲自签署投标文件，则不需提交授权委托书。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以联合体形式参与投标的，投标文件由联合体牵头人的法定代表人或其委托代理人按上述规定签署并加盖联合体牵头人单位章。。</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投标文件应尽量避免涂改、行间插字或删除。如果出现上述情况，改动之处应加盖单位章或由投标人的法定代表人或其委托代理人签字确认。</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签字或盖章的其他要求见投标人须知前附表。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3.7.4 投标文件正本一份, 副本份数见投标人须知前附表。正本和副本的封面上应清楚地标记“正本”或“副本”的字样。当副本和正本不一致时，以正本为准。</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3.7.5 投标文件的正本与副本应分别装订成册（A4纸幅），并编制目录、且逐页标注连续页码。投标文件不得采用活页夹装订，否则，招标人对由于投标文件装订松散而造成的丢失或其他后果不承担任何责任。装订的其他要求见投标人须知前附表。</w:t>
      </w:r>
    </w:p>
    <w:p>
      <w:pPr>
        <w:pStyle w:val="5"/>
        <w:spacing w:before="240" w:after="120" w:line="360" w:lineRule="auto"/>
        <w:rPr>
          <w:rFonts w:hint="eastAsia" w:ascii="Times New Roman" w:hAnsi="Times New Roman"/>
          <w:b w:val="0"/>
          <w:color w:val="auto"/>
          <w:sz w:val="24"/>
          <w:szCs w:val="24"/>
          <w:highlight w:val="none"/>
        </w:rPr>
      </w:pPr>
      <w:bookmarkStart w:id="446" w:name="_Toc243899815"/>
      <w:bookmarkStart w:id="447" w:name="_Toc360485608"/>
      <w:bookmarkStart w:id="448" w:name="_Toc233290315"/>
      <w:bookmarkStart w:id="449" w:name="_Toc241741413"/>
      <w:bookmarkStart w:id="450" w:name="_Toc318820948"/>
      <w:bookmarkStart w:id="451" w:name="_Toc22443"/>
      <w:bookmarkStart w:id="452" w:name="_Toc233423200"/>
      <w:bookmarkStart w:id="453" w:name="_Toc233435927"/>
      <w:bookmarkStart w:id="454" w:name="_Toc241744713"/>
      <w:bookmarkStart w:id="455" w:name="_Toc233214769"/>
      <w:bookmarkStart w:id="456" w:name="_Toc466365758"/>
      <w:bookmarkStart w:id="457" w:name="_Toc324107612"/>
      <w:bookmarkStart w:id="458" w:name="_Toc241637427"/>
      <w:bookmarkStart w:id="459" w:name="_Toc262646106"/>
      <w:bookmarkStart w:id="460" w:name="_Toc233429710"/>
      <w:bookmarkStart w:id="461" w:name="_Toc36"/>
      <w:bookmarkStart w:id="462" w:name="_Toc292754446"/>
      <w:bookmarkStart w:id="463" w:name="_Toc13444"/>
      <w:r>
        <w:rPr>
          <w:rFonts w:hint="eastAsia" w:ascii="Times New Roman" w:hAnsi="Times New Roman"/>
          <w:b w:val="0"/>
          <w:color w:val="auto"/>
          <w:sz w:val="24"/>
          <w:szCs w:val="24"/>
          <w:highlight w:val="none"/>
        </w:rPr>
        <w:t>4．投标</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6"/>
        <w:spacing w:before="120" w:beforeLines="50" w:after="120" w:afterLines="50" w:line="360" w:lineRule="auto"/>
        <w:rPr>
          <w:rFonts w:hint="eastAsia" w:ascii="黑体" w:eastAsia="黑体"/>
          <w:b w:val="0"/>
          <w:color w:val="auto"/>
          <w:sz w:val="21"/>
          <w:szCs w:val="21"/>
          <w:highlight w:val="none"/>
        </w:rPr>
      </w:pPr>
      <w:bookmarkStart w:id="464" w:name="_Toc318820949"/>
      <w:bookmarkStart w:id="465" w:name="_Toc233429711"/>
      <w:bookmarkStart w:id="466" w:name="_Toc262646107"/>
      <w:bookmarkStart w:id="467" w:name="_Toc233290316"/>
      <w:bookmarkStart w:id="468" w:name="_Toc292754447"/>
      <w:bookmarkStart w:id="469" w:name="_Toc15664"/>
      <w:bookmarkStart w:id="470" w:name="_Toc360485609"/>
      <w:bookmarkStart w:id="471" w:name="_Toc16291"/>
      <w:bookmarkStart w:id="472" w:name="_Toc241637428"/>
      <w:bookmarkStart w:id="473" w:name="_Toc233214770"/>
      <w:bookmarkStart w:id="474" w:name="_Toc233423201"/>
      <w:bookmarkStart w:id="475" w:name="_Toc233435928"/>
      <w:bookmarkStart w:id="476" w:name="_Toc324107613"/>
      <w:bookmarkStart w:id="477" w:name="_Toc466365759"/>
      <w:bookmarkStart w:id="478" w:name="_Toc819"/>
      <w:r>
        <w:rPr>
          <w:rFonts w:eastAsia="黑体"/>
          <w:color w:val="auto"/>
          <w:sz w:val="21"/>
          <w:szCs w:val="21"/>
          <w:highlight w:val="none"/>
        </w:rPr>
        <w:t>4.1</w:t>
      </w:r>
      <w:r>
        <w:rPr>
          <w:rFonts w:hint="eastAsia" w:ascii="黑体" w:eastAsia="黑体"/>
          <w:b w:val="0"/>
          <w:color w:val="auto"/>
          <w:sz w:val="21"/>
          <w:szCs w:val="21"/>
          <w:highlight w:val="none"/>
        </w:rPr>
        <w:t xml:space="preserve">  投标文件的密封和标识</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spacing w:line="360" w:lineRule="auto"/>
        <w:ind w:firstLine="420" w:firstLineChars="200"/>
        <w:rPr>
          <w:rFonts w:hint="eastAsia" w:ascii="宋体" w:hAnsi="宋体"/>
          <w:color w:val="auto"/>
          <w:szCs w:val="21"/>
          <w:highlight w:val="none"/>
        </w:rPr>
      </w:pPr>
      <w:bookmarkStart w:id="479" w:name="_Toc233435929"/>
      <w:bookmarkStart w:id="480" w:name="_Toc233429712"/>
      <w:bookmarkStart w:id="481" w:name="_Toc233423202"/>
      <w:bookmarkStart w:id="482" w:name="_Toc233290317"/>
      <w:bookmarkStart w:id="483" w:name="_Toc233214771"/>
      <w:bookmarkStart w:id="484" w:name="_Toc241637429"/>
      <w:r>
        <w:rPr>
          <w:rFonts w:hint="eastAsia" w:ascii="宋体" w:hAnsi="宋体"/>
          <w:color w:val="auto"/>
          <w:szCs w:val="21"/>
          <w:highlight w:val="none"/>
        </w:rPr>
        <w:t>4.1.1本次招标采用双信封形式，投标文件第一信封（商务及技术文件）以及第二信封（投标报价和工程量清单）应单独密封包装。第一信封（商务及技术文件）的正本与副本应分别包装在相应的内层封套里，然后统一密封在一个外层封套中。第二信封（投标报价和工程量清单）的正本与副本应分别包装在相应的内层封套里，投标文件电子文件（如需要）以及填写完毕的工程量固化清单电子文件（若采用工程量固化清单形式）应与第二信封（投标报价和工程量清单）正本包在同一个内层封套里，然后统一密封在一个外层封套中。内层和外层封套均应加贴封条，内层封套的封口处应加盖投标人单位章。外层封套上不应有任何投标人的识别标志。</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4.1.2投标文件的内层封套上应清楚地标记“正本”或“副本”字样，投标文件第一信封（商务及技术文件）以及第二信封（投标报价和工程量清单）封套上应写明的其他内容见投标人须知前附表。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4.1.3 未按本章第4.1.1项或第4.1.2项要求密封和加写标记的投标文件，招标人不予受理。</w:t>
      </w:r>
    </w:p>
    <w:p>
      <w:pPr>
        <w:pStyle w:val="6"/>
        <w:spacing w:before="120" w:beforeLines="50" w:after="120" w:afterLines="50" w:line="360" w:lineRule="auto"/>
        <w:rPr>
          <w:rFonts w:hint="eastAsia" w:ascii="黑体" w:eastAsia="黑体"/>
          <w:b w:val="0"/>
          <w:color w:val="auto"/>
          <w:sz w:val="21"/>
          <w:szCs w:val="21"/>
          <w:highlight w:val="none"/>
        </w:rPr>
      </w:pPr>
      <w:bookmarkStart w:id="485" w:name="_Toc262646108"/>
      <w:bookmarkStart w:id="486" w:name="_Toc360485610"/>
      <w:bookmarkStart w:id="487" w:name="_Toc466365760"/>
      <w:bookmarkStart w:id="488" w:name="_Toc25119"/>
      <w:bookmarkStart w:id="489" w:name="_Toc10789"/>
      <w:bookmarkStart w:id="490" w:name="_Toc292754448"/>
      <w:bookmarkStart w:id="491" w:name="_Toc318820950"/>
      <w:bookmarkStart w:id="492" w:name="_Toc4632"/>
      <w:bookmarkStart w:id="493" w:name="_Toc324107614"/>
      <w:r>
        <w:rPr>
          <w:rFonts w:eastAsia="黑体"/>
          <w:color w:val="auto"/>
          <w:sz w:val="21"/>
          <w:szCs w:val="21"/>
          <w:highlight w:val="none"/>
        </w:rPr>
        <w:t>4.2</w:t>
      </w:r>
      <w:r>
        <w:rPr>
          <w:rFonts w:hint="eastAsia" w:ascii="黑体" w:eastAsia="黑体"/>
          <w:b w:val="0"/>
          <w:color w:val="auto"/>
          <w:sz w:val="21"/>
          <w:szCs w:val="21"/>
          <w:highlight w:val="none"/>
        </w:rPr>
        <w:t xml:space="preserve">  投标文件的递交</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4.2.1  投标人应在本章第2.2.2项规定的投标截止时间前递交投标文件。</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4.2.2  投标人递交投标文件的地点：见投标人须知前附表。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4.2.3  除投标人须知前附表另有规定外，投标人所递交的投标文件不予退还。</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4.2.4  招标人收到投标文件后，向投标人出具签收凭证。</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4.2.5  逾期送达的或者未送达指定地点的投标文件，招标人不予受理。</w:t>
      </w:r>
    </w:p>
    <w:p>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4.2.6  在特殊情况下，招标人如果决定延后投标截止时间，应在投标人须知前附表规定的时间</w:t>
      </w:r>
      <w:r>
        <w:rPr>
          <w:rFonts w:hint="eastAsia" w:ascii="宋体" w:hAnsi="宋体" w:cs="宋体"/>
          <w:color w:val="auto"/>
          <w:szCs w:val="21"/>
          <w:highlight w:val="none"/>
        </w:rPr>
        <w:t>前，以书面形式通知所有投标人延后投标截止时间。在此情况下，招标人和投标人的权利和义务相应延后至新的投标截止时间。</w:t>
      </w:r>
    </w:p>
    <w:p>
      <w:pPr>
        <w:pStyle w:val="6"/>
        <w:spacing w:before="120" w:beforeLines="50" w:after="120" w:afterLines="50" w:line="360" w:lineRule="auto"/>
        <w:rPr>
          <w:rFonts w:hint="eastAsia" w:ascii="黑体" w:eastAsia="黑体"/>
          <w:b w:val="0"/>
          <w:color w:val="auto"/>
          <w:sz w:val="21"/>
          <w:szCs w:val="21"/>
          <w:highlight w:val="none"/>
        </w:rPr>
      </w:pPr>
      <w:bookmarkStart w:id="494" w:name="_Toc11809"/>
      <w:bookmarkStart w:id="495" w:name="_Toc233429713"/>
      <w:bookmarkStart w:id="496" w:name="_Toc233423203"/>
      <w:bookmarkStart w:id="497" w:name="_Toc233290318"/>
      <w:bookmarkStart w:id="498" w:name="_Toc466365761"/>
      <w:bookmarkStart w:id="499" w:name="_Toc233214772"/>
      <w:bookmarkStart w:id="500" w:name="_Toc292754449"/>
      <w:bookmarkStart w:id="501" w:name="_Toc241637430"/>
      <w:bookmarkStart w:id="502" w:name="_Toc360485611"/>
      <w:bookmarkStart w:id="503" w:name="_Toc262646109"/>
      <w:bookmarkStart w:id="504" w:name="_Toc27918"/>
      <w:bookmarkStart w:id="505" w:name="_Toc318820951"/>
      <w:bookmarkStart w:id="506" w:name="_Toc324107615"/>
      <w:bookmarkStart w:id="507" w:name="_Toc233435930"/>
      <w:bookmarkStart w:id="508" w:name="_Toc31023"/>
      <w:r>
        <w:rPr>
          <w:rFonts w:eastAsia="黑体"/>
          <w:color w:val="auto"/>
          <w:sz w:val="21"/>
          <w:szCs w:val="21"/>
          <w:highlight w:val="none"/>
        </w:rPr>
        <w:t>4.</w:t>
      </w:r>
      <w:r>
        <w:rPr>
          <w:rFonts w:hint="eastAsia" w:eastAsia="黑体"/>
          <w:color w:val="auto"/>
          <w:sz w:val="21"/>
          <w:szCs w:val="21"/>
          <w:highlight w:val="none"/>
        </w:rPr>
        <w:t>3</w:t>
      </w:r>
      <w:r>
        <w:rPr>
          <w:rFonts w:hint="eastAsia" w:ascii="黑体" w:eastAsia="黑体"/>
          <w:b w:val="0"/>
          <w:color w:val="auto"/>
          <w:sz w:val="21"/>
          <w:szCs w:val="21"/>
          <w:highlight w:val="none"/>
        </w:rPr>
        <w:t xml:space="preserve">  投标文件的修改与撤回</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spacing w:line="360" w:lineRule="auto"/>
        <w:ind w:firstLine="420" w:firstLineChars="200"/>
        <w:rPr>
          <w:rFonts w:hint="eastAsia" w:ascii="宋体" w:hAnsi="宋体"/>
          <w:color w:val="auto"/>
          <w:szCs w:val="21"/>
          <w:highlight w:val="none"/>
        </w:rPr>
      </w:pPr>
      <w:bookmarkStart w:id="509" w:name="_Toc233435931"/>
      <w:bookmarkStart w:id="510" w:name="_Toc233429714"/>
      <w:bookmarkStart w:id="511" w:name="_Toc233214773"/>
      <w:bookmarkStart w:id="512" w:name="_Toc233290319"/>
      <w:bookmarkStart w:id="513" w:name="_Toc233423204"/>
      <w:r>
        <w:rPr>
          <w:rFonts w:hint="eastAsia" w:ascii="宋体" w:hAnsi="宋体"/>
          <w:color w:val="auto"/>
          <w:szCs w:val="21"/>
          <w:highlight w:val="none"/>
        </w:rPr>
        <w:t>4.3.1  在本章第2.2.2项规定的投标截止时间前，投标人可以修改或撤回已递交的投标文件，但应以书面形式通知招标人。</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4.3.2  投标人修改或撤回已递交投标文件的书面通知应按照本章第3.7.3项的要求签字或盖章。招标人收到书面通知后，向投标人出具签收凭证。</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4.3.3  修改的内容为投标文件的组成部分。修改的投标文件应按照本章第3条、第4条规定进行编制、密封、标记和递交，并标明“修改”字样。</w:t>
      </w:r>
    </w:p>
    <w:bookmarkEnd w:id="509"/>
    <w:bookmarkEnd w:id="510"/>
    <w:bookmarkEnd w:id="511"/>
    <w:bookmarkEnd w:id="512"/>
    <w:bookmarkEnd w:id="513"/>
    <w:p>
      <w:pPr>
        <w:pStyle w:val="5"/>
        <w:spacing w:before="240" w:after="120" w:line="360" w:lineRule="auto"/>
        <w:rPr>
          <w:rFonts w:hint="eastAsia" w:ascii="Times New Roman" w:hAnsi="Times New Roman"/>
          <w:b w:val="0"/>
          <w:color w:val="auto"/>
          <w:sz w:val="24"/>
          <w:szCs w:val="24"/>
          <w:highlight w:val="none"/>
        </w:rPr>
      </w:pPr>
      <w:bookmarkStart w:id="514" w:name="_Toc241637431"/>
      <w:bookmarkStart w:id="515" w:name="_Toc262646110"/>
      <w:bookmarkStart w:id="516" w:name="_Toc360485612"/>
      <w:bookmarkStart w:id="517" w:name="_Toc243899816"/>
      <w:bookmarkStart w:id="518" w:name="_Toc5527"/>
      <w:bookmarkStart w:id="519" w:name="_Toc318820952"/>
      <w:bookmarkStart w:id="520" w:name="_Toc241744714"/>
      <w:bookmarkStart w:id="521" w:name="_Toc27369"/>
      <w:bookmarkStart w:id="522" w:name="_Toc5156"/>
      <w:bookmarkStart w:id="523" w:name="_Toc292754450"/>
      <w:bookmarkStart w:id="524" w:name="_Toc466365762"/>
      <w:bookmarkStart w:id="525" w:name="_Toc324107616"/>
      <w:bookmarkStart w:id="526" w:name="_Toc241741414"/>
      <w:r>
        <w:rPr>
          <w:rFonts w:hint="eastAsia" w:ascii="Times New Roman" w:hAnsi="Times New Roman"/>
          <w:b w:val="0"/>
          <w:color w:val="auto"/>
          <w:sz w:val="24"/>
          <w:szCs w:val="24"/>
          <w:highlight w:val="none"/>
        </w:rPr>
        <w:t>5．开标</w:t>
      </w:r>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6"/>
        <w:spacing w:before="120" w:beforeLines="50" w:after="120" w:afterLines="50" w:line="360" w:lineRule="auto"/>
        <w:rPr>
          <w:rFonts w:hint="eastAsia" w:ascii="黑体" w:eastAsia="黑体"/>
          <w:b w:val="0"/>
          <w:color w:val="auto"/>
          <w:sz w:val="21"/>
          <w:szCs w:val="21"/>
          <w:highlight w:val="none"/>
        </w:rPr>
      </w:pPr>
      <w:bookmarkStart w:id="527" w:name="_Toc466365763"/>
      <w:bookmarkStart w:id="528" w:name="_Toc241637432"/>
      <w:bookmarkStart w:id="529" w:name="_Toc324107617"/>
      <w:bookmarkStart w:id="530" w:name="_Toc292754451"/>
      <w:bookmarkStart w:id="531" w:name="_Toc26167"/>
      <w:bookmarkStart w:id="532" w:name="_Toc233423205"/>
      <w:bookmarkStart w:id="533" w:name="_Toc318820953"/>
      <w:bookmarkStart w:id="534" w:name="_Toc12737"/>
      <w:bookmarkStart w:id="535" w:name="_Toc233214774"/>
      <w:bookmarkStart w:id="536" w:name="_Toc233435932"/>
      <w:bookmarkStart w:id="537" w:name="_Toc262646111"/>
      <w:bookmarkStart w:id="538" w:name="_Toc233290320"/>
      <w:bookmarkStart w:id="539" w:name="_Toc20418"/>
      <w:bookmarkStart w:id="540" w:name="_Toc360485613"/>
      <w:bookmarkStart w:id="541" w:name="_Toc233429715"/>
      <w:r>
        <w:rPr>
          <w:rFonts w:hint="eastAsia" w:eastAsia="黑体"/>
          <w:color w:val="auto"/>
          <w:sz w:val="21"/>
          <w:szCs w:val="21"/>
          <w:highlight w:val="none"/>
        </w:rPr>
        <w:t>5.1</w:t>
      </w:r>
      <w:r>
        <w:rPr>
          <w:rFonts w:hint="eastAsia" w:ascii="黑体" w:eastAsia="黑体"/>
          <w:b w:val="0"/>
          <w:color w:val="auto"/>
          <w:sz w:val="21"/>
          <w:szCs w:val="21"/>
          <w:highlight w:val="none"/>
        </w:rPr>
        <w:t xml:space="preserve">  开标时间和地点</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spacing w:line="360" w:lineRule="auto"/>
        <w:ind w:firstLine="420" w:firstLineChars="200"/>
        <w:rPr>
          <w:rFonts w:hint="eastAsia" w:ascii="宋体" w:hAnsi="宋体"/>
          <w:color w:val="auto"/>
          <w:szCs w:val="21"/>
          <w:highlight w:val="none"/>
        </w:rPr>
      </w:pPr>
      <w:bookmarkStart w:id="542" w:name="_Toc324107618"/>
      <w:bookmarkStart w:id="543" w:name="_Toc8044"/>
      <w:bookmarkStart w:id="544" w:name="_Toc233290321"/>
      <w:bookmarkStart w:id="545" w:name="_Toc233435933"/>
      <w:bookmarkStart w:id="546" w:name="_Toc12452"/>
      <w:bookmarkStart w:id="547" w:name="_Toc262646112"/>
      <w:bookmarkStart w:id="548" w:name="_Toc241637433"/>
      <w:bookmarkStart w:id="549" w:name="_Toc233214775"/>
      <w:bookmarkStart w:id="550" w:name="_Toc318820954"/>
      <w:bookmarkStart w:id="551" w:name="_Toc292754452"/>
      <w:bookmarkStart w:id="552" w:name="_Toc233429716"/>
      <w:bookmarkStart w:id="553" w:name="_Toc233423206"/>
      <w:r>
        <w:rPr>
          <w:rFonts w:hint="eastAsia" w:ascii="宋体" w:hAnsi="宋体"/>
          <w:color w:val="auto"/>
          <w:szCs w:val="21"/>
          <w:highlight w:val="none"/>
        </w:rPr>
        <w:t>招标人在本章第2.2.2项规定的投标截止时间（开标时间）和投标人须知前附表规定的地点对收到的投标文件第一信封（商务及技术文件）公开开标，并邀请所有投标人的法定代表人或其委托代理人准时参加。</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招标人在投标人须知前附表规定的时间和地点对投标文件第二信封（投标报价和工程量清单）进行开标，并邀请所有投标人的法定代表人或其委托代理人准时参加。</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投标人若未派法定代表人或委托代理人出席开标活动，视为该投标人默认开标结果。</w:t>
      </w:r>
    </w:p>
    <w:p>
      <w:pPr>
        <w:pStyle w:val="6"/>
        <w:spacing w:before="120" w:beforeLines="50" w:after="120" w:afterLines="50" w:line="360" w:lineRule="auto"/>
        <w:rPr>
          <w:rFonts w:hint="eastAsia" w:ascii="黑体" w:eastAsia="黑体"/>
          <w:b w:val="0"/>
          <w:color w:val="auto"/>
          <w:sz w:val="21"/>
          <w:szCs w:val="21"/>
          <w:highlight w:val="none"/>
        </w:rPr>
      </w:pPr>
      <w:bookmarkStart w:id="554" w:name="_Toc360485614"/>
      <w:bookmarkStart w:id="555" w:name="_Toc466365764"/>
      <w:r>
        <w:rPr>
          <w:rFonts w:hint="eastAsia" w:eastAsia="黑体"/>
          <w:color w:val="auto"/>
          <w:sz w:val="21"/>
          <w:szCs w:val="21"/>
          <w:highlight w:val="none"/>
        </w:rPr>
        <w:t>5.2</w:t>
      </w:r>
      <w:r>
        <w:rPr>
          <w:rFonts w:hint="eastAsia" w:ascii="黑体" w:eastAsia="黑体"/>
          <w:b w:val="0"/>
          <w:color w:val="auto"/>
          <w:sz w:val="21"/>
          <w:szCs w:val="21"/>
          <w:highlight w:val="none"/>
        </w:rPr>
        <w:t xml:space="preserve">  开标程序</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5.2.1  主持人按下列程序对投标文件第一信封（商务及技术文件）进行开标：</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（1）宣布开标纪律；</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（2）公布在投标截止时间前递交投标文件的投标人名称，并点名确认投标人是否派人到场；</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（3）宣布开标人、唱标人、记录人、监标人等有关人员姓名；</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（4）按照投标人须知前附表规定检查投标文件的密封情况；</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（5）按照投标人须知前附表的规定确定并宣布投标文件开标顺序；</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（6）按照宣布的开标顺序当众开标，公布投标人名称、标段名称、投标保证金的递交情况、质量目标、工期及其他内容，并记录在案；</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（7）投标人代表、招标人代表、监标人、记录人等有关人员在开标记录上签字确认；</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（8）开标会议结束。</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5.2.2若招标人宣读的内容与投标文件不符时，投标人有权在开标现场提出异议，经监标人当场核查确认之后，可重新宣读其投标文件。若投标人现场未提出异议，则认为投标人已确认招标人宣读的内容。</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5.2.3 投标文件第二信封（投标报价和工程量清单）不予开封，并交监标人密封保存。</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5.2.4招标人将按照本章第5.1款规定的时间和地点对投标文件第二信封（投标报价和工程量清单）进行开标。主持人按下列程序进行开标：</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（1）宣布开标纪律；</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（2）当众拆开投标文件第一信封（商务及技术文件）评审结果的密封袋，宣布通过投标文件第一信封（商务及技术文件）评审的投标人名单，并点名确认投标人是否派人到场；</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（3）宣布开标人、唱标人、记录人、监标人等有关人员姓名；</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（4）按照投标人须知前附表规定检查投标文件的密封情况；</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（5）按照投标人须知前附表的规定确定并宣布投标文件开标顺序；</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（6）设有标底的，公布标底； </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7）按照宣布的开标顺序当众开标，开标人在拆封投标文件第二信封（投标报价和工程量清单）外层封套后，按照内层封套上写明的投标人名称公布通过投标文件第一信封（商务及技术文件）评审的投标文件第二信封（投标报价和工程量清单）的投标人名称、标段名称、投标报价 及其他内容，并记录在案，将未通过投标文件第一信封（商务及技术文件）评审的投标文件第二信封（投标报价和工程量清单）退还给投标人；</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（8）投标人代表、招标人代表、监标人、记录人等有关人员在开标记录上签字确认；</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（9）开标会议结束。</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5.2.5第二信封（投标报价和工程量清单）开标过程中，若招标人发现投标文件出现以下任一情况，经监标人确认并当场宣布为废标：</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（1）未在投标函上填写投标总价；</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（2）投标报价或调价函中的报价超出招标人公布的投标控制价上限（如有）。</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5.2.6若招标人宣读的内容与投标文件不符时，投标人有权在开标现场提出异议，经监标人当场核查确认之后，可重新宣读其投标文件。若投标人现场未提出异议，则认为投标人已确认招标人宣读的内容。</w:t>
      </w:r>
    </w:p>
    <w:p>
      <w:pPr>
        <w:pStyle w:val="5"/>
        <w:spacing w:before="240" w:after="120" w:line="360" w:lineRule="auto"/>
        <w:rPr>
          <w:rFonts w:hint="eastAsia" w:ascii="Times New Roman" w:hAnsi="Times New Roman"/>
          <w:b w:val="0"/>
          <w:color w:val="auto"/>
          <w:sz w:val="24"/>
          <w:szCs w:val="24"/>
          <w:highlight w:val="none"/>
        </w:rPr>
      </w:pPr>
      <w:bookmarkStart w:id="556" w:name="_Toc324107619"/>
      <w:bookmarkStart w:id="557" w:name="_Toc262646113"/>
      <w:bookmarkStart w:id="558" w:name="_Toc26432"/>
      <w:bookmarkStart w:id="559" w:name="_Toc241741417"/>
      <w:bookmarkStart w:id="560" w:name="_Toc2668"/>
      <w:bookmarkStart w:id="561" w:name="_Toc360485615"/>
      <w:bookmarkStart w:id="562" w:name="_Toc466365765"/>
      <w:bookmarkStart w:id="563" w:name="_Toc233429717"/>
      <w:bookmarkStart w:id="564" w:name="_Toc233290322"/>
      <w:bookmarkStart w:id="565" w:name="_Toc17799"/>
      <w:bookmarkStart w:id="566" w:name="_Toc233214776"/>
      <w:bookmarkStart w:id="567" w:name="_Toc318820955"/>
      <w:bookmarkStart w:id="568" w:name="_Toc243899818"/>
      <w:bookmarkStart w:id="569" w:name="_Toc233423207"/>
      <w:bookmarkStart w:id="570" w:name="_Toc241637436"/>
      <w:bookmarkStart w:id="571" w:name="_Toc233435934"/>
      <w:bookmarkStart w:id="572" w:name="_Toc241744717"/>
      <w:bookmarkStart w:id="573" w:name="_Toc292754453"/>
      <w:r>
        <w:rPr>
          <w:rFonts w:hint="eastAsia" w:ascii="Times New Roman" w:hAnsi="Times New Roman"/>
          <w:b w:val="0"/>
          <w:color w:val="auto"/>
          <w:sz w:val="24"/>
          <w:szCs w:val="24"/>
          <w:highlight w:val="none"/>
        </w:rPr>
        <w:t>6．评标</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6"/>
        <w:spacing w:before="120" w:beforeLines="50" w:after="120" w:afterLines="50" w:line="360" w:lineRule="auto"/>
        <w:rPr>
          <w:rFonts w:hint="eastAsia" w:ascii="黑体" w:eastAsia="黑体"/>
          <w:b w:val="0"/>
          <w:color w:val="auto"/>
          <w:sz w:val="21"/>
          <w:szCs w:val="21"/>
          <w:highlight w:val="none"/>
        </w:rPr>
      </w:pPr>
      <w:bookmarkStart w:id="574" w:name="_Toc360485616"/>
      <w:bookmarkStart w:id="575" w:name="_Toc466365766"/>
      <w:bookmarkStart w:id="576" w:name="_Toc318820956"/>
      <w:bookmarkStart w:id="577" w:name="_Toc19463"/>
      <w:bookmarkStart w:id="578" w:name="_Toc233435935"/>
      <w:bookmarkStart w:id="579" w:name="_Toc233290323"/>
      <w:bookmarkStart w:id="580" w:name="_Toc233214777"/>
      <w:bookmarkStart w:id="581" w:name="_Toc233423208"/>
      <w:bookmarkStart w:id="582" w:name="_Toc9429"/>
      <w:bookmarkStart w:id="583" w:name="_Toc241637437"/>
      <w:bookmarkStart w:id="584" w:name="_Toc292754454"/>
      <w:bookmarkStart w:id="585" w:name="_Toc14937"/>
      <w:bookmarkStart w:id="586" w:name="_Toc324107620"/>
      <w:bookmarkStart w:id="587" w:name="_Toc233429718"/>
      <w:bookmarkStart w:id="588" w:name="_Toc262646114"/>
      <w:r>
        <w:rPr>
          <w:rFonts w:hint="eastAsia" w:eastAsia="黑体"/>
          <w:color w:val="auto"/>
          <w:sz w:val="21"/>
          <w:szCs w:val="21"/>
          <w:highlight w:val="none"/>
        </w:rPr>
        <w:t>6.1</w:t>
      </w:r>
      <w:r>
        <w:rPr>
          <w:rFonts w:hint="eastAsia" w:ascii="黑体" w:eastAsia="黑体"/>
          <w:b w:val="0"/>
          <w:color w:val="auto"/>
          <w:sz w:val="21"/>
          <w:szCs w:val="21"/>
          <w:highlight w:val="none"/>
        </w:rPr>
        <w:t xml:space="preserve">  评标委员会</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spacing w:line="360" w:lineRule="auto"/>
        <w:ind w:firstLine="420" w:firstLineChars="200"/>
        <w:rPr>
          <w:rFonts w:hint="eastAsia" w:ascii="宋体" w:hAnsi="宋体"/>
          <w:color w:val="auto"/>
          <w:szCs w:val="21"/>
          <w:highlight w:val="none"/>
        </w:rPr>
      </w:pPr>
      <w:bookmarkStart w:id="589" w:name="_Toc233214778"/>
      <w:bookmarkStart w:id="590" w:name="_Toc233429719"/>
      <w:bookmarkStart w:id="591" w:name="_Toc233435936"/>
      <w:bookmarkStart w:id="592" w:name="_Toc233423209"/>
      <w:bookmarkStart w:id="593" w:name="_Toc233290324"/>
      <w:r>
        <w:rPr>
          <w:rFonts w:hint="eastAsia" w:ascii="宋体" w:hAnsi="宋体"/>
          <w:color w:val="auto"/>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6.1.2 评标委员会成员有下列情形之一的，应当回避：</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（1）招标人或投标人的主要负责人的近亲属；</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（2）项目主管部门或者行政监督部门的人员；</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（3）与投标人有经济利益关系，可能影响对投标公正评审的；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（4）曾因在招标、评标以及其他与招标投标有关活动中从事违法行为而受过行政处罚或刑事处罚的。</w:t>
      </w:r>
    </w:p>
    <w:p>
      <w:pPr>
        <w:pStyle w:val="6"/>
        <w:spacing w:before="120" w:beforeLines="50" w:after="120" w:afterLines="50" w:line="360" w:lineRule="auto"/>
        <w:rPr>
          <w:rFonts w:hint="eastAsia" w:ascii="黑体" w:eastAsia="黑体"/>
          <w:b w:val="0"/>
          <w:color w:val="auto"/>
          <w:sz w:val="21"/>
          <w:szCs w:val="21"/>
          <w:highlight w:val="none"/>
        </w:rPr>
      </w:pPr>
      <w:bookmarkStart w:id="594" w:name="_Toc324107621"/>
      <w:bookmarkStart w:id="595" w:name="_Toc1025"/>
      <w:bookmarkStart w:id="596" w:name="_Toc466365767"/>
      <w:bookmarkStart w:id="597" w:name="_Toc292754455"/>
      <w:bookmarkStart w:id="598" w:name="_Toc262646115"/>
      <w:bookmarkStart w:id="599" w:name="_Toc241637438"/>
      <w:bookmarkStart w:id="600" w:name="_Toc30013"/>
      <w:bookmarkStart w:id="601" w:name="_Toc318820957"/>
      <w:bookmarkStart w:id="602" w:name="_Toc5174"/>
      <w:bookmarkStart w:id="603" w:name="_Toc360485617"/>
      <w:r>
        <w:rPr>
          <w:rFonts w:hint="eastAsia" w:eastAsia="黑体"/>
          <w:color w:val="auto"/>
          <w:sz w:val="21"/>
          <w:szCs w:val="21"/>
          <w:highlight w:val="none"/>
        </w:rPr>
        <w:t>6.2</w:t>
      </w:r>
      <w:r>
        <w:rPr>
          <w:rFonts w:hint="eastAsia" w:ascii="黑体" w:eastAsia="黑体"/>
          <w:b w:val="0"/>
          <w:color w:val="auto"/>
          <w:sz w:val="21"/>
          <w:szCs w:val="21"/>
          <w:highlight w:val="none"/>
        </w:rPr>
        <w:t xml:space="preserve">  评标原则</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评标活动遵循公平、公正、科学和择优的原则。</w:t>
      </w:r>
    </w:p>
    <w:p>
      <w:pPr>
        <w:pStyle w:val="6"/>
        <w:spacing w:before="120" w:beforeLines="50" w:after="120" w:afterLines="50" w:line="360" w:lineRule="auto"/>
        <w:rPr>
          <w:rFonts w:hint="eastAsia" w:ascii="黑体" w:eastAsia="黑体"/>
          <w:b w:val="0"/>
          <w:color w:val="auto"/>
          <w:sz w:val="21"/>
          <w:szCs w:val="21"/>
          <w:highlight w:val="none"/>
        </w:rPr>
      </w:pPr>
      <w:bookmarkStart w:id="604" w:name="_Toc466365768"/>
      <w:bookmarkStart w:id="605" w:name="_Toc25629"/>
      <w:bookmarkStart w:id="606" w:name="_Toc241637439"/>
      <w:bookmarkStart w:id="607" w:name="_Toc233429720"/>
      <w:bookmarkStart w:id="608" w:name="_Toc360485618"/>
      <w:bookmarkStart w:id="609" w:name="_Toc318820958"/>
      <w:bookmarkStart w:id="610" w:name="_Toc233435937"/>
      <w:bookmarkStart w:id="611" w:name="_Toc233214779"/>
      <w:bookmarkStart w:id="612" w:name="_Toc324107622"/>
      <w:bookmarkStart w:id="613" w:name="_Toc233290325"/>
      <w:bookmarkStart w:id="614" w:name="_Toc20349"/>
      <w:bookmarkStart w:id="615" w:name="_Toc262646116"/>
      <w:bookmarkStart w:id="616" w:name="_Toc9559"/>
      <w:bookmarkStart w:id="617" w:name="_Toc233423210"/>
      <w:bookmarkStart w:id="618" w:name="_Toc292754456"/>
      <w:r>
        <w:rPr>
          <w:rFonts w:hint="eastAsia" w:eastAsia="黑体"/>
          <w:color w:val="auto"/>
          <w:sz w:val="21"/>
          <w:szCs w:val="21"/>
          <w:highlight w:val="none"/>
        </w:rPr>
        <w:t>6.3</w:t>
      </w:r>
      <w:r>
        <w:rPr>
          <w:rFonts w:hint="eastAsia" w:ascii="黑体" w:eastAsia="黑体"/>
          <w:b w:val="0"/>
          <w:color w:val="auto"/>
          <w:sz w:val="21"/>
          <w:szCs w:val="21"/>
          <w:highlight w:val="none"/>
        </w:rPr>
        <w:t xml:space="preserve">  评标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评标委员会按照第三章“评标办法”规定的方法、评审因素、标准和程序对投标文件进行评审。第三章“评标办法”没有规定的方法、评审因素和标准，不作为评标依据。</w:t>
      </w:r>
    </w:p>
    <w:p>
      <w:pPr>
        <w:pStyle w:val="5"/>
        <w:spacing w:before="240" w:after="120" w:line="360" w:lineRule="auto"/>
        <w:rPr>
          <w:rFonts w:hint="eastAsia" w:ascii="Times New Roman" w:hAnsi="Times New Roman"/>
          <w:b w:val="0"/>
          <w:color w:val="auto"/>
          <w:sz w:val="24"/>
          <w:szCs w:val="24"/>
          <w:highlight w:val="none"/>
        </w:rPr>
      </w:pPr>
      <w:bookmarkStart w:id="619" w:name="_Toc233214780"/>
      <w:bookmarkStart w:id="620" w:name="_Toc241744718"/>
      <w:bookmarkStart w:id="621" w:name="_Toc262646117"/>
      <w:bookmarkStart w:id="622" w:name="_Toc241741418"/>
      <w:bookmarkStart w:id="623" w:name="_Toc292754457"/>
      <w:bookmarkStart w:id="624" w:name="_Toc233423211"/>
      <w:bookmarkStart w:id="625" w:name="_Toc466365769"/>
      <w:bookmarkStart w:id="626" w:name="_Toc23302"/>
      <w:bookmarkStart w:id="627" w:name="_Toc28764"/>
      <w:bookmarkStart w:id="628" w:name="_Toc233290326"/>
      <w:bookmarkStart w:id="629" w:name="_Toc360485619"/>
      <w:bookmarkStart w:id="630" w:name="_Toc324107623"/>
      <w:bookmarkStart w:id="631" w:name="_Toc241637440"/>
      <w:bookmarkStart w:id="632" w:name="_Toc318820959"/>
      <w:bookmarkStart w:id="633" w:name="_Toc233435938"/>
      <w:bookmarkStart w:id="634" w:name="_Toc243899819"/>
      <w:bookmarkStart w:id="635" w:name="_Toc3390"/>
      <w:bookmarkStart w:id="636" w:name="_Toc233429721"/>
      <w:r>
        <w:rPr>
          <w:rFonts w:hint="eastAsia" w:ascii="Times New Roman" w:hAnsi="Times New Roman"/>
          <w:b w:val="0"/>
          <w:color w:val="auto"/>
          <w:sz w:val="24"/>
          <w:szCs w:val="24"/>
          <w:highlight w:val="none"/>
        </w:rPr>
        <w:t>7．合同授予</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6"/>
        <w:spacing w:before="120" w:beforeLines="50" w:after="120" w:afterLines="50" w:line="360" w:lineRule="auto"/>
        <w:rPr>
          <w:rFonts w:hint="eastAsia" w:ascii="黑体" w:eastAsia="黑体"/>
          <w:b w:val="0"/>
          <w:color w:val="auto"/>
          <w:sz w:val="21"/>
          <w:szCs w:val="21"/>
          <w:highlight w:val="none"/>
        </w:rPr>
      </w:pPr>
      <w:bookmarkStart w:id="637" w:name="_Toc466365770"/>
      <w:bookmarkStart w:id="638" w:name="_Toc13181"/>
      <w:bookmarkStart w:id="639" w:name="_Toc324107624"/>
      <w:bookmarkStart w:id="640" w:name="_Toc233435939"/>
      <w:bookmarkStart w:id="641" w:name="_Toc23896"/>
      <w:bookmarkStart w:id="642" w:name="_Toc233429722"/>
      <w:bookmarkStart w:id="643" w:name="_Toc14292"/>
      <w:bookmarkStart w:id="644" w:name="_Toc241637441"/>
      <w:bookmarkStart w:id="645" w:name="_Toc262646118"/>
      <w:bookmarkStart w:id="646" w:name="_Toc360485620"/>
      <w:bookmarkStart w:id="647" w:name="_Toc292754458"/>
      <w:bookmarkStart w:id="648" w:name="_Toc233214781"/>
      <w:bookmarkStart w:id="649" w:name="_Toc318820960"/>
      <w:bookmarkStart w:id="650" w:name="_Toc233423212"/>
      <w:bookmarkStart w:id="651" w:name="_Toc233290327"/>
      <w:r>
        <w:rPr>
          <w:rFonts w:hint="eastAsia" w:eastAsia="黑体"/>
          <w:color w:val="auto"/>
          <w:sz w:val="21"/>
          <w:szCs w:val="21"/>
          <w:highlight w:val="none"/>
        </w:rPr>
        <w:t>7.1</w:t>
      </w:r>
      <w:r>
        <w:rPr>
          <w:rFonts w:hint="eastAsia" w:ascii="黑体" w:eastAsia="黑体"/>
          <w:b w:val="0"/>
          <w:color w:val="auto"/>
          <w:sz w:val="21"/>
          <w:szCs w:val="21"/>
          <w:highlight w:val="none"/>
        </w:rPr>
        <w:t xml:space="preserve">  定标方式</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除投标人须知前附表规定评标委员会直接确定中标人外，招标人依据评标委员会推荐的中标候选人确定中标人，评标委员会推荐中标候选人的人数见投标人须知前附表。</w:t>
      </w:r>
    </w:p>
    <w:p>
      <w:pPr>
        <w:pStyle w:val="6"/>
        <w:spacing w:before="120" w:beforeLines="50" w:after="120" w:afterLines="50" w:line="360" w:lineRule="auto"/>
        <w:rPr>
          <w:rFonts w:hint="eastAsia" w:ascii="黑体" w:eastAsia="黑体"/>
          <w:b w:val="0"/>
          <w:color w:val="auto"/>
          <w:sz w:val="21"/>
          <w:szCs w:val="21"/>
          <w:highlight w:val="none"/>
        </w:rPr>
      </w:pPr>
      <w:bookmarkStart w:id="652" w:name="_Toc233435940"/>
      <w:bookmarkStart w:id="653" w:name="_Toc241637442"/>
      <w:bookmarkStart w:id="654" w:name="_Toc233423213"/>
      <w:bookmarkStart w:id="655" w:name="_Toc1791"/>
      <w:bookmarkStart w:id="656" w:name="_Toc324107625"/>
      <w:bookmarkStart w:id="657" w:name="_Toc6927"/>
      <w:bookmarkStart w:id="658" w:name="_Toc466365771"/>
      <w:bookmarkStart w:id="659" w:name="_Toc233429723"/>
      <w:bookmarkStart w:id="660" w:name="_Toc360485621"/>
      <w:bookmarkStart w:id="661" w:name="_Toc2186"/>
      <w:bookmarkStart w:id="662" w:name="_Toc233290328"/>
      <w:bookmarkStart w:id="663" w:name="_Toc233214782"/>
      <w:bookmarkStart w:id="664" w:name="_Toc262646119"/>
      <w:bookmarkStart w:id="665" w:name="_Toc318820961"/>
      <w:bookmarkStart w:id="666" w:name="_Toc292754459"/>
      <w:r>
        <w:rPr>
          <w:rFonts w:hint="eastAsia" w:eastAsia="黑体"/>
          <w:color w:val="auto"/>
          <w:sz w:val="21"/>
          <w:szCs w:val="21"/>
          <w:highlight w:val="none"/>
        </w:rPr>
        <w:t>7.2</w:t>
      </w:r>
      <w:r>
        <w:rPr>
          <w:rFonts w:hint="eastAsia" w:ascii="黑体" w:eastAsia="黑体"/>
          <w:b w:val="0"/>
          <w:color w:val="auto"/>
          <w:sz w:val="21"/>
          <w:szCs w:val="21"/>
          <w:highlight w:val="none"/>
        </w:rPr>
        <w:t xml:space="preserve">  中标通知</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在本章第3.3款规定的投标有效期内，招标人以书面形式向中标人发出中标通知书，同时将中标结果通知未中标的投标人。</w:t>
      </w:r>
    </w:p>
    <w:p>
      <w:pPr>
        <w:pStyle w:val="6"/>
        <w:spacing w:before="120" w:beforeLines="50" w:after="120" w:afterLines="50" w:line="360" w:lineRule="auto"/>
        <w:rPr>
          <w:rFonts w:hint="eastAsia" w:ascii="黑体" w:eastAsia="黑体"/>
          <w:b w:val="0"/>
          <w:color w:val="auto"/>
          <w:sz w:val="21"/>
          <w:szCs w:val="21"/>
          <w:highlight w:val="none"/>
        </w:rPr>
      </w:pPr>
      <w:bookmarkStart w:id="667" w:name="_Toc262646120"/>
      <w:bookmarkStart w:id="668" w:name="_Toc233423214"/>
      <w:bookmarkStart w:id="669" w:name="_Toc466365772"/>
      <w:bookmarkStart w:id="670" w:name="_Toc10979"/>
      <w:bookmarkStart w:id="671" w:name="_Toc292754460"/>
      <w:bookmarkStart w:id="672" w:name="_Toc233429724"/>
      <w:bookmarkStart w:id="673" w:name="_Toc233290329"/>
      <w:bookmarkStart w:id="674" w:name="_Toc23459"/>
      <w:bookmarkStart w:id="675" w:name="_Toc233435941"/>
      <w:bookmarkStart w:id="676" w:name="_Toc241637443"/>
      <w:bookmarkStart w:id="677" w:name="_Toc233214783"/>
      <w:bookmarkStart w:id="678" w:name="_Toc360485622"/>
      <w:bookmarkStart w:id="679" w:name="_Toc318820962"/>
      <w:bookmarkStart w:id="680" w:name="_Toc10810"/>
      <w:bookmarkStart w:id="681" w:name="_Toc324107626"/>
      <w:r>
        <w:rPr>
          <w:rFonts w:hint="eastAsia" w:eastAsia="黑体"/>
          <w:color w:val="auto"/>
          <w:sz w:val="21"/>
          <w:szCs w:val="21"/>
          <w:highlight w:val="none"/>
        </w:rPr>
        <w:t>7.3</w:t>
      </w:r>
      <w:r>
        <w:rPr>
          <w:rFonts w:hint="eastAsia" w:ascii="黑体" w:eastAsia="黑体"/>
          <w:b w:val="0"/>
          <w:color w:val="auto"/>
          <w:sz w:val="21"/>
          <w:szCs w:val="21"/>
          <w:highlight w:val="none"/>
        </w:rPr>
        <w:t xml:space="preserve">  履约担保</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spacing w:line="360" w:lineRule="auto"/>
        <w:ind w:firstLine="420" w:firstLineChars="200"/>
        <w:rPr>
          <w:rFonts w:hint="eastAsia" w:ascii="宋体" w:hAnsi="宋体"/>
          <w:color w:val="auto"/>
          <w:szCs w:val="21"/>
          <w:highlight w:val="none"/>
        </w:rPr>
      </w:pPr>
      <w:bookmarkStart w:id="682" w:name="_Toc241637444"/>
      <w:bookmarkStart w:id="683" w:name="_Toc233290330"/>
      <w:bookmarkStart w:id="684" w:name="_Toc233435942"/>
      <w:bookmarkStart w:id="685" w:name="_Toc233423215"/>
      <w:bookmarkStart w:id="686" w:name="_Toc233214784"/>
      <w:bookmarkStart w:id="687" w:name="_Toc233429725"/>
      <w:r>
        <w:rPr>
          <w:rFonts w:hint="eastAsia" w:ascii="宋体" w:hAnsi="宋体"/>
          <w:color w:val="auto"/>
          <w:szCs w:val="21"/>
          <w:highlight w:val="none"/>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（1）采用银行保函时，出具银行保函的银行级别在投标人须知前附表中说明，所需的费用由中标人承担，中标人应确保银行保函有效。</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（2）若采用经评审的最低投标价法评标，当（A-B）/A﹥15%时，履约担保为10%签约合同价的银行保函加5%签约合同价的现金（电汇或银行汇票形式）。</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其中：A为招标人标底或所有投标人评标价的平均值（除按本章第5.2.2项规定在开标现场被宣布为否决投标的投标报价之外）；B为中标候选人的评标价。</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7.3.2 中标人不能按本章第7.3.1项要求提交履约担保的，视为放弃中标，其投标保证金不予退还，给招标人造成的损失超过投标保证金数额的，中标人还应当对超过部分予以赔偿。</w:t>
      </w:r>
    </w:p>
    <w:p>
      <w:pPr>
        <w:pStyle w:val="6"/>
        <w:spacing w:before="120" w:beforeLines="50" w:after="120" w:afterLines="50" w:line="360" w:lineRule="auto"/>
        <w:rPr>
          <w:rFonts w:hint="eastAsia" w:ascii="黑体" w:eastAsia="黑体"/>
          <w:b w:val="0"/>
          <w:color w:val="auto"/>
          <w:sz w:val="21"/>
          <w:szCs w:val="21"/>
          <w:highlight w:val="none"/>
        </w:rPr>
      </w:pPr>
      <w:bookmarkStart w:id="688" w:name="_Toc466365773"/>
      <w:bookmarkStart w:id="689" w:name="_Toc360485623"/>
      <w:bookmarkStart w:id="690" w:name="_Toc7036"/>
      <w:bookmarkStart w:id="691" w:name="_Toc318820963"/>
      <w:bookmarkStart w:id="692" w:name="_Toc292754461"/>
      <w:bookmarkStart w:id="693" w:name="_Toc262646121"/>
      <w:bookmarkStart w:id="694" w:name="_Toc11961"/>
      <w:bookmarkStart w:id="695" w:name="_Toc23315"/>
      <w:bookmarkStart w:id="696" w:name="_Toc324107627"/>
      <w:r>
        <w:rPr>
          <w:rFonts w:hint="eastAsia" w:eastAsia="黑体"/>
          <w:color w:val="auto"/>
          <w:sz w:val="21"/>
          <w:szCs w:val="21"/>
          <w:highlight w:val="none"/>
        </w:rPr>
        <w:t>7.4</w:t>
      </w:r>
      <w:r>
        <w:rPr>
          <w:rFonts w:hint="eastAsia" w:ascii="黑体" w:eastAsia="黑体"/>
          <w:b w:val="0"/>
          <w:color w:val="auto"/>
          <w:sz w:val="21"/>
          <w:szCs w:val="21"/>
          <w:highlight w:val="none"/>
        </w:rPr>
        <w:t xml:space="preserve">  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7.4.1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7.4.2发出中标通知书后，招标人无正当理由拒签合同的，招标人向中标人退还投标保证金；给中标人造成损失的，还应当赔偿损失。 </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7.4.3 签约合同价的确定原则如下：</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（1）按照评标办法规定对投标报价进行修正后，若修正后的最终投标报价小于开标时的投标函文字报价，</w:t>
      </w:r>
      <w:r>
        <w:rPr>
          <w:rFonts w:hint="eastAsia" w:ascii="宋体" w:hAnsi="宋体"/>
          <w:color w:val="auto"/>
          <w:highlight w:val="none"/>
        </w:rPr>
        <w:t>则签订合同时以修正后的最终投标报价为准；</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（2）按照评标办法规定对投标报价进行修正后，若修正后的最终投标报价大于开标时的投标函文字报价，则签订合同时以开标时的投标函文字报价为准，同时按比例修正相应子目的单价或合价。</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7.4.4 合同协议书以经双方法定代表人或其授权的代理人签署并加盖单位章后生效。发包人和中标人在签订合同协议书的同时需按照本招标文件规定的格式和要求签订廉政合同及安全生产合同，明确双方在廉政建设和安全生产方面的权利和义务以及应承担的违约责任。</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7.4.5 如果根据本章第3.5.8项、第7.3.2项或7.4.1项规定，招标人取消中标人的中标资格，在此情况下，招标人可将合同授予下一个中标候选人，或者按规定重新组织招标。</w:t>
      </w:r>
    </w:p>
    <w:p>
      <w:pPr>
        <w:widowControl/>
        <w:jc w:val="left"/>
        <w:rPr>
          <w:color w:val="auto"/>
          <w:highlight w:val="none"/>
        </w:rPr>
      </w:pPr>
      <w:r>
        <w:rPr>
          <w:b/>
          <w:color w:val="auto"/>
          <w:kern w:val="0"/>
          <w:szCs w:val="21"/>
          <w:highlight w:val="none"/>
          <w:lang w:bidi="ar"/>
        </w:rPr>
        <w:t xml:space="preserve">7.5 </w:t>
      </w:r>
      <w:r>
        <w:rPr>
          <w:rFonts w:ascii="黑体" w:hAnsi="宋体" w:eastAsia="黑体" w:cs="黑体"/>
          <w:b/>
          <w:color w:val="auto"/>
          <w:kern w:val="0"/>
          <w:szCs w:val="21"/>
          <w:highlight w:val="none"/>
          <w:lang w:bidi="ar"/>
        </w:rPr>
        <w:t xml:space="preserve">中标结果公告 </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招标人在确定中标人之日起 3 日内，按照投标人须知前附表规定的公告媒介和期限公告中标结果，公告期为3个工作日。公告内容包括中标人名称、中标价。</w:t>
      </w:r>
    </w:p>
    <w:p>
      <w:pPr>
        <w:pStyle w:val="5"/>
        <w:spacing w:before="120" w:after="120" w:line="360" w:lineRule="auto"/>
        <w:rPr>
          <w:rFonts w:hint="eastAsia" w:ascii="Times New Roman" w:hAnsi="Times New Roman"/>
          <w:b w:val="0"/>
          <w:color w:val="auto"/>
          <w:sz w:val="24"/>
          <w:szCs w:val="24"/>
          <w:highlight w:val="none"/>
        </w:rPr>
      </w:pPr>
      <w:bookmarkStart w:id="697" w:name="_Toc318820964"/>
      <w:bookmarkStart w:id="698" w:name="_Toc20066"/>
      <w:bookmarkStart w:id="699" w:name="_Toc233290331"/>
      <w:bookmarkStart w:id="700" w:name="_Toc292754462"/>
      <w:bookmarkStart w:id="701" w:name="_Toc28610"/>
      <w:bookmarkStart w:id="702" w:name="_Toc241741419"/>
      <w:bookmarkStart w:id="703" w:name="_Toc466365774"/>
      <w:bookmarkStart w:id="704" w:name="_Toc241744719"/>
      <w:bookmarkStart w:id="705" w:name="_Toc324107628"/>
      <w:bookmarkStart w:id="706" w:name="_Toc243899820"/>
      <w:bookmarkStart w:id="707" w:name="_Toc233214785"/>
      <w:bookmarkStart w:id="708" w:name="_Toc12550"/>
      <w:bookmarkStart w:id="709" w:name="_Toc233429726"/>
      <w:bookmarkStart w:id="710" w:name="_Toc360485624"/>
      <w:bookmarkStart w:id="711" w:name="_Toc233423216"/>
      <w:bookmarkStart w:id="712" w:name="_Toc262646122"/>
      <w:bookmarkStart w:id="713" w:name="_Toc241637445"/>
      <w:bookmarkStart w:id="714" w:name="_Toc233435943"/>
      <w:r>
        <w:rPr>
          <w:rFonts w:hint="eastAsia" w:ascii="Times New Roman" w:hAnsi="Times New Roman"/>
          <w:b w:val="0"/>
          <w:color w:val="auto"/>
          <w:sz w:val="24"/>
          <w:szCs w:val="24"/>
          <w:highlight w:val="none"/>
        </w:rPr>
        <w:t>8．重新招标和不再招标</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6"/>
        <w:spacing w:before="120" w:beforeLines="50" w:after="0" w:line="360" w:lineRule="auto"/>
        <w:rPr>
          <w:rFonts w:hint="eastAsia" w:ascii="黑体" w:eastAsia="黑体"/>
          <w:b w:val="0"/>
          <w:color w:val="auto"/>
          <w:sz w:val="21"/>
          <w:szCs w:val="21"/>
          <w:highlight w:val="none"/>
        </w:rPr>
      </w:pPr>
      <w:bookmarkStart w:id="715" w:name="_Toc20142"/>
      <w:bookmarkStart w:id="716" w:name="_Toc14537"/>
      <w:bookmarkStart w:id="717" w:name="_Toc233429727"/>
      <w:bookmarkStart w:id="718" w:name="_Toc292754463"/>
      <w:bookmarkStart w:id="719" w:name="_Toc21858"/>
      <w:bookmarkStart w:id="720" w:name="_Toc233290332"/>
      <w:bookmarkStart w:id="721" w:name="_Toc233423217"/>
      <w:bookmarkStart w:id="722" w:name="_Toc318820965"/>
      <w:bookmarkStart w:id="723" w:name="_Toc233435944"/>
      <w:bookmarkStart w:id="724" w:name="_Toc360485625"/>
      <w:bookmarkStart w:id="725" w:name="_Toc324107629"/>
      <w:bookmarkStart w:id="726" w:name="_Toc233214786"/>
      <w:bookmarkStart w:id="727" w:name="_Toc466365775"/>
      <w:bookmarkStart w:id="728" w:name="_Toc241637446"/>
      <w:bookmarkStart w:id="729" w:name="_Toc262646123"/>
      <w:r>
        <w:rPr>
          <w:rFonts w:hint="eastAsia" w:eastAsia="黑体"/>
          <w:color w:val="auto"/>
          <w:sz w:val="21"/>
          <w:szCs w:val="21"/>
          <w:highlight w:val="none"/>
        </w:rPr>
        <w:t>8.1</w:t>
      </w:r>
      <w:r>
        <w:rPr>
          <w:rFonts w:hint="eastAsia" w:ascii="黑体" w:eastAsia="黑体"/>
          <w:b w:val="0"/>
          <w:color w:val="auto"/>
          <w:sz w:val="21"/>
          <w:szCs w:val="21"/>
          <w:highlight w:val="none"/>
        </w:rPr>
        <w:t xml:space="preserve">  重新招标</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有下列情形之一的，招标人将重新招标：</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（1）投标截止时间止，投标人少于3个的；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（2）经评标委员会评审后否决所有投标的；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（3）中标候选人均未与招标人签订合同的；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（4）法律规定的其他情形。</w:t>
      </w:r>
    </w:p>
    <w:p>
      <w:pPr>
        <w:pStyle w:val="6"/>
        <w:spacing w:before="120" w:beforeLines="50" w:after="0" w:line="360" w:lineRule="auto"/>
        <w:rPr>
          <w:rFonts w:hint="eastAsia" w:ascii="黑体" w:eastAsia="黑体"/>
          <w:b w:val="0"/>
          <w:color w:val="auto"/>
          <w:sz w:val="21"/>
          <w:szCs w:val="21"/>
          <w:highlight w:val="none"/>
        </w:rPr>
      </w:pPr>
      <w:bookmarkStart w:id="730" w:name="_Toc360485626"/>
      <w:bookmarkStart w:id="731" w:name="_Toc15793"/>
      <w:bookmarkStart w:id="732" w:name="_Toc318820966"/>
      <w:bookmarkStart w:id="733" w:name="_Toc233423218"/>
      <w:bookmarkStart w:id="734" w:name="_Toc241637447"/>
      <w:bookmarkStart w:id="735" w:name="_Toc19637"/>
      <w:bookmarkStart w:id="736" w:name="_Toc233435945"/>
      <w:bookmarkStart w:id="737" w:name="_Toc233429728"/>
      <w:bookmarkStart w:id="738" w:name="_Toc31931"/>
      <w:bookmarkStart w:id="739" w:name="_Toc292754464"/>
      <w:bookmarkStart w:id="740" w:name="_Toc466365776"/>
      <w:bookmarkStart w:id="741" w:name="_Toc233290333"/>
      <w:bookmarkStart w:id="742" w:name="_Toc233214787"/>
      <w:bookmarkStart w:id="743" w:name="_Toc324107630"/>
      <w:bookmarkStart w:id="744" w:name="_Toc262646124"/>
      <w:r>
        <w:rPr>
          <w:rFonts w:hint="eastAsia" w:eastAsia="黑体"/>
          <w:color w:val="auto"/>
          <w:sz w:val="21"/>
          <w:szCs w:val="21"/>
          <w:highlight w:val="none"/>
        </w:rPr>
        <w:t>8.2</w:t>
      </w:r>
      <w:r>
        <w:rPr>
          <w:rFonts w:hint="eastAsia" w:ascii="黑体" w:eastAsia="黑体"/>
          <w:b w:val="0"/>
          <w:color w:val="auto"/>
          <w:sz w:val="21"/>
          <w:szCs w:val="21"/>
          <w:highlight w:val="none"/>
        </w:rPr>
        <w:t xml:space="preserve">  不再招标</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重新招标后投标人仍少于3个或者所有投标被否决的，属于必须审批或核准的工程建设项目，经原审批或核准部门批准后不再进行招标。</w:t>
      </w:r>
    </w:p>
    <w:p>
      <w:pPr>
        <w:pStyle w:val="5"/>
        <w:spacing w:before="120" w:after="120" w:line="360" w:lineRule="auto"/>
        <w:rPr>
          <w:rFonts w:hint="eastAsia" w:ascii="Times New Roman" w:hAnsi="Times New Roman"/>
          <w:b w:val="0"/>
          <w:color w:val="auto"/>
          <w:sz w:val="24"/>
          <w:szCs w:val="24"/>
          <w:highlight w:val="none"/>
        </w:rPr>
      </w:pPr>
      <w:bookmarkStart w:id="745" w:name="_Toc233429729"/>
      <w:bookmarkStart w:id="746" w:name="_Toc241637448"/>
      <w:bookmarkStart w:id="747" w:name="_Toc233435946"/>
      <w:bookmarkStart w:id="748" w:name="_Toc233290334"/>
      <w:bookmarkStart w:id="749" w:name="_Toc466365777"/>
      <w:bookmarkStart w:id="750" w:name="_Toc262646125"/>
      <w:bookmarkStart w:id="751" w:name="_Toc241744720"/>
      <w:bookmarkStart w:id="752" w:name="_Toc233423219"/>
      <w:bookmarkStart w:id="753" w:name="_Toc292754465"/>
      <w:bookmarkStart w:id="754" w:name="_Toc241741420"/>
      <w:bookmarkStart w:id="755" w:name="_Toc18174"/>
      <w:bookmarkStart w:id="756" w:name="_Toc243899821"/>
      <w:bookmarkStart w:id="757" w:name="_Toc324107631"/>
      <w:bookmarkStart w:id="758" w:name="_Toc16928"/>
      <w:bookmarkStart w:id="759" w:name="_Toc360485627"/>
      <w:bookmarkStart w:id="760" w:name="_Toc318820967"/>
      <w:bookmarkStart w:id="761" w:name="_Toc25928"/>
      <w:bookmarkStart w:id="762" w:name="_Toc233214788"/>
      <w:r>
        <w:rPr>
          <w:rFonts w:hint="eastAsia" w:ascii="Times New Roman" w:hAnsi="Times New Roman"/>
          <w:b w:val="0"/>
          <w:color w:val="auto"/>
          <w:sz w:val="24"/>
          <w:szCs w:val="24"/>
          <w:highlight w:val="none"/>
        </w:rPr>
        <w:t>9．纪律和监督</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6"/>
        <w:spacing w:before="120" w:beforeLines="50" w:after="0" w:line="360" w:lineRule="auto"/>
        <w:rPr>
          <w:rFonts w:hint="eastAsia" w:ascii="黑体" w:eastAsia="黑体"/>
          <w:b w:val="0"/>
          <w:color w:val="auto"/>
          <w:sz w:val="21"/>
          <w:szCs w:val="21"/>
          <w:highlight w:val="none"/>
        </w:rPr>
      </w:pPr>
      <w:bookmarkStart w:id="763" w:name="_Toc233423220"/>
      <w:bookmarkStart w:id="764" w:name="_Toc360485628"/>
      <w:bookmarkStart w:id="765" w:name="_Toc233435947"/>
      <w:bookmarkStart w:id="766" w:name="_Toc466365778"/>
      <w:bookmarkStart w:id="767" w:name="_Toc20235"/>
      <w:bookmarkStart w:id="768" w:name="_Toc233214789"/>
      <w:bookmarkStart w:id="769" w:name="_Toc233429730"/>
      <w:bookmarkStart w:id="770" w:name="_Toc318820968"/>
      <w:bookmarkStart w:id="771" w:name="_Toc292754466"/>
      <w:bookmarkStart w:id="772" w:name="_Toc241637449"/>
      <w:bookmarkStart w:id="773" w:name="_Toc233290335"/>
      <w:bookmarkStart w:id="774" w:name="_Toc2259"/>
      <w:bookmarkStart w:id="775" w:name="_Toc262646126"/>
      <w:bookmarkStart w:id="776" w:name="_Toc11825"/>
      <w:bookmarkStart w:id="777" w:name="_Toc324107632"/>
      <w:r>
        <w:rPr>
          <w:rFonts w:hint="eastAsia" w:eastAsia="黑体"/>
          <w:color w:val="auto"/>
          <w:sz w:val="21"/>
          <w:szCs w:val="21"/>
          <w:highlight w:val="none"/>
        </w:rPr>
        <w:t>9.1</w:t>
      </w:r>
      <w:r>
        <w:rPr>
          <w:rFonts w:hint="eastAsia" w:ascii="黑体" w:eastAsia="黑体"/>
          <w:b w:val="0"/>
          <w:color w:val="auto"/>
          <w:sz w:val="21"/>
          <w:szCs w:val="21"/>
          <w:highlight w:val="none"/>
        </w:rPr>
        <w:t xml:space="preserve">  对招标人的纪律要求</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招标人不得泄漏招标投标活动中应当保密的情况和资料，不得与投标人串通损害国家利益、社会公共利益或者他人合法权益。</w:t>
      </w:r>
    </w:p>
    <w:p>
      <w:pPr>
        <w:pStyle w:val="6"/>
        <w:spacing w:before="120" w:beforeLines="50" w:after="0" w:line="360" w:lineRule="auto"/>
        <w:rPr>
          <w:rFonts w:hint="eastAsia" w:ascii="黑体" w:eastAsia="黑体"/>
          <w:b w:val="0"/>
          <w:color w:val="auto"/>
          <w:sz w:val="21"/>
          <w:szCs w:val="21"/>
          <w:highlight w:val="none"/>
        </w:rPr>
      </w:pPr>
      <w:bookmarkStart w:id="778" w:name="_Toc318820969"/>
      <w:bookmarkStart w:id="779" w:name="_Toc466365779"/>
      <w:bookmarkStart w:id="780" w:name="_Toc233214790"/>
      <w:bookmarkStart w:id="781" w:name="_Toc9588"/>
      <w:bookmarkStart w:id="782" w:name="_Toc27959"/>
      <w:bookmarkStart w:id="783" w:name="_Toc262646127"/>
      <w:bookmarkStart w:id="784" w:name="_Toc233429731"/>
      <w:bookmarkStart w:id="785" w:name="_Toc241637450"/>
      <w:bookmarkStart w:id="786" w:name="_Toc19222"/>
      <w:bookmarkStart w:id="787" w:name="_Toc233423221"/>
      <w:bookmarkStart w:id="788" w:name="_Toc292754467"/>
      <w:bookmarkStart w:id="789" w:name="_Toc360485629"/>
      <w:bookmarkStart w:id="790" w:name="_Toc233290336"/>
      <w:bookmarkStart w:id="791" w:name="_Toc233435948"/>
      <w:bookmarkStart w:id="792" w:name="_Toc324107633"/>
      <w:r>
        <w:rPr>
          <w:rFonts w:hint="eastAsia" w:eastAsia="黑体"/>
          <w:color w:val="auto"/>
          <w:sz w:val="21"/>
          <w:szCs w:val="21"/>
          <w:highlight w:val="none"/>
        </w:rPr>
        <w:t>9.2</w:t>
      </w:r>
      <w:r>
        <w:rPr>
          <w:rFonts w:hint="eastAsia" w:ascii="黑体" w:eastAsia="黑体"/>
          <w:b w:val="0"/>
          <w:color w:val="auto"/>
          <w:sz w:val="21"/>
          <w:szCs w:val="21"/>
          <w:highlight w:val="none"/>
        </w:rPr>
        <w:t xml:space="preserve">  对投标人的纪律要求</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6"/>
        <w:spacing w:before="120" w:beforeLines="50" w:after="0" w:line="360" w:lineRule="auto"/>
        <w:rPr>
          <w:rFonts w:hint="eastAsia" w:eastAsia="黑体"/>
          <w:b w:val="0"/>
          <w:color w:val="auto"/>
          <w:sz w:val="21"/>
          <w:szCs w:val="21"/>
          <w:highlight w:val="none"/>
        </w:rPr>
      </w:pPr>
      <w:bookmarkStart w:id="793" w:name="_Toc292754468"/>
      <w:bookmarkStart w:id="794" w:name="_Toc233214791"/>
      <w:bookmarkStart w:id="795" w:name="_Toc241637451"/>
      <w:bookmarkStart w:id="796" w:name="_Toc233290337"/>
      <w:bookmarkStart w:id="797" w:name="_Toc466365780"/>
      <w:bookmarkStart w:id="798" w:name="_Toc360485630"/>
      <w:bookmarkStart w:id="799" w:name="_Toc324107634"/>
      <w:bookmarkStart w:id="800" w:name="_Toc233429732"/>
      <w:bookmarkStart w:id="801" w:name="_Toc233423222"/>
      <w:bookmarkStart w:id="802" w:name="_Toc233435949"/>
      <w:bookmarkStart w:id="803" w:name="_Toc318820970"/>
      <w:bookmarkStart w:id="804" w:name="_Toc19494"/>
      <w:r>
        <w:rPr>
          <w:rFonts w:hint="eastAsia" w:eastAsia="黑体"/>
          <w:b w:val="0"/>
          <w:color w:val="auto"/>
          <w:sz w:val="21"/>
          <w:szCs w:val="21"/>
          <w:highlight w:val="none"/>
        </w:rPr>
        <w:t>9.3  对评标委员会的纪律要求</w:t>
      </w:r>
      <w:bookmarkEnd w:id="793"/>
      <w:bookmarkEnd w:id="794"/>
      <w:bookmarkEnd w:id="795"/>
      <w:bookmarkEnd w:id="796"/>
      <w:bookmarkEnd w:id="797"/>
      <w:bookmarkEnd w:id="798"/>
      <w:bookmarkEnd w:id="799"/>
      <w:bookmarkEnd w:id="800"/>
      <w:bookmarkEnd w:id="801"/>
      <w:bookmarkEnd w:id="802"/>
      <w:bookmarkEnd w:id="803"/>
      <w:bookmarkEnd w:id="804"/>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pStyle w:val="6"/>
        <w:spacing w:before="120" w:beforeLines="50" w:after="0" w:line="360" w:lineRule="auto"/>
        <w:rPr>
          <w:rFonts w:hint="eastAsia" w:eastAsia="黑体"/>
          <w:color w:val="auto"/>
          <w:sz w:val="21"/>
          <w:szCs w:val="21"/>
          <w:highlight w:val="none"/>
        </w:rPr>
      </w:pPr>
      <w:bookmarkStart w:id="805" w:name="_Toc7971"/>
      <w:bookmarkStart w:id="806" w:name="_Toc233435950"/>
      <w:bookmarkStart w:id="807" w:name="_Toc318820971"/>
      <w:bookmarkStart w:id="808" w:name="_Toc360485631"/>
      <w:bookmarkStart w:id="809" w:name="_Toc233423223"/>
      <w:bookmarkStart w:id="810" w:name="_Toc292754469"/>
      <w:bookmarkStart w:id="811" w:name="_Toc324107635"/>
      <w:bookmarkStart w:id="812" w:name="_Toc233214792"/>
      <w:bookmarkStart w:id="813" w:name="_Toc241637452"/>
      <w:bookmarkStart w:id="814" w:name="_Toc233429733"/>
      <w:bookmarkStart w:id="815" w:name="_Toc233290338"/>
      <w:bookmarkStart w:id="816" w:name="_Toc466365781"/>
      <w:r>
        <w:rPr>
          <w:rFonts w:hint="eastAsia" w:eastAsia="黑体"/>
          <w:color w:val="auto"/>
          <w:sz w:val="21"/>
          <w:szCs w:val="21"/>
          <w:highlight w:val="none"/>
        </w:rPr>
        <w:t xml:space="preserve">9.4  </w:t>
      </w:r>
      <w:r>
        <w:rPr>
          <w:rFonts w:hint="eastAsia" w:ascii="黑体" w:eastAsia="黑体"/>
          <w:b w:val="0"/>
          <w:color w:val="auto"/>
          <w:sz w:val="21"/>
          <w:szCs w:val="21"/>
          <w:highlight w:val="none"/>
        </w:rPr>
        <w:t>对与评标活动有关的工作人员的纪律要求</w:t>
      </w:r>
      <w:bookmarkEnd w:id="805"/>
      <w:bookmarkEnd w:id="806"/>
      <w:bookmarkEnd w:id="807"/>
      <w:bookmarkEnd w:id="808"/>
      <w:bookmarkEnd w:id="809"/>
      <w:bookmarkEnd w:id="810"/>
      <w:bookmarkEnd w:id="811"/>
      <w:bookmarkEnd w:id="812"/>
      <w:bookmarkEnd w:id="813"/>
      <w:bookmarkEnd w:id="814"/>
      <w:bookmarkEnd w:id="815"/>
      <w:bookmarkEnd w:id="816"/>
    </w:p>
    <w:p>
      <w:pPr>
        <w:spacing w:line="360" w:lineRule="auto"/>
        <w:ind w:firstLine="420" w:firstLineChars="200"/>
        <w:rPr>
          <w:rFonts w:hint="eastAsia" w:ascii="宋体" w:hAnsi="宋体"/>
          <w:color w:val="auto"/>
          <w:szCs w:val="21"/>
          <w:highlight w:val="none"/>
        </w:rPr>
      </w:pPr>
      <w:bookmarkStart w:id="817" w:name="_Toc152042355"/>
      <w:r>
        <w:rPr>
          <w:rFonts w:hint="eastAsia" w:ascii="宋体" w:hAnsi="宋体"/>
          <w:color w:val="auto"/>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817"/>
    </w:p>
    <w:p>
      <w:pPr>
        <w:pStyle w:val="6"/>
        <w:spacing w:before="120" w:beforeLines="50" w:after="0" w:line="360" w:lineRule="auto"/>
        <w:rPr>
          <w:rFonts w:hint="eastAsia" w:eastAsia="黑体"/>
          <w:color w:val="auto"/>
          <w:sz w:val="21"/>
          <w:szCs w:val="21"/>
          <w:highlight w:val="none"/>
        </w:rPr>
      </w:pPr>
      <w:bookmarkStart w:id="818" w:name="_Toc233423224"/>
      <w:bookmarkStart w:id="819" w:name="_Toc360485632"/>
      <w:bookmarkStart w:id="820" w:name="_Toc233290339"/>
      <w:bookmarkStart w:id="821" w:name="_Toc292754470"/>
      <w:bookmarkStart w:id="822" w:name="_Toc262646128"/>
      <w:bookmarkStart w:id="823" w:name="_Toc324107636"/>
      <w:bookmarkStart w:id="824" w:name="_Toc318820972"/>
      <w:bookmarkStart w:id="825" w:name="_Toc241637453"/>
      <w:bookmarkStart w:id="826" w:name="_Toc31932"/>
      <w:bookmarkStart w:id="827" w:name="_Toc233214793"/>
      <w:bookmarkStart w:id="828" w:name="_Toc233429734"/>
      <w:bookmarkStart w:id="829" w:name="_Toc233435951"/>
      <w:bookmarkStart w:id="830" w:name="_Toc466365782"/>
      <w:bookmarkStart w:id="831" w:name="_Toc324"/>
      <w:r>
        <w:rPr>
          <w:rFonts w:hint="eastAsia" w:eastAsia="黑体"/>
          <w:color w:val="auto"/>
          <w:sz w:val="21"/>
          <w:szCs w:val="21"/>
          <w:highlight w:val="none"/>
        </w:rPr>
        <w:t xml:space="preserve">9.5  </w:t>
      </w:r>
      <w:r>
        <w:rPr>
          <w:rFonts w:hint="eastAsia" w:ascii="黑体" w:eastAsia="黑体"/>
          <w:b w:val="0"/>
          <w:color w:val="auto"/>
          <w:sz w:val="21"/>
          <w:szCs w:val="21"/>
          <w:highlight w:val="none"/>
        </w:rPr>
        <w:t>投诉</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投标人和其他利害关系人认为本次招标活动违反法律、法规和规章规定的，有权向有关行政监督部门投诉。</w:t>
      </w:r>
    </w:p>
    <w:p>
      <w:pPr>
        <w:spacing w:line="360" w:lineRule="auto"/>
        <w:ind w:firstLine="420" w:firstLineChars="200"/>
        <w:rPr>
          <w:rFonts w:hint="eastAsia" w:ascii="隶书" w:eastAsia="隶书"/>
          <w:color w:val="auto"/>
          <w:szCs w:val="21"/>
          <w:highlight w:val="none"/>
        </w:rPr>
      </w:pPr>
      <w:r>
        <w:rPr>
          <w:rFonts w:hint="eastAsia" w:ascii="宋体" w:hAnsi="宋体"/>
          <w:color w:val="auto"/>
          <w:szCs w:val="21"/>
          <w:highlight w:val="none"/>
        </w:rPr>
        <w:t>监督部门的联系方式见投标人须知前附表。</w:t>
      </w:r>
    </w:p>
    <w:p>
      <w:pPr>
        <w:pStyle w:val="5"/>
        <w:spacing w:before="120" w:after="0" w:line="360" w:lineRule="auto"/>
        <w:rPr>
          <w:rFonts w:hint="eastAsia" w:ascii="Times New Roman" w:hAnsi="Times New Roman"/>
          <w:b w:val="0"/>
          <w:color w:val="auto"/>
          <w:sz w:val="24"/>
          <w:szCs w:val="24"/>
          <w:highlight w:val="none"/>
        </w:rPr>
      </w:pPr>
      <w:bookmarkStart w:id="832" w:name="_Toc324107637"/>
      <w:bookmarkStart w:id="833" w:name="_Toc241637454"/>
      <w:bookmarkStart w:id="834" w:name="_Toc241744721"/>
      <w:bookmarkStart w:id="835" w:name="_Toc30942"/>
      <w:bookmarkStart w:id="836" w:name="_Toc241741421"/>
      <w:bookmarkStart w:id="837" w:name="_Toc318820973"/>
      <w:bookmarkStart w:id="838" w:name="_Toc233423225"/>
      <w:bookmarkStart w:id="839" w:name="_Toc233290340"/>
      <w:bookmarkStart w:id="840" w:name="_Toc262646129"/>
      <w:bookmarkStart w:id="841" w:name="_Toc360485633"/>
      <w:bookmarkStart w:id="842" w:name="_Toc233435952"/>
      <w:bookmarkStart w:id="843" w:name="_Toc233214794"/>
      <w:bookmarkStart w:id="844" w:name="_Toc243899822"/>
      <w:bookmarkStart w:id="845" w:name="_Toc292754471"/>
      <w:bookmarkStart w:id="846" w:name="_Toc12641"/>
      <w:bookmarkStart w:id="847" w:name="_Toc233429735"/>
      <w:bookmarkStart w:id="848" w:name="_Toc466365783"/>
      <w:bookmarkStart w:id="849" w:name="_Toc2632"/>
      <w:r>
        <w:rPr>
          <w:rFonts w:hint="eastAsia" w:ascii="Times New Roman" w:hAnsi="Times New Roman"/>
          <w:b w:val="0"/>
          <w:color w:val="auto"/>
          <w:sz w:val="24"/>
          <w:szCs w:val="24"/>
          <w:highlight w:val="none"/>
        </w:rPr>
        <w:t>10．需要补充的其他内容</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spacing w:line="360" w:lineRule="auto"/>
        <w:ind w:firstLine="315" w:firstLineChars="150"/>
        <w:rPr>
          <w:rFonts w:hint="eastAsia" w:ascii="宋体" w:hAnsi="宋体"/>
          <w:color w:val="auto"/>
          <w:szCs w:val="21"/>
          <w:highlight w:val="none"/>
        </w:rPr>
      </w:pPr>
      <w:r>
        <w:rPr>
          <w:rFonts w:hint="eastAsia" w:ascii="宋体" w:hAnsi="宋体"/>
          <w:color w:val="auto"/>
          <w:szCs w:val="21"/>
          <w:highlight w:val="none"/>
        </w:rPr>
        <w:t>10.1 自购买招标文件之日起，投标人应保证其提供的联系方式（电话、传真、电子邮件）一直有效，以保证来往函件（招标文件的澄清、修改等）能及时通知投标人，并能及时反馈信息，否则招标人不承担由此引起的一切后果。</w:t>
      </w:r>
    </w:p>
    <w:p>
      <w:pPr>
        <w:spacing w:line="360" w:lineRule="auto"/>
        <w:ind w:firstLine="315" w:firstLineChars="150"/>
        <w:rPr>
          <w:rFonts w:ascii="宋体" w:hAnsi="宋体"/>
          <w:color w:val="auto"/>
          <w:szCs w:val="21"/>
          <w:highlight w:val="none"/>
        </w:rPr>
      </w:pPr>
      <w:r>
        <w:rPr>
          <w:rFonts w:hint="eastAsia" w:ascii="宋体" w:hAnsi="宋体"/>
          <w:color w:val="auto"/>
          <w:szCs w:val="21"/>
          <w:highlight w:val="none"/>
        </w:rPr>
        <w:t>需要补充的其他内容：见投标人须知前附表。</w:t>
      </w:r>
    </w:p>
    <w:p>
      <w:pPr>
        <w:pStyle w:val="5"/>
        <w:spacing w:before="120" w:after="0" w:line="360" w:lineRule="auto"/>
        <w:rPr>
          <w:rFonts w:hint="eastAsia" w:ascii="Times New Roman" w:hAnsi="Times New Roman"/>
          <w:b w:val="0"/>
          <w:color w:val="auto"/>
          <w:sz w:val="24"/>
          <w:szCs w:val="24"/>
          <w:highlight w:val="none"/>
          <w:lang w:val="en-US" w:eastAsia="zh-CN"/>
        </w:rPr>
      </w:pPr>
      <w:r>
        <w:rPr>
          <w:rFonts w:hint="eastAsia" w:ascii="Times New Roman" w:hAnsi="Times New Roman"/>
          <w:b w:val="0"/>
          <w:color w:val="auto"/>
          <w:sz w:val="24"/>
          <w:szCs w:val="24"/>
          <w:highlight w:val="none"/>
          <w:lang w:val="en-US" w:eastAsia="zh-CN"/>
        </w:rPr>
        <w:t>11.投标保证金注意事项</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（1）如投标单位采用银行转账方式的，则必须由投标单位银行基本账户一次性汇至平阳县公共</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资源交易中心(开户名)，投标单位可选择平阳农商银行、中国建设银行、中国银行中的其中一家银行，银行账号为：系统自动生成对应银行账户独有的子账户（投标人通过平阳县公共资源电子交易系统网上信息录入后,可获取投标保证金子账户），并应于规定时间前到达平阳县公共资源交易中心保证金帐户，不得现金解入、禁止使用银行本票、不得通过投标单位的分支机构或第三者帐户转入。</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备注：</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①各投标人在转（汇）款时须充分考虑银行转（汇）的时间差风险。</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②保证金按招标文件规定独立汇入，不允许几个项目或标的保证金捆绑汇入，否则中心财务室</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将作为错汇款予以退回，一切后果由投标单位自负。</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③提供《基本帐户开户许可证》（或银行发放的基本帐户备案资料）</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（2）如投标人采用保险电子保函的，电子保险保函（瓯 e 保）生成流程如下：投标人登录平阳</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县电子招投标交易平台→【填写投标信息（网上信息录入）】→业务管理【电子保函申请】→选择要办理的工程项目名称→申请保函，点选投标保证保险电子保函→瓯 e 保电子保函办理平台→CA 登录→选择要办理的工程项目名称→办理保函→电子签章→银行基本户支付保费→电子保函生成并推送至交易平台（如有需要可下载 PDF 电子版）。</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（电子保函申请咨询电话：4008576077 ）</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（3）如投标人采用银行保函的，须选择平阳农商银行、中国建设银行、中国银行中的其中一家</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银行办理。</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（4）如联合体投标的应由联合体牵头人提交。</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（5）以下为保险电子保函、融资担保机构保函及联系方式：</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①中国人寿财产保险股份有限公司温州中心支公司，联系电话：13676559052；</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②中国大地财产保险股份有限公司温州分公司，联系电话：15888474946；</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③中国太平洋财产保险股份有限公司温州分公司，联系电话：13615876657</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④浙江裕沣融资担保有限公司，联系电话：13858516866；</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⑤温州市联银融资担保有限公司，联系电话：13867723862；</w:t>
      </w:r>
    </w:p>
    <w:p>
      <w:pPr>
        <w:spacing w:line="360" w:lineRule="auto"/>
        <w:ind w:firstLine="315" w:firstLineChars="15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⑥温州市金茂融资担保有限公司，联系电话：13616621994，客服电话：4008585518”</w:t>
      </w:r>
    </w:p>
    <w:p>
      <w:pPr>
        <w:spacing w:line="360" w:lineRule="auto"/>
        <w:ind w:firstLine="315" w:firstLineChars="150"/>
        <w:rPr>
          <w:rFonts w:hint="eastAsia" w:ascii="宋体" w:hAnsi="宋体" w:eastAsia="宋体"/>
          <w:color w:val="auto"/>
          <w:szCs w:val="21"/>
          <w:highlight w:val="none"/>
          <w:lang w:val="en-US" w:eastAsia="zh-CN"/>
        </w:rPr>
      </w:pPr>
    </w:p>
    <w:p>
      <w:pPr>
        <w:spacing w:line="360" w:lineRule="auto"/>
        <w:ind w:firstLine="315" w:firstLineChars="150"/>
        <w:rPr>
          <w:b/>
          <w:color w:val="auto"/>
          <w:highlight w:val="none"/>
        </w:rPr>
      </w:pPr>
      <w:r>
        <w:rPr>
          <w:rFonts w:hint="eastAsia" w:ascii="宋体" w:hAnsi="宋体" w:eastAsia="宋体"/>
          <w:color w:val="auto"/>
          <w:szCs w:val="21"/>
          <w:highlight w:val="none"/>
        </w:rPr>
        <w:br w:type="page"/>
      </w:r>
      <w:bookmarkStart w:id="850" w:name="_Toc263889015"/>
      <w:bookmarkStart w:id="851" w:name="_Toc469484756"/>
      <w:bookmarkStart w:id="852" w:name="_Toc245477125"/>
      <w:bookmarkStart w:id="853" w:name="_Toc262031627"/>
      <w:bookmarkStart w:id="854" w:name="_Toc262895687"/>
      <w:bookmarkStart w:id="855" w:name="_Toc524071073"/>
      <w:bookmarkStart w:id="856" w:name="_Toc13888"/>
      <w:r>
        <w:rPr>
          <w:color w:val="auto"/>
          <w:sz w:val="24"/>
          <w:highlight w:val="none"/>
        </w:rPr>
        <w:t>附表一-1  开标记录表</w:t>
      </w:r>
      <w:bookmarkEnd w:id="850"/>
      <w:bookmarkEnd w:id="851"/>
      <w:bookmarkEnd w:id="852"/>
      <w:bookmarkEnd w:id="853"/>
      <w:bookmarkEnd w:id="854"/>
      <w:bookmarkEnd w:id="855"/>
      <w:bookmarkEnd w:id="856"/>
    </w:p>
    <w:p>
      <w:pPr>
        <w:wordWrap w:val="0"/>
        <w:jc w:val="center"/>
        <w:rPr>
          <w:rFonts w:eastAsia="黑体"/>
          <w:color w:val="auto"/>
          <w:sz w:val="28"/>
          <w:highlight w:val="none"/>
        </w:rPr>
      </w:pPr>
      <w:r>
        <w:rPr>
          <w:rFonts w:eastAsia="黑体"/>
          <w:color w:val="auto"/>
          <w:sz w:val="28"/>
          <w:highlight w:val="none"/>
          <w:u w:val="single"/>
        </w:rPr>
        <w:t xml:space="preserve">        </w:t>
      </w:r>
      <w:r>
        <w:rPr>
          <w:rFonts w:eastAsia="黑体"/>
          <w:color w:val="auto"/>
          <w:sz w:val="28"/>
          <w:highlight w:val="none"/>
        </w:rPr>
        <w:t>（项目名称）</w:t>
      </w:r>
      <w:r>
        <w:rPr>
          <w:rFonts w:hint="eastAsia" w:eastAsia="黑体"/>
          <w:color w:val="auto"/>
          <w:sz w:val="28"/>
          <w:highlight w:val="none"/>
        </w:rPr>
        <w:t>第一信封</w:t>
      </w:r>
      <w:r>
        <w:rPr>
          <w:rFonts w:eastAsia="黑体"/>
          <w:color w:val="auto"/>
          <w:sz w:val="28"/>
          <w:highlight w:val="none"/>
        </w:rPr>
        <w:t>开标记录表</w:t>
      </w:r>
    </w:p>
    <w:p>
      <w:pPr>
        <w:wordWrap w:val="0"/>
        <w:rPr>
          <w:color w:val="auto"/>
          <w:highlight w:val="none"/>
        </w:rPr>
      </w:pPr>
    </w:p>
    <w:p>
      <w:pPr>
        <w:wordWrap w:val="0"/>
        <w:jc w:val="right"/>
        <w:rPr>
          <w:color w:val="auto"/>
          <w:highlight w:val="none"/>
        </w:rPr>
      </w:pPr>
      <w:r>
        <w:rPr>
          <w:color w:val="auto"/>
          <w:highlight w:val="none"/>
        </w:rPr>
        <w:t>开标时间：</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r>
        <w:rPr>
          <w:color w:val="auto"/>
          <w:highlight w:val="none"/>
          <w:u w:val="single"/>
        </w:rPr>
        <w:t xml:space="preserve">    </w:t>
      </w:r>
      <w:r>
        <w:rPr>
          <w:color w:val="auto"/>
          <w:highlight w:val="none"/>
        </w:rPr>
        <w:t>时</w:t>
      </w:r>
      <w:r>
        <w:rPr>
          <w:color w:val="auto"/>
          <w:highlight w:val="none"/>
          <w:u w:val="single"/>
        </w:rPr>
        <w:t xml:space="preserve">    </w:t>
      </w:r>
      <w:r>
        <w:rPr>
          <w:color w:val="auto"/>
          <w:highlight w:val="none"/>
        </w:rPr>
        <w:t>分</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308"/>
        <w:gridCol w:w="1260"/>
        <w:gridCol w:w="1427"/>
        <w:gridCol w:w="1720"/>
        <w:gridCol w:w="1200"/>
        <w:gridCol w:w="900"/>
        <w:gridCol w:w="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80" w:type="dxa"/>
            <w:noWrap w:val="0"/>
            <w:vAlign w:val="center"/>
          </w:tcPr>
          <w:p>
            <w:pPr>
              <w:wordWrap w:val="0"/>
              <w:jc w:val="center"/>
              <w:rPr>
                <w:color w:val="auto"/>
                <w:highlight w:val="none"/>
              </w:rPr>
            </w:pPr>
            <w:r>
              <w:rPr>
                <w:color w:val="auto"/>
                <w:highlight w:val="none"/>
              </w:rPr>
              <w:t>序号</w:t>
            </w:r>
          </w:p>
        </w:tc>
        <w:tc>
          <w:tcPr>
            <w:tcW w:w="1308" w:type="dxa"/>
            <w:noWrap w:val="0"/>
            <w:vAlign w:val="center"/>
          </w:tcPr>
          <w:p>
            <w:pPr>
              <w:wordWrap w:val="0"/>
              <w:jc w:val="center"/>
              <w:rPr>
                <w:color w:val="auto"/>
                <w:highlight w:val="none"/>
              </w:rPr>
            </w:pPr>
            <w:r>
              <w:rPr>
                <w:color w:val="auto"/>
                <w:highlight w:val="none"/>
              </w:rPr>
              <w:t>投标人</w:t>
            </w:r>
          </w:p>
        </w:tc>
        <w:tc>
          <w:tcPr>
            <w:tcW w:w="1260" w:type="dxa"/>
            <w:noWrap w:val="0"/>
            <w:vAlign w:val="center"/>
          </w:tcPr>
          <w:p>
            <w:pPr>
              <w:wordWrap w:val="0"/>
              <w:jc w:val="center"/>
              <w:rPr>
                <w:color w:val="auto"/>
                <w:highlight w:val="none"/>
              </w:rPr>
            </w:pPr>
            <w:r>
              <w:rPr>
                <w:color w:val="auto"/>
                <w:highlight w:val="none"/>
              </w:rPr>
              <w:t>送达情况</w:t>
            </w:r>
          </w:p>
        </w:tc>
        <w:tc>
          <w:tcPr>
            <w:tcW w:w="1427" w:type="dxa"/>
            <w:noWrap w:val="0"/>
            <w:vAlign w:val="center"/>
          </w:tcPr>
          <w:p>
            <w:pPr>
              <w:wordWrap w:val="0"/>
              <w:jc w:val="center"/>
              <w:rPr>
                <w:color w:val="auto"/>
                <w:highlight w:val="none"/>
              </w:rPr>
            </w:pPr>
            <w:r>
              <w:rPr>
                <w:color w:val="auto"/>
                <w:highlight w:val="none"/>
              </w:rPr>
              <w:t>密封情况</w:t>
            </w:r>
          </w:p>
        </w:tc>
        <w:tc>
          <w:tcPr>
            <w:tcW w:w="1720" w:type="dxa"/>
            <w:noWrap w:val="0"/>
            <w:vAlign w:val="center"/>
          </w:tcPr>
          <w:p>
            <w:pPr>
              <w:wordWrap w:val="0"/>
              <w:jc w:val="center"/>
              <w:rPr>
                <w:color w:val="auto"/>
                <w:highlight w:val="none"/>
              </w:rPr>
            </w:pPr>
            <w:r>
              <w:rPr>
                <w:color w:val="auto"/>
                <w:highlight w:val="none"/>
              </w:rPr>
              <w:t>质量目标</w:t>
            </w:r>
          </w:p>
        </w:tc>
        <w:tc>
          <w:tcPr>
            <w:tcW w:w="1200" w:type="dxa"/>
            <w:noWrap w:val="0"/>
            <w:vAlign w:val="center"/>
          </w:tcPr>
          <w:p>
            <w:pPr>
              <w:wordWrap w:val="0"/>
              <w:jc w:val="center"/>
              <w:rPr>
                <w:color w:val="auto"/>
                <w:highlight w:val="none"/>
              </w:rPr>
            </w:pPr>
            <w:r>
              <w:rPr>
                <w:color w:val="auto"/>
                <w:highlight w:val="none"/>
              </w:rPr>
              <w:t>工期</w:t>
            </w:r>
          </w:p>
        </w:tc>
        <w:tc>
          <w:tcPr>
            <w:tcW w:w="900" w:type="dxa"/>
            <w:noWrap w:val="0"/>
            <w:vAlign w:val="center"/>
          </w:tcPr>
          <w:p>
            <w:pPr>
              <w:wordWrap w:val="0"/>
              <w:jc w:val="center"/>
              <w:rPr>
                <w:color w:val="auto"/>
                <w:highlight w:val="none"/>
              </w:rPr>
            </w:pPr>
            <w:r>
              <w:rPr>
                <w:color w:val="auto"/>
                <w:highlight w:val="none"/>
              </w:rPr>
              <w:t>备注</w:t>
            </w:r>
          </w:p>
        </w:tc>
        <w:tc>
          <w:tcPr>
            <w:tcW w:w="976" w:type="dxa"/>
            <w:noWrap w:val="0"/>
            <w:vAlign w:val="center"/>
          </w:tcPr>
          <w:p>
            <w:pPr>
              <w:wordWrap w:val="0"/>
              <w:jc w:val="center"/>
              <w:rPr>
                <w:color w:val="auto"/>
                <w:highlight w:val="none"/>
              </w:rPr>
            </w:pPr>
            <w:r>
              <w:rPr>
                <w:color w:val="auto"/>
                <w:highlight w:val="none"/>
              </w:rPr>
              <w:t>签名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pPr>
              <w:wordWrap w:val="0"/>
              <w:spacing w:line="500" w:lineRule="exact"/>
              <w:jc w:val="center"/>
              <w:rPr>
                <w:color w:val="auto"/>
                <w:highlight w:val="none"/>
              </w:rPr>
            </w:pPr>
          </w:p>
        </w:tc>
        <w:tc>
          <w:tcPr>
            <w:tcW w:w="1308" w:type="dxa"/>
            <w:noWrap w:val="0"/>
            <w:vAlign w:val="center"/>
          </w:tcPr>
          <w:p>
            <w:pPr>
              <w:wordWrap w:val="0"/>
              <w:spacing w:line="500" w:lineRule="exact"/>
              <w:jc w:val="center"/>
              <w:rPr>
                <w:color w:val="auto"/>
                <w:highlight w:val="none"/>
              </w:rPr>
            </w:pPr>
          </w:p>
        </w:tc>
        <w:tc>
          <w:tcPr>
            <w:tcW w:w="1260" w:type="dxa"/>
            <w:noWrap w:val="0"/>
            <w:vAlign w:val="center"/>
          </w:tcPr>
          <w:p>
            <w:pPr>
              <w:wordWrap w:val="0"/>
              <w:spacing w:line="500" w:lineRule="exact"/>
              <w:jc w:val="center"/>
              <w:rPr>
                <w:color w:val="auto"/>
                <w:highlight w:val="none"/>
              </w:rPr>
            </w:pPr>
          </w:p>
        </w:tc>
        <w:tc>
          <w:tcPr>
            <w:tcW w:w="1427" w:type="dxa"/>
            <w:noWrap w:val="0"/>
            <w:vAlign w:val="center"/>
          </w:tcPr>
          <w:p>
            <w:pPr>
              <w:wordWrap w:val="0"/>
              <w:spacing w:line="500" w:lineRule="exact"/>
              <w:jc w:val="center"/>
              <w:rPr>
                <w:color w:val="auto"/>
                <w:highlight w:val="none"/>
              </w:rPr>
            </w:pPr>
          </w:p>
        </w:tc>
        <w:tc>
          <w:tcPr>
            <w:tcW w:w="1720" w:type="dxa"/>
            <w:noWrap w:val="0"/>
            <w:vAlign w:val="center"/>
          </w:tcPr>
          <w:p>
            <w:pPr>
              <w:wordWrap w:val="0"/>
              <w:spacing w:line="500" w:lineRule="exact"/>
              <w:jc w:val="center"/>
              <w:rPr>
                <w:color w:val="auto"/>
                <w:highlight w:val="none"/>
              </w:rPr>
            </w:pPr>
          </w:p>
        </w:tc>
        <w:tc>
          <w:tcPr>
            <w:tcW w:w="1200" w:type="dxa"/>
            <w:noWrap w:val="0"/>
            <w:vAlign w:val="center"/>
          </w:tcPr>
          <w:p>
            <w:pPr>
              <w:wordWrap w:val="0"/>
              <w:spacing w:line="500" w:lineRule="exact"/>
              <w:jc w:val="center"/>
              <w:rPr>
                <w:color w:val="auto"/>
                <w:highlight w:val="none"/>
              </w:rPr>
            </w:pPr>
          </w:p>
        </w:tc>
        <w:tc>
          <w:tcPr>
            <w:tcW w:w="900" w:type="dxa"/>
            <w:noWrap w:val="0"/>
            <w:vAlign w:val="center"/>
          </w:tcPr>
          <w:p>
            <w:pPr>
              <w:wordWrap w:val="0"/>
              <w:spacing w:line="500" w:lineRule="exact"/>
              <w:jc w:val="center"/>
              <w:rPr>
                <w:color w:val="auto"/>
                <w:highlight w:val="none"/>
              </w:rPr>
            </w:pPr>
          </w:p>
        </w:tc>
        <w:tc>
          <w:tcPr>
            <w:tcW w:w="976" w:type="dxa"/>
            <w:noWrap w:val="0"/>
            <w:vAlign w:val="center"/>
          </w:tcPr>
          <w:p>
            <w:pPr>
              <w:wordWrap w:val="0"/>
              <w:spacing w:line="500" w:lineRule="exact"/>
              <w:jc w:val="center"/>
              <w:rPr>
                <w:color w:val="auto"/>
                <w:highlight w:val="none"/>
              </w:rPr>
            </w:pPr>
          </w:p>
        </w:tc>
      </w:tr>
    </w:tbl>
    <w:p>
      <w:pPr>
        <w:wordWrap w:val="0"/>
        <w:spacing w:line="440" w:lineRule="exact"/>
        <w:rPr>
          <w:color w:val="auto"/>
          <w:highlight w:val="none"/>
        </w:rPr>
      </w:pPr>
    </w:p>
    <w:p>
      <w:pPr>
        <w:wordWrap w:val="0"/>
        <w:spacing w:line="620" w:lineRule="exact"/>
        <w:rPr>
          <w:color w:val="auto"/>
          <w:highlight w:val="none"/>
        </w:rPr>
      </w:pPr>
      <w:r>
        <w:rPr>
          <w:rFonts w:hint="eastAsia"/>
          <w:color w:val="auto"/>
          <w:highlight w:val="none"/>
        </w:rPr>
        <w:t>招标人代表：</w:t>
      </w:r>
      <w:r>
        <w:rPr>
          <w:rFonts w:hint="eastAsia"/>
          <w:color w:val="auto"/>
          <w:highlight w:val="none"/>
          <w:u w:val="single"/>
        </w:rPr>
        <w:t xml:space="preserve">          </w:t>
      </w:r>
      <w:r>
        <w:rPr>
          <w:rFonts w:hint="eastAsia"/>
          <w:color w:val="auto"/>
          <w:highlight w:val="none"/>
        </w:rPr>
        <w:t xml:space="preserve"> 唱标人：</w:t>
      </w:r>
      <w:r>
        <w:rPr>
          <w:rFonts w:hint="eastAsia"/>
          <w:color w:val="auto"/>
          <w:highlight w:val="none"/>
          <w:u w:val="single"/>
        </w:rPr>
        <w:t xml:space="preserve">          </w:t>
      </w:r>
      <w:r>
        <w:rPr>
          <w:rFonts w:hint="eastAsia"/>
          <w:color w:val="auto"/>
          <w:highlight w:val="none"/>
        </w:rPr>
        <w:t xml:space="preserve">   记录人：</w:t>
      </w:r>
      <w:r>
        <w:rPr>
          <w:rFonts w:hint="eastAsia"/>
          <w:color w:val="auto"/>
          <w:highlight w:val="none"/>
          <w:u w:val="single"/>
        </w:rPr>
        <w:t xml:space="preserve">          </w:t>
      </w:r>
      <w:r>
        <w:rPr>
          <w:rFonts w:hint="eastAsia"/>
          <w:color w:val="auto"/>
          <w:highlight w:val="none"/>
        </w:rPr>
        <w:t xml:space="preserve">   监标人：</w:t>
      </w:r>
      <w:r>
        <w:rPr>
          <w:rFonts w:hint="eastAsia"/>
          <w:color w:val="auto"/>
          <w:highlight w:val="none"/>
          <w:u w:val="single"/>
        </w:rPr>
        <w:t xml:space="preserve">           </w:t>
      </w:r>
      <w:r>
        <w:rPr>
          <w:color w:val="auto"/>
          <w:highlight w:val="none"/>
        </w:rPr>
        <w:t xml:space="preserve"> </w:t>
      </w:r>
    </w:p>
    <w:p>
      <w:pPr>
        <w:wordWrap w:val="0"/>
        <w:rPr>
          <w:color w:val="auto"/>
          <w:highlight w:val="none"/>
        </w:rPr>
      </w:pPr>
      <w:r>
        <w:rPr>
          <w:color w:val="auto"/>
          <w:highlight w:val="none"/>
        </w:rPr>
        <w:t xml:space="preserve">                                    </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pPr>
        <w:wordWrap w:val="0"/>
        <w:outlineLvl w:val="2"/>
        <w:rPr>
          <w:b/>
          <w:color w:val="auto"/>
          <w:highlight w:val="none"/>
        </w:rPr>
      </w:pPr>
      <w:r>
        <w:rPr>
          <w:b/>
          <w:color w:val="auto"/>
          <w:highlight w:val="none"/>
        </w:rPr>
        <w:br w:type="page"/>
      </w:r>
      <w:bookmarkStart w:id="857" w:name="_Toc524071074"/>
      <w:bookmarkStart w:id="858" w:name="_Toc1315"/>
      <w:bookmarkStart w:id="859" w:name="_Toc469484757"/>
      <w:r>
        <w:rPr>
          <w:color w:val="auto"/>
          <w:sz w:val="24"/>
          <w:highlight w:val="none"/>
        </w:rPr>
        <w:t>附表一</w:t>
      </w:r>
      <w:r>
        <w:rPr>
          <w:rFonts w:hint="eastAsia"/>
          <w:color w:val="auto"/>
          <w:sz w:val="24"/>
          <w:highlight w:val="none"/>
        </w:rPr>
        <w:t>-2</w:t>
      </w:r>
      <w:r>
        <w:rPr>
          <w:color w:val="auto"/>
          <w:sz w:val="24"/>
          <w:highlight w:val="none"/>
        </w:rPr>
        <w:t xml:space="preserve">  开标记录表</w:t>
      </w:r>
      <w:bookmarkEnd w:id="857"/>
      <w:bookmarkEnd w:id="858"/>
      <w:bookmarkEnd w:id="859"/>
    </w:p>
    <w:p>
      <w:pPr>
        <w:wordWrap w:val="0"/>
        <w:jc w:val="center"/>
        <w:rPr>
          <w:rFonts w:eastAsia="黑体"/>
          <w:color w:val="auto"/>
          <w:sz w:val="28"/>
          <w:highlight w:val="none"/>
        </w:rPr>
      </w:pPr>
      <w:r>
        <w:rPr>
          <w:rFonts w:eastAsia="黑体"/>
          <w:color w:val="auto"/>
          <w:sz w:val="28"/>
          <w:highlight w:val="none"/>
          <w:u w:val="single"/>
        </w:rPr>
        <w:t xml:space="preserve">        </w:t>
      </w:r>
      <w:r>
        <w:rPr>
          <w:rFonts w:eastAsia="黑体"/>
          <w:color w:val="auto"/>
          <w:sz w:val="28"/>
          <w:highlight w:val="none"/>
        </w:rPr>
        <w:t>（项目名称）</w:t>
      </w:r>
      <w:r>
        <w:rPr>
          <w:rFonts w:hint="eastAsia" w:eastAsia="黑体"/>
          <w:color w:val="auto"/>
          <w:sz w:val="28"/>
          <w:highlight w:val="none"/>
        </w:rPr>
        <w:t>第二信封</w:t>
      </w:r>
      <w:r>
        <w:rPr>
          <w:rFonts w:eastAsia="黑体"/>
          <w:color w:val="auto"/>
          <w:sz w:val="28"/>
          <w:highlight w:val="none"/>
        </w:rPr>
        <w:t>开标记录表</w:t>
      </w:r>
    </w:p>
    <w:p>
      <w:pPr>
        <w:wordWrap w:val="0"/>
        <w:rPr>
          <w:color w:val="auto"/>
          <w:highlight w:val="none"/>
        </w:rPr>
      </w:pPr>
    </w:p>
    <w:p>
      <w:pPr>
        <w:wordWrap w:val="0"/>
        <w:jc w:val="right"/>
        <w:rPr>
          <w:color w:val="auto"/>
          <w:highlight w:val="none"/>
        </w:rPr>
      </w:pPr>
      <w:r>
        <w:rPr>
          <w:color w:val="auto"/>
          <w:highlight w:val="none"/>
        </w:rPr>
        <w:t>开标时间：</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r>
        <w:rPr>
          <w:color w:val="auto"/>
          <w:highlight w:val="none"/>
          <w:u w:val="single"/>
        </w:rPr>
        <w:t xml:space="preserve">    </w:t>
      </w:r>
      <w:r>
        <w:rPr>
          <w:color w:val="auto"/>
          <w:highlight w:val="none"/>
        </w:rPr>
        <w:t>时</w:t>
      </w:r>
      <w:r>
        <w:rPr>
          <w:color w:val="auto"/>
          <w:highlight w:val="none"/>
          <w:u w:val="single"/>
        </w:rPr>
        <w:t xml:space="preserve">    </w:t>
      </w:r>
      <w:r>
        <w:rPr>
          <w:color w:val="auto"/>
          <w:highlight w:val="none"/>
        </w:rPr>
        <w:t>分</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1"/>
        <w:gridCol w:w="2588"/>
        <w:gridCol w:w="2409"/>
        <w:gridCol w:w="2127"/>
        <w:gridCol w:w="168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81" w:type="dxa"/>
            <w:noWrap w:val="0"/>
            <w:vAlign w:val="center"/>
          </w:tcPr>
          <w:p>
            <w:pPr>
              <w:wordWrap w:val="0"/>
              <w:jc w:val="center"/>
              <w:rPr>
                <w:color w:val="auto"/>
                <w:highlight w:val="none"/>
              </w:rPr>
            </w:pPr>
            <w:r>
              <w:rPr>
                <w:color w:val="auto"/>
                <w:highlight w:val="none"/>
              </w:rPr>
              <w:t>序号</w:t>
            </w:r>
          </w:p>
        </w:tc>
        <w:tc>
          <w:tcPr>
            <w:tcW w:w="2588" w:type="dxa"/>
            <w:noWrap w:val="0"/>
            <w:vAlign w:val="center"/>
          </w:tcPr>
          <w:p>
            <w:pPr>
              <w:jc w:val="center"/>
              <w:rPr>
                <w:color w:val="auto"/>
                <w:highlight w:val="none"/>
              </w:rPr>
            </w:pPr>
            <w:r>
              <w:rPr>
                <w:color w:val="auto"/>
                <w:highlight w:val="none"/>
              </w:rPr>
              <w:t>投标人</w:t>
            </w:r>
          </w:p>
        </w:tc>
        <w:tc>
          <w:tcPr>
            <w:tcW w:w="2409" w:type="dxa"/>
            <w:noWrap w:val="0"/>
            <w:vAlign w:val="center"/>
          </w:tcPr>
          <w:p>
            <w:pPr>
              <w:wordWrap w:val="0"/>
              <w:jc w:val="center"/>
              <w:rPr>
                <w:rFonts w:hint="eastAsia"/>
                <w:color w:val="auto"/>
                <w:highlight w:val="none"/>
              </w:rPr>
            </w:pPr>
            <w:r>
              <w:rPr>
                <w:rFonts w:hint="eastAsia"/>
                <w:color w:val="auto"/>
                <w:highlight w:val="none"/>
              </w:rPr>
              <w:t>投标报价（元）</w:t>
            </w:r>
          </w:p>
        </w:tc>
        <w:tc>
          <w:tcPr>
            <w:tcW w:w="2127" w:type="dxa"/>
            <w:noWrap w:val="0"/>
            <w:vAlign w:val="center"/>
          </w:tcPr>
          <w:p>
            <w:pPr>
              <w:wordWrap w:val="0"/>
              <w:jc w:val="center"/>
              <w:rPr>
                <w:color w:val="auto"/>
                <w:highlight w:val="none"/>
              </w:rPr>
            </w:pPr>
            <w:r>
              <w:rPr>
                <w:color w:val="auto"/>
                <w:highlight w:val="none"/>
              </w:rPr>
              <w:t>备注</w:t>
            </w:r>
          </w:p>
        </w:tc>
        <w:tc>
          <w:tcPr>
            <w:tcW w:w="1681" w:type="dxa"/>
            <w:noWrap w:val="0"/>
            <w:vAlign w:val="center"/>
          </w:tcPr>
          <w:p>
            <w:pPr>
              <w:wordWrap w:val="0"/>
              <w:jc w:val="center"/>
              <w:rPr>
                <w:rFonts w:hint="eastAsia"/>
                <w:color w:val="auto"/>
                <w:highlight w:val="none"/>
              </w:rPr>
            </w:pPr>
            <w:r>
              <w:rPr>
                <w:rFonts w:hint="eastAsia"/>
                <w:color w:val="auto"/>
                <w:highlight w:val="none"/>
              </w:rPr>
              <w:t>签名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81" w:type="dxa"/>
            <w:noWrap w:val="0"/>
            <w:vAlign w:val="center"/>
          </w:tcPr>
          <w:p>
            <w:pPr>
              <w:wordWrap w:val="0"/>
              <w:spacing w:line="500" w:lineRule="exact"/>
              <w:jc w:val="center"/>
              <w:rPr>
                <w:color w:val="auto"/>
                <w:highlight w:val="none"/>
              </w:rPr>
            </w:pPr>
          </w:p>
        </w:tc>
        <w:tc>
          <w:tcPr>
            <w:tcW w:w="2588" w:type="dxa"/>
            <w:noWrap w:val="0"/>
            <w:vAlign w:val="center"/>
          </w:tcPr>
          <w:p>
            <w:pPr>
              <w:wordWrap w:val="0"/>
              <w:spacing w:line="500" w:lineRule="exact"/>
              <w:jc w:val="center"/>
              <w:rPr>
                <w:color w:val="auto"/>
                <w:highlight w:val="none"/>
              </w:rPr>
            </w:pP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69" w:type="dxa"/>
            <w:gridSpan w:val="2"/>
            <w:noWrap w:val="0"/>
            <w:vAlign w:val="center"/>
          </w:tcPr>
          <w:p>
            <w:pPr>
              <w:wordWrap w:val="0"/>
              <w:jc w:val="center"/>
              <w:rPr>
                <w:color w:val="auto"/>
                <w:highlight w:val="none"/>
              </w:rPr>
            </w:pPr>
            <w:r>
              <w:rPr>
                <w:color w:val="auto"/>
                <w:highlight w:val="none"/>
              </w:rPr>
              <w:t>招标人编制的工程量清单预算（元）：</w:t>
            </w: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r>
              <w:rPr>
                <w:color w:val="auto"/>
                <w:highlight w:val="none"/>
              </w:rPr>
              <w:t>调整系数：</w:t>
            </w:r>
          </w:p>
        </w:tc>
        <w:tc>
          <w:tcPr>
            <w:tcW w:w="1681" w:type="dxa"/>
            <w:noWrap w:val="0"/>
            <w:vAlign w:val="center"/>
          </w:tcPr>
          <w:p>
            <w:pPr>
              <w:wordWrap w:val="0"/>
              <w:spacing w:line="500" w:lineRule="exact"/>
              <w:jc w:val="center"/>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3369" w:type="dxa"/>
            <w:gridSpan w:val="2"/>
            <w:noWrap w:val="0"/>
            <w:vAlign w:val="center"/>
          </w:tcPr>
          <w:p>
            <w:pPr>
              <w:wordWrap w:val="0"/>
              <w:jc w:val="center"/>
              <w:rPr>
                <w:color w:val="auto"/>
                <w:highlight w:val="none"/>
              </w:rPr>
            </w:pPr>
            <w:r>
              <w:rPr>
                <w:color w:val="auto"/>
                <w:highlight w:val="none"/>
              </w:rPr>
              <w:t>复合系数（K）：</w:t>
            </w:r>
          </w:p>
        </w:tc>
        <w:tc>
          <w:tcPr>
            <w:tcW w:w="2409" w:type="dxa"/>
            <w:noWrap w:val="0"/>
            <w:vAlign w:val="center"/>
          </w:tcPr>
          <w:p>
            <w:pPr>
              <w:wordWrap w:val="0"/>
              <w:spacing w:line="500" w:lineRule="exact"/>
              <w:jc w:val="center"/>
              <w:rPr>
                <w:color w:val="auto"/>
                <w:highlight w:val="none"/>
              </w:rPr>
            </w:pPr>
          </w:p>
        </w:tc>
        <w:tc>
          <w:tcPr>
            <w:tcW w:w="2127" w:type="dxa"/>
            <w:noWrap w:val="0"/>
            <w:vAlign w:val="center"/>
          </w:tcPr>
          <w:p>
            <w:pPr>
              <w:wordWrap w:val="0"/>
              <w:spacing w:line="500" w:lineRule="exact"/>
              <w:jc w:val="center"/>
              <w:rPr>
                <w:color w:val="auto"/>
                <w:highlight w:val="none"/>
              </w:rPr>
            </w:pPr>
            <w:r>
              <w:rPr>
                <w:color w:val="auto"/>
                <w:highlight w:val="none"/>
              </w:rPr>
              <w:t>下浮系数（i）：</w:t>
            </w:r>
          </w:p>
        </w:tc>
        <w:tc>
          <w:tcPr>
            <w:tcW w:w="1681" w:type="dxa"/>
            <w:noWrap w:val="0"/>
            <w:vAlign w:val="center"/>
          </w:tcPr>
          <w:p>
            <w:pPr>
              <w:wordWrap w:val="0"/>
              <w:spacing w:line="500" w:lineRule="exact"/>
              <w:jc w:val="center"/>
              <w:rPr>
                <w:color w:val="auto"/>
                <w:highlight w:val="none"/>
              </w:rPr>
            </w:pPr>
          </w:p>
        </w:tc>
      </w:tr>
    </w:tbl>
    <w:p>
      <w:pPr>
        <w:wordWrap w:val="0"/>
        <w:spacing w:line="440" w:lineRule="exact"/>
        <w:rPr>
          <w:color w:val="auto"/>
          <w:highlight w:val="none"/>
        </w:rPr>
      </w:pPr>
    </w:p>
    <w:p>
      <w:pPr>
        <w:wordWrap w:val="0"/>
        <w:spacing w:line="620" w:lineRule="exact"/>
        <w:rPr>
          <w:color w:val="auto"/>
          <w:highlight w:val="none"/>
        </w:rPr>
      </w:pPr>
      <w:r>
        <w:rPr>
          <w:rFonts w:hint="eastAsia"/>
          <w:color w:val="auto"/>
          <w:highlight w:val="none"/>
        </w:rPr>
        <w:t>招标人代表：</w:t>
      </w:r>
      <w:r>
        <w:rPr>
          <w:rFonts w:hint="eastAsia"/>
          <w:color w:val="auto"/>
          <w:highlight w:val="none"/>
          <w:u w:val="single"/>
        </w:rPr>
        <w:t xml:space="preserve">          </w:t>
      </w:r>
      <w:r>
        <w:rPr>
          <w:rFonts w:hint="eastAsia"/>
          <w:color w:val="auto"/>
          <w:highlight w:val="none"/>
        </w:rPr>
        <w:t xml:space="preserve"> 唱标人：</w:t>
      </w:r>
      <w:r>
        <w:rPr>
          <w:rFonts w:hint="eastAsia"/>
          <w:color w:val="auto"/>
          <w:highlight w:val="none"/>
          <w:u w:val="single"/>
        </w:rPr>
        <w:t xml:space="preserve">          </w:t>
      </w:r>
      <w:r>
        <w:rPr>
          <w:rFonts w:hint="eastAsia"/>
          <w:color w:val="auto"/>
          <w:highlight w:val="none"/>
        </w:rPr>
        <w:t xml:space="preserve">   记录人：</w:t>
      </w:r>
      <w:r>
        <w:rPr>
          <w:rFonts w:hint="eastAsia"/>
          <w:color w:val="auto"/>
          <w:highlight w:val="none"/>
          <w:u w:val="single"/>
        </w:rPr>
        <w:t xml:space="preserve">          </w:t>
      </w:r>
      <w:r>
        <w:rPr>
          <w:rFonts w:hint="eastAsia"/>
          <w:color w:val="auto"/>
          <w:highlight w:val="none"/>
        </w:rPr>
        <w:t xml:space="preserve">   监标人：</w:t>
      </w:r>
      <w:r>
        <w:rPr>
          <w:rFonts w:hint="eastAsia"/>
          <w:color w:val="auto"/>
          <w:highlight w:val="none"/>
          <w:u w:val="single"/>
        </w:rPr>
        <w:t xml:space="preserve">           </w:t>
      </w:r>
      <w:r>
        <w:rPr>
          <w:color w:val="auto"/>
          <w:highlight w:val="none"/>
        </w:rPr>
        <w:t xml:space="preserve"> </w:t>
      </w:r>
    </w:p>
    <w:p>
      <w:pPr>
        <w:wordWrap w:val="0"/>
        <w:rPr>
          <w:color w:val="auto"/>
          <w:highlight w:val="none"/>
        </w:rPr>
      </w:pPr>
      <w:r>
        <w:rPr>
          <w:color w:val="auto"/>
          <w:highlight w:val="none"/>
        </w:rPr>
        <w:t xml:space="preserve">                                   </w:t>
      </w:r>
    </w:p>
    <w:p>
      <w:pPr>
        <w:wordWrap w:val="0"/>
        <w:rPr>
          <w:color w:val="auto"/>
          <w:highlight w:val="none"/>
        </w:rPr>
      </w:pPr>
    </w:p>
    <w:p>
      <w:pPr>
        <w:wordWrap w:val="0"/>
        <w:ind w:firstLine="5670" w:firstLineChars="2700"/>
        <w:rPr>
          <w:color w:val="auto"/>
          <w:highlight w:val="none"/>
        </w:rPr>
      </w:pPr>
      <w:r>
        <w:rPr>
          <w:color w:val="auto"/>
          <w:highlight w:val="none"/>
        </w:rPr>
        <w:t xml:space="preserve"> </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pPr>
        <w:ind w:firstLine="5355" w:firstLineChars="2550"/>
        <w:rPr>
          <w:rFonts w:hint="eastAsia"/>
          <w:color w:val="auto"/>
          <w:highlight w:val="none"/>
        </w:rPr>
      </w:pPr>
    </w:p>
    <w:p>
      <w:pPr>
        <w:pStyle w:val="2"/>
        <w:spacing w:before="120"/>
        <w:ind w:firstLine="210"/>
        <w:rPr>
          <w:rFonts w:hint="eastAsia"/>
          <w:color w:val="auto"/>
          <w:highlight w:val="none"/>
        </w:rPr>
      </w:pPr>
    </w:p>
    <w:p>
      <w:pPr>
        <w:pStyle w:val="2"/>
        <w:spacing w:before="120"/>
        <w:ind w:firstLine="210"/>
        <w:rPr>
          <w:rFonts w:hint="eastAsia"/>
          <w:color w:val="auto"/>
          <w:highlight w:val="none"/>
        </w:rPr>
      </w:pPr>
    </w:p>
    <w:p>
      <w:pPr>
        <w:pStyle w:val="2"/>
        <w:spacing w:before="120"/>
        <w:ind w:firstLine="210"/>
        <w:rPr>
          <w:rFonts w:hint="eastAsia"/>
          <w:color w:val="auto"/>
          <w:highlight w:val="none"/>
        </w:rPr>
      </w:pPr>
    </w:p>
    <w:p>
      <w:pPr>
        <w:pStyle w:val="2"/>
        <w:spacing w:before="120"/>
        <w:ind w:firstLine="210"/>
        <w:rPr>
          <w:rFonts w:hint="eastAsia"/>
          <w:color w:val="auto"/>
          <w:highlight w:val="none"/>
        </w:rPr>
        <w:sectPr>
          <w:headerReference r:id="rId3" w:type="default"/>
          <w:footerReference r:id="rId4" w:type="default"/>
          <w:pgSz w:w="11906" w:h="16838"/>
          <w:pgMar w:top="1474" w:right="1418" w:bottom="1361" w:left="1418" w:header="850" w:footer="992" w:gutter="0"/>
          <w:pgNumType w:start="1"/>
          <w:cols w:space="720" w:num="1"/>
          <w:docGrid w:linePitch="312" w:charSpace="0"/>
        </w:sectPr>
      </w:pPr>
    </w:p>
    <w:p>
      <w:pPr>
        <w:pStyle w:val="5"/>
        <w:spacing w:before="240" w:after="120" w:line="360" w:lineRule="exact"/>
        <w:rPr>
          <w:rFonts w:hint="eastAsia"/>
          <w:b w:val="0"/>
          <w:color w:val="auto"/>
          <w:sz w:val="24"/>
          <w:szCs w:val="24"/>
          <w:highlight w:val="none"/>
        </w:rPr>
      </w:pPr>
      <w:bookmarkStart w:id="860" w:name="_Toc22503"/>
      <w:bookmarkStart w:id="861" w:name="_Toc292754473"/>
      <w:bookmarkStart w:id="862" w:name="_Toc466365785"/>
      <w:bookmarkStart w:id="863" w:name="_Toc256688675"/>
      <w:bookmarkStart w:id="864" w:name="_Toc241741423"/>
      <w:bookmarkStart w:id="865" w:name="_Toc262646131"/>
      <w:bookmarkStart w:id="866" w:name="_Toc17187"/>
      <w:bookmarkStart w:id="867" w:name="_Toc360485635"/>
      <w:bookmarkStart w:id="868" w:name="_Toc28577"/>
      <w:bookmarkStart w:id="869" w:name="_Toc256150924"/>
      <w:bookmarkStart w:id="870" w:name="_Toc324107639"/>
      <w:bookmarkStart w:id="871" w:name="_Toc241744723"/>
      <w:bookmarkStart w:id="872" w:name="_Toc241637456"/>
    </w:p>
    <w:p>
      <w:pPr>
        <w:pStyle w:val="5"/>
        <w:spacing w:before="240" w:after="120" w:line="360" w:lineRule="exact"/>
        <w:rPr>
          <w:rFonts w:hint="eastAsia"/>
          <w:b w:val="0"/>
          <w:color w:val="auto"/>
          <w:sz w:val="24"/>
          <w:szCs w:val="24"/>
          <w:highlight w:val="none"/>
        </w:rPr>
      </w:pPr>
      <w:r>
        <w:rPr>
          <w:rFonts w:hint="eastAsia"/>
          <w:b w:val="0"/>
          <w:color w:val="auto"/>
          <w:sz w:val="24"/>
          <w:szCs w:val="24"/>
          <w:highlight w:val="none"/>
        </w:rPr>
        <w:t>附表二：</w:t>
      </w:r>
      <w:r>
        <w:rPr>
          <w:rFonts w:hint="eastAsia" w:ascii="Times New Roman" w:hAnsi="Times New Roman"/>
          <w:b w:val="0"/>
          <w:color w:val="auto"/>
          <w:sz w:val="24"/>
          <w:szCs w:val="24"/>
          <w:highlight w:val="none"/>
        </w:rPr>
        <w:t>问题澄清通知</w:t>
      </w:r>
      <w:bookmarkEnd w:id="860"/>
      <w:bookmarkEnd w:id="861"/>
      <w:bookmarkEnd w:id="862"/>
      <w:bookmarkEnd w:id="863"/>
      <w:bookmarkEnd w:id="864"/>
      <w:bookmarkEnd w:id="865"/>
      <w:bookmarkEnd w:id="866"/>
      <w:bookmarkEnd w:id="867"/>
      <w:bookmarkEnd w:id="868"/>
      <w:bookmarkEnd w:id="869"/>
      <w:bookmarkEnd w:id="870"/>
      <w:bookmarkEnd w:id="871"/>
      <w:bookmarkEnd w:id="872"/>
    </w:p>
    <w:p>
      <w:pPr>
        <w:spacing w:before="240" w:beforeLines="100" w:after="120" w:afterLines="50"/>
        <w:jc w:val="center"/>
        <w:rPr>
          <w:rFonts w:hint="eastAsia" w:ascii="黑体" w:eastAsia="黑体"/>
          <w:color w:val="auto"/>
          <w:sz w:val="32"/>
          <w:szCs w:val="32"/>
          <w:highlight w:val="none"/>
        </w:rPr>
      </w:pPr>
      <w:r>
        <w:rPr>
          <w:rFonts w:hint="eastAsia" w:ascii="黑体" w:eastAsia="黑体"/>
          <w:color w:val="auto"/>
          <w:sz w:val="32"/>
          <w:szCs w:val="32"/>
          <w:highlight w:val="none"/>
        </w:rPr>
        <w:t>问题澄清通知</w:t>
      </w:r>
    </w:p>
    <w:p>
      <w:pPr>
        <w:ind w:firstLine="3675" w:firstLineChars="1750"/>
        <w:rPr>
          <w:rFonts w:hint="eastAsia"/>
          <w:color w:val="auto"/>
          <w:highlight w:val="none"/>
        </w:rPr>
      </w:pPr>
      <w:r>
        <w:rPr>
          <w:rFonts w:hint="eastAsia"/>
          <w:color w:val="auto"/>
          <w:highlight w:val="none"/>
        </w:rPr>
        <w:t>编号：</w:t>
      </w:r>
    </w:p>
    <w:p>
      <w:pPr>
        <w:rPr>
          <w:rFonts w:hint="eastAsia"/>
          <w:color w:val="auto"/>
          <w:highlight w:val="none"/>
        </w:rPr>
      </w:pPr>
    </w:p>
    <w:p>
      <w:pPr>
        <w:spacing w:line="420" w:lineRule="exact"/>
        <w:rPr>
          <w:rFonts w:hint="eastAsia"/>
          <w:color w:val="auto"/>
          <w:sz w:val="24"/>
          <w:highlight w:val="none"/>
        </w:rPr>
      </w:pPr>
      <w:r>
        <w:rPr>
          <w:rFonts w:hint="eastAsia"/>
          <w:color w:val="auto"/>
          <w:sz w:val="24"/>
          <w:highlight w:val="none"/>
          <w:u w:val="single"/>
        </w:rPr>
        <w:t xml:space="preserve">                  </w:t>
      </w:r>
      <w:r>
        <w:rPr>
          <w:rFonts w:hint="eastAsia"/>
          <w:color w:val="auto"/>
          <w:sz w:val="24"/>
          <w:highlight w:val="none"/>
        </w:rPr>
        <w:t>（投标人名称）：</w:t>
      </w:r>
    </w:p>
    <w:p>
      <w:pPr>
        <w:spacing w:line="420" w:lineRule="exact"/>
        <w:rPr>
          <w:rFonts w:hint="eastAsia"/>
          <w:color w:val="auto"/>
          <w:sz w:val="24"/>
          <w:highlight w:val="none"/>
        </w:rPr>
      </w:pPr>
    </w:p>
    <w:p>
      <w:pPr>
        <w:spacing w:line="420" w:lineRule="exact"/>
        <w:rPr>
          <w:color w:val="auto"/>
          <w:sz w:val="24"/>
          <w:highlight w:val="none"/>
        </w:rPr>
      </w:pPr>
      <w:r>
        <w:rPr>
          <w:color w:val="auto"/>
          <w:szCs w:val="21"/>
          <w:highlight w:val="none"/>
        </w:rPr>
        <w:t xml:space="preserve">　　 </w:t>
      </w:r>
      <w:r>
        <w:rPr>
          <w:color w:val="auto"/>
          <w:sz w:val="24"/>
          <w:highlight w:val="none"/>
        </w:rPr>
        <w:t xml:space="preserve"> </w:t>
      </w:r>
      <w:r>
        <w:rPr>
          <w:color w:val="auto"/>
          <w:sz w:val="24"/>
          <w:highlight w:val="none"/>
          <w:u w:val="single"/>
        </w:rPr>
        <w:t xml:space="preserve">　             </w:t>
      </w:r>
      <w:r>
        <w:rPr>
          <w:color w:val="auto"/>
          <w:sz w:val="24"/>
          <w:highlight w:val="none"/>
        </w:rPr>
        <w:t xml:space="preserve"> （项目名称）</w:t>
      </w:r>
      <w:r>
        <w:rPr>
          <w:color w:val="auto"/>
          <w:sz w:val="24"/>
          <w:highlight w:val="none"/>
          <w:u w:val="single"/>
        </w:rPr>
        <w:t xml:space="preserve">        </w:t>
      </w:r>
      <w:r>
        <w:rPr>
          <w:color w:val="auto"/>
          <w:sz w:val="24"/>
          <w:highlight w:val="none"/>
        </w:rPr>
        <w:t>标段施工招标的评标委员会，对你方的投标文件进行了仔细的审查，现需你方对下列问题以书面形式予以澄清：</w:t>
      </w:r>
    </w:p>
    <w:p>
      <w:pPr>
        <w:spacing w:line="420" w:lineRule="exact"/>
        <w:rPr>
          <w:color w:val="auto"/>
          <w:sz w:val="24"/>
          <w:highlight w:val="none"/>
        </w:rPr>
      </w:pPr>
      <w:r>
        <w:rPr>
          <w:color w:val="auto"/>
          <w:sz w:val="24"/>
          <w:highlight w:val="none"/>
        </w:rPr>
        <w:t>　　</w:t>
      </w:r>
    </w:p>
    <w:p>
      <w:pPr>
        <w:spacing w:line="420" w:lineRule="exact"/>
        <w:rPr>
          <w:rFonts w:hint="eastAsia"/>
          <w:color w:val="auto"/>
          <w:sz w:val="24"/>
          <w:highlight w:val="none"/>
        </w:rPr>
      </w:pPr>
      <w:r>
        <w:rPr>
          <w:color w:val="auto"/>
          <w:sz w:val="24"/>
          <w:highlight w:val="none"/>
        </w:rPr>
        <w:t xml:space="preserve">    1</w:t>
      </w:r>
      <w:r>
        <w:rPr>
          <w:rFonts w:hint="eastAsia"/>
          <w:color w:val="auto"/>
          <w:sz w:val="24"/>
          <w:highlight w:val="none"/>
        </w:rPr>
        <w:t>．</w:t>
      </w:r>
    </w:p>
    <w:p>
      <w:pPr>
        <w:spacing w:line="420" w:lineRule="exact"/>
        <w:rPr>
          <w:rFonts w:hint="eastAsia"/>
          <w:color w:val="auto"/>
          <w:sz w:val="24"/>
          <w:highlight w:val="none"/>
        </w:rPr>
      </w:pPr>
      <w:r>
        <w:rPr>
          <w:color w:val="auto"/>
          <w:sz w:val="24"/>
          <w:highlight w:val="none"/>
        </w:rPr>
        <w:t xml:space="preserve">    2</w:t>
      </w:r>
      <w:r>
        <w:rPr>
          <w:rFonts w:hint="eastAsia"/>
          <w:color w:val="auto"/>
          <w:sz w:val="24"/>
          <w:highlight w:val="none"/>
        </w:rPr>
        <w:t>．</w:t>
      </w:r>
    </w:p>
    <w:p>
      <w:pPr>
        <w:spacing w:line="420" w:lineRule="exact"/>
        <w:rPr>
          <w:rFonts w:ascii="宋体" w:hAnsi="宋体"/>
          <w:color w:val="auto"/>
          <w:sz w:val="24"/>
          <w:highlight w:val="none"/>
        </w:rPr>
      </w:pPr>
      <w:r>
        <w:rPr>
          <w:color w:val="auto"/>
          <w:sz w:val="24"/>
          <w:highlight w:val="none"/>
        </w:rPr>
        <w:t xml:space="preserve">    </w:t>
      </w:r>
      <w:r>
        <w:rPr>
          <w:rFonts w:ascii="宋体" w:hAnsi="宋体"/>
          <w:color w:val="auto"/>
          <w:sz w:val="24"/>
          <w:highlight w:val="none"/>
        </w:rPr>
        <w:t xml:space="preserve"> ......   </w:t>
      </w:r>
    </w:p>
    <w:p>
      <w:pPr>
        <w:spacing w:line="420" w:lineRule="exact"/>
        <w:rPr>
          <w:color w:val="auto"/>
          <w:sz w:val="24"/>
          <w:highlight w:val="none"/>
        </w:rPr>
      </w:pPr>
      <w:r>
        <w:rPr>
          <w:color w:val="auto"/>
          <w:sz w:val="24"/>
          <w:highlight w:val="none"/>
        </w:rPr>
        <w:t>　　　</w:t>
      </w:r>
    </w:p>
    <w:p>
      <w:pPr>
        <w:spacing w:line="420" w:lineRule="exact"/>
        <w:rPr>
          <w:rFonts w:hint="eastAsia"/>
          <w:color w:val="auto"/>
          <w:sz w:val="24"/>
          <w:highlight w:val="none"/>
        </w:rPr>
      </w:pPr>
      <w:r>
        <w:rPr>
          <w:color w:val="auto"/>
          <w:sz w:val="24"/>
          <w:highlight w:val="none"/>
        </w:rPr>
        <w:t>　　请将上述问题的澄清于</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rPr>
        <w:t>日</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rPr>
        <w:t>时前递交至</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rPr>
        <w:t>（详细地址）</w:t>
      </w:r>
      <w:r>
        <w:rPr>
          <w:rFonts w:hint="eastAsia"/>
          <w:color w:val="auto"/>
          <w:sz w:val="24"/>
          <w:highlight w:val="none"/>
        </w:rPr>
        <w:t>或</w:t>
      </w:r>
      <w:r>
        <w:rPr>
          <w:rFonts w:hint="eastAsia" w:ascii="宋体" w:hAnsi="宋体"/>
          <w:color w:val="auto"/>
          <w:sz w:val="24"/>
          <w:highlight w:val="none"/>
        </w:rPr>
        <w:t>传真至</w:t>
      </w:r>
      <w:r>
        <w:rPr>
          <w:rFonts w:hint="eastAsia" w:ascii="宋体" w:hAnsi="宋体"/>
          <w:color w:val="auto"/>
          <w:sz w:val="24"/>
          <w:highlight w:val="none"/>
          <w:u w:val="single"/>
        </w:rPr>
        <w:t xml:space="preserve">         </w:t>
      </w:r>
      <w:r>
        <w:rPr>
          <w:rFonts w:hint="eastAsia" w:ascii="宋体" w:hAnsi="宋体"/>
          <w:color w:val="auto"/>
          <w:sz w:val="24"/>
          <w:highlight w:val="none"/>
        </w:rPr>
        <w:t>（传真号码）。采用传真方式的，应在</w:t>
      </w:r>
      <w:r>
        <w:rPr>
          <w:color w:val="auto"/>
          <w:sz w:val="24"/>
          <w:highlight w:val="none"/>
          <w:u w:val="single"/>
        </w:rPr>
        <w:t xml:space="preserve">   </w:t>
      </w:r>
      <w:r>
        <w:rPr>
          <w:rFonts w:hint="eastAsia"/>
          <w:color w:val="auto"/>
          <w:sz w:val="24"/>
          <w:highlight w:val="none"/>
          <w:u w:val="single"/>
        </w:rPr>
        <w:t xml:space="preserve">  </w:t>
      </w:r>
      <w:r>
        <w:rPr>
          <w:rFonts w:ascii="宋体" w:hAnsi="宋体"/>
          <w:color w:val="auto"/>
          <w:sz w:val="24"/>
          <w:highlight w:val="none"/>
        </w:rPr>
        <w:t>年</w:t>
      </w:r>
      <w:r>
        <w:rPr>
          <w:color w:val="auto"/>
          <w:sz w:val="24"/>
          <w:highlight w:val="none"/>
          <w:u w:val="single"/>
        </w:rPr>
        <w:t xml:space="preserve">   </w:t>
      </w:r>
      <w:r>
        <w:rPr>
          <w:rFonts w:hint="eastAsia"/>
          <w:color w:val="auto"/>
          <w:sz w:val="24"/>
          <w:highlight w:val="none"/>
          <w:u w:val="single"/>
        </w:rPr>
        <w:t xml:space="preserve">  </w:t>
      </w:r>
      <w:r>
        <w:rPr>
          <w:rFonts w:ascii="宋体" w:hAnsi="宋体"/>
          <w:color w:val="auto"/>
          <w:sz w:val="24"/>
          <w:highlight w:val="none"/>
        </w:rPr>
        <w:t>月</w:t>
      </w:r>
      <w:r>
        <w:rPr>
          <w:color w:val="auto"/>
          <w:sz w:val="24"/>
          <w:highlight w:val="none"/>
          <w:u w:val="single"/>
        </w:rPr>
        <w:t xml:space="preserve">   </w:t>
      </w:r>
      <w:r>
        <w:rPr>
          <w:rFonts w:hint="eastAsia"/>
          <w:color w:val="auto"/>
          <w:sz w:val="24"/>
          <w:highlight w:val="none"/>
          <w:u w:val="single"/>
        </w:rPr>
        <w:t xml:space="preserve">  </w:t>
      </w:r>
      <w:r>
        <w:rPr>
          <w:rFonts w:ascii="宋体" w:hAnsi="宋体"/>
          <w:color w:val="auto"/>
          <w:sz w:val="24"/>
          <w:highlight w:val="none"/>
        </w:rPr>
        <w:t>日</w:t>
      </w:r>
      <w:r>
        <w:rPr>
          <w:color w:val="auto"/>
          <w:sz w:val="24"/>
          <w:highlight w:val="none"/>
          <w:u w:val="single"/>
        </w:rPr>
        <w:t xml:space="preserve">   </w:t>
      </w:r>
      <w:r>
        <w:rPr>
          <w:rFonts w:hint="eastAsia"/>
          <w:color w:val="auto"/>
          <w:sz w:val="24"/>
          <w:highlight w:val="none"/>
          <w:u w:val="single"/>
        </w:rPr>
        <w:t xml:space="preserve">  </w:t>
      </w:r>
      <w:r>
        <w:rPr>
          <w:rFonts w:hint="eastAsia" w:ascii="宋体" w:hAnsi="宋体"/>
          <w:color w:val="auto"/>
          <w:sz w:val="24"/>
          <w:highlight w:val="none"/>
        </w:rPr>
        <w:t>时前将原件递交至</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rPr>
        <w:t>（详细地址）。</w:t>
      </w:r>
    </w:p>
    <w:p>
      <w:pPr>
        <w:spacing w:line="420" w:lineRule="exact"/>
        <w:rPr>
          <w:color w:val="auto"/>
          <w:sz w:val="24"/>
          <w:highlight w:val="none"/>
        </w:rPr>
      </w:pPr>
    </w:p>
    <w:p>
      <w:pPr>
        <w:spacing w:line="440" w:lineRule="exact"/>
        <w:rPr>
          <w:color w:val="auto"/>
          <w:sz w:val="24"/>
          <w:highlight w:val="none"/>
        </w:rPr>
      </w:pPr>
    </w:p>
    <w:p>
      <w:pPr>
        <w:spacing w:line="440" w:lineRule="exact"/>
        <w:rPr>
          <w:rFonts w:hint="eastAsia"/>
          <w:color w:val="auto"/>
          <w:sz w:val="24"/>
          <w:highlight w:val="none"/>
        </w:rPr>
      </w:pPr>
      <w:r>
        <w:rPr>
          <w:color w:val="auto"/>
          <w:sz w:val="24"/>
          <w:highlight w:val="none"/>
        </w:rPr>
        <w:t xml:space="preserve">                        </w:t>
      </w:r>
      <w:r>
        <w:rPr>
          <w:rFonts w:hint="eastAsia"/>
          <w:color w:val="auto"/>
          <w:sz w:val="24"/>
          <w:highlight w:val="none"/>
          <w:u w:val="single"/>
        </w:rPr>
        <w:t>（项目名称）</w:t>
      </w:r>
      <w:r>
        <w:rPr>
          <w:rFonts w:hint="eastAsia"/>
          <w:color w:val="auto"/>
          <w:sz w:val="24"/>
          <w:highlight w:val="none"/>
        </w:rPr>
        <w:t>施工招标</w:t>
      </w:r>
      <w:r>
        <w:rPr>
          <w:color w:val="auto"/>
          <w:sz w:val="24"/>
          <w:highlight w:val="none"/>
        </w:rPr>
        <w:t>评标</w:t>
      </w:r>
      <w:r>
        <w:rPr>
          <w:rFonts w:hint="eastAsia"/>
          <w:color w:val="auto"/>
          <w:sz w:val="24"/>
          <w:highlight w:val="none"/>
        </w:rPr>
        <w:t>委员会负责人</w:t>
      </w:r>
      <w:r>
        <w:rPr>
          <w:color w:val="auto"/>
          <w:sz w:val="24"/>
          <w:highlight w:val="none"/>
        </w:rPr>
        <w:t>：</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（签字</w:t>
      </w:r>
      <w:r>
        <w:rPr>
          <w:rFonts w:hint="eastAsia"/>
          <w:color w:val="auto"/>
          <w:sz w:val="24"/>
          <w:highlight w:val="none"/>
        </w:rPr>
        <w:t>）</w:t>
      </w:r>
    </w:p>
    <w:p>
      <w:pPr>
        <w:spacing w:line="440" w:lineRule="exact"/>
        <w:rPr>
          <w:color w:val="auto"/>
          <w:sz w:val="24"/>
          <w:highlight w:val="none"/>
        </w:rPr>
      </w:pPr>
      <w:r>
        <w:rPr>
          <w:rFonts w:hint="eastAsia"/>
          <w:color w:val="auto"/>
          <w:sz w:val="24"/>
          <w:highlight w:val="none"/>
        </w:rPr>
        <w:t xml:space="preserve">                               招标人：</w:t>
      </w:r>
      <w:r>
        <w:rPr>
          <w:rFonts w:hint="eastAsia"/>
          <w:color w:val="auto"/>
          <w:sz w:val="24"/>
          <w:highlight w:val="none"/>
          <w:u w:val="single"/>
        </w:rPr>
        <w:t xml:space="preserve">                </w:t>
      </w:r>
      <w:r>
        <w:rPr>
          <w:rFonts w:hint="eastAsia"/>
          <w:color w:val="auto"/>
          <w:sz w:val="24"/>
          <w:highlight w:val="none"/>
        </w:rPr>
        <w:t>（盖单位章）</w:t>
      </w:r>
    </w:p>
    <w:p>
      <w:pPr>
        <w:spacing w:line="440" w:lineRule="exact"/>
        <w:rPr>
          <w:color w:val="auto"/>
          <w:sz w:val="24"/>
          <w:highlight w:val="none"/>
        </w:rPr>
      </w:pPr>
      <w:r>
        <w:rPr>
          <w:color w:val="auto"/>
          <w:sz w:val="24"/>
          <w:highlight w:val="none"/>
        </w:rPr>
        <w:t xml:space="preserve">                               </w:t>
      </w:r>
      <w:r>
        <w:rPr>
          <w:rFonts w:hint="eastAsia"/>
          <w:color w:val="auto"/>
          <w:sz w:val="24"/>
          <w:highlight w:val="none"/>
        </w:rPr>
        <w:t xml:space="preserve">     </w:t>
      </w:r>
      <w:r>
        <w:rPr>
          <w:color w:val="auto"/>
          <w:sz w:val="24"/>
          <w:highlight w:val="none"/>
        </w:rPr>
        <w:t xml:space="preserve">   </w:t>
      </w:r>
      <w:r>
        <w:rPr>
          <w:color w:val="auto"/>
          <w:sz w:val="24"/>
          <w:highlight w:val="none"/>
          <w:u w:val="single"/>
        </w:rPr>
        <w:t xml:space="preserve">        </w:t>
      </w:r>
      <w:r>
        <w:rPr>
          <w:color w:val="auto"/>
          <w:sz w:val="24"/>
          <w:highlight w:val="none"/>
        </w:rPr>
        <w:t xml:space="preserve"> 年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rPr>
        <w:t xml:space="preserve">月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rPr>
        <w:t>日</w:t>
      </w:r>
    </w:p>
    <w:p>
      <w:pPr>
        <w:spacing w:line="400" w:lineRule="exact"/>
        <w:rPr>
          <w:color w:val="auto"/>
          <w:sz w:val="24"/>
          <w:highlight w:val="none"/>
        </w:rPr>
      </w:pPr>
    </w:p>
    <w:p>
      <w:pPr>
        <w:ind w:firstLine="2160" w:firstLineChars="600"/>
        <w:rPr>
          <w:rFonts w:hint="eastAsia" w:ascii="黑体" w:eastAsia="黑体"/>
          <w:color w:val="auto"/>
          <w:sz w:val="36"/>
          <w:szCs w:val="36"/>
          <w:highlight w:val="none"/>
          <w:u w:val="single"/>
        </w:rPr>
      </w:pPr>
    </w:p>
    <w:p>
      <w:pPr>
        <w:ind w:firstLine="2160" w:firstLineChars="600"/>
        <w:rPr>
          <w:rFonts w:hint="eastAsia" w:ascii="黑体" w:eastAsia="黑体"/>
          <w:color w:val="auto"/>
          <w:sz w:val="36"/>
          <w:szCs w:val="36"/>
          <w:highlight w:val="none"/>
          <w:u w:val="single"/>
        </w:rPr>
      </w:pPr>
    </w:p>
    <w:p>
      <w:pPr>
        <w:ind w:firstLine="2160" w:firstLineChars="600"/>
        <w:rPr>
          <w:rFonts w:hint="eastAsia" w:ascii="黑体" w:eastAsia="黑体"/>
          <w:color w:val="auto"/>
          <w:sz w:val="36"/>
          <w:szCs w:val="36"/>
          <w:highlight w:val="none"/>
          <w:u w:val="single"/>
        </w:rPr>
      </w:pPr>
    </w:p>
    <w:p>
      <w:pPr>
        <w:ind w:firstLine="2160" w:firstLineChars="600"/>
        <w:rPr>
          <w:rFonts w:hint="eastAsia" w:ascii="黑体" w:eastAsia="黑体"/>
          <w:color w:val="auto"/>
          <w:sz w:val="36"/>
          <w:szCs w:val="36"/>
          <w:highlight w:val="none"/>
          <w:u w:val="single"/>
        </w:rPr>
      </w:pPr>
    </w:p>
    <w:p>
      <w:pPr>
        <w:ind w:firstLine="2160" w:firstLineChars="600"/>
        <w:rPr>
          <w:rFonts w:hint="eastAsia" w:ascii="黑体" w:eastAsia="黑体"/>
          <w:color w:val="auto"/>
          <w:sz w:val="36"/>
          <w:szCs w:val="36"/>
          <w:highlight w:val="none"/>
          <w:u w:val="single"/>
        </w:rPr>
      </w:pPr>
    </w:p>
    <w:p>
      <w:pPr>
        <w:ind w:firstLine="2160" w:firstLineChars="600"/>
        <w:rPr>
          <w:rFonts w:hint="eastAsia" w:ascii="黑体" w:eastAsia="黑体"/>
          <w:color w:val="auto"/>
          <w:sz w:val="36"/>
          <w:szCs w:val="36"/>
          <w:highlight w:val="none"/>
          <w:u w:val="single"/>
        </w:rPr>
      </w:pPr>
    </w:p>
    <w:p>
      <w:pPr>
        <w:ind w:firstLine="2160" w:firstLineChars="600"/>
        <w:rPr>
          <w:rFonts w:hint="eastAsia" w:ascii="黑体" w:eastAsia="黑体"/>
          <w:color w:val="auto"/>
          <w:sz w:val="36"/>
          <w:szCs w:val="36"/>
          <w:highlight w:val="none"/>
          <w:u w:val="single"/>
        </w:rPr>
      </w:pPr>
    </w:p>
    <w:p>
      <w:pPr>
        <w:ind w:firstLine="2160" w:firstLineChars="600"/>
        <w:rPr>
          <w:rFonts w:hint="eastAsia" w:ascii="黑体" w:eastAsia="黑体"/>
          <w:color w:val="auto"/>
          <w:sz w:val="36"/>
          <w:szCs w:val="36"/>
          <w:highlight w:val="none"/>
          <w:u w:val="single"/>
        </w:rPr>
      </w:pPr>
    </w:p>
    <w:p>
      <w:pPr>
        <w:pStyle w:val="5"/>
        <w:spacing w:before="240" w:after="120" w:line="360" w:lineRule="exact"/>
        <w:rPr>
          <w:rFonts w:hint="eastAsia"/>
          <w:b w:val="0"/>
          <w:color w:val="auto"/>
          <w:sz w:val="24"/>
          <w:szCs w:val="24"/>
          <w:highlight w:val="none"/>
        </w:rPr>
      </w:pPr>
      <w:bookmarkStart w:id="873" w:name="_Toc241637457"/>
      <w:bookmarkStart w:id="874" w:name="_Toc179632601"/>
      <w:bookmarkStart w:id="875" w:name="_Toc8013"/>
      <w:bookmarkStart w:id="876" w:name="_Toc241741424"/>
      <w:bookmarkStart w:id="877" w:name="_Toc152045583"/>
      <w:bookmarkStart w:id="878" w:name="_Toc256150925"/>
      <w:bookmarkStart w:id="879" w:name="_Toc324107640"/>
      <w:bookmarkStart w:id="880" w:name="_Toc241744724"/>
      <w:bookmarkStart w:id="881" w:name="_Toc466365786"/>
      <w:bookmarkStart w:id="882" w:name="_Toc256688676"/>
      <w:bookmarkStart w:id="883" w:name="_Toc17012"/>
      <w:bookmarkStart w:id="884" w:name="_Toc152042360"/>
      <w:bookmarkStart w:id="885" w:name="_Toc144974550"/>
      <w:bookmarkStart w:id="886" w:name="_Toc292754474"/>
      <w:bookmarkStart w:id="887" w:name="_Toc262646132"/>
      <w:bookmarkStart w:id="888" w:name="_Toc360485636"/>
      <w:bookmarkStart w:id="889" w:name="_Toc30098"/>
      <w:r>
        <w:rPr>
          <w:rFonts w:hint="eastAsia"/>
          <w:b w:val="0"/>
          <w:color w:val="auto"/>
          <w:sz w:val="24"/>
          <w:szCs w:val="24"/>
          <w:highlight w:val="none"/>
        </w:rPr>
        <w:t>附表三：</w:t>
      </w:r>
      <w:r>
        <w:rPr>
          <w:rFonts w:hint="eastAsia" w:ascii="Times New Roman" w:hAnsi="Times New Roman"/>
          <w:b w:val="0"/>
          <w:color w:val="auto"/>
          <w:sz w:val="24"/>
          <w:szCs w:val="24"/>
          <w:highlight w:val="none"/>
        </w:rPr>
        <w:t>问题的澄清</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spacing w:line="400" w:lineRule="exact"/>
        <w:jc w:val="center"/>
        <w:rPr>
          <w:rFonts w:hint="eastAsia" w:ascii="黑体" w:eastAsia="黑体"/>
          <w:color w:val="auto"/>
          <w:sz w:val="28"/>
          <w:szCs w:val="28"/>
          <w:highlight w:val="none"/>
        </w:rPr>
      </w:pPr>
    </w:p>
    <w:p>
      <w:pPr>
        <w:spacing w:line="400" w:lineRule="exact"/>
        <w:jc w:val="center"/>
        <w:rPr>
          <w:rFonts w:hint="eastAsia" w:ascii="黑体" w:eastAsia="黑体"/>
          <w:color w:val="auto"/>
          <w:sz w:val="32"/>
          <w:szCs w:val="32"/>
          <w:highlight w:val="none"/>
        </w:rPr>
      </w:pPr>
      <w:r>
        <w:rPr>
          <w:rFonts w:hint="eastAsia" w:ascii="黑体" w:eastAsia="黑体"/>
          <w:color w:val="auto"/>
          <w:sz w:val="32"/>
          <w:szCs w:val="32"/>
          <w:highlight w:val="none"/>
        </w:rPr>
        <w:t>问题的澄清</w:t>
      </w:r>
    </w:p>
    <w:p>
      <w:pPr>
        <w:spacing w:before="120" w:beforeLines="50" w:line="420" w:lineRule="exact"/>
        <w:ind w:firstLine="3780" w:firstLineChars="1800"/>
        <w:rPr>
          <w:rFonts w:hint="eastAsia"/>
          <w:color w:val="auto"/>
          <w:highlight w:val="none"/>
        </w:rPr>
      </w:pPr>
      <w:r>
        <w:rPr>
          <w:rFonts w:hint="eastAsia"/>
          <w:color w:val="auto"/>
          <w:highlight w:val="none"/>
        </w:rPr>
        <w:t xml:space="preserve">编号： </w:t>
      </w:r>
    </w:p>
    <w:p>
      <w:pPr>
        <w:spacing w:line="400" w:lineRule="exact"/>
        <w:rPr>
          <w:color w:val="auto"/>
          <w:szCs w:val="21"/>
          <w:highlight w:val="none"/>
        </w:rPr>
      </w:pPr>
    </w:p>
    <w:p>
      <w:pPr>
        <w:spacing w:line="440" w:lineRule="exact"/>
        <w:rPr>
          <w:color w:val="auto"/>
          <w:sz w:val="24"/>
          <w:highlight w:val="none"/>
        </w:rPr>
      </w:pPr>
      <w:r>
        <w:rPr>
          <w:color w:val="auto"/>
          <w:sz w:val="24"/>
          <w:highlight w:val="none"/>
          <w:u w:val="single"/>
        </w:rPr>
        <w:t xml:space="preserve">                  </w:t>
      </w:r>
      <w:r>
        <w:rPr>
          <w:color w:val="auto"/>
          <w:sz w:val="24"/>
          <w:highlight w:val="none"/>
        </w:rPr>
        <w:t>（项目名称）</w:t>
      </w:r>
      <w:r>
        <w:rPr>
          <w:color w:val="auto"/>
          <w:sz w:val="24"/>
          <w:highlight w:val="none"/>
          <w:u w:val="single"/>
        </w:rPr>
        <w:t xml:space="preserve">         </w:t>
      </w:r>
      <w:r>
        <w:rPr>
          <w:color w:val="auto"/>
          <w:sz w:val="24"/>
          <w:highlight w:val="none"/>
        </w:rPr>
        <w:t>标段施工招标评标委员会：</w:t>
      </w:r>
    </w:p>
    <w:p>
      <w:pPr>
        <w:spacing w:line="440" w:lineRule="exact"/>
        <w:rPr>
          <w:color w:val="auto"/>
          <w:sz w:val="24"/>
          <w:highlight w:val="none"/>
        </w:rPr>
      </w:pPr>
    </w:p>
    <w:p>
      <w:pPr>
        <w:spacing w:line="440" w:lineRule="exact"/>
        <w:ind w:firstLine="480"/>
        <w:rPr>
          <w:rFonts w:hint="eastAsia"/>
          <w:color w:val="auto"/>
          <w:sz w:val="24"/>
          <w:highlight w:val="none"/>
        </w:rPr>
      </w:pPr>
      <w:r>
        <w:rPr>
          <w:color w:val="auto"/>
          <w:sz w:val="24"/>
          <w:highlight w:val="none"/>
        </w:rPr>
        <w:t>问题澄清通知（编号：</w:t>
      </w:r>
      <w:r>
        <w:rPr>
          <w:color w:val="auto"/>
          <w:sz w:val="24"/>
          <w:highlight w:val="none"/>
          <w:u w:val="single"/>
        </w:rPr>
        <w:t xml:space="preserve">        </w:t>
      </w:r>
      <w:r>
        <w:rPr>
          <w:color w:val="auto"/>
          <w:sz w:val="24"/>
          <w:highlight w:val="none"/>
        </w:rPr>
        <w:t>）已收悉，现澄清如下：</w:t>
      </w:r>
    </w:p>
    <w:p>
      <w:pPr>
        <w:spacing w:line="440" w:lineRule="exact"/>
        <w:ind w:firstLine="480"/>
        <w:rPr>
          <w:rFonts w:hint="eastAsia"/>
          <w:color w:val="auto"/>
          <w:sz w:val="24"/>
          <w:highlight w:val="none"/>
        </w:rPr>
      </w:pPr>
    </w:p>
    <w:p>
      <w:pPr>
        <w:spacing w:line="440" w:lineRule="exact"/>
        <w:rPr>
          <w:rFonts w:hint="eastAsia"/>
          <w:color w:val="auto"/>
          <w:sz w:val="24"/>
          <w:highlight w:val="none"/>
        </w:rPr>
      </w:pPr>
      <w:r>
        <w:rPr>
          <w:color w:val="auto"/>
          <w:sz w:val="24"/>
          <w:highlight w:val="none"/>
        </w:rPr>
        <w:t>　     1</w:t>
      </w:r>
      <w:r>
        <w:rPr>
          <w:rFonts w:hint="eastAsia"/>
          <w:color w:val="auto"/>
          <w:sz w:val="24"/>
          <w:highlight w:val="none"/>
        </w:rPr>
        <w:t>．</w:t>
      </w:r>
    </w:p>
    <w:p>
      <w:pPr>
        <w:spacing w:line="440" w:lineRule="exact"/>
        <w:rPr>
          <w:rFonts w:hint="eastAsia"/>
          <w:color w:val="auto"/>
          <w:sz w:val="24"/>
          <w:highlight w:val="none"/>
        </w:rPr>
      </w:pPr>
      <w:r>
        <w:rPr>
          <w:color w:val="auto"/>
          <w:sz w:val="24"/>
          <w:highlight w:val="none"/>
        </w:rPr>
        <w:t>　     2</w:t>
      </w:r>
      <w:r>
        <w:rPr>
          <w:rFonts w:hint="eastAsia"/>
          <w:color w:val="auto"/>
          <w:sz w:val="24"/>
          <w:highlight w:val="none"/>
        </w:rPr>
        <w:t>．</w:t>
      </w:r>
    </w:p>
    <w:p>
      <w:pPr>
        <w:spacing w:line="440" w:lineRule="exact"/>
        <w:rPr>
          <w:color w:val="auto"/>
          <w:sz w:val="24"/>
          <w:highlight w:val="none"/>
        </w:rPr>
      </w:pPr>
      <w:r>
        <w:rPr>
          <w:color w:val="auto"/>
          <w:sz w:val="24"/>
          <w:highlight w:val="none"/>
        </w:rPr>
        <w:t xml:space="preserve">　   </w:t>
      </w:r>
    </w:p>
    <w:p>
      <w:pPr>
        <w:spacing w:line="440" w:lineRule="exact"/>
        <w:rPr>
          <w:rFonts w:ascii="宋体" w:hAnsi="宋体"/>
          <w:color w:val="auto"/>
          <w:sz w:val="24"/>
          <w:highlight w:val="none"/>
        </w:rPr>
      </w:pPr>
      <w:r>
        <w:rPr>
          <w:color w:val="auto"/>
          <w:sz w:val="24"/>
          <w:highlight w:val="none"/>
        </w:rPr>
        <w:t xml:space="preserve">　    </w:t>
      </w:r>
      <w:r>
        <w:rPr>
          <w:rFonts w:ascii="宋体" w:hAnsi="宋体"/>
          <w:color w:val="auto"/>
          <w:sz w:val="24"/>
          <w:highlight w:val="none"/>
        </w:rPr>
        <w:t>.....</w:t>
      </w:r>
    </w:p>
    <w:p>
      <w:pPr>
        <w:spacing w:line="440" w:lineRule="exact"/>
        <w:rPr>
          <w:color w:val="auto"/>
          <w:sz w:val="24"/>
          <w:highlight w:val="none"/>
        </w:rPr>
      </w:pPr>
      <w:r>
        <w:rPr>
          <w:color w:val="auto"/>
          <w:sz w:val="24"/>
          <w:highlight w:val="none"/>
        </w:rPr>
        <w:t xml:space="preserve">                       </w:t>
      </w:r>
    </w:p>
    <w:p>
      <w:pPr>
        <w:spacing w:line="440" w:lineRule="exact"/>
        <w:rPr>
          <w:color w:val="auto"/>
          <w:sz w:val="24"/>
          <w:highlight w:val="none"/>
        </w:rPr>
      </w:pPr>
      <w:r>
        <w:rPr>
          <w:color w:val="auto"/>
          <w:sz w:val="24"/>
          <w:highlight w:val="none"/>
        </w:rPr>
        <w:t xml:space="preserve">　 </w:t>
      </w:r>
    </w:p>
    <w:p>
      <w:pPr>
        <w:spacing w:line="440" w:lineRule="exact"/>
        <w:rPr>
          <w:color w:val="auto"/>
          <w:sz w:val="24"/>
          <w:highlight w:val="none"/>
        </w:rPr>
      </w:pPr>
    </w:p>
    <w:p>
      <w:pPr>
        <w:spacing w:line="440" w:lineRule="exact"/>
        <w:rPr>
          <w:color w:val="auto"/>
          <w:sz w:val="24"/>
          <w:highlight w:val="none"/>
        </w:rPr>
      </w:pPr>
    </w:p>
    <w:p>
      <w:pPr>
        <w:spacing w:line="440" w:lineRule="exact"/>
        <w:rPr>
          <w:color w:val="auto"/>
          <w:sz w:val="24"/>
          <w:highlight w:val="none"/>
        </w:rPr>
      </w:pPr>
    </w:p>
    <w:p>
      <w:pPr>
        <w:spacing w:line="440" w:lineRule="exact"/>
        <w:rPr>
          <w:color w:val="auto"/>
          <w:sz w:val="24"/>
          <w:highlight w:val="none"/>
        </w:rPr>
      </w:pPr>
    </w:p>
    <w:p>
      <w:pPr>
        <w:spacing w:line="440" w:lineRule="exact"/>
        <w:rPr>
          <w:color w:val="auto"/>
          <w:sz w:val="24"/>
          <w:highlight w:val="none"/>
        </w:rPr>
      </w:pPr>
      <w:r>
        <w:rPr>
          <w:color w:val="auto"/>
          <w:sz w:val="24"/>
          <w:highlight w:val="none"/>
        </w:rPr>
        <w:t>　　　　　　　　　　　　　　　投标人：</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rPr>
        <w:t>（盖单位章）</w:t>
      </w:r>
    </w:p>
    <w:p>
      <w:pPr>
        <w:spacing w:line="440" w:lineRule="exact"/>
        <w:rPr>
          <w:color w:val="auto"/>
          <w:sz w:val="24"/>
          <w:highlight w:val="none"/>
        </w:rPr>
      </w:pPr>
      <w:r>
        <w:rPr>
          <w:color w:val="auto"/>
          <w:sz w:val="24"/>
          <w:highlight w:val="none"/>
        </w:rPr>
        <w:t>　　　　　　　　　　　　　　　</w:t>
      </w:r>
    </w:p>
    <w:p>
      <w:pPr>
        <w:spacing w:line="440" w:lineRule="exact"/>
        <w:rPr>
          <w:color w:val="auto"/>
          <w:sz w:val="24"/>
          <w:highlight w:val="none"/>
        </w:rPr>
      </w:pPr>
      <w:r>
        <w:rPr>
          <w:color w:val="auto"/>
          <w:sz w:val="24"/>
          <w:highlight w:val="none"/>
        </w:rPr>
        <w:t>　　　　　　　　　　　　　　　法定代表人或其委托代理人：</w:t>
      </w:r>
      <w:r>
        <w:rPr>
          <w:color w:val="auto"/>
          <w:sz w:val="24"/>
          <w:highlight w:val="none"/>
          <w:u w:val="single"/>
        </w:rPr>
        <w:t xml:space="preserve">          </w:t>
      </w:r>
      <w:r>
        <w:rPr>
          <w:color w:val="auto"/>
          <w:sz w:val="24"/>
          <w:highlight w:val="none"/>
        </w:rPr>
        <w:t>（签字）</w:t>
      </w:r>
    </w:p>
    <w:p>
      <w:pPr>
        <w:spacing w:line="440" w:lineRule="exact"/>
        <w:rPr>
          <w:color w:val="auto"/>
          <w:sz w:val="24"/>
          <w:highlight w:val="none"/>
        </w:rPr>
      </w:pPr>
      <w:r>
        <w:rPr>
          <w:color w:val="auto"/>
          <w:sz w:val="24"/>
          <w:highlight w:val="none"/>
        </w:rPr>
        <w:t>　　　　　　　　　　　　　　　</w:t>
      </w:r>
    </w:p>
    <w:p>
      <w:pPr>
        <w:spacing w:line="440" w:lineRule="exact"/>
        <w:rPr>
          <w:rFonts w:hint="eastAsia"/>
          <w:color w:val="auto"/>
          <w:sz w:val="24"/>
          <w:highlight w:val="none"/>
        </w:rPr>
      </w:pPr>
      <w:r>
        <w:rPr>
          <w:color w:val="auto"/>
          <w:sz w:val="24"/>
          <w:highlight w:val="none"/>
        </w:rPr>
        <w:t xml:space="preserve">　　　　　　　　　　　　　　　        </w:t>
      </w:r>
      <w:r>
        <w:rPr>
          <w:rFonts w:hint="eastAsia"/>
          <w:color w:val="auto"/>
          <w:sz w:val="24"/>
          <w:highlight w:val="none"/>
        </w:rPr>
        <w:t xml:space="preserve">         </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日</w:t>
      </w: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pStyle w:val="5"/>
        <w:spacing w:before="240" w:after="120" w:line="360" w:lineRule="exact"/>
        <w:rPr>
          <w:rFonts w:hint="eastAsia"/>
          <w:b w:val="0"/>
          <w:color w:val="auto"/>
          <w:sz w:val="24"/>
          <w:szCs w:val="24"/>
          <w:highlight w:val="none"/>
        </w:rPr>
      </w:pPr>
      <w:bookmarkStart w:id="890" w:name="_Toc360485637"/>
      <w:bookmarkStart w:id="891" w:name="_Toc179632602"/>
      <w:bookmarkStart w:id="892" w:name="_Toc144974551"/>
      <w:bookmarkStart w:id="893" w:name="_Toc256688677"/>
      <w:bookmarkStart w:id="894" w:name="_Toc10527"/>
      <w:bookmarkStart w:id="895" w:name="_Toc241741425"/>
      <w:bookmarkStart w:id="896" w:name="_Toc152042361"/>
      <w:bookmarkStart w:id="897" w:name="_Toc241637458"/>
      <w:bookmarkStart w:id="898" w:name="_Toc241744725"/>
      <w:bookmarkStart w:id="899" w:name="_Toc466365787"/>
      <w:bookmarkStart w:id="900" w:name="_Toc10558"/>
      <w:bookmarkStart w:id="901" w:name="_Toc292754475"/>
      <w:bookmarkStart w:id="902" w:name="_Toc324107641"/>
      <w:bookmarkStart w:id="903" w:name="_Toc152045584"/>
      <w:bookmarkStart w:id="904" w:name="_Toc262646133"/>
      <w:bookmarkStart w:id="905" w:name="_Toc256150926"/>
      <w:bookmarkStart w:id="906" w:name="_Toc11185"/>
      <w:r>
        <w:rPr>
          <w:rFonts w:hint="eastAsia"/>
          <w:b w:val="0"/>
          <w:color w:val="auto"/>
          <w:sz w:val="24"/>
          <w:szCs w:val="24"/>
          <w:highlight w:val="none"/>
        </w:rPr>
        <w:t>附表四：</w:t>
      </w:r>
      <w:r>
        <w:rPr>
          <w:rFonts w:hint="eastAsia" w:ascii="Times New Roman" w:hAnsi="Times New Roman"/>
          <w:b w:val="0"/>
          <w:color w:val="auto"/>
          <w:sz w:val="24"/>
          <w:szCs w:val="24"/>
          <w:highlight w:val="none"/>
        </w:rPr>
        <w:t>中标通知书</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spacing w:line="400" w:lineRule="exact"/>
        <w:rPr>
          <w:color w:val="auto"/>
          <w:highlight w:val="none"/>
        </w:rPr>
      </w:pPr>
    </w:p>
    <w:p>
      <w:pPr>
        <w:spacing w:line="400" w:lineRule="exact"/>
        <w:jc w:val="center"/>
        <w:rPr>
          <w:rFonts w:hint="eastAsia" w:ascii="黑体" w:eastAsia="黑体"/>
          <w:color w:val="auto"/>
          <w:sz w:val="32"/>
          <w:szCs w:val="32"/>
          <w:highlight w:val="none"/>
        </w:rPr>
      </w:pPr>
      <w:r>
        <w:rPr>
          <w:rFonts w:hint="eastAsia" w:ascii="黑体" w:eastAsia="黑体"/>
          <w:color w:val="auto"/>
          <w:sz w:val="32"/>
          <w:szCs w:val="32"/>
          <w:highlight w:val="none"/>
        </w:rPr>
        <w:t>中标通知书</w:t>
      </w:r>
    </w:p>
    <w:p>
      <w:pPr>
        <w:spacing w:line="420" w:lineRule="exact"/>
        <w:rPr>
          <w:rFonts w:hint="eastAsia"/>
          <w:color w:val="auto"/>
          <w:sz w:val="24"/>
          <w:highlight w:val="none"/>
        </w:rPr>
      </w:pPr>
    </w:p>
    <w:p>
      <w:pPr>
        <w:spacing w:line="420" w:lineRule="exact"/>
        <w:rPr>
          <w:color w:val="auto"/>
          <w:sz w:val="24"/>
          <w:highlight w:val="none"/>
        </w:rPr>
      </w:pPr>
      <w:r>
        <w:rPr>
          <w:color w:val="auto"/>
          <w:sz w:val="24"/>
          <w:highlight w:val="none"/>
          <w:u w:val="single"/>
        </w:rPr>
        <w:t xml:space="preserve">                   </w:t>
      </w:r>
      <w:r>
        <w:rPr>
          <w:color w:val="auto"/>
          <w:sz w:val="24"/>
          <w:highlight w:val="none"/>
        </w:rPr>
        <w:t>（中标人名称）：</w:t>
      </w:r>
    </w:p>
    <w:p>
      <w:pPr>
        <w:spacing w:line="420" w:lineRule="exact"/>
        <w:rPr>
          <w:color w:val="auto"/>
          <w:sz w:val="24"/>
          <w:highlight w:val="none"/>
        </w:rPr>
      </w:pPr>
    </w:p>
    <w:p>
      <w:pPr>
        <w:spacing w:line="420" w:lineRule="exact"/>
        <w:rPr>
          <w:color w:val="auto"/>
          <w:sz w:val="24"/>
          <w:highlight w:val="none"/>
        </w:rPr>
      </w:pPr>
      <w:r>
        <w:rPr>
          <w:color w:val="auto"/>
          <w:sz w:val="24"/>
          <w:highlight w:val="none"/>
        </w:rPr>
        <w:t>　　你方于</w:t>
      </w:r>
      <w:r>
        <w:rPr>
          <w:color w:val="auto"/>
          <w:sz w:val="24"/>
          <w:highlight w:val="none"/>
          <w:u w:val="single"/>
        </w:rPr>
        <w:t xml:space="preserve">         </w:t>
      </w:r>
      <w:r>
        <w:rPr>
          <w:color w:val="auto"/>
          <w:sz w:val="24"/>
          <w:highlight w:val="none"/>
        </w:rPr>
        <w:t>（投标日期）所递交的</w:t>
      </w:r>
      <w:r>
        <w:rPr>
          <w:color w:val="auto"/>
          <w:sz w:val="24"/>
          <w:highlight w:val="none"/>
          <w:u w:val="single"/>
        </w:rPr>
        <w:t xml:space="preserve">         </w:t>
      </w:r>
      <w:r>
        <w:rPr>
          <w:color w:val="auto"/>
          <w:sz w:val="24"/>
          <w:highlight w:val="none"/>
        </w:rPr>
        <w:t>（项目名称）</w:t>
      </w:r>
      <w:r>
        <w:rPr>
          <w:color w:val="auto"/>
          <w:sz w:val="24"/>
          <w:highlight w:val="none"/>
          <w:u w:val="single"/>
        </w:rPr>
        <w:t xml:space="preserve">         </w:t>
      </w:r>
      <w:r>
        <w:rPr>
          <w:color w:val="auto"/>
          <w:sz w:val="24"/>
          <w:highlight w:val="none"/>
        </w:rPr>
        <w:t>标段施工投标文件已被我方接受，被确定为中标人。</w:t>
      </w:r>
    </w:p>
    <w:p>
      <w:pPr>
        <w:spacing w:line="420" w:lineRule="exact"/>
        <w:rPr>
          <w:color w:val="auto"/>
          <w:sz w:val="24"/>
          <w:highlight w:val="none"/>
        </w:rPr>
      </w:pPr>
      <w:r>
        <w:rPr>
          <w:color w:val="auto"/>
          <w:sz w:val="24"/>
          <w:highlight w:val="none"/>
        </w:rPr>
        <w:t>　　中标价：</w:t>
      </w:r>
      <w:r>
        <w:rPr>
          <w:color w:val="auto"/>
          <w:sz w:val="24"/>
          <w:highlight w:val="none"/>
          <w:u w:val="single"/>
        </w:rPr>
        <w:t xml:space="preserve">                   </w:t>
      </w:r>
      <w:r>
        <w:rPr>
          <w:color w:val="auto"/>
          <w:sz w:val="24"/>
          <w:highlight w:val="none"/>
        </w:rPr>
        <w:t>元。</w:t>
      </w:r>
    </w:p>
    <w:p>
      <w:pPr>
        <w:spacing w:line="420" w:lineRule="exact"/>
        <w:rPr>
          <w:color w:val="auto"/>
          <w:sz w:val="24"/>
          <w:highlight w:val="none"/>
        </w:rPr>
      </w:pPr>
      <w:r>
        <w:rPr>
          <w:color w:val="auto"/>
          <w:sz w:val="24"/>
          <w:highlight w:val="none"/>
        </w:rPr>
        <w:t>　　工期：</w:t>
      </w:r>
      <w:r>
        <w:rPr>
          <w:color w:val="auto"/>
          <w:sz w:val="24"/>
          <w:highlight w:val="none"/>
          <w:u w:val="single"/>
        </w:rPr>
        <w:t xml:space="preserve">      </w:t>
      </w:r>
      <w:r>
        <w:rPr>
          <w:rFonts w:hint="eastAsia"/>
          <w:color w:val="auto"/>
          <w:sz w:val="24"/>
          <w:highlight w:val="none"/>
        </w:rPr>
        <w:t>个月</w:t>
      </w:r>
      <w:r>
        <w:rPr>
          <w:color w:val="auto"/>
          <w:sz w:val="24"/>
          <w:highlight w:val="none"/>
        </w:rPr>
        <w:t>。</w:t>
      </w:r>
    </w:p>
    <w:p>
      <w:pPr>
        <w:spacing w:line="420" w:lineRule="exact"/>
        <w:rPr>
          <w:color w:val="auto"/>
          <w:sz w:val="24"/>
          <w:highlight w:val="none"/>
        </w:rPr>
      </w:pPr>
      <w:r>
        <w:rPr>
          <w:color w:val="auto"/>
          <w:sz w:val="24"/>
          <w:highlight w:val="none"/>
        </w:rPr>
        <w:t>　  工程质量：符合</w:t>
      </w:r>
      <w:r>
        <w:rPr>
          <w:color w:val="auto"/>
          <w:sz w:val="24"/>
          <w:highlight w:val="none"/>
          <w:u w:val="single"/>
        </w:rPr>
        <w:t xml:space="preserve">                      </w:t>
      </w:r>
      <w:r>
        <w:rPr>
          <w:color w:val="auto"/>
          <w:sz w:val="24"/>
          <w:highlight w:val="none"/>
        </w:rPr>
        <w:t>标准。</w:t>
      </w:r>
    </w:p>
    <w:p>
      <w:pPr>
        <w:spacing w:line="420" w:lineRule="exact"/>
        <w:ind w:firstLine="480"/>
        <w:rPr>
          <w:rFonts w:hint="eastAsia"/>
          <w:color w:val="auto"/>
          <w:sz w:val="24"/>
          <w:highlight w:val="none"/>
        </w:rPr>
      </w:pPr>
      <w:r>
        <w:rPr>
          <w:rFonts w:ascii="宋体" w:hAnsi="宋体"/>
          <w:b/>
          <w:color w:val="auto"/>
          <w:sz w:val="24"/>
          <w:highlight w:val="none"/>
        </w:rPr>
        <w:t>项目经理：</w:t>
      </w:r>
      <w:r>
        <w:rPr>
          <w:color w:val="auto"/>
          <w:sz w:val="24"/>
          <w:highlight w:val="none"/>
          <w:u w:val="single"/>
        </w:rPr>
        <w:t xml:space="preserve">              </w:t>
      </w:r>
      <w:r>
        <w:rPr>
          <w:color w:val="auto"/>
          <w:sz w:val="24"/>
          <w:highlight w:val="none"/>
        </w:rPr>
        <w:t>（姓名）。</w:t>
      </w:r>
    </w:p>
    <w:p>
      <w:pPr>
        <w:spacing w:line="420" w:lineRule="exact"/>
        <w:ind w:firstLine="480"/>
        <w:rPr>
          <w:rFonts w:hint="eastAsia"/>
          <w:color w:val="auto"/>
          <w:sz w:val="24"/>
          <w:highlight w:val="none"/>
        </w:rPr>
      </w:pPr>
      <w:r>
        <w:rPr>
          <w:rFonts w:hint="eastAsia" w:ascii="宋体" w:hAnsi="宋体"/>
          <w:b/>
          <w:color w:val="auto"/>
          <w:sz w:val="24"/>
          <w:highlight w:val="none"/>
        </w:rPr>
        <w:t>项目总工：</w:t>
      </w:r>
      <w:r>
        <w:rPr>
          <w:color w:val="auto"/>
          <w:sz w:val="24"/>
          <w:highlight w:val="none"/>
          <w:u w:val="single"/>
        </w:rPr>
        <w:t xml:space="preserve">              </w:t>
      </w:r>
      <w:r>
        <w:rPr>
          <w:color w:val="auto"/>
          <w:sz w:val="24"/>
          <w:highlight w:val="none"/>
        </w:rPr>
        <w:t>（姓名）。</w:t>
      </w:r>
    </w:p>
    <w:p>
      <w:pPr>
        <w:spacing w:line="420" w:lineRule="exact"/>
        <w:rPr>
          <w:color w:val="auto"/>
          <w:sz w:val="24"/>
          <w:highlight w:val="none"/>
        </w:rPr>
      </w:pPr>
      <w:r>
        <w:rPr>
          <w:color w:val="auto"/>
          <w:sz w:val="24"/>
          <w:highlight w:val="none"/>
        </w:rPr>
        <w:t>　　请你方在接到本通知书后的</w:t>
      </w:r>
      <w:r>
        <w:rPr>
          <w:color w:val="auto"/>
          <w:sz w:val="24"/>
          <w:highlight w:val="none"/>
          <w:u w:val="single"/>
        </w:rPr>
        <w:t xml:space="preserve">     </w:t>
      </w:r>
      <w:r>
        <w:rPr>
          <w:color w:val="auto"/>
          <w:sz w:val="24"/>
          <w:highlight w:val="none"/>
        </w:rPr>
        <w:t>日内到</w:t>
      </w:r>
      <w:r>
        <w:rPr>
          <w:color w:val="auto"/>
          <w:sz w:val="24"/>
          <w:highlight w:val="none"/>
          <w:u w:val="single"/>
        </w:rPr>
        <w:t xml:space="preserve">                      </w:t>
      </w:r>
      <w:r>
        <w:rPr>
          <w:color w:val="auto"/>
          <w:sz w:val="24"/>
          <w:highlight w:val="none"/>
        </w:rPr>
        <w:t>（指定地点）与我方签订施工承包合同，在此之前按招标文件第二章“投标人须知”第7.3款规定向我方提交履约担保。</w:t>
      </w:r>
    </w:p>
    <w:p>
      <w:pPr>
        <w:spacing w:line="420" w:lineRule="exact"/>
        <w:rPr>
          <w:color w:val="auto"/>
          <w:sz w:val="24"/>
          <w:highlight w:val="none"/>
        </w:rPr>
      </w:pPr>
      <w:r>
        <w:rPr>
          <w:color w:val="auto"/>
          <w:sz w:val="24"/>
          <w:highlight w:val="none"/>
        </w:rPr>
        <w:t>　　特此通知。</w:t>
      </w:r>
    </w:p>
    <w:p>
      <w:pPr>
        <w:spacing w:line="420" w:lineRule="exact"/>
        <w:rPr>
          <w:color w:val="auto"/>
          <w:sz w:val="24"/>
          <w:highlight w:val="none"/>
        </w:rPr>
      </w:pPr>
    </w:p>
    <w:p>
      <w:pPr>
        <w:spacing w:line="420" w:lineRule="exact"/>
        <w:rPr>
          <w:color w:val="auto"/>
          <w:sz w:val="24"/>
          <w:highlight w:val="none"/>
        </w:rPr>
      </w:pPr>
    </w:p>
    <w:p>
      <w:pPr>
        <w:spacing w:line="420" w:lineRule="exact"/>
        <w:rPr>
          <w:color w:val="auto"/>
          <w:sz w:val="24"/>
          <w:highlight w:val="none"/>
        </w:rPr>
      </w:pPr>
    </w:p>
    <w:p>
      <w:pPr>
        <w:spacing w:line="420" w:lineRule="exact"/>
        <w:ind w:firstLine="3700" w:firstLineChars="1542"/>
        <w:rPr>
          <w:rFonts w:hint="eastAsia"/>
          <w:color w:val="auto"/>
          <w:sz w:val="24"/>
          <w:highlight w:val="none"/>
        </w:rPr>
      </w:pPr>
      <w:r>
        <w:rPr>
          <w:color w:val="auto"/>
          <w:sz w:val="24"/>
          <w:highlight w:val="none"/>
        </w:rPr>
        <w:t>招</w:t>
      </w:r>
      <w:r>
        <w:rPr>
          <w:rFonts w:hint="eastAsia"/>
          <w:color w:val="auto"/>
          <w:sz w:val="24"/>
          <w:highlight w:val="none"/>
        </w:rPr>
        <w:t xml:space="preserve"> </w:t>
      </w:r>
      <w:r>
        <w:rPr>
          <w:color w:val="auto"/>
          <w:sz w:val="24"/>
          <w:highlight w:val="none"/>
        </w:rPr>
        <w:t>标</w:t>
      </w:r>
      <w:r>
        <w:rPr>
          <w:rFonts w:hint="eastAsia"/>
          <w:color w:val="auto"/>
          <w:sz w:val="24"/>
          <w:highlight w:val="none"/>
        </w:rPr>
        <w:t xml:space="preserve"> </w:t>
      </w:r>
      <w:r>
        <w:rPr>
          <w:color w:val="auto"/>
          <w:sz w:val="24"/>
          <w:highlight w:val="none"/>
        </w:rPr>
        <w:t>人：</w:t>
      </w:r>
      <w:r>
        <w:rPr>
          <w:color w:val="auto"/>
          <w:sz w:val="24"/>
          <w:highlight w:val="none"/>
          <w:u w:val="single"/>
        </w:rPr>
        <w:t xml:space="preserve">              </w:t>
      </w:r>
      <w:r>
        <w:rPr>
          <w:color w:val="auto"/>
          <w:sz w:val="24"/>
          <w:highlight w:val="none"/>
        </w:rPr>
        <w:t>（盖单位章）</w:t>
      </w:r>
    </w:p>
    <w:p>
      <w:pPr>
        <w:spacing w:line="420" w:lineRule="exact"/>
        <w:ind w:firstLine="3700" w:firstLineChars="1542"/>
        <w:rPr>
          <w:color w:val="auto"/>
          <w:sz w:val="24"/>
          <w:highlight w:val="none"/>
        </w:rPr>
      </w:pPr>
      <w:r>
        <w:rPr>
          <w:rFonts w:hint="eastAsia"/>
          <w:color w:val="auto"/>
          <w:sz w:val="24"/>
          <w:highlight w:val="none"/>
        </w:rPr>
        <w:t>招标代理</w:t>
      </w:r>
      <w:r>
        <w:rPr>
          <w:color w:val="auto"/>
          <w:sz w:val="24"/>
          <w:highlight w:val="none"/>
        </w:rPr>
        <w:t>：</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（盖单位章）</w:t>
      </w:r>
    </w:p>
    <w:p>
      <w:pPr>
        <w:spacing w:line="420" w:lineRule="exact"/>
        <w:ind w:firstLine="4416" w:firstLineChars="1840"/>
        <w:rPr>
          <w:rFonts w:hint="eastAsia"/>
          <w:color w:val="auto"/>
          <w:sz w:val="24"/>
          <w:highlight w:val="none"/>
        </w:rPr>
      </w:pPr>
      <w:r>
        <w:rPr>
          <w:color w:val="auto"/>
          <w:sz w:val="24"/>
          <w:highlight w:val="none"/>
        </w:rPr>
        <w:t xml:space="preserve"> </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pPr>
        <w:spacing w:line="420" w:lineRule="exact"/>
        <w:ind w:firstLine="4416" w:firstLineChars="1840"/>
        <w:rPr>
          <w:rFonts w:hint="eastAsia"/>
          <w:color w:val="auto"/>
          <w:sz w:val="24"/>
          <w:highlight w:val="none"/>
        </w:rPr>
      </w:pPr>
    </w:p>
    <w:p>
      <w:pPr>
        <w:pStyle w:val="34"/>
        <w:spacing w:before="0" w:after="0"/>
        <w:ind w:firstLine="540"/>
        <w:rPr>
          <w:rStyle w:val="35"/>
          <w:rFonts w:hint="eastAsia"/>
          <w:color w:val="auto"/>
          <w:sz w:val="21"/>
          <w:szCs w:val="21"/>
          <w:highlight w:val="none"/>
        </w:rPr>
      </w:pPr>
    </w:p>
    <w:p>
      <w:pPr>
        <w:pStyle w:val="34"/>
        <w:spacing w:before="0" w:after="0"/>
        <w:ind w:firstLine="540"/>
        <w:rPr>
          <w:rStyle w:val="35"/>
          <w:rFonts w:hint="eastAsia"/>
          <w:color w:val="auto"/>
          <w:sz w:val="21"/>
          <w:szCs w:val="21"/>
          <w:highlight w:val="none"/>
        </w:rPr>
      </w:pPr>
    </w:p>
    <w:p>
      <w:pPr>
        <w:pStyle w:val="34"/>
        <w:spacing w:before="0" w:after="0"/>
        <w:ind w:firstLine="540"/>
        <w:rPr>
          <w:rStyle w:val="35"/>
          <w:rFonts w:hint="eastAsia"/>
          <w:color w:val="auto"/>
          <w:sz w:val="21"/>
          <w:szCs w:val="21"/>
          <w:highlight w:val="none"/>
        </w:rPr>
      </w:pPr>
    </w:p>
    <w:p>
      <w:pPr>
        <w:pStyle w:val="34"/>
        <w:spacing w:before="0" w:after="0"/>
        <w:ind w:firstLine="540"/>
        <w:rPr>
          <w:rStyle w:val="35"/>
          <w:rFonts w:hint="eastAsia"/>
          <w:color w:val="auto"/>
          <w:sz w:val="21"/>
          <w:szCs w:val="21"/>
          <w:highlight w:val="none"/>
        </w:rPr>
      </w:pPr>
      <w:r>
        <w:rPr>
          <w:rStyle w:val="35"/>
          <w:rFonts w:hint="eastAsia"/>
          <w:color w:val="auto"/>
          <w:sz w:val="21"/>
          <w:szCs w:val="21"/>
          <w:highlight w:val="none"/>
        </w:rPr>
        <w:t xml:space="preserve">        </w:t>
      </w:r>
      <w:bookmarkStart w:id="907" w:name="_Toc241741426"/>
      <w:bookmarkStart w:id="908" w:name="_Toc179632603"/>
      <w:bookmarkStart w:id="909" w:name="_Toc8633"/>
      <w:bookmarkStart w:id="910" w:name="_Toc256688678"/>
      <w:bookmarkStart w:id="911" w:name="_Toc152045585"/>
      <w:bookmarkStart w:id="912" w:name="_Toc241744726"/>
      <w:bookmarkStart w:id="913" w:name="_Toc152042362"/>
      <w:bookmarkStart w:id="914" w:name="_Toc144974552"/>
      <w:bookmarkStart w:id="915" w:name="_Toc262646134"/>
      <w:bookmarkStart w:id="916" w:name="_Toc241637459"/>
      <w:bookmarkStart w:id="917" w:name="_Toc360485638"/>
      <w:bookmarkStart w:id="918" w:name="_Toc324107642"/>
      <w:bookmarkStart w:id="919" w:name="_Toc7480"/>
      <w:bookmarkStart w:id="920" w:name="_Toc256150927"/>
      <w:bookmarkStart w:id="921" w:name="_Toc18936"/>
      <w:bookmarkStart w:id="922" w:name="_Toc292754476"/>
    </w:p>
    <w:p>
      <w:pPr>
        <w:pStyle w:val="34"/>
        <w:spacing w:before="0" w:after="0"/>
        <w:ind w:firstLine="540"/>
        <w:rPr>
          <w:rStyle w:val="35"/>
          <w:rFonts w:hint="eastAsia"/>
          <w:color w:val="auto"/>
          <w:sz w:val="21"/>
          <w:szCs w:val="21"/>
          <w:highlight w:val="none"/>
        </w:rPr>
      </w:pPr>
    </w:p>
    <w:p>
      <w:pPr>
        <w:pStyle w:val="34"/>
        <w:spacing w:before="0" w:after="0"/>
        <w:ind w:firstLine="540"/>
        <w:rPr>
          <w:rStyle w:val="35"/>
          <w:rFonts w:hint="eastAsia"/>
          <w:color w:val="auto"/>
          <w:sz w:val="21"/>
          <w:szCs w:val="21"/>
          <w:highlight w:val="none"/>
        </w:rPr>
      </w:pPr>
    </w:p>
    <w:p>
      <w:pPr>
        <w:pStyle w:val="34"/>
        <w:spacing w:before="0" w:after="0"/>
        <w:ind w:firstLine="540"/>
        <w:rPr>
          <w:rStyle w:val="35"/>
          <w:rFonts w:hint="eastAsia"/>
          <w:color w:val="auto"/>
          <w:sz w:val="21"/>
          <w:szCs w:val="21"/>
          <w:highlight w:val="none"/>
        </w:rPr>
      </w:pPr>
    </w:p>
    <w:p>
      <w:pPr>
        <w:pStyle w:val="5"/>
        <w:spacing w:before="240" w:after="120" w:line="360" w:lineRule="exact"/>
        <w:rPr>
          <w:rFonts w:hint="eastAsia"/>
          <w:b w:val="0"/>
          <w:color w:val="auto"/>
          <w:sz w:val="24"/>
          <w:szCs w:val="24"/>
          <w:highlight w:val="none"/>
        </w:rPr>
      </w:pPr>
      <w:bookmarkStart w:id="923" w:name="_Toc466365788"/>
      <w:r>
        <w:rPr>
          <w:rFonts w:hint="eastAsia"/>
          <w:b w:val="0"/>
          <w:color w:val="auto"/>
          <w:sz w:val="24"/>
          <w:szCs w:val="24"/>
          <w:highlight w:val="none"/>
        </w:rPr>
        <w:t>附表五：</w:t>
      </w:r>
      <w:r>
        <w:rPr>
          <w:rFonts w:hint="eastAsia" w:ascii="Times New Roman" w:hAnsi="Times New Roman"/>
          <w:b w:val="0"/>
          <w:color w:val="auto"/>
          <w:sz w:val="24"/>
          <w:szCs w:val="24"/>
          <w:highlight w:val="none"/>
        </w:rPr>
        <w:t>中标结果通知书</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spacing w:line="400" w:lineRule="exact"/>
        <w:rPr>
          <w:rFonts w:hint="eastAsia"/>
          <w:color w:val="auto"/>
          <w:highlight w:val="none"/>
        </w:rPr>
      </w:pPr>
    </w:p>
    <w:p>
      <w:pPr>
        <w:spacing w:line="400" w:lineRule="exact"/>
        <w:jc w:val="center"/>
        <w:rPr>
          <w:rFonts w:hint="eastAsia" w:ascii="黑体" w:eastAsia="黑体"/>
          <w:color w:val="auto"/>
          <w:sz w:val="32"/>
          <w:szCs w:val="32"/>
          <w:highlight w:val="none"/>
        </w:rPr>
      </w:pPr>
      <w:r>
        <w:rPr>
          <w:rFonts w:hint="eastAsia" w:ascii="黑体" w:eastAsia="黑体"/>
          <w:color w:val="auto"/>
          <w:sz w:val="32"/>
          <w:szCs w:val="32"/>
          <w:highlight w:val="none"/>
        </w:rPr>
        <w:t>中标结果通知书</w:t>
      </w:r>
    </w:p>
    <w:p>
      <w:pPr>
        <w:spacing w:line="400" w:lineRule="exact"/>
        <w:rPr>
          <w:color w:val="auto"/>
          <w:highlight w:val="none"/>
        </w:rPr>
      </w:pPr>
    </w:p>
    <w:p>
      <w:pPr>
        <w:spacing w:line="440" w:lineRule="exact"/>
        <w:rPr>
          <w:color w:val="auto"/>
          <w:sz w:val="24"/>
          <w:highlight w:val="none"/>
        </w:rPr>
      </w:pPr>
      <w:r>
        <w:rPr>
          <w:color w:val="auto"/>
          <w:sz w:val="24"/>
          <w:highlight w:val="none"/>
          <w:u w:val="single"/>
        </w:rPr>
        <w:t xml:space="preserve">                  </w:t>
      </w:r>
      <w:r>
        <w:rPr>
          <w:color w:val="auto"/>
          <w:sz w:val="24"/>
          <w:highlight w:val="none"/>
        </w:rPr>
        <w:t>（未中标人名称）：</w:t>
      </w:r>
    </w:p>
    <w:p>
      <w:pPr>
        <w:spacing w:line="440" w:lineRule="exact"/>
        <w:rPr>
          <w:color w:val="auto"/>
          <w:sz w:val="24"/>
          <w:highlight w:val="none"/>
        </w:rPr>
      </w:pPr>
      <w:r>
        <w:rPr>
          <w:color w:val="auto"/>
          <w:sz w:val="24"/>
          <w:highlight w:val="none"/>
        </w:rPr>
        <w:t xml:space="preserve">    </w:t>
      </w:r>
    </w:p>
    <w:p>
      <w:pPr>
        <w:spacing w:line="440" w:lineRule="exact"/>
        <w:ind w:firstLine="480"/>
        <w:rPr>
          <w:rFonts w:hint="eastAsia"/>
          <w:color w:val="auto"/>
          <w:sz w:val="24"/>
          <w:highlight w:val="none"/>
        </w:rPr>
      </w:pPr>
      <w:r>
        <w:rPr>
          <w:color w:val="auto"/>
          <w:sz w:val="24"/>
          <w:highlight w:val="none"/>
        </w:rPr>
        <w:t>我方已接受</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 xml:space="preserve"> （中标人名称）于</w:t>
      </w:r>
      <w:r>
        <w:rPr>
          <w:color w:val="auto"/>
          <w:sz w:val="24"/>
          <w:highlight w:val="none"/>
          <w:u w:val="single"/>
        </w:rPr>
        <w:t xml:space="preserve">                  </w:t>
      </w:r>
      <w:r>
        <w:rPr>
          <w:color w:val="auto"/>
          <w:sz w:val="24"/>
          <w:highlight w:val="none"/>
        </w:rPr>
        <w:t>（投标日期）所递交的</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（项目名称）</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标段施工投标文件，确定</w:t>
      </w:r>
    </w:p>
    <w:p>
      <w:pPr>
        <w:spacing w:line="440" w:lineRule="exact"/>
        <w:rPr>
          <w:color w:val="auto"/>
          <w:sz w:val="24"/>
          <w:highlight w:val="none"/>
        </w:rPr>
      </w:pP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（中标人名称）为中标人。</w:t>
      </w:r>
    </w:p>
    <w:p>
      <w:pPr>
        <w:spacing w:line="440" w:lineRule="exact"/>
        <w:rPr>
          <w:color w:val="auto"/>
          <w:sz w:val="24"/>
          <w:highlight w:val="none"/>
        </w:rPr>
      </w:pPr>
      <w:r>
        <w:rPr>
          <w:color w:val="auto"/>
          <w:sz w:val="24"/>
          <w:highlight w:val="none"/>
        </w:rPr>
        <w:t>　　</w:t>
      </w:r>
    </w:p>
    <w:p>
      <w:pPr>
        <w:spacing w:line="440" w:lineRule="exact"/>
        <w:rPr>
          <w:color w:val="auto"/>
          <w:sz w:val="24"/>
          <w:highlight w:val="none"/>
        </w:rPr>
      </w:pPr>
      <w:r>
        <w:rPr>
          <w:color w:val="auto"/>
          <w:sz w:val="24"/>
          <w:highlight w:val="none"/>
        </w:rPr>
        <w:t>　　感谢你单位对我们工作的大力支持！</w:t>
      </w:r>
    </w:p>
    <w:p>
      <w:pPr>
        <w:spacing w:line="440" w:lineRule="exact"/>
        <w:rPr>
          <w:color w:val="auto"/>
          <w:sz w:val="24"/>
          <w:highlight w:val="none"/>
        </w:rPr>
      </w:pPr>
    </w:p>
    <w:p>
      <w:pPr>
        <w:spacing w:line="440" w:lineRule="exact"/>
        <w:rPr>
          <w:color w:val="auto"/>
          <w:sz w:val="24"/>
          <w:highlight w:val="none"/>
        </w:rPr>
      </w:pPr>
    </w:p>
    <w:p>
      <w:pPr>
        <w:spacing w:line="440" w:lineRule="exact"/>
        <w:rPr>
          <w:color w:val="auto"/>
          <w:sz w:val="24"/>
          <w:highlight w:val="none"/>
        </w:rPr>
      </w:pPr>
    </w:p>
    <w:p>
      <w:pPr>
        <w:spacing w:line="440" w:lineRule="exact"/>
        <w:rPr>
          <w:color w:val="auto"/>
          <w:sz w:val="24"/>
          <w:highlight w:val="none"/>
        </w:rPr>
      </w:pPr>
      <w:r>
        <w:rPr>
          <w:color w:val="auto"/>
          <w:sz w:val="24"/>
          <w:highlight w:val="none"/>
        </w:rPr>
        <w:t xml:space="preserve">                                招</w:t>
      </w:r>
      <w:r>
        <w:rPr>
          <w:rFonts w:hint="eastAsia"/>
          <w:color w:val="auto"/>
          <w:sz w:val="24"/>
          <w:highlight w:val="none"/>
        </w:rPr>
        <w:t xml:space="preserve"> </w:t>
      </w:r>
      <w:r>
        <w:rPr>
          <w:color w:val="auto"/>
          <w:sz w:val="24"/>
          <w:highlight w:val="none"/>
        </w:rPr>
        <w:t>标</w:t>
      </w:r>
      <w:r>
        <w:rPr>
          <w:rFonts w:hint="eastAsia"/>
          <w:color w:val="auto"/>
          <w:sz w:val="24"/>
          <w:highlight w:val="none"/>
        </w:rPr>
        <w:t xml:space="preserve"> </w:t>
      </w:r>
      <w:r>
        <w:rPr>
          <w:color w:val="auto"/>
          <w:sz w:val="24"/>
          <w:highlight w:val="none"/>
        </w:rPr>
        <w:t>人：</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rPr>
        <w:t>（盖单位章）</w:t>
      </w:r>
    </w:p>
    <w:p>
      <w:pPr>
        <w:spacing w:line="440" w:lineRule="exact"/>
        <w:rPr>
          <w:color w:val="auto"/>
          <w:sz w:val="24"/>
          <w:highlight w:val="none"/>
        </w:rPr>
      </w:pPr>
    </w:p>
    <w:p>
      <w:pPr>
        <w:spacing w:line="440" w:lineRule="exact"/>
        <w:rPr>
          <w:color w:val="auto"/>
          <w:sz w:val="24"/>
          <w:highlight w:val="none"/>
        </w:rPr>
      </w:pPr>
      <w:r>
        <w:rPr>
          <w:color w:val="auto"/>
          <w:sz w:val="24"/>
          <w:highlight w:val="none"/>
        </w:rPr>
        <w:t xml:space="preserve">                                </w:t>
      </w:r>
      <w:r>
        <w:rPr>
          <w:rFonts w:hint="eastAsia"/>
          <w:color w:val="auto"/>
          <w:sz w:val="24"/>
          <w:highlight w:val="none"/>
        </w:rPr>
        <w:t>招标代理</w:t>
      </w:r>
      <w:r>
        <w:rPr>
          <w:color w:val="auto"/>
          <w:sz w:val="24"/>
          <w:highlight w:val="none"/>
        </w:rPr>
        <w:t>：</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rPr>
        <w:t>（盖单位章）</w:t>
      </w:r>
    </w:p>
    <w:p>
      <w:pPr>
        <w:spacing w:line="440" w:lineRule="exact"/>
        <w:rPr>
          <w:color w:val="auto"/>
          <w:sz w:val="24"/>
          <w:highlight w:val="none"/>
        </w:rPr>
      </w:pPr>
    </w:p>
    <w:p>
      <w:pPr>
        <w:spacing w:line="440" w:lineRule="exact"/>
        <w:rPr>
          <w:rFonts w:hint="eastAsia"/>
          <w:color w:val="auto"/>
          <w:sz w:val="24"/>
          <w:highlight w:val="none"/>
        </w:rPr>
      </w:pPr>
      <w:r>
        <w:rPr>
          <w:color w:val="auto"/>
          <w:sz w:val="24"/>
          <w:highlight w:val="none"/>
        </w:rPr>
        <w:t xml:space="preserve">                                    </w:t>
      </w:r>
      <w:r>
        <w:rPr>
          <w:rFonts w:hint="eastAsia"/>
          <w:color w:val="auto"/>
          <w:sz w:val="24"/>
          <w:highlight w:val="non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spacing w:line="440" w:lineRule="exact"/>
        <w:rPr>
          <w:rFonts w:hint="eastAsia"/>
          <w:color w:val="auto"/>
          <w:sz w:val="24"/>
          <w:highlight w:val="none"/>
        </w:rPr>
      </w:pPr>
    </w:p>
    <w:p>
      <w:pPr>
        <w:pStyle w:val="5"/>
        <w:spacing w:before="240" w:after="120" w:line="360" w:lineRule="exact"/>
        <w:rPr>
          <w:rFonts w:hint="eastAsia"/>
          <w:b w:val="0"/>
          <w:color w:val="auto"/>
          <w:sz w:val="24"/>
          <w:szCs w:val="24"/>
          <w:highlight w:val="none"/>
        </w:rPr>
      </w:pPr>
      <w:bookmarkStart w:id="924" w:name="_Toc152045586"/>
      <w:bookmarkStart w:id="925" w:name="_Toc144974553"/>
      <w:bookmarkStart w:id="926" w:name="_Toc466365789"/>
      <w:bookmarkStart w:id="927" w:name="_Toc152042363"/>
      <w:bookmarkStart w:id="928" w:name="_Toc15329"/>
      <w:bookmarkStart w:id="929" w:name="_Toc26779"/>
      <w:bookmarkStart w:id="930" w:name="_Toc179632604"/>
      <w:bookmarkStart w:id="931" w:name="_Toc1743"/>
      <w:bookmarkStart w:id="932" w:name="_Toc292754477"/>
      <w:bookmarkStart w:id="933" w:name="_Toc241744727"/>
      <w:bookmarkStart w:id="934" w:name="_Toc360485639"/>
      <w:bookmarkStart w:id="935" w:name="_Toc262646135"/>
      <w:bookmarkStart w:id="936" w:name="_Toc256150928"/>
      <w:bookmarkStart w:id="937" w:name="_Toc324107643"/>
      <w:bookmarkStart w:id="938" w:name="_Toc241741427"/>
      <w:bookmarkStart w:id="939" w:name="_Toc256688679"/>
      <w:bookmarkStart w:id="940" w:name="_Toc241637460"/>
      <w:r>
        <w:rPr>
          <w:rFonts w:hint="eastAsia"/>
          <w:b w:val="0"/>
          <w:color w:val="auto"/>
          <w:sz w:val="24"/>
          <w:szCs w:val="24"/>
          <w:highlight w:val="none"/>
        </w:rPr>
        <w:t>附表六：</w:t>
      </w:r>
      <w:r>
        <w:rPr>
          <w:rFonts w:hint="eastAsia" w:ascii="Times New Roman" w:hAnsi="Times New Roman"/>
          <w:b w:val="0"/>
          <w:color w:val="auto"/>
          <w:sz w:val="24"/>
          <w:szCs w:val="24"/>
          <w:highlight w:val="none"/>
        </w:rPr>
        <w:t>确认通知</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spacing w:line="400" w:lineRule="exact"/>
        <w:rPr>
          <w:rFonts w:hint="eastAsia"/>
          <w:color w:val="auto"/>
          <w:highlight w:val="none"/>
        </w:rPr>
      </w:pPr>
    </w:p>
    <w:p>
      <w:pPr>
        <w:spacing w:line="400" w:lineRule="exact"/>
        <w:jc w:val="center"/>
        <w:rPr>
          <w:rFonts w:hint="eastAsia" w:ascii="黑体" w:eastAsia="黑体"/>
          <w:color w:val="auto"/>
          <w:sz w:val="32"/>
          <w:szCs w:val="32"/>
          <w:highlight w:val="none"/>
        </w:rPr>
      </w:pPr>
      <w:r>
        <w:rPr>
          <w:rFonts w:hint="eastAsia" w:ascii="黑体" w:eastAsia="黑体"/>
          <w:color w:val="auto"/>
          <w:sz w:val="32"/>
          <w:szCs w:val="32"/>
          <w:highlight w:val="none"/>
        </w:rPr>
        <w:t>确 认 通 知</w:t>
      </w:r>
    </w:p>
    <w:p>
      <w:pPr>
        <w:spacing w:line="400" w:lineRule="exact"/>
        <w:rPr>
          <w:color w:val="auto"/>
          <w:highlight w:val="none"/>
        </w:rPr>
      </w:pPr>
    </w:p>
    <w:p>
      <w:pPr>
        <w:spacing w:line="420" w:lineRule="exact"/>
        <w:rPr>
          <w:color w:val="auto"/>
          <w:sz w:val="24"/>
          <w:highlight w:val="none"/>
        </w:rPr>
      </w:pP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（招标人名称）：</w:t>
      </w:r>
    </w:p>
    <w:p>
      <w:pPr>
        <w:spacing w:line="420" w:lineRule="exact"/>
        <w:rPr>
          <w:color w:val="auto"/>
          <w:sz w:val="24"/>
          <w:highlight w:val="none"/>
        </w:rPr>
      </w:pPr>
      <w:r>
        <w:rPr>
          <w:color w:val="auto"/>
          <w:sz w:val="24"/>
          <w:highlight w:val="none"/>
        </w:rPr>
        <w:t>　　</w:t>
      </w:r>
    </w:p>
    <w:p>
      <w:pPr>
        <w:spacing w:line="420" w:lineRule="exact"/>
        <w:rPr>
          <w:color w:val="auto"/>
          <w:sz w:val="24"/>
          <w:highlight w:val="none"/>
        </w:rPr>
      </w:pPr>
      <w:r>
        <w:rPr>
          <w:color w:val="auto"/>
          <w:sz w:val="24"/>
          <w:highlight w:val="none"/>
        </w:rPr>
        <w:t>　　我方已接到你方</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日发出的</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（项目名称）</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标段</w:t>
      </w:r>
      <w:r>
        <w:rPr>
          <w:rFonts w:hint="eastAsia"/>
          <w:color w:val="auto"/>
          <w:sz w:val="24"/>
          <w:highlight w:val="none"/>
        </w:rPr>
        <w:t>施工招标</w:t>
      </w:r>
      <w:r>
        <w:rPr>
          <w:color w:val="auto"/>
          <w:sz w:val="24"/>
          <w:highlight w:val="none"/>
        </w:rPr>
        <w:t>关于</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的通知，我方已于</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日收到。</w:t>
      </w:r>
    </w:p>
    <w:p>
      <w:pPr>
        <w:spacing w:line="420" w:lineRule="exact"/>
        <w:rPr>
          <w:color w:val="auto"/>
          <w:sz w:val="24"/>
          <w:highlight w:val="none"/>
        </w:rPr>
      </w:pPr>
      <w:r>
        <w:rPr>
          <w:color w:val="auto"/>
          <w:sz w:val="24"/>
          <w:highlight w:val="none"/>
        </w:rPr>
        <w:t>　　特此确认。</w:t>
      </w:r>
    </w:p>
    <w:p>
      <w:pPr>
        <w:spacing w:line="420" w:lineRule="exact"/>
        <w:rPr>
          <w:color w:val="auto"/>
          <w:sz w:val="24"/>
          <w:highlight w:val="none"/>
        </w:rPr>
      </w:pPr>
    </w:p>
    <w:p>
      <w:pPr>
        <w:spacing w:line="420" w:lineRule="exact"/>
        <w:rPr>
          <w:color w:val="auto"/>
          <w:sz w:val="24"/>
          <w:highlight w:val="none"/>
        </w:rPr>
      </w:pPr>
    </w:p>
    <w:p>
      <w:pPr>
        <w:spacing w:line="420" w:lineRule="exact"/>
        <w:rPr>
          <w:color w:val="auto"/>
          <w:sz w:val="24"/>
          <w:highlight w:val="none"/>
        </w:rPr>
      </w:pPr>
      <w:r>
        <w:rPr>
          <w:color w:val="auto"/>
          <w:sz w:val="24"/>
          <w:highlight w:val="none"/>
        </w:rPr>
        <w:t xml:space="preserve">                              投标人：</w:t>
      </w:r>
      <w:r>
        <w:rPr>
          <w:color w:val="auto"/>
          <w:sz w:val="24"/>
          <w:highlight w:val="none"/>
          <w:u w:val="single"/>
        </w:rPr>
        <w:t xml:space="preserve">             </w:t>
      </w:r>
      <w:r>
        <w:rPr>
          <w:color w:val="auto"/>
          <w:sz w:val="24"/>
          <w:highlight w:val="none"/>
        </w:rPr>
        <w:t xml:space="preserve"> （盖单位章）</w:t>
      </w:r>
    </w:p>
    <w:p>
      <w:pPr>
        <w:spacing w:line="420" w:lineRule="exact"/>
        <w:rPr>
          <w:color w:val="auto"/>
          <w:sz w:val="24"/>
          <w:highlight w:val="none"/>
        </w:rPr>
      </w:pPr>
    </w:p>
    <w:p>
      <w:pPr>
        <w:tabs>
          <w:tab w:val="left" w:pos="4140"/>
        </w:tabs>
        <w:jc w:val="center"/>
        <w:rPr>
          <w:rFonts w:hint="eastAsia"/>
          <w:color w:val="auto"/>
          <w:sz w:val="24"/>
          <w:highlight w:val="none"/>
        </w:rPr>
      </w:pPr>
      <w:r>
        <w:rPr>
          <w:color w:val="auto"/>
          <w:sz w:val="24"/>
          <w:highlight w:val="non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pPr>
        <w:tabs>
          <w:tab w:val="left" w:pos="4140"/>
        </w:tabs>
        <w:jc w:val="center"/>
        <w:rPr>
          <w:rFonts w:hint="eastAsia"/>
          <w:color w:val="auto"/>
          <w:sz w:val="24"/>
          <w:highlight w:val="none"/>
        </w:rPr>
      </w:pPr>
    </w:p>
    <w:p>
      <w:pPr>
        <w:tabs>
          <w:tab w:val="left" w:pos="4140"/>
        </w:tabs>
        <w:jc w:val="center"/>
        <w:rPr>
          <w:rFonts w:hint="eastAsia"/>
          <w:color w:val="auto"/>
          <w:sz w:val="24"/>
          <w:highlight w:val="none"/>
        </w:rPr>
      </w:pPr>
    </w:p>
    <w:p>
      <w:pPr>
        <w:tabs>
          <w:tab w:val="left" w:pos="4140"/>
        </w:tabs>
        <w:jc w:val="center"/>
        <w:rPr>
          <w:rFonts w:hint="eastAsia"/>
          <w:color w:val="auto"/>
          <w:sz w:val="24"/>
          <w:highlight w:val="none"/>
        </w:rPr>
      </w:pPr>
    </w:p>
    <w:p>
      <w:pPr>
        <w:spacing w:line="400" w:lineRule="exact"/>
        <w:jc w:val="center"/>
        <w:outlineLvl w:val="0"/>
        <w:rPr>
          <w:rFonts w:ascii="宋体" w:hAnsi="宋体"/>
          <w:b/>
          <w:color w:val="auto"/>
          <w:sz w:val="28"/>
          <w:highlight w:val="none"/>
        </w:rPr>
      </w:pPr>
      <w:r>
        <w:rPr>
          <w:color w:val="auto"/>
          <w:sz w:val="24"/>
          <w:highlight w:val="none"/>
        </w:rPr>
        <w:br w:type="page"/>
      </w:r>
      <w:bookmarkStart w:id="941" w:name="_Toc13668"/>
      <w:bookmarkStart w:id="942" w:name="_Toc245039975"/>
      <w:bookmarkStart w:id="943" w:name="_Toc21910"/>
      <w:bookmarkStart w:id="944" w:name="_Toc262895693"/>
      <w:bookmarkStart w:id="945" w:name="_Toc263889021"/>
      <w:bookmarkStart w:id="946" w:name="_Toc466365790"/>
      <w:bookmarkStart w:id="947" w:name="_Toc16743"/>
      <w:bookmarkStart w:id="948" w:name="_Toc245477131"/>
      <w:bookmarkStart w:id="949" w:name="_Toc19904"/>
      <w:bookmarkStart w:id="950" w:name="_Toc6985"/>
      <w:bookmarkStart w:id="951" w:name="_Toc238900327"/>
      <w:r>
        <w:rPr>
          <w:rFonts w:hint="eastAsia" w:ascii="宋体" w:hAnsi="宋体"/>
          <w:b/>
          <w:color w:val="auto"/>
          <w:sz w:val="28"/>
          <w:highlight w:val="none"/>
        </w:rPr>
        <w:t>第三章  评标办法（技术通过制的综合评估法（合理低价法））</w:t>
      </w:r>
      <w:bookmarkEnd w:id="941"/>
      <w:bookmarkEnd w:id="942"/>
      <w:bookmarkEnd w:id="943"/>
      <w:bookmarkEnd w:id="944"/>
      <w:bookmarkEnd w:id="945"/>
      <w:bookmarkEnd w:id="946"/>
      <w:bookmarkEnd w:id="947"/>
      <w:bookmarkEnd w:id="948"/>
      <w:bookmarkEnd w:id="949"/>
      <w:bookmarkEnd w:id="950"/>
      <w:bookmarkEnd w:id="951"/>
    </w:p>
    <w:p>
      <w:pPr>
        <w:spacing w:line="400" w:lineRule="exact"/>
        <w:outlineLvl w:val="1"/>
        <w:rPr>
          <w:rFonts w:hint="eastAsia" w:ascii="黑体" w:hAnsi="宋体" w:eastAsia="黑体"/>
          <w:color w:val="auto"/>
          <w:sz w:val="24"/>
          <w:highlight w:val="none"/>
        </w:rPr>
      </w:pPr>
      <w:bookmarkStart w:id="952" w:name="_Toc360485641"/>
      <w:bookmarkStart w:id="953" w:name="_Toc466365791"/>
      <w:bookmarkStart w:id="954" w:name="_Toc292754479"/>
      <w:bookmarkStart w:id="955" w:name="_Toc245477132"/>
      <w:bookmarkStart w:id="956" w:name="_Toc268610379"/>
      <w:bookmarkStart w:id="957" w:name="_Toc245039976"/>
      <w:bookmarkStart w:id="958" w:name="_Toc279958811"/>
      <w:bookmarkStart w:id="959" w:name="_Toc263889022"/>
      <w:bookmarkStart w:id="960" w:name="_Toc262895694"/>
      <w:r>
        <w:rPr>
          <w:rFonts w:hint="eastAsia" w:ascii="黑体" w:hAnsi="宋体" w:eastAsia="黑体"/>
          <w:color w:val="auto"/>
          <w:sz w:val="24"/>
          <w:highlight w:val="none"/>
        </w:rPr>
        <w:t>评标办法前附表</w:t>
      </w:r>
      <w:bookmarkEnd w:id="952"/>
      <w:bookmarkEnd w:id="953"/>
      <w:bookmarkEnd w:id="954"/>
      <w:bookmarkEnd w:id="955"/>
      <w:bookmarkEnd w:id="956"/>
      <w:bookmarkEnd w:id="957"/>
      <w:bookmarkEnd w:id="958"/>
      <w:bookmarkEnd w:id="959"/>
      <w:bookmarkEnd w:id="960"/>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114"/>
        <w:gridCol w:w="735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31" w:type="dxa"/>
            <w:gridSpan w:val="2"/>
            <w:noWrap w:val="0"/>
            <w:vAlign w:val="center"/>
          </w:tcPr>
          <w:p>
            <w:pPr>
              <w:jc w:val="center"/>
              <w:rPr>
                <w:rFonts w:ascii="宋体" w:hAnsi="宋体"/>
                <w:color w:val="auto"/>
                <w:highlight w:val="none"/>
              </w:rPr>
            </w:pPr>
            <w:r>
              <w:rPr>
                <w:rFonts w:hint="eastAsia" w:ascii="宋体" w:hAnsi="宋体"/>
                <w:color w:val="auto"/>
                <w:highlight w:val="none"/>
              </w:rPr>
              <w:t>条款号</w:t>
            </w:r>
          </w:p>
        </w:tc>
        <w:tc>
          <w:tcPr>
            <w:tcW w:w="7357" w:type="dxa"/>
            <w:noWrap w:val="0"/>
            <w:vAlign w:val="center"/>
          </w:tcPr>
          <w:p>
            <w:pPr>
              <w:jc w:val="center"/>
              <w:rPr>
                <w:rFonts w:ascii="宋体" w:hAnsi="宋体"/>
                <w:color w:val="auto"/>
                <w:highlight w:val="none"/>
              </w:rPr>
            </w:pPr>
            <w:r>
              <w:rPr>
                <w:rFonts w:hint="eastAsia" w:ascii="宋体" w:hAnsi="宋体"/>
                <w:color w:val="auto"/>
                <w:highlight w:val="none"/>
              </w:rPr>
              <w:t>评审因素与标准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 w:type="dxa"/>
            <w:noWrap w:val="0"/>
            <w:vAlign w:val="center"/>
          </w:tcPr>
          <w:p>
            <w:pPr>
              <w:spacing w:line="400" w:lineRule="exact"/>
              <w:jc w:val="center"/>
              <w:rPr>
                <w:rFonts w:ascii="宋体" w:hAnsi="宋体"/>
                <w:color w:val="auto"/>
                <w:highlight w:val="none"/>
              </w:rPr>
            </w:pPr>
            <w:r>
              <w:rPr>
                <w:rFonts w:hint="eastAsia" w:ascii="宋体" w:hAnsi="宋体"/>
                <w:color w:val="auto"/>
                <w:highlight w:val="none"/>
              </w:rPr>
              <w:t>2.1.1</w:t>
            </w:r>
          </w:p>
          <w:p>
            <w:pPr>
              <w:spacing w:line="400" w:lineRule="exact"/>
              <w:jc w:val="center"/>
              <w:rPr>
                <w:rFonts w:ascii="宋体" w:hAnsi="宋体"/>
                <w:color w:val="auto"/>
                <w:highlight w:val="none"/>
              </w:rPr>
            </w:pPr>
            <w:r>
              <w:rPr>
                <w:rFonts w:hint="eastAsia" w:ascii="宋体" w:hAnsi="宋体"/>
                <w:color w:val="auto"/>
                <w:highlight w:val="none"/>
              </w:rPr>
              <w:t>2.1.3</w:t>
            </w:r>
          </w:p>
        </w:tc>
        <w:tc>
          <w:tcPr>
            <w:tcW w:w="1114" w:type="dxa"/>
            <w:noWrap w:val="0"/>
            <w:vAlign w:val="center"/>
          </w:tcPr>
          <w:p>
            <w:pPr>
              <w:rPr>
                <w:rFonts w:ascii="宋体" w:hAnsi="宋体"/>
                <w:color w:val="auto"/>
                <w:highlight w:val="none"/>
              </w:rPr>
            </w:pPr>
            <w:r>
              <w:rPr>
                <w:rFonts w:hint="eastAsia" w:ascii="宋体" w:hAnsi="宋体"/>
                <w:color w:val="auto"/>
                <w:highlight w:val="none"/>
              </w:rPr>
              <w:t>形式评审与响应性评审标准</w:t>
            </w:r>
          </w:p>
        </w:tc>
        <w:tc>
          <w:tcPr>
            <w:tcW w:w="7357" w:type="dxa"/>
            <w:noWrap w:val="0"/>
            <w:vAlign w:val="center"/>
          </w:tcPr>
          <w:p>
            <w:pPr>
              <w:spacing w:line="360" w:lineRule="auto"/>
              <w:rPr>
                <w:rFonts w:hint="eastAsia" w:ascii="宋体" w:hAnsi="宋体"/>
                <w:b/>
                <w:color w:val="auto"/>
                <w:highlight w:val="none"/>
              </w:rPr>
            </w:pPr>
            <w:r>
              <w:rPr>
                <w:rFonts w:hint="eastAsia" w:ascii="宋体" w:hAnsi="宋体"/>
                <w:b/>
                <w:color w:val="auto"/>
                <w:highlight w:val="none"/>
              </w:rPr>
              <w:t>投标文件第一信封（商务及技术文件）</w:t>
            </w:r>
          </w:p>
          <w:p>
            <w:pPr>
              <w:spacing w:line="360" w:lineRule="auto"/>
              <w:rPr>
                <w:rFonts w:hint="eastAsia" w:ascii="宋体" w:hAnsi="宋体"/>
                <w:color w:val="auto"/>
                <w:highlight w:val="none"/>
              </w:rPr>
            </w:pPr>
            <w:r>
              <w:rPr>
                <w:rFonts w:hint="eastAsia" w:ascii="宋体" w:hAnsi="宋体"/>
                <w:color w:val="auto"/>
                <w:highlight w:val="none"/>
              </w:rPr>
              <w:t>（1）投标文件第一信封按照招标文件规定的格式、内容填写，字迹清晰可辨：</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a．投标函按招标文件规定填报了项目名称、标段名称、补遗书编号（如有）、投标保证金金额、工期及工程质量目标；</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b．投标函附录的所有数据均符合招标文件规定；</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c．按照招标文件规定的格式、内容编制了施工组织设计及项目管理机构相关图表；</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 xml:space="preserve">d．承诺函文字与招标文件规定一致，未进行修改和删减； </w:t>
            </w:r>
          </w:p>
          <w:p>
            <w:pPr>
              <w:spacing w:line="360" w:lineRule="auto"/>
              <w:ind w:firstLine="210" w:firstLineChars="100"/>
              <w:rPr>
                <w:rFonts w:hint="eastAsia" w:ascii="宋体" w:hAnsi="宋体"/>
                <w:color w:val="auto"/>
                <w:spacing w:val="-4"/>
                <w:highlight w:val="none"/>
              </w:rPr>
            </w:pPr>
            <w:r>
              <w:rPr>
                <w:rFonts w:hint="eastAsia" w:ascii="宋体" w:hAnsi="宋体"/>
                <w:color w:val="auto"/>
                <w:highlight w:val="none"/>
              </w:rPr>
              <w:t>e．</w:t>
            </w:r>
            <w:r>
              <w:rPr>
                <w:rFonts w:hint="eastAsia" w:ascii="宋体" w:hAnsi="宋体"/>
                <w:color w:val="auto"/>
                <w:spacing w:val="-4"/>
                <w:highlight w:val="none"/>
              </w:rPr>
              <w:t>投标文件组成齐全完整，内容均按规定填写，并按招标文件规定的形式装订。</w:t>
            </w:r>
          </w:p>
          <w:p>
            <w:pPr>
              <w:spacing w:line="360" w:lineRule="auto"/>
              <w:rPr>
                <w:rFonts w:hint="eastAsia" w:ascii="宋体" w:hAnsi="宋体"/>
                <w:color w:val="auto"/>
                <w:highlight w:val="none"/>
              </w:rPr>
            </w:pPr>
            <w:r>
              <w:rPr>
                <w:rFonts w:hint="eastAsia" w:ascii="宋体" w:hAnsi="宋体"/>
                <w:color w:val="auto"/>
                <w:highlight w:val="none"/>
              </w:rPr>
              <w:t>（2）投标文件第一信封中法定代表人或其授权代理人的签字、投标人的单位章盖章齐全，符合招标文件规定：</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投标函及投标函附录、承诺函、资格审查资料的内容，应由投标人的法定代表人或其委托代理人逐页签署姓名（本页正文内容已由投标人的法定代表人或其委托代理人签署姓名，应该已经签署；本页不需另行签署）并逐页加盖投标人单位章（本页正文内容已加盖单位章的除外）。</w:t>
            </w:r>
          </w:p>
          <w:p>
            <w:pPr>
              <w:spacing w:line="360" w:lineRule="auto"/>
              <w:rPr>
                <w:rFonts w:hint="eastAsia" w:ascii="宋体" w:hAnsi="宋体"/>
                <w:color w:val="auto"/>
                <w:szCs w:val="22"/>
                <w:highlight w:val="none"/>
              </w:rPr>
            </w:pPr>
            <w:r>
              <w:rPr>
                <w:rFonts w:hint="eastAsia" w:ascii="宋体" w:hAnsi="宋体"/>
                <w:color w:val="auto"/>
                <w:szCs w:val="22"/>
                <w:highlight w:val="none"/>
              </w:rPr>
              <w:t>（3）</w:t>
            </w:r>
            <w:r>
              <w:rPr>
                <w:rFonts w:hint="eastAsia" w:ascii="宋体" w:hAnsi="宋体"/>
                <w:color w:val="auto"/>
                <w:highlight w:val="none"/>
              </w:rPr>
              <w:t>投标人按照招标文件规定的金额、形式、时效和内容提供了投标保证金；</w:t>
            </w:r>
            <w:r>
              <w:rPr>
                <w:rFonts w:hint="eastAsia" w:ascii="宋体" w:hAnsi="宋体"/>
                <w:color w:val="auto"/>
                <w:szCs w:val="22"/>
                <w:highlight w:val="none"/>
              </w:rPr>
              <w:t>按招标文件要求进行网上报名；</w:t>
            </w:r>
          </w:p>
          <w:p>
            <w:pPr>
              <w:spacing w:line="360" w:lineRule="auto"/>
              <w:rPr>
                <w:rFonts w:hint="eastAsia" w:ascii="宋体" w:hAnsi="宋体"/>
                <w:color w:val="auto"/>
                <w:highlight w:val="none"/>
              </w:rPr>
            </w:pPr>
            <w:r>
              <w:rPr>
                <w:rFonts w:hint="eastAsia" w:ascii="宋体" w:hAnsi="宋体"/>
                <w:color w:val="auto"/>
                <w:highlight w:val="none"/>
              </w:rPr>
              <w:t>（4）投标人法定代表人的授权代理人，需提交附有法定代表人身份证明的授权委托书，并符合下列要求：授权人和被授权人均在授权书上签名，未使用印章、签名章或其他电子制版签名；</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（5）投标人法定代表人若亲自签署投标文件的，提供了法定代表人身份证明，并符合下列要求：法定代表人在法定代表人身份证明上签名，未使用印章、签名章或其他电子制版签名；</w:t>
            </w:r>
          </w:p>
          <w:p>
            <w:pPr>
              <w:spacing w:line="360" w:lineRule="auto"/>
              <w:ind w:left="210" w:leftChars="100"/>
              <w:rPr>
                <w:rFonts w:hint="eastAsia" w:ascii="宋体" w:hAnsi="宋体"/>
                <w:color w:val="auto"/>
                <w:highlight w:val="none"/>
              </w:rPr>
            </w:pPr>
            <w:r>
              <w:rPr>
                <w:rFonts w:hint="eastAsia" w:ascii="宋体" w:hAnsi="宋体"/>
                <w:color w:val="auto"/>
                <w:highlight w:val="none"/>
              </w:rPr>
              <w:t>（6）投标人是独家投标。</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（7）投标人如有分包计划，应按第八章“投标文件格式”的要求填写“拟分包项目情况表”，且分包内容符合规定。</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（8）投标文件第一信封载明的招标项目完成期限未超过招标文件规定的时限。</w:t>
            </w:r>
          </w:p>
          <w:p>
            <w:pPr>
              <w:spacing w:line="360" w:lineRule="auto"/>
              <w:ind w:firstLine="200"/>
              <w:rPr>
                <w:rFonts w:hint="eastAsia" w:ascii="宋体" w:hAnsi="宋体"/>
                <w:color w:val="auto"/>
                <w:highlight w:val="none"/>
              </w:rPr>
            </w:pPr>
            <w:r>
              <w:rPr>
                <w:rFonts w:hint="eastAsia" w:ascii="宋体" w:hAnsi="宋体"/>
                <w:color w:val="auto"/>
                <w:highlight w:val="none"/>
              </w:rPr>
              <w:t>（9）投标文件第一信封未附有招标人不能接受的条件。</w:t>
            </w:r>
          </w:p>
          <w:p>
            <w:pPr>
              <w:spacing w:line="360" w:lineRule="auto"/>
              <w:ind w:firstLine="200"/>
              <w:rPr>
                <w:rFonts w:hint="eastAsia" w:ascii="宋体" w:hAnsi="宋体"/>
                <w:color w:val="auto"/>
                <w:highlight w:val="none"/>
              </w:rPr>
            </w:pPr>
            <w:r>
              <w:rPr>
                <w:rFonts w:hint="eastAsia" w:ascii="宋体" w:hAnsi="宋体"/>
                <w:color w:val="auto"/>
                <w:highlight w:val="none"/>
              </w:rPr>
              <w:t>（10）权利义务符合招标文件规定：</w:t>
            </w:r>
          </w:p>
          <w:p>
            <w:pPr>
              <w:spacing w:line="360" w:lineRule="auto"/>
              <w:ind w:firstLine="200"/>
              <w:rPr>
                <w:rFonts w:hint="eastAsia" w:ascii="宋体" w:hAnsi="宋体"/>
                <w:color w:val="auto"/>
                <w:highlight w:val="none"/>
              </w:rPr>
            </w:pPr>
            <w:r>
              <w:rPr>
                <w:rFonts w:hint="eastAsia" w:ascii="宋体" w:hAnsi="宋体"/>
                <w:color w:val="auto"/>
                <w:highlight w:val="none"/>
              </w:rPr>
              <w:t>a．投标人应接受招标文件规定的风险划分原则，未提出新的风险划分办法；</w:t>
            </w:r>
          </w:p>
          <w:p>
            <w:pPr>
              <w:spacing w:line="360" w:lineRule="auto"/>
              <w:ind w:firstLine="200"/>
              <w:rPr>
                <w:rFonts w:hint="eastAsia" w:ascii="宋体" w:hAnsi="宋体"/>
                <w:color w:val="auto"/>
                <w:highlight w:val="none"/>
              </w:rPr>
            </w:pPr>
            <w:r>
              <w:rPr>
                <w:rFonts w:hint="eastAsia" w:ascii="宋体" w:hAnsi="宋体"/>
                <w:color w:val="auto"/>
                <w:highlight w:val="none"/>
              </w:rPr>
              <w:t>b．投标人未增加发包人的责任范围，或减少投标人义务；</w:t>
            </w:r>
          </w:p>
          <w:p>
            <w:pPr>
              <w:spacing w:line="360" w:lineRule="auto"/>
              <w:ind w:firstLine="200"/>
              <w:rPr>
                <w:rFonts w:hint="eastAsia" w:ascii="宋体" w:hAnsi="宋体"/>
                <w:color w:val="auto"/>
                <w:highlight w:val="none"/>
              </w:rPr>
            </w:pPr>
            <w:r>
              <w:rPr>
                <w:rFonts w:hint="eastAsia" w:ascii="宋体" w:hAnsi="宋体"/>
                <w:color w:val="auto"/>
                <w:highlight w:val="none"/>
              </w:rPr>
              <w:t>c．投标人未提出不同的工程验收、计量、支付办法；</w:t>
            </w:r>
          </w:p>
          <w:p>
            <w:pPr>
              <w:spacing w:line="360" w:lineRule="auto"/>
              <w:ind w:firstLine="200"/>
              <w:rPr>
                <w:rFonts w:hint="eastAsia" w:ascii="宋体" w:hAnsi="宋体"/>
                <w:color w:val="auto"/>
                <w:highlight w:val="none"/>
              </w:rPr>
            </w:pPr>
            <w:r>
              <w:rPr>
                <w:rFonts w:hint="eastAsia" w:ascii="宋体" w:hAnsi="宋体"/>
                <w:color w:val="auto"/>
                <w:highlight w:val="none"/>
              </w:rPr>
              <w:t>d．投标人对合同纠纷、事故处理办法未提出异议；</w:t>
            </w:r>
          </w:p>
          <w:p>
            <w:pPr>
              <w:spacing w:line="360" w:lineRule="auto"/>
              <w:ind w:firstLine="200"/>
              <w:rPr>
                <w:rFonts w:hint="eastAsia" w:ascii="宋体" w:hAnsi="宋体"/>
                <w:color w:val="auto"/>
                <w:highlight w:val="none"/>
              </w:rPr>
            </w:pPr>
            <w:r>
              <w:rPr>
                <w:rFonts w:hint="eastAsia" w:ascii="宋体" w:hAnsi="宋体"/>
                <w:color w:val="auto"/>
                <w:highlight w:val="none"/>
              </w:rPr>
              <w:t>e．投标人在投标活动中无欺诈行为；</w:t>
            </w:r>
          </w:p>
          <w:p>
            <w:pPr>
              <w:spacing w:line="360" w:lineRule="auto"/>
              <w:ind w:firstLine="200"/>
              <w:rPr>
                <w:rFonts w:hint="eastAsia" w:ascii="宋体" w:hAnsi="宋体"/>
                <w:color w:val="auto"/>
                <w:highlight w:val="none"/>
              </w:rPr>
            </w:pPr>
            <w:r>
              <w:rPr>
                <w:rFonts w:hint="eastAsia" w:ascii="宋体" w:hAnsi="宋体"/>
                <w:color w:val="auto"/>
                <w:highlight w:val="none"/>
              </w:rPr>
              <w:t>f．投标人未对合同条款有重要保留。</w:t>
            </w:r>
          </w:p>
          <w:p>
            <w:pPr>
              <w:spacing w:line="360" w:lineRule="auto"/>
              <w:ind w:firstLine="210" w:firstLineChars="100"/>
              <w:rPr>
                <w:rFonts w:hint="eastAsia" w:ascii="宋体" w:hAnsi="宋体"/>
                <w:color w:val="auto"/>
                <w:szCs w:val="22"/>
                <w:highlight w:val="none"/>
              </w:rPr>
            </w:pPr>
            <w:r>
              <w:rPr>
                <w:rFonts w:hint="eastAsia" w:ascii="宋体" w:hAnsi="宋体"/>
                <w:color w:val="auto"/>
                <w:szCs w:val="22"/>
                <w:highlight w:val="none"/>
              </w:rPr>
              <w:t>（11）质量目标符合招标文件要求，承诺的质量检验标准不低于国家强制性标准要求。</w:t>
            </w:r>
          </w:p>
          <w:p>
            <w:pPr>
              <w:spacing w:line="360" w:lineRule="auto"/>
              <w:ind w:firstLine="210" w:firstLineChars="100"/>
              <w:rPr>
                <w:rFonts w:hint="eastAsia" w:ascii="宋体" w:hAnsi="宋体"/>
                <w:color w:val="auto"/>
                <w:szCs w:val="22"/>
                <w:highlight w:val="none"/>
              </w:rPr>
            </w:pPr>
            <w:r>
              <w:rPr>
                <w:rFonts w:hint="eastAsia" w:ascii="宋体" w:hAnsi="宋体"/>
                <w:color w:val="auto"/>
                <w:szCs w:val="22"/>
                <w:highlight w:val="none"/>
              </w:rPr>
              <w:t>（12）人员、业绩、履约信誉证明材料真实。</w:t>
            </w:r>
          </w:p>
          <w:p>
            <w:pPr>
              <w:spacing w:line="360" w:lineRule="auto"/>
              <w:ind w:firstLine="210" w:firstLineChars="100"/>
              <w:rPr>
                <w:rFonts w:hint="eastAsia" w:ascii="宋体" w:hAnsi="宋体"/>
                <w:color w:val="auto"/>
                <w:highlight w:val="none"/>
              </w:rPr>
            </w:pPr>
            <w:r>
              <w:rPr>
                <w:rFonts w:hint="eastAsia" w:ascii="宋体" w:hAnsi="宋体"/>
                <w:color w:val="auto"/>
                <w:szCs w:val="22"/>
                <w:highlight w:val="none"/>
              </w:rPr>
              <w:t>（13）投标文件第一信封未出现投标报价。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817" w:type="dxa"/>
            <w:tcBorders>
              <w:bottom w:val="single" w:color="auto" w:sz="4" w:space="0"/>
            </w:tcBorders>
            <w:noWrap w:val="0"/>
            <w:vAlign w:val="center"/>
          </w:tcPr>
          <w:p>
            <w:pPr>
              <w:spacing w:line="240" w:lineRule="exact"/>
              <w:jc w:val="center"/>
              <w:rPr>
                <w:rFonts w:ascii="宋体" w:hAnsi="宋体"/>
                <w:color w:val="auto"/>
                <w:highlight w:val="none"/>
              </w:rPr>
            </w:pPr>
            <w:r>
              <w:rPr>
                <w:rFonts w:hint="eastAsia" w:ascii="宋体" w:hAnsi="宋体"/>
                <w:color w:val="auto"/>
                <w:highlight w:val="none"/>
              </w:rPr>
              <w:t>2.1.1</w:t>
            </w:r>
          </w:p>
          <w:p>
            <w:pPr>
              <w:spacing w:line="240" w:lineRule="exact"/>
              <w:jc w:val="center"/>
              <w:rPr>
                <w:rFonts w:hint="eastAsia" w:ascii="宋体" w:hAnsi="宋体"/>
                <w:color w:val="auto"/>
                <w:highlight w:val="none"/>
              </w:rPr>
            </w:pPr>
            <w:r>
              <w:rPr>
                <w:rFonts w:hint="eastAsia" w:ascii="宋体" w:hAnsi="宋体"/>
                <w:color w:val="auto"/>
                <w:highlight w:val="none"/>
              </w:rPr>
              <w:t>2.1.3</w:t>
            </w:r>
          </w:p>
        </w:tc>
        <w:tc>
          <w:tcPr>
            <w:tcW w:w="1114" w:type="dxa"/>
            <w:tcBorders>
              <w:bottom w:val="single" w:color="auto" w:sz="4" w:space="0"/>
            </w:tcBorders>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形式评审与响应性评审标准</w:t>
            </w:r>
          </w:p>
        </w:tc>
        <w:tc>
          <w:tcPr>
            <w:tcW w:w="7357" w:type="dxa"/>
            <w:tcBorders>
              <w:bottom w:val="single" w:color="auto" w:sz="4" w:space="0"/>
            </w:tcBorders>
            <w:noWrap w:val="0"/>
            <w:vAlign w:val="top"/>
          </w:tcPr>
          <w:p>
            <w:pPr>
              <w:spacing w:line="360" w:lineRule="auto"/>
              <w:rPr>
                <w:rFonts w:hint="eastAsia" w:ascii="宋体" w:hAnsi="宋体"/>
                <w:b/>
                <w:color w:val="auto"/>
                <w:highlight w:val="none"/>
              </w:rPr>
            </w:pPr>
            <w:r>
              <w:rPr>
                <w:rFonts w:hint="eastAsia" w:ascii="宋体" w:hAnsi="宋体"/>
                <w:b/>
                <w:color w:val="auto"/>
                <w:highlight w:val="none"/>
              </w:rPr>
              <w:t>投标文件第二信封（投标报价和工程量清单）</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（1）</w:t>
            </w:r>
            <w:r>
              <w:rPr>
                <w:rFonts w:hint="eastAsia" w:ascii="宋体" w:hAnsi="宋体"/>
                <w:color w:val="auto"/>
                <w:spacing w:val="-6"/>
                <w:highlight w:val="none"/>
              </w:rPr>
              <w:t>投标文件第二信封按照招标文件规定的格式、内容填写，字迹清晰可辨：</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a．报价函按招标文件规定填报了项目名称、标段名称、补遗书编号、投标价，且投标人名称与第一信封投标人名称一致；</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b．已标价工程量清单说明、投标报价说明及其他说明与招标文件规定一致，未进行修改和删减；</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c．投标文件组成齐全完整，并按招标文件规定的形式装订。</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（2）投标文件第二信封中法定代表人或其授权代理人的签字、投标人的单位章盖章齐全，符合招标文件规定：</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a．报价函中法定代表人或其委托代理人的签字，投标人的单位章齐全，符合招标文件规定；</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b．已标价工程量清单（包括工程量清单说明、投标报价说明、其他说明及工程量清单各项表格〈表5.1-表5.2〉）的内容，应由投标人的法定代表人或其委托代理人逐页签署姓名并逐页加盖投标人单位章。</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（3）一份投标文件应只有一个投标报价，在招标文件没有规定的情况下，未提交选择性报价。</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（4）投标人未提交调价函。</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（5）投标文件第二信封未附有招标人不能接受的条件。</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（6）未发生“投标人须知”第5.2.5项规定的情况。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 w:type="dxa"/>
            <w:noWrap w:val="0"/>
            <w:vAlign w:val="center"/>
          </w:tcPr>
          <w:p>
            <w:pPr>
              <w:spacing w:line="240" w:lineRule="exact"/>
              <w:jc w:val="center"/>
              <w:rPr>
                <w:rFonts w:ascii="宋体" w:hAnsi="宋体"/>
                <w:color w:val="auto"/>
                <w:highlight w:val="none"/>
              </w:rPr>
            </w:pPr>
            <w:r>
              <w:rPr>
                <w:rFonts w:hint="eastAsia" w:ascii="宋体" w:hAnsi="宋体"/>
                <w:color w:val="auto"/>
                <w:highlight w:val="none"/>
              </w:rPr>
              <w:t>2.1.2</w:t>
            </w:r>
          </w:p>
        </w:tc>
        <w:tc>
          <w:tcPr>
            <w:tcW w:w="1114" w:type="dxa"/>
            <w:noWrap w:val="0"/>
            <w:vAlign w:val="center"/>
          </w:tcPr>
          <w:p>
            <w:pPr>
              <w:spacing w:line="240" w:lineRule="exact"/>
              <w:jc w:val="center"/>
              <w:rPr>
                <w:rFonts w:ascii="宋体" w:hAnsi="宋体"/>
                <w:color w:val="auto"/>
                <w:highlight w:val="none"/>
              </w:rPr>
            </w:pPr>
            <w:r>
              <w:rPr>
                <w:rFonts w:hint="eastAsia" w:ascii="宋体" w:hAnsi="宋体"/>
                <w:color w:val="auto"/>
                <w:highlight w:val="none"/>
              </w:rPr>
              <w:t>资格评审标准</w:t>
            </w:r>
          </w:p>
        </w:tc>
        <w:tc>
          <w:tcPr>
            <w:tcW w:w="7357" w:type="dxa"/>
            <w:noWrap w:val="0"/>
            <w:vAlign w:val="center"/>
          </w:tcPr>
          <w:p>
            <w:pPr>
              <w:spacing w:line="360" w:lineRule="auto"/>
              <w:ind w:firstLine="210" w:firstLineChars="100"/>
              <w:rPr>
                <w:rFonts w:hint="eastAsia" w:ascii="宋体" w:hAnsi="宋体"/>
                <w:color w:val="auto"/>
                <w:highlight w:val="none"/>
              </w:rPr>
            </w:pPr>
            <w:r>
              <w:rPr>
                <w:rFonts w:hint="eastAsia" w:ascii="宋体" w:hAnsi="宋体"/>
                <w:color w:val="auto"/>
                <w:highlight w:val="none"/>
              </w:rPr>
              <w:t>（1）投标人具备有效的营业执照、资质证书、安全生产许可证和基本账户开户许可证（或基本存款账户信息）的复印件（并加盖单位章）。</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（2）投标人的资质条件符合招标文件规定。投标人具有公路工程施工总承包一级及以上资质的，应附交通运输部 “全国公路建设市场信用信息管理系统” 从业企业查询（输入从业单位名称或组织机构代码查询）的网页截图复印件（并加盖单位章）。</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（3）投标人的财务状况符合招标文件规定。</w:t>
            </w:r>
          </w:p>
          <w:p>
            <w:pPr>
              <w:spacing w:line="360" w:lineRule="auto"/>
              <w:ind w:firstLine="210" w:firstLineChars="100"/>
              <w:rPr>
                <w:rFonts w:hint="eastAsia" w:ascii="宋体" w:hAnsi="宋体"/>
                <w:color w:val="auto"/>
                <w:szCs w:val="22"/>
                <w:highlight w:val="none"/>
              </w:rPr>
            </w:pPr>
            <w:r>
              <w:rPr>
                <w:rFonts w:hint="eastAsia" w:ascii="宋体" w:hAnsi="宋体"/>
                <w:color w:val="auto"/>
                <w:szCs w:val="22"/>
                <w:highlight w:val="none"/>
              </w:rPr>
              <w:t>（4）投标人的信誉符合招标文件规定；</w:t>
            </w:r>
          </w:p>
          <w:p>
            <w:pPr>
              <w:spacing w:line="360" w:lineRule="auto"/>
              <w:ind w:firstLine="210" w:firstLineChars="100"/>
              <w:rPr>
                <w:rFonts w:hint="eastAsia" w:ascii="宋体" w:hAnsi="宋体"/>
                <w:color w:val="auto"/>
                <w:szCs w:val="22"/>
                <w:highlight w:val="none"/>
              </w:rPr>
            </w:pPr>
            <w:r>
              <w:rPr>
                <w:rFonts w:hint="eastAsia" w:ascii="宋体" w:hAnsi="宋体"/>
                <w:color w:val="auto"/>
                <w:szCs w:val="22"/>
                <w:highlight w:val="none"/>
              </w:rPr>
              <w:t>（5）投标人的项目经理和项目总工资格符合招标文件规定，并在“拟委任的项目经理和项目总工资历表”后附：</w:t>
            </w:r>
          </w:p>
          <w:p>
            <w:pPr>
              <w:spacing w:line="360" w:lineRule="auto"/>
              <w:ind w:firstLine="420" w:firstLineChars="200"/>
              <w:rPr>
                <w:rFonts w:hint="eastAsia" w:ascii="宋体" w:hAnsi="宋体"/>
                <w:color w:val="auto"/>
                <w:szCs w:val="22"/>
                <w:highlight w:val="none"/>
              </w:rPr>
            </w:pPr>
            <w:r>
              <w:rPr>
                <w:rFonts w:hint="eastAsia" w:ascii="宋体" w:hAnsi="宋体"/>
                <w:color w:val="auto"/>
                <w:szCs w:val="22"/>
                <w:highlight w:val="none"/>
              </w:rPr>
              <w:t>a.项目经理和项目总工的身份证（第二代身份证须双面复印）、公路工程相关专业中级及以上职称资格证书、在有效期内的安全生产考核合格证书（B 类）以及项目经理的公路工程专业二级及以上建造师注册证书的复印件；</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上述项目经理的建造师注册证书、在有效期内的安全生产考核合格证书以及项目总工的在有效期内的安全生产考核合格证书上的企业名称应与投标人名称一致，否则资格审查不予通过。</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b.拟委任的项目经理若曾在其他在建合同工程中担任项目经理但已进行更换的，应附项目发包人的同意更换证明材料，否则更换前后的项目经理均视为有“在建合同工程”；</w:t>
            </w:r>
          </w:p>
          <w:p>
            <w:pPr>
              <w:spacing w:line="360" w:lineRule="auto"/>
              <w:ind w:firstLine="420" w:firstLineChars="200"/>
              <w:rPr>
                <w:rFonts w:hint="eastAsia"/>
                <w:color w:val="auto"/>
                <w:highlight w:val="none"/>
              </w:rPr>
            </w:pPr>
            <w:r>
              <w:rPr>
                <w:rFonts w:hint="eastAsia"/>
                <w:color w:val="auto"/>
                <w:highlight w:val="none"/>
              </w:rPr>
              <w:t>c.若拟委任的项目经理和项目总工职称证书上无专业名称，须提供原职称评审委员会出具的相关证明材料，否则资格审查不予通过</w:t>
            </w:r>
          </w:p>
          <w:p>
            <w:pPr>
              <w:spacing w:line="360" w:lineRule="auto"/>
              <w:ind w:firstLine="210" w:firstLineChars="100"/>
              <w:rPr>
                <w:rFonts w:hint="eastAsia" w:ascii="宋体" w:hAnsi="宋体"/>
                <w:color w:val="auto"/>
                <w:highlight w:val="none"/>
              </w:rPr>
            </w:pPr>
            <w:r>
              <w:rPr>
                <w:rFonts w:hint="eastAsia" w:ascii="宋体" w:hAnsi="宋体"/>
                <w:color w:val="auto"/>
                <w:highlight w:val="none"/>
              </w:rPr>
              <w:t>（6）投标人的其他要求符合招标文件规定。</w:t>
            </w:r>
          </w:p>
          <w:p>
            <w:pPr>
              <w:spacing w:line="360" w:lineRule="auto"/>
              <w:ind w:firstLine="210" w:firstLineChars="100"/>
              <w:rPr>
                <w:rFonts w:hint="eastAsia" w:ascii="宋体" w:hAnsi="宋体"/>
                <w:color w:val="auto"/>
                <w:spacing w:val="-10"/>
                <w:highlight w:val="none"/>
              </w:rPr>
            </w:pPr>
            <w:r>
              <w:rPr>
                <w:rFonts w:hint="eastAsia" w:ascii="宋体" w:hAnsi="宋体"/>
                <w:color w:val="auto"/>
                <w:highlight w:val="none"/>
              </w:rPr>
              <w:t>（7）投标人不存在第二章“投标人须知”第1.4.3项规定的任何一种情形。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 w:type="dxa"/>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2.2.1</w:t>
            </w:r>
          </w:p>
        </w:tc>
        <w:tc>
          <w:tcPr>
            <w:tcW w:w="1114" w:type="dxa"/>
            <w:noWrap w:val="0"/>
            <w:vAlign w:val="center"/>
          </w:tcPr>
          <w:p>
            <w:pPr>
              <w:spacing w:line="240" w:lineRule="exact"/>
              <w:rPr>
                <w:rFonts w:hint="eastAsia" w:ascii="宋体" w:hAnsi="宋体"/>
                <w:color w:val="auto"/>
                <w:highlight w:val="none"/>
              </w:rPr>
            </w:pPr>
            <w:r>
              <w:rPr>
                <w:rFonts w:hint="eastAsia" w:ascii="宋体" w:hAnsi="宋体"/>
                <w:color w:val="auto"/>
                <w:highlight w:val="none"/>
              </w:rPr>
              <w:t>分值构成（总分100分）</w:t>
            </w:r>
          </w:p>
        </w:tc>
        <w:tc>
          <w:tcPr>
            <w:tcW w:w="7357" w:type="dxa"/>
            <w:noWrap w:val="0"/>
            <w:vAlign w:val="center"/>
          </w:tcPr>
          <w:p>
            <w:pPr>
              <w:spacing w:line="360" w:lineRule="auto"/>
              <w:rPr>
                <w:rFonts w:hint="eastAsia" w:ascii="宋体" w:hAnsi="宋体"/>
                <w:color w:val="auto"/>
                <w:highlight w:val="none"/>
              </w:rPr>
            </w:pPr>
            <w:r>
              <w:rPr>
                <w:rFonts w:hint="eastAsia" w:ascii="宋体" w:hAnsi="宋体"/>
                <w:color w:val="auto"/>
                <w:highlight w:val="none"/>
              </w:rPr>
              <w:t>综合得分=评标价得分+信誉得分</w:t>
            </w:r>
          </w:p>
          <w:p>
            <w:pPr>
              <w:spacing w:line="360" w:lineRule="auto"/>
              <w:rPr>
                <w:rFonts w:hint="eastAsia" w:ascii="宋体" w:hAnsi="宋体"/>
                <w:color w:val="auto"/>
                <w:highlight w:val="none"/>
              </w:rPr>
            </w:pPr>
            <w:r>
              <w:rPr>
                <w:rFonts w:hint="eastAsia" w:ascii="宋体" w:hAnsi="宋体"/>
                <w:color w:val="auto"/>
                <w:highlight w:val="none"/>
              </w:rPr>
              <w:t>评标价：99分</w:t>
            </w:r>
          </w:p>
          <w:p>
            <w:pPr>
              <w:spacing w:line="360" w:lineRule="auto"/>
              <w:rPr>
                <w:rFonts w:hint="eastAsia" w:ascii="宋体" w:hAnsi="宋体"/>
                <w:color w:val="auto"/>
                <w:highlight w:val="none"/>
              </w:rPr>
            </w:pPr>
            <w:r>
              <w:rPr>
                <w:rFonts w:hint="eastAsia" w:ascii="宋体" w:hAnsi="宋体"/>
                <w:color w:val="auto"/>
                <w:highlight w:val="none"/>
              </w:rPr>
              <w:t>信誉：1分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817" w:type="dxa"/>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2.2.2</w:t>
            </w:r>
          </w:p>
        </w:tc>
        <w:tc>
          <w:tcPr>
            <w:tcW w:w="1114" w:type="dxa"/>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评标基准价计算方法</w:t>
            </w:r>
          </w:p>
        </w:tc>
        <w:tc>
          <w:tcPr>
            <w:tcW w:w="7357" w:type="dxa"/>
            <w:noWrap w:val="0"/>
            <w:vAlign w:val="center"/>
          </w:tcPr>
          <w:p>
            <w:pPr>
              <w:spacing w:line="360" w:lineRule="auto"/>
              <w:rPr>
                <w:rFonts w:hint="eastAsia" w:ascii="宋体" w:hAnsi="宋体"/>
                <w:color w:val="auto"/>
                <w:highlight w:val="none"/>
              </w:rPr>
            </w:pPr>
            <w:r>
              <w:rPr>
                <w:rFonts w:hint="eastAsia" w:ascii="宋体" w:hAnsi="宋体"/>
                <w:color w:val="auto"/>
                <w:highlight w:val="none"/>
              </w:rPr>
              <w:t xml:space="preserve">评标基准价的计算： </w:t>
            </w:r>
          </w:p>
          <w:p>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评标基准价由评标委员会计算、复核并签字确认。除计算差错外，确认后的评标基准价在本次招标期间保持不变。计算差错，仅限于以下两种情况：a.纯算术性四则运算差错；b.未按约定的计算方法，多计或少计投标人报价的。由于评标差错，导致否决投标错误，重新评标纠正等其他情况，不属于计算差错。</w:t>
            </w:r>
          </w:p>
          <w:p>
            <w:pPr>
              <w:tabs>
                <w:tab w:val="center" w:pos="3545"/>
              </w:tabs>
              <w:spacing w:line="360" w:lineRule="auto"/>
              <w:rPr>
                <w:rFonts w:ascii="宋体" w:hAnsi="宋体"/>
                <w:color w:val="auto"/>
                <w:highlight w:val="none"/>
              </w:rPr>
            </w:pPr>
            <w:r>
              <w:rPr>
                <w:rFonts w:hint="eastAsia" w:ascii="宋体" w:hAnsi="宋体"/>
                <w:color w:val="auto"/>
                <w:highlight w:val="none"/>
              </w:rPr>
              <w:t>（1）评标价的确定：评标价=投标函文字报价</w:t>
            </w:r>
          </w:p>
          <w:p>
            <w:pPr>
              <w:spacing w:line="360" w:lineRule="auto"/>
              <w:rPr>
                <w:rFonts w:ascii="宋体" w:hAnsi="宋体"/>
                <w:color w:val="auto"/>
                <w:highlight w:val="none"/>
              </w:rPr>
            </w:pPr>
            <w:r>
              <w:rPr>
                <w:rFonts w:hint="eastAsia" w:ascii="宋体" w:hAnsi="宋体"/>
                <w:color w:val="auto"/>
                <w:highlight w:val="none"/>
              </w:rPr>
              <w:t>（2）评标基准价的确定：C=（A×K+B×（1-K））（100-i）/100</w:t>
            </w:r>
          </w:p>
          <w:p>
            <w:pPr>
              <w:spacing w:line="360" w:lineRule="auto"/>
              <w:rPr>
                <w:rFonts w:hint="eastAsia" w:ascii="宋体" w:hAnsi="宋体"/>
                <w:color w:val="auto"/>
                <w:szCs w:val="22"/>
                <w:highlight w:val="none"/>
              </w:rPr>
            </w:pPr>
            <w:r>
              <w:rPr>
                <w:rFonts w:hint="eastAsia" w:ascii="宋体" w:hAnsi="宋体"/>
                <w:color w:val="auto"/>
                <w:highlight w:val="none"/>
              </w:rPr>
              <w:t>式中</w:t>
            </w:r>
            <w:r>
              <w:rPr>
                <w:rFonts w:hint="eastAsia" w:ascii="宋体" w:hAnsi="宋体"/>
                <w:color w:val="auto"/>
                <w:szCs w:val="22"/>
                <w:highlight w:val="none"/>
              </w:rPr>
              <w:t>：C为评标基准价</w:t>
            </w:r>
          </w:p>
          <w:p>
            <w:pPr>
              <w:spacing w:line="360" w:lineRule="auto"/>
              <w:ind w:firstLine="420" w:firstLineChars="200"/>
              <w:rPr>
                <w:rFonts w:hint="eastAsia" w:ascii="宋体" w:hAnsi="宋体"/>
                <w:color w:val="auto"/>
                <w:szCs w:val="22"/>
                <w:highlight w:val="none"/>
              </w:rPr>
            </w:pPr>
            <w:r>
              <w:rPr>
                <w:rFonts w:hint="eastAsia" w:ascii="宋体" w:hAnsi="宋体"/>
                <w:color w:val="auto"/>
                <w:szCs w:val="22"/>
                <w:highlight w:val="none"/>
              </w:rPr>
              <w:t>A 为招标人的投标控制价，以招标人报造价审查部门审核后的工程量清单预算再乘以随机抽取的调整系数设定。</w:t>
            </w:r>
            <w:r>
              <w:rPr>
                <w:rFonts w:hint="eastAsia" w:ascii="宋体" w:hAnsi="宋体"/>
                <w:b/>
                <w:bCs/>
                <w:color w:val="auto"/>
                <w:szCs w:val="22"/>
                <w:highlight w:val="none"/>
              </w:rPr>
              <w:t>调整系数为</w:t>
            </w:r>
            <w:r>
              <w:rPr>
                <w:rFonts w:hint="eastAsia" w:ascii="宋体" w:hAnsi="宋体"/>
                <w:b/>
                <w:bCs/>
                <w:color w:val="auto"/>
                <w:szCs w:val="22"/>
                <w:highlight w:val="none"/>
                <w:lang w:eastAsia="zh-CN"/>
              </w:rPr>
              <w:t>0.9</w:t>
            </w:r>
            <w:r>
              <w:rPr>
                <w:rFonts w:hint="eastAsia" w:ascii="宋体" w:hAnsi="宋体"/>
                <w:b/>
                <w:bCs/>
                <w:color w:val="auto"/>
                <w:szCs w:val="22"/>
                <w:highlight w:val="none"/>
                <w:lang w:val="en-US" w:eastAsia="zh-CN"/>
              </w:rPr>
              <w:t>3</w:t>
            </w:r>
            <w:r>
              <w:rPr>
                <w:rFonts w:hint="eastAsia" w:ascii="宋体" w:hAnsi="宋体"/>
                <w:b/>
                <w:bCs/>
                <w:color w:val="auto"/>
                <w:szCs w:val="22"/>
                <w:highlight w:val="none"/>
                <w:lang w:eastAsia="zh-CN"/>
              </w:rPr>
              <w:t>、0.9</w:t>
            </w:r>
            <w:r>
              <w:rPr>
                <w:rFonts w:hint="eastAsia" w:ascii="宋体" w:hAnsi="宋体"/>
                <w:b/>
                <w:bCs/>
                <w:color w:val="auto"/>
                <w:szCs w:val="22"/>
                <w:highlight w:val="none"/>
                <w:lang w:val="en-US" w:eastAsia="zh-CN"/>
              </w:rPr>
              <w:t>4</w:t>
            </w:r>
            <w:r>
              <w:rPr>
                <w:rFonts w:hint="eastAsia" w:ascii="宋体" w:hAnsi="宋体"/>
                <w:b/>
                <w:bCs/>
                <w:color w:val="auto"/>
                <w:szCs w:val="22"/>
                <w:highlight w:val="none"/>
                <w:lang w:eastAsia="zh-CN"/>
              </w:rPr>
              <w:t>、0.9</w:t>
            </w:r>
            <w:r>
              <w:rPr>
                <w:rFonts w:hint="eastAsia" w:ascii="宋体" w:hAnsi="宋体"/>
                <w:b/>
                <w:bCs/>
                <w:color w:val="auto"/>
                <w:szCs w:val="22"/>
                <w:highlight w:val="none"/>
                <w:lang w:val="en-US" w:eastAsia="zh-CN"/>
              </w:rPr>
              <w:t>5</w:t>
            </w:r>
            <w:r>
              <w:rPr>
                <w:rFonts w:hint="eastAsia" w:ascii="宋体" w:hAnsi="宋体"/>
                <w:color w:val="auto"/>
                <w:szCs w:val="22"/>
                <w:highlight w:val="none"/>
              </w:rPr>
              <w:t>，在开标现场随机抽取产生其中一个值作为调整系数；</w:t>
            </w:r>
          </w:p>
          <w:p>
            <w:pPr>
              <w:spacing w:line="360" w:lineRule="auto"/>
              <w:ind w:firstLine="420" w:firstLineChars="200"/>
              <w:rPr>
                <w:rFonts w:hint="eastAsia" w:ascii="宋体" w:hAnsi="宋体"/>
                <w:color w:val="auto"/>
                <w:highlight w:val="none"/>
              </w:rPr>
            </w:pPr>
            <w:r>
              <w:rPr>
                <w:rFonts w:hint="eastAsia" w:ascii="宋体" w:hAnsi="宋体"/>
                <w:color w:val="auto"/>
                <w:szCs w:val="21"/>
                <w:highlight w:val="none"/>
              </w:rPr>
              <w:t>B为</w:t>
            </w:r>
            <w:r>
              <w:rPr>
                <w:rFonts w:hint="eastAsia" w:ascii="宋体" w:hAnsi="宋体"/>
                <w:bCs/>
                <w:color w:val="auto"/>
                <w:szCs w:val="21"/>
                <w:highlight w:val="none"/>
              </w:rPr>
              <w:t>通过投标文件第一个信封评审及第二个信封初步评审的所有投标人的评标价去掉一个最高值和一个最低值后的算术平均值（如果参与评标价平均值计算的有效投标人≤5家，则计算评标价平均值时不去掉最高值和最低值）；</w:t>
            </w:r>
          </w:p>
          <w:p>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K为复合系数（开标时从0.30、0.35、0.40三值中随机抽取一个值）。</w:t>
            </w:r>
          </w:p>
          <w:p>
            <w:pPr>
              <w:spacing w:line="360" w:lineRule="auto"/>
              <w:ind w:firstLine="422" w:firstLineChars="200"/>
              <w:rPr>
                <w:rFonts w:hint="eastAsia" w:ascii="宋体" w:hAnsi="宋体"/>
                <w:color w:val="auto"/>
                <w:highlight w:val="none"/>
              </w:rPr>
            </w:pPr>
            <w:r>
              <w:rPr>
                <w:rFonts w:hint="eastAsia" w:ascii="宋体" w:hAnsi="宋体"/>
                <w:b/>
                <w:color w:val="auto"/>
                <w:szCs w:val="21"/>
                <w:highlight w:val="none"/>
              </w:rPr>
              <w:t>i为下浮系数（开标时从1、2、3三个连续值中随机抽取一个值）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817" w:type="dxa"/>
            <w:noWrap w:val="0"/>
            <w:vAlign w:val="center"/>
          </w:tcPr>
          <w:p>
            <w:pPr>
              <w:spacing w:line="360" w:lineRule="auto"/>
              <w:jc w:val="center"/>
              <w:rPr>
                <w:rFonts w:hint="eastAsia" w:ascii="宋体" w:hAnsi="宋体"/>
                <w:color w:val="auto"/>
                <w:highlight w:val="none"/>
              </w:rPr>
            </w:pPr>
            <w:r>
              <w:rPr>
                <w:rFonts w:hint="eastAsia" w:ascii="宋体" w:hAnsi="宋体"/>
                <w:color w:val="auto"/>
                <w:highlight w:val="none"/>
              </w:rPr>
              <w:t>2.2.3</w:t>
            </w:r>
          </w:p>
        </w:tc>
        <w:tc>
          <w:tcPr>
            <w:tcW w:w="1114" w:type="dxa"/>
            <w:noWrap w:val="0"/>
            <w:vAlign w:val="center"/>
          </w:tcPr>
          <w:p>
            <w:pPr>
              <w:spacing w:line="360" w:lineRule="auto"/>
              <w:jc w:val="center"/>
              <w:rPr>
                <w:rFonts w:hint="eastAsia" w:ascii="宋体" w:hAnsi="宋体"/>
                <w:color w:val="auto"/>
                <w:highlight w:val="none"/>
              </w:rPr>
            </w:pPr>
            <w:r>
              <w:rPr>
                <w:rFonts w:hint="eastAsia" w:ascii="宋体" w:hAnsi="宋体"/>
                <w:color w:val="auto"/>
                <w:highlight w:val="none"/>
              </w:rPr>
              <w:t>评标价的偏差率计算公式</w:t>
            </w:r>
          </w:p>
        </w:tc>
        <w:tc>
          <w:tcPr>
            <w:tcW w:w="7357" w:type="dxa"/>
            <w:noWrap w:val="0"/>
            <w:vAlign w:val="center"/>
          </w:tcPr>
          <w:p>
            <w:pPr>
              <w:spacing w:line="360" w:lineRule="auto"/>
              <w:rPr>
                <w:rFonts w:hint="eastAsia" w:ascii="宋体" w:hAnsi="宋体"/>
                <w:color w:val="auto"/>
                <w:highlight w:val="none"/>
              </w:rPr>
            </w:pPr>
            <w:r>
              <w:rPr>
                <w:rFonts w:hint="eastAsia" w:ascii="宋体" w:hAnsi="宋体"/>
                <w:color w:val="auto"/>
                <w:highlight w:val="none"/>
              </w:rPr>
              <w:t>偏差率=100%×（投标人评标价—评标基准价）／评标基准价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817" w:type="dxa"/>
            <w:noWrap w:val="0"/>
            <w:vAlign w:val="center"/>
          </w:tcPr>
          <w:p>
            <w:pPr>
              <w:spacing w:line="360" w:lineRule="auto"/>
              <w:jc w:val="center"/>
              <w:rPr>
                <w:rFonts w:hint="eastAsia" w:ascii="黑体" w:hAnsi="宋体" w:eastAsia="黑体"/>
                <w:color w:val="auto"/>
                <w:highlight w:val="none"/>
              </w:rPr>
            </w:pPr>
            <w:r>
              <w:rPr>
                <w:rFonts w:hint="eastAsia" w:ascii="宋体" w:hAnsi="宋体"/>
                <w:color w:val="auto"/>
                <w:highlight w:val="none"/>
              </w:rPr>
              <w:t>2.2.4（1）</w:t>
            </w:r>
          </w:p>
        </w:tc>
        <w:tc>
          <w:tcPr>
            <w:tcW w:w="1114" w:type="dxa"/>
            <w:noWrap w:val="0"/>
            <w:vAlign w:val="center"/>
          </w:tcPr>
          <w:p>
            <w:pPr>
              <w:spacing w:line="360" w:lineRule="auto"/>
              <w:jc w:val="center"/>
              <w:rPr>
                <w:rFonts w:hint="eastAsia" w:ascii="黑体" w:hAnsi="宋体" w:eastAsia="黑体"/>
                <w:color w:val="auto"/>
                <w:highlight w:val="none"/>
              </w:rPr>
            </w:pPr>
            <w:r>
              <w:rPr>
                <w:rFonts w:hint="eastAsia" w:ascii="宋体" w:hAnsi="宋体"/>
                <w:color w:val="auto"/>
                <w:highlight w:val="none"/>
              </w:rPr>
              <w:t>施工组织设计</w:t>
            </w:r>
          </w:p>
        </w:tc>
        <w:tc>
          <w:tcPr>
            <w:tcW w:w="7357" w:type="dxa"/>
            <w:noWrap w:val="0"/>
            <w:vAlign w:val="center"/>
          </w:tcPr>
          <w:p>
            <w:pPr>
              <w:spacing w:line="360" w:lineRule="auto"/>
              <w:rPr>
                <w:rFonts w:hint="eastAsia" w:ascii="黑体" w:hAnsi="宋体" w:eastAsia="黑体"/>
                <w:color w:val="auto"/>
                <w:highlight w:val="none"/>
              </w:rPr>
            </w:pPr>
            <w:r>
              <w:rPr>
                <w:rFonts w:hint="eastAsia" w:ascii="宋体" w:hAnsi="宋体"/>
                <w:color w:val="auto"/>
                <w:highlight w:val="none"/>
              </w:rPr>
              <w:t>0分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7" w:type="dxa"/>
            <w:noWrap w:val="0"/>
            <w:vAlign w:val="center"/>
          </w:tcPr>
          <w:p>
            <w:pPr>
              <w:spacing w:line="360" w:lineRule="auto"/>
              <w:jc w:val="center"/>
              <w:rPr>
                <w:rFonts w:hint="eastAsia" w:ascii="黑体" w:hAnsi="宋体" w:eastAsia="黑体"/>
                <w:color w:val="auto"/>
                <w:highlight w:val="none"/>
              </w:rPr>
            </w:pPr>
            <w:r>
              <w:rPr>
                <w:rFonts w:hint="eastAsia" w:ascii="宋体" w:hAnsi="宋体"/>
                <w:color w:val="auto"/>
                <w:highlight w:val="none"/>
              </w:rPr>
              <w:t>2.2.4（2）</w:t>
            </w:r>
          </w:p>
        </w:tc>
        <w:tc>
          <w:tcPr>
            <w:tcW w:w="1114" w:type="dxa"/>
            <w:noWrap w:val="0"/>
            <w:vAlign w:val="center"/>
          </w:tcPr>
          <w:p>
            <w:pPr>
              <w:spacing w:line="360" w:lineRule="auto"/>
              <w:jc w:val="center"/>
              <w:rPr>
                <w:rFonts w:hint="eastAsia" w:ascii="黑体" w:hAnsi="宋体" w:eastAsia="黑体"/>
                <w:color w:val="auto"/>
                <w:highlight w:val="none"/>
              </w:rPr>
            </w:pPr>
            <w:r>
              <w:rPr>
                <w:rFonts w:hint="eastAsia" w:ascii="宋体" w:hAnsi="宋体"/>
                <w:color w:val="auto"/>
                <w:highlight w:val="none"/>
              </w:rPr>
              <w:t>项目管理机构</w:t>
            </w:r>
          </w:p>
        </w:tc>
        <w:tc>
          <w:tcPr>
            <w:tcW w:w="7357" w:type="dxa"/>
            <w:noWrap w:val="0"/>
            <w:vAlign w:val="center"/>
          </w:tcPr>
          <w:p>
            <w:pPr>
              <w:spacing w:line="360" w:lineRule="auto"/>
              <w:rPr>
                <w:rFonts w:hint="eastAsia" w:ascii="黑体" w:hAnsi="宋体" w:eastAsia="黑体"/>
                <w:color w:val="auto"/>
                <w:highlight w:val="none"/>
              </w:rPr>
            </w:pPr>
            <w:r>
              <w:rPr>
                <w:rFonts w:hint="eastAsia" w:ascii="宋体" w:hAnsi="宋体"/>
                <w:color w:val="auto"/>
                <w:highlight w:val="none"/>
              </w:rPr>
              <w:t>0分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817" w:type="dxa"/>
            <w:noWrap w:val="0"/>
            <w:vAlign w:val="center"/>
          </w:tcPr>
          <w:p>
            <w:pPr>
              <w:spacing w:line="360" w:lineRule="auto"/>
              <w:jc w:val="center"/>
              <w:rPr>
                <w:rFonts w:hint="eastAsia" w:ascii="黑体" w:hAnsi="宋体" w:eastAsia="黑体"/>
                <w:color w:val="auto"/>
                <w:highlight w:val="none"/>
              </w:rPr>
            </w:pPr>
            <w:r>
              <w:rPr>
                <w:rFonts w:hint="eastAsia" w:ascii="宋体" w:hAnsi="宋体"/>
                <w:color w:val="auto"/>
                <w:highlight w:val="none"/>
              </w:rPr>
              <w:t>2.2.4（3）</w:t>
            </w:r>
          </w:p>
        </w:tc>
        <w:tc>
          <w:tcPr>
            <w:tcW w:w="1114" w:type="dxa"/>
            <w:noWrap w:val="0"/>
            <w:vAlign w:val="center"/>
          </w:tcPr>
          <w:p>
            <w:pPr>
              <w:spacing w:line="360" w:lineRule="auto"/>
              <w:jc w:val="center"/>
              <w:rPr>
                <w:rFonts w:hint="eastAsia" w:ascii="黑体" w:hAnsi="宋体" w:eastAsia="黑体"/>
                <w:color w:val="auto"/>
                <w:highlight w:val="none"/>
              </w:rPr>
            </w:pPr>
            <w:r>
              <w:rPr>
                <w:rFonts w:hint="eastAsia" w:ascii="宋体" w:hAnsi="宋体"/>
                <w:color w:val="auto"/>
                <w:highlight w:val="none"/>
              </w:rPr>
              <w:t>评标价</w:t>
            </w:r>
          </w:p>
        </w:tc>
        <w:tc>
          <w:tcPr>
            <w:tcW w:w="7357" w:type="dxa"/>
            <w:noWrap w:val="0"/>
            <w:vAlign w:val="center"/>
          </w:tcPr>
          <w:p>
            <w:pPr>
              <w:spacing w:line="360" w:lineRule="auto"/>
              <w:rPr>
                <w:rFonts w:hint="eastAsia" w:ascii="宋体" w:hAnsi="宋体"/>
                <w:color w:val="auto"/>
                <w:highlight w:val="none"/>
              </w:rPr>
            </w:pPr>
            <w:r>
              <w:rPr>
                <w:rFonts w:hint="eastAsia" w:ascii="宋体" w:hAnsi="宋体"/>
                <w:color w:val="auto"/>
                <w:highlight w:val="none"/>
              </w:rPr>
              <w:t>评标价（99分）</w:t>
            </w:r>
          </w:p>
          <w:p>
            <w:pPr>
              <w:spacing w:line="360" w:lineRule="auto"/>
              <w:rPr>
                <w:rFonts w:hint="eastAsia" w:ascii="宋体" w:hAnsi="宋体"/>
                <w:color w:val="auto"/>
                <w:highlight w:val="none"/>
              </w:rPr>
            </w:pPr>
            <w:r>
              <w:rPr>
                <w:rFonts w:hint="eastAsia" w:ascii="宋体" w:hAnsi="宋体"/>
                <w:color w:val="auto"/>
                <w:highlight w:val="none"/>
              </w:rPr>
              <w:t>投标人评标价得分计算（保留两位小数）：</w:t>
            </w:r>
          </w:p>
          <w:p>
            <w:pPr>
              <w:spacing w:line="360" w:lineRule="auto"/>
              <w:rPr>
                <w:rFonts w:hint="eastAsia" w:ascii="宋体" w:hAnsi="宋体"/>
                <w:color w:val="auto"/>
                <w:highlight w:val="none"/>
              </w:rPr>
            </w:pPr>
            <w:r>
              <w:rPr>
                <w:rFonts w:hint="eastAsia" w:ascii="宋体" w:hAnsi="宋体"/>
                <w:color w:val="auto"/>
                <w:highlight w:val="none"/>
              </w:rPr>
              <w:t>（1）如果投标人的评标价＞评标基准价，则评标价得分=99－偏差率×100×</w:t>
            </w:r>
            <w:r>
              <w:rPr>
                <w:rFonts w:hint="eastAsia" w:ascii="宋体" w:hAnsi="宋体"/>
                <w:color w:val="auto"/>
                <w:highlight w:val="none"/>
                <w:lang w:val="en-US" w:eastAsia="zh-CN"/>
              </w:rPr>
              <w:t>2.0</w:t>
            </w:r>
            <w:r>
              <w:rPr>
                <w:rFonts w:hint="eastAsia" w:ascii="宋体" w:hAnsi="宋体"/>
                <w:color w:val="auto"/>
                <w:highlight w:val="none"/>
              </w:rPr>
              <w:t>；</w:t>
            </w:r>
          </w:p>
          <w:p>
            <w:pPr>
              <w:spacing w:line="360" w:lineRule="auto"/>
              <w:rPr>
                <w:rFonts w:hint="eastAsia" w:ascii="黑体" w:hAnsi="宋体" w:eastAsia="黑体"/>
                <w:color w:val="auto"/>
                <w:highlight w:val="none"/>
              </w:rPr>
            </w:pPr>
            <w:r>
              <w:rPr>
                <w:rFonts w:hint="eastAsia" w:ascii="宋体" w:hAnsi="宋体"/>
                <w:color w:val="auto"/>
                <w:highlight w:val="none"/>
              </w:rPr>
              <w:t>（2）如果投标人的评标价≤评标基准价，则评标价得分=99＋偏差率×100×1.0。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817" w:type="dxa"/>
            <w:noWrap w:val="0"/>
            <w:vAlign w:val="center"/>
          </w:tcPr>
          <w:p>
            <w:pPr>
              <w:spacing w:line="360" w:lineRule="auto"/>
              <w:jc w:val="center"/>
              <w:rPr>
                <w:rFonts w:ascii="宋体" w:hAnsi="宋体"/>
                <w:color w:val="auto"/>
                <w:highlight w:val="none"/>
              </w:rPr>
            </w:pPr>
            <w:r>
              <w:rPr>
                <w:rFonts w:hint="eastAsia" w:ascii="宋体" w:hAnsi="宋体"/>
                <w:color w:val="auto"/>
                <w:highlight w:val="none"/>
              </w:rPr>
              <w:t>2.2．4（4）</w:t>
            </w:r>
          </w:p>
        </w:tc>
        <w:tc>
          <w:tcPr>
            <w:tcW w:w="1114" w:type="dxa"/>
            <w:noWrap w:val="0"/>
            <w:vAlign w:val="center"/>
          </w:tcPr>
          <w:p>
            <w:pPr>
              <w:spacing w:line="360" w:lineRule="auto"/>
              <w:jc w:val="center"/>
              <w:rPr>
                <w:rFonts w:ascii="宋体" w:hAnsi="宋体"/>
                <w:color w:val="auto"/>
                <w:highlight w:val="none"/>
              </w:rPr>
            </w:pPr>
            <w:r>
              <w:rPr>
                <w:rFonts w:hint="eastAsia" w:ascii="宋体" w:hAnsi="宋体"/>
                <w:color w:val="auto"/>
                <w:highlight w:val="none"/>
              </w:rPr>
              <w:t>其他因素</w:t>
            </w:r>
          </w:p>
        </w:tc>
        <w:tc>
          <w:tcPr>
            <w:tcW w:w="7357" w:type="dxa"/>
            <w:noWrap w:val="0"/>
            <w:vAlign w:val="center"/>
          </w:tcPr>
          <w:p>
            <w:pPr>
              <w:spacing w:line="360" w:lineRule="auto"/>
              <w:rPr>
                <w:color w:val="auto"/>
                <w:highlight w:val="none"/>
              </w:rPr>
            </w:pPr>
            <w:r>
              <w:rPr>
                <w:color w:val="auto"/>
                <w:highlight w:val="none"/>
              </w:rPr>
              <w:t>信誉</w:t>
            </w:r>
            <w:r>
              <w:rPr>
                <w:rFonts w:hint="eastAsia"/>
                <w:color w:val="auto"/>
                <w:highlight w:val="none"/>
              </w:rPr>
              <w:t>-7~1</w:t>
            </w:r>
            <w:r>
              <w:rPr>
                <w:color w:val="auto"/>
                <w:highlight w:val="none"/>
              </w:rPr>
              <w:t>分</w:t>
            </w:r>
          </w:p>
          <w:p>
            <w:pPr>
              <w:spacing w:line="360" w:lineRule="auto"/>
              <w:ind w:firstLine="420" w:firstLineChars="200"/>
              <w:rPr>
                <w:rFonts w:hint="eastAsia"/>
                <w:color w:val="auto"/>
                <w:highlight w:val="none"/>
              </w:rPr>
            </w:pPr>
            <w:r>
              <w:rPr>
                <w:rFonts w:hint="eastAsia"/>
                <w:color w:val="auto"/>
                <w:highlight w:val="none"/>
              </w:rPr>
              <w:t>（1）人员信息公开得分：投标截止时间前，投标人主要管理人员中项目经理的职称证信息、公路工程二级及以上建造师注册证书信息、有效期内安全生产考核合格证书信息以及项目总工的职称证信息、有效期内安全生产考核合格证书信息在浙江省交通建设市场诚信信息系统中已全部公开的，且投标文件中提供了带有系统水印的《主要人员信息一览表》打印件的，得 0.5 分；</w:t>
            </w:r>
          </w:p>
          <w:p>
            <w:pPr>
              <w:spacing w:line="360" w:lineRule="auto"/>
              <w:ind w:firstLine="420" w:firstLineChars="200"/>
              <w:rPr>
                <w:rFonts w:hint="eastAsia"/>
                <w:color w:val="auto"/>
                <w:highlight w:val="none"/>
              </w:rPr>
            </w:pPr>
            <w:r>
              <w:rPr>
                <w:rFonts w:hint="eastAsia"/>
                <w:color w:val="auto"/>
                <w:highlight w:val="none"/>
              </w:rPr>
              <w:t>（2）信用评价结果得分：根据《关于进一步完善设计、施工企业信用评价工作有关事项的通知》（浙交[2016]90 号）文件要求，信用等级（以浙江省交</w:t>
            </w:r>
          </w:p>
          <w:p>
            <w:pPr>
              <w:spacing w:line="360" w:lineRule="auto"/>
              <w:rPr>
                <w:rFonts w:hint="eastAsia"/>
                <w:color w:val="auto"/>
                <w:highlight w:val="none"/>
              </w:rPr>
            </w:pPr>
            <w:r>
              <w:rPr>
                <w:rFonts w:hint="eastAsia"/>
                <w:color w:val="auto"/>
                <w:highlight w:val="none"/>
              </w:rPr>
              <w:t>通运输厅公布的最新信用评价结果为准）得分按以下规则计算：</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a. AA、A 级的施工企业在投标中的信用等级得分均为 0.5 分（未选择使用信用等级得分或使用次数超上限的除外）；</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b. 信用等级为 B 级的或无浙江省交通运输厅最新1年公布信用等级得分</w:t>
            </w:r>
          </w:p>
          <w:p>
            <w:pPr>
              <w:spacing w:line="360" w:lineRule="auto"/>
              <w:rPr>
                <w:rFonts w:hint="eastAsia" w:ascii="宋体" w:hAnsi="宋体" w:cs="宋体"/>
                <w:color w:val="auto"/>
                <w:highlight w:val="none"/>
              </w:rPr>
            </w:pPr>
            <w:r>
              <w:rPr>
                <w:rFonts w:hint="eastAsia" w:ascii="宋体" w:hAnsi="宋体" w:cs="宋体"/>
                <w:color w:val="auto"/>
                <w:highlight w:val="none"/>
              </w:rPr>
              <w:t>为0分；</w:t>
            </w:r>
          </w:p>
          <w:p>
            <w:pPr>
              <w:widowControl/>
              <w:spacing w:line="360" w:lineRule="auto"/>
              <w:ind w:firstLine="420" w:firstLineChars="200"/>
              <w:jc w:val="left"/>
              <w:rPr>
                <w:rFonts w:hint="eastAsia" w:ascii="宋体" w:hAnsi="宋体" w:cs="宋体"/>
                <w:color w:val="auto"/>
                <w:highlight w:val="none"/>
              </w:rPr>
            </w:pPr>
            <w:r>
              <w:rPr>
                <w:rFonts w:hint="eastAsia" w:ascii="宋体" w:hAnsi="宋体" w:cs="宋体"/>
                <w:color w:val="auto"/>
                <w:kern w:val="0"/>
                <w:szCs w:val="21"/>
                <w:highlight w:val="none"/>
                <w:lang w:bidi="ar"/>
              </w:rPr>
              <w:t xml:space="preserve">c. 信用等级为 C 级企业的信用等级得分为-0.5分； </w:t>
            </w:r>
          </w:p>
          <w:p>
            <w:pPr>
              <w:widowControl/>
              <w:spacing w:line="360" w:lineRule="auto"/>
              <w:ind w:firstLine="420" w:firstLineChars="200"/>
              <w:jc w:val="left"/>
              <w:rPr>
                <w:rFonts w:hint="eastAsia" w:ascii="宋体" w:hAnsi="宋体" w:cs="宋体"/>
                <w:color w:val="auto"/>
                <w:highlight w:val="none"/>
              </w:rPr>
            </w:pPr>
            <w:r>
              <w:rPr>
                <w:rFonts w:hint="eastAsia" w:ascii="宋体" w:hAnsi="宋体" w:cs="宋体"/>
                <w:color w:val="auto"/>
                <w:kern w:val="0"/>
                <w:szCs w:val="21"/>
                <w:highlight w:val="none"/>
                <w:lang w:bidi="ar"/>
              </w:rPr>
              <w:t xml:space="preserve">d. 信用等级为 D 级企业的信用等级得分为-5分； </w:t>
            </w:r>
          </w:p>
          <w:p>
            <w:pPr>
              <w:widowControl/>
              <w:spacing w:line="360" w:lineRule="auto"/>
              <w:jc w:val="left"/>
              <w:rPr>
                <w:rFonts w:hint="eastAsia" w:ascii="宋体" w:hAnsi="宋体" w:cs="宋体"/>
                <w:color w:val="auto"/>
                <w:highlight w:val="none"/>
              </w:rPr>
            </w:pPr>
            <w:r>
              <w:rPr>
                <w:rFonts w:hint="eastAsia" w:ascii="宋体" w:hAnsi="宋体" w:cs="宋体"/>
                <w:color w:val="auto"/>
                <w:kern w:val="0"/>
                <w:szCs w:val="21"/>
                <w:highlight w:val="none"/>
                <w:lang w:bidi="ar"/>
              </w:rPr>
              <w:t xml:space="preserve">施工企业选择使用 AA、A 级信用等级得分的，投标文件中应提供《信用评价 </w:t>
            </w:r>
          </w:p>
          <w:p>
            <w:pPr>
              <w:widowControl/>
              <w:spacing w:line="360" w:lineRule="auto"/>
              <w:jc w:val="left"/>
              <w:rPr>
                <w:rFonts w:hint="eastAsia" w:ascii="宋体" w:hAnsi="宋体" w:cs="宋体"/>
                <w:color w:val="auto"/>
                <w:highlight w:val="none"/>
              </w:rPr>
            </w:pPr>
            <w:r>
              <w:rPr>
                <w:rFonts w:hint="eastAsia" w:ascii="宋体" w:hAnsi="宋体" w:cs="宋体"/>
                <w:color w:val="auto"/>
                <w:kern w:val="0"/>
                <w:szCs w:val="21"/>
                <w:highlight w:val="none"/>
                <w:lang w:bidi="ar"/>
              </w:rPr>
              <w:t xml:space="preserve">结果使用承诺书》，并按以下原则认定： </w:t>
            </w:r>
          </w:p>
          <w:p>
            <w:pPr>
              <w:widowControl/>
              <w:spacing w:line="360" w:lineRule="auto"/>
              <w:ind w:firstLine="420" w:firstLineChars="200"/>
              <w:jc w:val="left"/>
              <w:rPr>
                <w:rFonts w:hint="eastAsia" w:ascii="宋体" w:hAnsi="宋体" w:cs="宋体"/>
                <w:color w:val="auto"/>
                <w:highlight w:val="none"/>
              </w:rPr>
            </w:pPr>
            <w:r>
              <w:rPr>
                <w:rFonts w:hint="eastAsia" w:ascii="宋体" w:hAnsi="宋体" w:cs="宋体"/>
                <w:color w:val="auto"/>
                <w:kern w:val="0"/>
                <w:szCs w:val="21"/>
                <w:highlight w:val="none"/>
                <w:lang w:bidi="ar"/>
              </w:rPr>
              <w:t xml:space="preserve">1）《信用评价结果使用承诺书》应含“浙江省交通运输厅建设市场诚信信息系统”水印，且投标人的信用等级应真实无误、信用等级得分使用未超过规定次数，否则按投标人提供虚假资料处理，并将本次使用《信用评价结果使用承诺书》计入已使用次数； </w:t>
            </w:r>
          </w:p>
          <w:p>
            <w:pPr>
              <w:widowControl/>
              <w:spacing w:line="360" w:lineRule="auto"/>
              <w:ind w:firstLine="420" w:firstLineChars="200"/>
              <w:jc w:val="left"/>
              <w:rPr>
                <w:rFonts w:hint="eastAsia" w:ascii="宋体" w:hAnsi="宋体" w:cs="宋体"/>
                <w:color w:val="auto"/>
                <w:highlight w:val="none"/>
              </w:rPr>
            </w:pPr>
            <w:r>
              <w:rPr>
                <w:rFonts w:hint="eastAsia" w:ascii="宋体" w:hAnsi="宋体" w:cs="宋体"/>
                <w:color w:val="auto"/>
                <w:kern w:val="0"/>
                <w:szCs w:val="21"/>
                <w:highlight w:val="none"/>
                <w:lang w:bidi="ar"/>
              </w:rPr>
              <w:t xml:space="preserve">2）《信用评价结果使用承诺书》中除（1）中所列内容外的其他所有内容应真实无误，且与本项目相关信息保持一致，否则视为投标文件存在重大偏差，按否决投标处理，并将本次使用《信用评价结果使用承诺书》计入已使用次数。 </w:t>
            </w:r>
          </w:p>
          <w:p>
            <w:pPr>
              <w:widowControl/>
              <w:spacing w:line="360" w:lineRule="auto"/>
              <w:ind w:firstLine="420" w:firstLineChars="200"/>
              <w:jc w:val="left"/>
              <w:rPr>
                <w:rFonts w:hint="eastAsia" w:ascii="宋体" w:hAnsi="宋体" w:cs="宋体"/>
                <w:color w:val="auto"/>
                <w:highlight w:val="none"/>
              </w:rPr>
            </w:pPr>
            <w:r>
              <w:rPr>
                <w:rFonts w:hint="eastAsia" w:ascii="宋体" w:hAnsi="宋体" w:cs="宋体"/>
                <w:color w:val="auto"/>
                <w:kern w:val="0"/>
                <w:szCs w:val="21"/>
                <w:highlight w:val="none"/>
                <w:lang w:bidi="ar"/>
              </w:rPr>
              <w:t xml:space="preserve">（3）2021 年 7 月 1 日以来，被交通运输部、浙江省交通运输厅、浙江省发改委三部门以外的省级及以上单位（部门）书面通报限制投标，并在处罚期内的，如实填报的扣1分，隐瞒不报的一经查实作否决投标处理，并视为投标人提供虚假材料，按投标人须知第3.5.8项处理； </w:t>
            </w:r>
          </w:p>
          <w:p>
            <w:pPr>
              <w:widowControl/>
              <w:spacing w:line="360" w:lineRule="auto"/>
              <w:ind w:firstLine="420" w:firstLineChars="200"/>
              <w:jc w:val="left"/>
              <w:rPr>
                <w:rFonts w:hint="eastAsia"/>
                <w:color w:val="auto"/>
                <w:highlight w:val="none"/>
              </w:rPr>
            </w:pPr>
            <w:r>
              <w:rPr>
                <w:rFonts w:hint="eastAsia" w:ascii="宋体" w:hAnsi="宋体" w:cs="宋体"/>
                <w:color w:val="auto"/>
                <w:kern w:val="0"/>
                <w:szCs w:val="21"/>
                <w:highlight w:val="none"/>
                <w:lang w:bidi="ar"/>
              </w:rPr>
              <w:t>（4）2019 年</w:t>
            </w:r>
            <w:r>
              <w:rPr>
                <w:rFonts w:hint="eastAsia" w:ascii="宋体" w:hAnsi="宋体" w:cs="宋体"/>
                <w:color w:val="auto"/>
                <w:kern w:val="0"/>
                <w:szCs w:val="21"/>
                <w:highlight w:val="none"/>
                <w:lang w:val="en-US" w:eastAsia="zh-CN" w:bidi="ar"/>
              </w:rPr>
              <w:t>7</w:t>
            </w:r>
            <w:r>
              <w:rPr>
                <w:rFonts w:hint="eastAsia" w:ascii="宋体" w:hAnsi="宋体" w:cs="宋体"/>
                <w:color w:val="auto"/>
                <w:kern w:val="0"/>
                <w:szCs w:val="21"/>
                <w:highlight w:val="none"/>
                <w:lang w:bidi="ar"/>
              </w:rPr>
              <w:t xml:space="preserve">月 1 日以来，投标人或拟委任的项目经理在工程建设领域中，有行贿受贿行为未构成犯罪的，如实填报的扣1分，隐瞒不报的一经查实作否决投标处理，并视为投标人提供虚假材料按投标人须知第3.5.8项处理（投标人和拟委任的项目经理有无行贿行为认定：以中国裁判文书网查询结果为准，投标人自行承诺即可、无需提供）。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288" w:type="dxa"/>
            <w:gridSpan w:val="3"/>
            <w:noWrap w:val="0"/>
            <w:vAlign w:val="center"/>
          </w:tcPr>
          <w:p>
            <w:pPr>
              <w:spacing w:line="240" w:lineRule="exact"/>
              <w:rPr>
                <w:color w:val="auto"/>
                <w:highlight w:val="none"/>
              </w:rPr>
            </w:pPr>
            <w:r>
              <w:rPr>
                <w:rFonts w:hint="eastAsia" w:ascii="宋体" w:hAnsi="宋体"/>
                <w:color w:val="auto"/>
                <w:highlight w:val="none"/>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 w:type="dxa"/>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1</w:t>
            </w:r>
          </w:p>
        </w:tc>
        <w:tc>
          <w:tcPr>
            <w:tcW w:w="1114" w:type="dxa"/>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评标</w:t>
            </w:r>
          </w:p>
          <w:p>
            <w:pPr>
              <w:spacing w:line="240" w:lineRule="exact"/>
              <w:jc w:val="center"/>
              <w:rPr>
                <w:rFonts w:hint="eastAsia" w:ascii="宋体" w:hAnsi="宋体"/>
                <w:color w:val="auto"/>
                <w:highlight w:val="none"/>
              </w:rPr>
            </w:pPr>
            <w:r>
              <w:rPr>
                <w:rFonts w:hint="eastAsia" w:ascii="宋体" w:hAnsi="宋体"/>
                <w:color w:val="auto"/>
                <w:highlight w:val="none"/>
              </w:rPr>
              <w:t>方法</w:t>
            </w:r>
          </w:p>
        </w:tc>
        <w:tc>
          <w:tcPr>
            <w:tcW w:w="7357" w:type="dxa"/>
            <w:noWrap w:val="0"/>
            <w:vAlign w:val="center"/>
          </w:tcPr>
          <w:p>
            <w:pPr>
              <w:spacing w:line="360" w:lineRule="auto"/>
              <w:rPr>
                <w:rFonts w:hint="eastAsia" w:ascii="宋体" w:hAnsi="宋体"/>
                <w:color w:val="auto"/>
                <w:highlight w:val="none"/>
              </w:rPr>
            </w:pPr>
            <w:r>
              <w:rPr>
                <w:rFonts w:hint="eastAsia" w:ascii="宋体" w:hAnsi="宋体"/>
                <w:color w:val="auto"/>
                <w:highlight w:val="none"/>
              </w:rPr>
              <w:t>第1条细化为：</w:t>
            </w:r>
          </w:p>
          <w:p>
            <w:pPr>
              <w:spacing w:line="360" w:lineRule="auto"/>
              <w:rPr>
                <w:rFonts w:hint="eastAsia" w:ascii="宋体" w:hAnsi="宋体"/>
                <w:color w:val="auto"/>
                <w:highlight w:val="none"/>
              </w:rPr>
            </w:pPr>
            <w:r>
              <w:rPr>
                <w:rFonts w:hint="eastAsia" w:ascii="宋体" w:hAnsi="宋体"/>
                <w:color w:val="auto"/>
                <w:highlight w:val="none"/>
              </w:rPr>
              <w:t xml:space="preserve">  1.1评标办法</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本次评标采用综合评估法（合理低价法）。评标委员会对满足招标文件实质性要求通过评审的投标文件，按照本章第1.2 款规定的评审范围和第2.2 款规定的评分标准进行打分，并按得分由高到低顺序推荐中标候选人，但投标报价低于其成本的除外。综合评分相等时，以投标报价低的优先；投标报价也相等的，以</w:t>
            </w:r>
            <w:r>
              <w:rPr>
                <w:rFonts w:hint="eastAsia" w:ascii="宋体" w:hAnsi="宋体"/>
                <w:b/>
                <w:color w:val="auto"/>
                <w:highlight w:val="none"/>
              </w:rPr>
              <w:t>信用评价结果</w:t>
            </w:r>
            <w:r>
              <w:rPr>
                <w:rFonts w:hint="eastAsia" w:ascii="宋体" w:hAnsi="宋体"/>
                <w:color w:val="auto"/>
                <w:highlight w:val="none"/>
              </w:rPr>
              <w:t>得分高的优先；投标报价和信用评价结果得分均相等的，以递交投标文件时间较前的投标人优先。</w:t>
            </w:r>
          </w:p>
          <w:p>
            <w:pPr>
              <w:spacing w:line="360" w:lineRule="auto"/>
              <w:ind w:firstLine="420" w:firstLineChars="200"/>
              <w:rPr>
                <w:rFonts w:hint="eastAsia" w:ascii="宋体" w:hAnsi="宋体"/>
                <w:color w:val="auto"/>
                <w:szCs w:val="22"/>
                <w:highlight w:val="none"/>
              </w:rPr>
            </w:pPr>
            <w:r>
              <w:rPr>
                <w:rFonts w:hint="eastAsia" w:ascii="宋体" w:hAnsi="宋体"/>
                <w:color w:val="auto"/>
                <w:szCs w:val="22"/>
                <w:highlight w:val="none"/>
              </w:rPr>
              <w:t>凡评标委员会拟作出否决投标决定的，应先向投标人进行书面询问核实。未进行询问核实程序的，不得做出否决投标决定，投标人放弃接受询问核实机会的除外（投标人所留联系方式无法联系上、在30分钟内投标人不参加询问核实或未出具答复意见的）。</w:t>
            </w:r>
          </w:p>
          <w:p>
            <w:pPr>
              <w:spacing w:line="360" w:lineRule="auto"/>
              <w:ind w:firstLine="420" w:firstLineChars="200"/>
              <w:rPr>
                <w:rFonts w:hint="eastAsia" w:ascii="宋体" w:hAnsi="宋体"/>
                <w:color w:val="auto"/>
                <w:szCs w:val="22"/>
                <w:highlight w:val="none"/>
              </w:rPr>
            </w:pPr>
            <w:r>
              <w:rPr>
                <w:rFonts w:hint="eastAsia" w:ascii="宋体" w:hAnsi="宋体"/>
                <w:color w:val="auto"/>
                <w:szCs w:val="22"/>
                <w:highlight w:val="none"/>
              </w:rPr>
              <w:t>“评标办法”中规定的否决投标情形，由评标委员会审核并经过询标程序，其投标文件作否决处理。除此之外招标文件中其他条款均不得作为否决投标的依据。</w:t>
            </w:r>
          </w:p>
          <w:p>
            <w:pPr>
              <w:spacing w:line="360" w:lineRule="auto"/>
              <w:ind w:firstLine="420" w:firstLineChars="200"/>
              <w:rPr>
                <w:rFonts w:hint="eastAsia" w:ascii="宋体" w:hAnsi="宋体"/>
                <w:color w:val="auto"/>
                <w:szCs w:val="22"/>
                <w:highlight w:val="none"/>
              </w:rPr>
            </w:pPr>
            <w:r>
              <w:rPr>
                <w:rFonts w:hint="eastAsia" w:ascii="宋体" w:hAnsi="宋体"/>
                <w:color w:val="auto"/>
                <w:szCs w:val="22"/>
                <w:highlight w:val="none"/>
              </w:rPr>
              <w:t>1.2.评审范围</w:t>
            </w:r>
          </w:p>
          <w:p>
            <w:pPr>
              <w:spacing w:line="360" w:lineRule="auto"/>
              <w:ind w:firstLine="420" w:firstLineChars="200"/>
              <w:rPr>
                <w:rFonts w:hint="eastAsia" w:ascii="宋体" w:hAnsi="宋体"/>
                <w:color w:val="auto"/>
                <w:szCs w:val="22"/>
                <w:highlight w:val="none"/>
              </w:rPr>
            </w:pPr>
            <w:r>
              <w:rPr>
                <w:rFonts w:hint="eastAsia" w:ascii="宋体" w:hAnsi="宋体"/>
                <w:color w:val="auto"/>
                <w:szCs w:val="22"/>
                <w:highlight w:val="none"/>
              </w:rPr>
              <w:t>第一信封初步评审范围：所有投标人的投标文件。</w:t>
            </w:r>
          </w:p>
          <w:p>
            <w:pPr>
              <w:spacing w:line="360" w:lineRule="auto"/>
              <w:ind w:firstLine="420" w:firstLineChars="200"/>
              <w:rPr>
                <w:rFonts w:hint="eastAsia" w:ascii="宋体" w:hAnsi="宋体"/>
                <w:color w:val="auto"/>
                <w:szCs w:val="22"/>
                <w:highlight w:val="none"/>
              </w:rPr>
            </w:pPr>
            <w:r>
              <w:rPr>
                <w:rFonts w:hint="eastAsia" w:ascii="宋体" w:hAnsi="宋体"/>
                <w:color w:val="auto"/>
                <w:szCs w:val="22"/>
                <w:highlight w:val="none"/>
              </w:rPr>
              <w:t>第二信封初步评审范围：所有通过第一信封评审的投标人的投标文件。</w:t>
            </w:r>
          </w:p>
          <w:p>
            <w:pPr>
              <w:spacing w:line="360" w:lineRule="auto"/>
              <w:ind w:firstLine="420" w:firstLineChars="200"/>
              <w:rPr>
                <w:color w:val="auto"/>
                <w:highlight w:val="none"/>
              </w:rPr>
            </w:pPr>
            <w:r>
              <w:rPr>
                <w:rFonts w:hint="eastAsia" w:ascii="宋体" w:hAnsi="宋体"/>
                <w:color w:val="auto"/>
                <w:szCs w:val="22"/>
                <w:highlight w:val="none"/>
              </w:rPr>
              <w:t>详细评审范围：所有通过第一信封及第二信封初步评审的投标文件。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0" w:hRule="atLeast"/>
        </w:trPr>
        <w:tc>
          <w:tcPr>
            <w:tcW w:w="817" w:type="dxa"/>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3.1</w:t>
            </w:r>
          </w:p>
        </w:tc>
        <w:tc>
          <w:tcPr>
            <w:tcW w:w="1114" w:type="dxa"/>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初步</w:t>
            </w:r>
          </w:p>
          <w:p>
            <w:pPr>
              <w:spacing w:line="240" w:lineRule="exact"/>
              <w:jc w:val="center"/>
              <w:rPr>
                <w:rFonts w:hint="eastAsia" w:ascii="宋体" w:hAnsi="宋体"/>
                <w:color w:val="auto"/>
                <w:highlight w:val="none"/>
              </w:rPr>
            </w:pPr>
            <w:r>
              <w:rPr>
                <w:rFonts w:hint="eastAsia" w:ascii="宋体" w:hAnsi="宋体"/>
                <w:color w:val="auto"/>
                <w:highlight w:val="none"/>
              </w:rPr>
              <w:t>评审</w:t>
            </w:r>
          </w:p>
        </w:tc>
        <w:tc>
          <w:tcPr>
            <w:tcW w:w="7357" w:type="dxa"/>
            <w:noWrap w:val="0"/>
            <w:vAlign w:val="center"/>
          </w:tcPr>
          <w:p>
            <w:pPr>
              <w:spacing w:line="360" w:lineRule="auto"/>
              <w:rPr>
                <w:rFonts w:hint="eastAsia" w:ascii="宋体" w:hAnsi="宋体"/>
                <w:color w:val="auto"/>
                <w:highlight w:val="none"/>
              </w:rPr>
            </w:pPr>
            <w:r>
              <w:rPr>
                <w:rFonts w:hint="eastAsia" w:ascii="宋体" w:hAnsi="宋体"/>
                <w:color w:val="auto"/>
                <w:highlight w:val="none"/>
              </w:rPr>
              <w:t>第3.1.2项细化为：</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3.1.2投标人有以下情形之一的，其投标作否决投标处理：</w:t>
            </w:r>
          </w:p>
          <w:p>
            <w:pPr>
              <w:numPr>
                <w:ilvl w:val="0"/>
                <w:numId w:val="3"/>
              </w:numPr>
              <w:spacing w:line="360" w:lineRule="auto"/>
              <w:ind w:firstLine="315" w:firstLineChars="150"/>
              <w:rPr>
                <w:rFonts w:hint="eastAsia" w:ascii="宋体" w:hAnsi="宋体"/>
                <w:color w:val="auto"/>
                <w:highlight w:val="none"/>
              </w:rPr>
            </w:pPr>
            <w:r>
              <w:rPr>
                <w:rFonts w:hint="eastAsia" w:ascii="宋体" w:hAnsi="宋体"/>
                <w:color w:val="auto"/>
                <w:highlight w:val="none"/>
              </w:rPr>
              <w:t>第二章“投标人须知”第1.4.3项规定的任何一种情形的；</w:t>
            </w:r>
          </w:p>
          <w:p>
            <w:pPr>
              <w:numPr>
                <w:ilvl w:val="0"/>
                <w:numId w:val="3"/>
              </w:numPr>
              <w:spacing w:line="360" w:lineRule="auto"/>
              <w:ind w:firstLine="315" w:firstLineChars="150"/>
              <w:rPr>
                <w:rFonts w:hint="eastAsia" w:ascii="宋体" w:hAnsi="宋体"/>
                <w:color w:val="auto"/>
                <w:highlight w:val="none"/>
              </w:rPr>
            </w:pPr>
            <w:r>
              <w:rPr>
                <w:rFonts w:hint="eastAsia" w:ascii="宋体" w:hAnsi="宋体"/>
                <w:color w:val="auto"/>
                <w:highlight w:val="none"/>
              </w:rPr>
              <w:t>《中华人民共和国招标投标法实施条例》（中华人民共和国国务院令第613号）规定的任何一种串通投标或弄虚作假或其他违法行为；</w:t>
            </w:r>
          </w:p>
          <w:p>
            <w:pPr>
              <w:numPr>
                <w:ilvl w:val="0"/>
                <w:numId w:val="3"/>
              </w:numPr>
              <w:spacing w:line="360" w:lineRule="auto"/>
              <w:ind w:firstLine="315" w:firstLineChars="150"/>
              <w:rPr>
                <w:rFonts w:hint="eastAsia" w:ascii="宋体" w:hAnsi="宋体"/>
                <w:color w:val="auto"/>
                <w:highlight w:val="none"/>
              </w:rPr>
            </w:pPr>
            <w:r>
              <w:rPr>
                <w:rFonts w:hint="eastAsia" w:ascii="宋体" w:hAnsi="宋体"/>
                <w:color w:val="auto"/>
                <w:highlight w:val="none"/>
              </w:rPr>
              <w:t>不按评标委员会要求澄清、说明或补正的。</w:t>
            </w:r>
          </w:p>
          <w:p>
            <w:pPr>
              <w:spacing w:line="360" w:lineRule="auto"/>
              <w:rPr>
                <w:rFonts w:hint="eastAsia" w:ascii="宋体" w:hAnsi="宋体"/>
                <w:color w:val="auto"/>
                <w:highlight w:val="none"/>
              </w:rPr>
            </w:pPr>
            <w:r>
              <w:rPr>
                <w:rFonts w:hint="eastAsia" w:ascii="宋体" w:hAnsi="宋体"/>
                <w:color w:val="auto"/>
                <w:highlight w:val="none"/>
              </w:rPr>
              <w:t>第3.1.3项细化为：</w:t>
            </w:r>
          </w:p>
          <w:p>
            <w:pPr>
              <w:spacing w:line="360" w:lineRule="auto"/>
              <w:rPr>
                <w:rFonts w:hint="eastAsia" w:ascii="宋体" w:hAnsi="宋体"/>
                <w:color w:val="auto"/>
                <w:highlight w:val="none"/>
              </w:rPr>
            </w:pPr>
            <w:r>
              <w:rPr>
                <w:rFonts w:hint="eastAsia" w:ascii="宋体" w:hAnsi="宋体"/>
                <w:color w:val="auto"/>
                <w:highlight w:val="none"/>
              </w:rPr>
              <w:t xml:space="preserve">    3.1.3投标报价有算术错误的，评标委员会按以下原则对投标报价进行修正，由招标人根据评标委员会建议在发出中标通知书前对投标报价进行修正，修正的价格经投标人书面确认后具有约束力。投标人不接受修正价格的，其投标作否决处理，并没收其投标保证金。</w:t>
            </w:r>
          </w:p>
          <w:p>
            <w:pPr>
              <w:spacing w:line="360" w:lineRule="auto"/>
              <w:rPr>
                <w:rFonts w:hint="eastAsia" w:ascii="宋体" w:hAnsi="宋体"/>
                <w:color w:val="auto"/>
                <w:highlight w:val="none"/>
              </w:rPr>
            </w:pPr>
            <w:r>
              <w:rPr>
                <w:rFonts w:hint="eastAsia" w:ascii="宋体" w:hAnsi="宋体"/>
                <w:color w:val="auto"/>
                <w:highlight w:val="none"/>
              </w:rPr>
              <w:t xml:space="preserve">   （1）投标文件中的大写金额与小写金额不一致的，以大写金额为准；</w:t>
            </w:r>
          </w:p>
          <w:p>
            <w:pPr>
              <w:spacing w:line="360" w:lineRule="auto"/>
              <w:rPr>
                <w:rFonts w:hint="eastAsia" w:ascii="宋体" w:hAnsi="宋体"/>
                <w:color w:val="auto"/>
                <w:highlight w:val="none"/>
              </w:rPr>
            </w:pPr>
            <w:r>
              <w:rPr>
                <w:rFonts w:hint="eastAsia" w:ascii="宋体" w:hAnsi="宋体"/>
                <w:color w:val="auto"/>
                <w:highlight w:val="none"/>
              </w:rPr>
              <w:t xml:space="preserve">   （2）总价金额与依据单价计算出的结果不一致的，以单价金额为准修正总价，但单价金额小数点有明显错误的除外；</w:t>
            </w:r>
          </w:p>
          <w:p>
            <w:pPr>
              <w:spacing w:line="360" w:lineRule="auto"/>
              <w:rPr>
                <w:rFonts w:hint="eastAsia" w:ascii="宋体" w:hAnsi="宋体"/>
                <w:color w:val="auto"/>
                <w:highlight w:val="none"/>
              </w:rPr>
            </w:pPr>
            <w:r>
              <w:rPr>
                <w:rFonts w:hint="eastAsia" w:ascii="宋体" w:hAnsi="宋体"/>
                <w:color w:val="auto"/>
                <w:highlight w:val="none"/>
              </w:rPr>
              <w:t xml:space="preserve">   （3）当单价与数量相乘不等于合价时，以单价计算为准，如果单价有明显的小数点位置差错，应以标出的合价为准，同时对单价予以修正。</w:t>
            </w:r>
          </w:p>
          <w:p>
            <w:pPr>
              <w:spacing w:line="360" w:lineRule="auto"/>
              <w:rPr>
                <w:rFonts w:hint="eastAsia" w:ascii="宋体" w:hAnsi="宋体"/>
                <w:color w:val="auto"/>
                <w:highlight w:val="none"/>
              </w:rPr>
            </w:pPr>
            <w:r>
              <w:rPr>
                <w:rFonts w:hint="eastAsia" w:ascii="宋体" w:hAnsi="宋体"/>
                <w:color w:val="auto"/>
                <w:highlight w:val="none"/>
              </w:rPr>
              <w:t xml:space="preserve">   （4）当各子目的合价累计不等于总价时，应以各子目合价累计数为准，修正总价；</w:t>
            </w:r>
          </w:p>
          <w:p>
            <w:pPr>
              <w:spacing w:line="360" w:lineRule="auto"/>
              <w:rPr>
                <w:rFonts w:hint="eastAsia" w:ascii="宋体" w:hAnsi="宋体"/>
                <w:color w:val="auto"/>
                <w:highlight w:val="none"/>
              </w:rPr>
            </w:pPr>
            <w:r>
              <w:rPr>
                <w:rFonts w:hint="eastAsia" w:ascii="宋体" w:hAnsi="宋体"/>
                <w:color w:val="auto"/>
                <w:highlight w:val="none"/>
              </w:rPr>
              <w:t xml:space="preserve">   （5）安全生产费、暂估价、暂列金额不满足招标文件规定的，按规定的金额修正。</w:t>
            </w:r>
          </w:p>
          <w:p>
            <w:pPr>
              <w:spacing w:line="360" w:lineRule="auto"/>
              <w:rPr>
                <w:rFonts w:hint="eastAsia" w:ascii="宋体" w:hAnsi="宋体"/>
                <w:color w:val="auto"/>
                <w:highlight w:val="none"/>
              </w:rPr>
            </w:pPr>
            <w:r>
              <w:rPr>
                <w:rFonts w:hint="eastAsia" w:ascii="宋体" w:hAnsi="宋体"/>
                <w:color w:val="auto"/>
                <w:highlight w:val="none"/>
              </w:rPr>
              <w:t>第3.1.4项细化为：</w:t>
            </w:r>
          </w:p>
          <w:p>
            <w:pPr>
              <w:spacing w:line="360" w:lineRule="auto"/>
              <w:rPr>
                <w:rFonts w:hint="eastAsia" w:ascii="宋体" w:hAnsi="宋体"/>
                <w:color w:val="auto"/>
                <w:highlight w:val="none"/>
              </w:rPr>
            </w:pPr>
            <w:r>
              <w:rPr>
                <w:rFonts w:hint="eastAsia" w:ascii="宋体" w:hAnsi="宋体"/>
                <w:color w:val="auto"/>
                <w:highlight w:val="none"/>
              </w:rPr>
              <w:t xml:space="preserve">    3.1.4工程量清单中的投标报价有其他错误的，评标委员会按以下原则对投标报价进行修正，或由招标人根据评标委员会建议在发出中标通知书前对投标报价进行修正，修正的价格经投标人书面确认后具有约束力。投标人不接受修正价格的，其投标作否决处理，并没收其投标保证金。</w:t>
            </w:r>
          </w:p>
          <w:p>
            <w:pPr>
              <w:spacing w:line="360" w:lineRule="auto"/>
              <w:rPr>
                <w:rFonts w:hint="eastAsia" w:ascii="宋体" w:hAnsi="宋体"/>
                <w:color w:val="auto"/>
                <w:highlight w:val="none"/>
              </w:rPr>
            </w:pPr>
            <w:r>
              <w:rPr>
                <w:rFonts w:hint="eastAsia" w:ascii="宋体" w:hAnsi="宋体"/>
                <w:color w:val="auto"/>
                <w:highlight w:val="none"/>
              </w:rPr>
              <w:t xml:space="preserve">   （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spacing w:line="360" w:lineRule="auto"/>
              <w:rPr>
                <w:rFonts w:hint="eastAsia" w:ascii="宋体" w:hAnsi="宋体"/>
                <w:color w:val="auto"/>
                <w:highlight w:val="none"/>
              </w:rPr>
            </w:pPr>
            <w:r>
              <w:rPr>
                <w:rFonts w:hint="eastAsia" w:ascii="宋体" w:hAnsi="宋体"/>
                <w:color w:val="auto"/>
                <w:highlight w:val="none"/>
              </w:rPr>
              <w:t xml:space="preserve">   （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spacing w:line="360" w:lineRule="auto"/>
              <w:rPr>
                <w:rFonts w:hint="eastAsia" w:ascii="宋体" w:hAnsi="宋体"/>
                <w:color w:val="auto"/>
                <w:highlight w:val="none"/>
              </w:rPr>
            </w:pPr>
            <w:r>
              <w:rPr>
                <w:rFonts w:hint="eastAsia" w:ascii="宋体" w:hAnsi="宋体"/>
                <w:color w:val="auto"/>
                <w:highlight w:val="none"/>
              </w:rPr>
              <w:t xml:space="preserve">  （3）当单价与数量的乘积与合价（金额）虽然一致，但投标人修改了该子目的工程数量，则其合价按招标人给定的工程数量乘以投标人所报单价予以修正。</w:t>
            </w:r>
          </w:p>
          <w:p>
            <w:pPr>
              <w:spacing w:line="360" w:lineRule="auto"/>
              <w:rPr>
                <w:rFonts w:hint="eastAsia" w:ascii="宋体" w:hAnsi="宋体"/>
                <w:color w:val="auto"/>
                <w:highlight w:val="none"/>
              </w:rPr>
            </w:pPr>
            <w:r>
              <w:rPr>
                <w:rFonts w:hint="eastAsia" w:ascii="宋体" w:hAnsi="宋体"/>
                <w:color w:val="auto"/>
                <w:highlight w:val="none"/>
              </w:rPr>
              <w:t>第 3.1.5 项细化为：</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3.1.5修正后的最终投标报价若超过投标控制价，投标人的投标文件作否决投标处理。</w:t>
            </w:r>
          </w:p>
          <w:p>
            <w:pPr>
              <w:spacing w:line="360" w:lineRule="auto"/>
              <w:rPr>
                <w:rFonts w:hint="eastAsia" w:ascii="宋体" w:hAnsi="宋体"/>
                <w:color w:val="auto"/>
                <w:highlight w:val="none"/>
              </w:rPr>
            </w:pPr>
            <w:r>
              <w:rPr>
                <w:rFonts w:hint="eastAsia" w:ascii="宋体" w:hAnsi="宋体"/>
                <w:color w:val="auto"/>
                <w:highlight w:val="none"/>
              </w:rPr>
              <w:t>补充第3.1.7项</w:t>
            </w:r>
            <w:r>
              <w:rPr>
                <w:rFonts w:hint="eastAsia" w:ascii="宋体" w:hAnsi="宋体"/>
                <w:vanish/>
                <w:color w:val="auto"/>
                <w:highlight w:val="none"/>
              </w:rPr>
              <w:t>1行人   的 业绩，并</w:t>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pgNum/>
            </w:r>
            <w:r>
              <w:rPr>
                <w:rFonts w:hint="eastAsia" w:ascii="宋体" w:hAnsi="宋体"/>
                <w:vanish/>
                <w:color w:val="auto"/>
                <w:highlight w:val="none"/>
              </w:rPr>
              <w:t>补充第3.1.</w:t>
            </w:r>
          </w:p>
          <w:p>
            <w:pPr>
              <w:spacing w:line="360" w:lineRule="auto"/>
              <w:rPr>
                <w:rFonts w:hint="eastAsia" w:ascii="宋体" w:hAnsi="宋体"/>
                <w:color w:val="auto"/>
                <w:highlight w:val="none"/>
              </w:rPr>
            </w:pPr>
            <w:r>
              <w:rPr>
                <w:rFonts w:hint="eastAsia" w:ascii="宋体" w:hAnsi="宋体"/>
                <w:color w:val="auto"/>
                <w:highlight w:val="none"/>
              </w:rPr>
              <w:t xml:space="preserve">    3.1.7初步评审投标文件作否决投标处理的，应经评标委员会三分之二（含）以上成员认定。</w:t>
            </w:r>
          </w:p>
          <w:p>
            <w:pPr>
              <w:spacing w:line="360" w:lineRule="auto"/>
              <w:ind w:firstLine="630" w:firstLineChars="300"/>
              <w:rPr>
                <w:rFonts w:hint="eastAsia" w:ascii="宋体" w:hAnsi="宋体"/>
                <w:color w:val="auto"/>
                <w:highlight w:val="none"/>
              </w:rPr>
            </w:pPr>
            <w:r>
              <w:rPr>
                <w:rFonts w:hint="eastAsia" w:ascii="宋体" w:hAnsi="宋体"/>
                <w:color w:val="auto"/>
                <w:highlight w:val="none"/>
              </w:rPr>
              <w:t>3.1.8投标报价有算术错误或工程量清单中的投标报价有其他错误的，招标人可根据评标委员会的建议在发出中标通知书前按3.1.3、3.1.4项对投标报价进行修正，修正的投标报价经招标人书面确认后具有约束力。</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817" w:type="dxa"/>
            <w:noWrap w:val="0"/>
            <w:vAlign w:val="center"/>
          </w:tcPr>
          <w:p>
            <w:pPr>
              <w:spacing w:line="360" w:lineRule="auto"/>
              <w:jc w:val="center"/>
              <w:rPr>
                <w:rFonts w:hint="eastAsia" w:ascii="宋体" w:hAnsi="宋体"/>
                <w:color w:val="auto"/>
                <w:highlight w:val="none"/>
              </w:rPr>
            </w:pPr>
            <w:r>
              <w:rPr>
                <w:rFonts w:hint="eastAsia" w:ascii="宋体" w:hAnsi="宋体"/>
                <w:color w:val="auto"/>
                <w:highlight w:val="none"/>
              </w:rPr>
              <w:t>3.2</w:t>
            </w:r>
          </w:p>
        </w:tc>
        <w:tc>
          <w:tcPr>
            <w:tcW w:w="1114" w:type="dxa"/>
            <w:noWrap w:val="0"/>
            <w:vAlign w:val="center"/>
          </w:tcPr>
          <w:p>
            <w:pPr>
              <w:spacing w:line="360" w:lineRule="auto"/>
              <w:jc w:val="center"/>
              <w:rPr>
                <w:rFonts w:hint="eastAsia" w:ascii="宋体" w:hAnsi="宋体"/>
                <w:color w:val="auto"/>
                <w:highlight w:val="none"/>
              </w:rPr>
            </w:pPr>
            <w:r>
              <w:rPr>
                <w:rFonts w:hint="eastAsia" w:ascii="宋体" w:hAnsi="宋体"/>
                <w:color w:val="auto"/>
                <w:highlight w:val="none"/>
              </w:rPr>
              <w:t>详细</w:t>
            </w:r>
          </w:p>
          <w:p>
            <w:pPr>
              <w:spacing w:line="360" w:lineRule="auto"/>
              <w:jc w:val="center"/>
              <w:rPr>
                <w:rFonts w:hint="eastAsia" w:ascii="宋体" w:hAnsi="宋体"/>
                <w:color w:val="auto"/>
                <w:highlight w:val="none"/>
              </w:rPr>
            </w:pPr>
            <w:r>
              <w:rPr>
                <w:rFonts w:hint="eastAsia" w:ascii="宋体" w:hAnsi="宋体"/>
                <w:color w:val="auto"/>
                <w:highlight w:val="none"/>
              </w:rPr>
              <w:t>评审</w:t>
            </w:r>
          </w:p>
        </w:tc>
        <w:tc>
          <w:tcPr>
            <w:tcW w:w="7357" w:type="dxa"/>
            <w:noWrap w:val="0"/>
            <w:vAlign w:val="center"/>
          </w:tcPr>
          <w:p>
            <w:pPr>
              <w:spacing w:line="360" w:lineRule="auto"/>
              <w:rPr>
                <w:rFonts w:hint="eastAsia" w:ascii="宋体" w:hAnsi="宋体"/>
                <w:color w:val="auto"/>
                <w:highlight w:val="none"/>
              </w:rPr>
            </w:pPr>
            <w:r>
              <w:rPr>
                <w:rFonts w:hint="eastAsia" w:ascii="宋体" w:hAnsi="宋体"/>
                <w:color w:val="auto"/>
                <w:highlight w:val="none"/>
              </w:rPr>
              <w:t>第3.2.4项细化为：</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3.2.4评标委员会发现投标人的报价明显低于其他投标报价，使得其投标报价可能低于其个别成本的，应当要求该投标人作出书面说明并提供相应的证明材料。投标人不能合理说明或者不能提供相应证明材料的，由评标委员会三分之二（含）以上成员认定该投标人以低于成本报价竞标，其投标作否决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817" w:type="dxa"/>
            <w:noWrap w:val="0"/>
            <w:vAlign w:val="center"/>
          </w:tcPr>
          <w:p>
            <w:pPr>
              <w:wordWrap w:val="0"/>
              <w:spacing w:line="360" w:lineRule="auto"/>
              <w:jc w:val="center"/>
              <w:rPr>
                <w:rFonts w:hint="eastAsia" w:ascii="宋体" w:hAnsi="宋体"/>
                <w:color w:val="auto"/>
                <w:highlight w:val="none"/>
              </w:rPr>
            </w:pPr>
            <w:r>
              <w:rPr>
                <w:rFonts w:hint="eastAsia" w:ascii="宋体" w:hAnsi="宋体"/>
                <w:color w:val="auto"/>
                <w:szCs w:val="22"/>
                <w:highlight w:val="none"/>
              </w:rPr>
              <w:t>3.4</w:t>
            </w:r>
          </w:p>
        </w:tc>
        <w:tc>
          <w:tcPr>
            <w:tcW w:w="1114" w:type="dxa"/>
            <w:noWrap w:val="0"/>
            <w:vAlign w:val="center"/>
          </w:tcPr>
          <w:p>
            <w:pPr>
              <w:wordWrap w:val="0"/>
              <w:spacing w:line="360" w:lineRule="auto"/>
              <w:ind w:firstLine="210" w:firstLineChars="100"/>
              <w:rPr>
                <w:color w:val="auto"/>
                <w:szCs w:val="21"/>
                <w:highlight w:val="none"/>
              </w:rPr>
            </w:pPr>
            <w:r>
              <w:rPr>
                <w:color w:val="auto"/>
                <w:szCs w:val="21"/>
                <w:highlight w:val="none"/>
              </w:rPr>
              <w:t>评标</w:t>
            </w:r>
          </w:p>
          <w:p>
            <w:pPr>
              <w:wordWrap w:val="0"/>
              <w:spacing w:line="360" w:lineRule="auto"/>
              <w:ind w:firstLine="210" w:firstLineChars="100"/>
              <w:rPr>
                <w:rFonts w:hint="eastAsia" w:ascii="宋体" w:hAnsi="宋体"/>
                <w:color w:val="auto"/>
                <w:highlight w:val="none"/>
              </w:rPr>
            </w:pPr>
            <w:r>
              <w:rPr>
                <w:color w:val="auto"/>
                <w:szCs w:val="21"/>
                <w:highlight w:val="none"/>
              </w:rPr>
              <w:t>结果</w:t>
            </w:r>
          </w:p>
        </w:tc>
        <w:tc>
          <w:tcPr>
            <w:tcW w:w="7357" w:type="dxa"/>
            <w:noWrap w:val="0"/>
            <w:vAlign w:val="center"/>
          </w:tcPr>
          <w:p>
            <w:pPr>
              <w:wordWrap w:val="0"/>
              <w:snapToGrid w:val="0"/>
              <w:spacing w:line="360" w:lineRule="auto"/>
              <w:ind w:right="105" w:rightChars="50"/>
              <w:rPr>
                <w:color w:val="auto"/>
                <w:szCs w:val="21"/>
                <w:highlight w:val="none"/>
              </w:rPr>
            </w:pPr>
            <w:r>
              <w:rPr>
                <w:color w:val="auto"/>
                <w:szCs w:val="21"/>
                <w:highlight w:val="none"/>
              </w:rPr>
              <w:t>第3.4.2项细化为：</w:t>
            </w:r>
          </w:p>
          <w:p>
            <w:pPr>
              <w:wordWrap w:val="0"/>
              <w:snapToGrid w:val="0"/>
              <w:spacing w:line="360" w:lineRule="auto"/>
              <w:ind w:right="105" w:rightChars="50" w:firstLine="420" w:firstLineChars="200"/>
              <w:rPr>
                <w:rFonts w:hint="eastAsia"/>
                <w:color w:val="auto"/>
                <w:szCs w:val="21"/>
                <w:highlight w:val="none"/>
              </w:rPr>
            </w:pPr>
            <w:r>
              <w:rPr>
                <w:color w:val="auto"/>
                <w:szCs w:val="21"/>
                <w:highlight w:val="none"/>
              </w:rPr>
              <w:t>3.4.2</w:t>
            </w:r>
            <w:r>
              <w:rPr>
                <w:rFonts w:hint="eastAsia"/>
                <w:color w:val="auto"/>
                <w:szCs w:val="21"/>
                <w:highlight w:val="none"/>
              </w:rPr>
              <w:t>经评审有效投标文件少于三家，以致于明显缺乏竞争的，经三分之二及以上评委认定，评标委员会可以决定本次招标无效。</w:t>
            </w:r>
          </w:p>
          <w:p>
            <w:pPr>
              <w:wordWrap w:val="0"/>
              <w:snapToGrid w:val="0"/>
              <w:spacing w:line="360" w:lineRule="auto"/>
              <w:ind w:right="105" w:rightChars="50" w:firstLine="420" w:firstLineChars="200"/>
              <w:rPr>
                <w:rFonts w:hint="eastAsia"/>
                <w:color w:val="auto"/>
                <w:szCs w:val="21"/>
                <w:highlight w:val="none"/>
              </w:rPr>
            </w:pPr>
            <w:r>
              <w:rPr>
                <w:rFonts w:hint="eastAsia"/>
                <w:color w:val="auto"/>
                <w:szCs w:val="21"/>
                <w:highlight w:val="none"/>
              </w:rPr>
              <w:t>评标委员会经评审，认为所有投标都不满足招标文件要求的，可以否决所有投标。所有的投标文件均不能满足招标文件要求，招标人应当重新招标。</w:t>
            </w:r>
          </w:p>
          <w:p>
            <w:pPr>
              <w:wordWrap w:val="0"/>
              <w:snapToGrid w:val="0"/>
              <w:spacing w:line="360" w:lineRule="auto"/>
              <w:ind w:right="105" w:rightChars="50" w:firstLine="420" w:firstLineChars="200"/>
              <w:rPr>
                <w:color w:val="auto"/>
                <w:szCs w:val="21"/>
                <w:highlight w:val="none"/>
              </w:rPr>
            </w:pPr>
            <w:r>
              <w:rPr>
                <w:color w:val="auto"/>
                <w:szCs w:val="21"/>
                <w:highlight w:val="none"/>
              </w:rPr>
              <w:t>评标委员会根据评分结果，向招标人推荐1名中标候选人。向招标人提出书面报告，并抄送有关行政监督部门。评标报告应如实记载下列内容：</w:t>
            </w:r>
          </w:p>
          <w:p>
            <w:pPr>
              <w:wordWrap w:val="0"/>
              <w:snapToGrid w:val="0"/>
              <w:spacing w:line="360" w:lineRule="auto"/>
              <w:ind w:firstLine="315" w:firstLineChars="150"/>
              <w:rPr>
                <w:color w:val="auto"/>
                <w:szCs w:val="21"/>
                <w:highlight w:val="none"/>
              </w:rPr>
            </w:pPr>
            <w:r>
              <w:rPr>
                <w:color w:val="auto"/>
                <w:szCs w:val="21"/>
                <w:highlight w:val="none"/>
              </w:rPr>
              <w:t>（1）项目概况（包括招标项目基本情况和数据表）；</w:t>
            </w:r>
          </w:p>
          <w:p>
            <w:pPr>
              <w:wordWrap w:val="0"/>
              <w:snapToGrid w:val="0"/>
              <w:spacing w:line="360" w:lineRule="auto"/>
              <w:ind w:left="105" w:leftChars="50" w:right="105" w:rightChars="50" w:firstLine="210" w:firstLineChars="100"/>
              <w:rPr>
                <w:color w:val="auto"/>
                <w:szCs w:val="21"/>
                <w:highlight w:val="none"/>
              </w:rPr>
            </w:pPr>
            <w:r>
              <w:rPr>
                <w:color w:val="auto"/>
                <w:szCs w:val="21"/>
                <w:highlight w:val="none"/>
              </w:rPr>
              <w:t>（2）招标过程（包括开标记录）；</w:t>
            </w:r>
          </w:p>
          <w:p>
            <w:pPr>
              <w:wordWrap w:val="0"/>
              <w:snapToGrid w:val="0"/>
              <w:spacing w:line="360" w:lineRule="auto"/>
              <w:ind w:left="105" w:leftChars="50" w:right="105" w:rightChars="50" w:firstLine="210" w:firstLineChars="100"/>
              <w:rPr>
                <w:color w:val="auto"/>
                <w:szCs w:val="21"/>
                <w:highlight w:val="none"/>
              </w:rPr>
            </w:pPr>
            <w:r>
              <w:rPr>
                <w:color w:val="auto"/>
                <w:szCs w:val="21"/>
                <w:highlight w:val="none"/>
              </w:rPr>
              <w:t>（3）评标工作（包括评标委员会组成、评标标准与办法、资格审查、初步评审、详细评审、综合评价，以及否决说明）；</w:t>
            </w:r>
          </w:p>
          <w:p>
            <w:pPr>
              <w:wordWrap w:val="0"/>
              <w:snapToGrid w:val="0"/>
              <w:spacing w:line="360" w:lineRule="auto"/>
              <w:ind w:left="105" w:leftChars="50" w:right="105" w:rightChars="50" w:firstLine="210" w:firstLineChars="100"/>
              <w:rPr>
                <w:color w:val="auto"/>
                <w:szCs w:val="21"/>
                <w:highlight w:val="none"/>
              </w:rPr>
            </w:pPr>
            <w:r>
              <w:rPr>
                <w:color w:val="auto"/>
                <w:szCs w:val="21"/>
                <w:highlight w:val="none"/>
              </w:rPr>
              <w:t>（4）评标结果；</w:t>
            </w:r>
          </w:p>
          <w:p>
            <w:pPr>
              <w:wordWrap w:val="0"/>
              <w:snapToGrid w:val="0"/>
              <w:spacing w:line="360" w:lineRule="auto"/>
              <w:ind w:left="105" w:leftChars="50" w:right="105" w:rightChars="50" w:firstLine="210" w:firstLineChars="100"/>
              <w:rPr>
                <w:rFonts w:hint="eastAsia" w:ascii="宋体" w:hAnsi="宋体"/>
                <w:color w:val="auto"/>
                <w:highlight w:val="none"/>
              </w:rPr>
            </w:pPr>
            <w:r>
              <w:rPr>
                <w:color w:val="auto"/>
                <w:szCs w:val="21"/>
                <w:highlight w:val="none"/>
              </w:rPr>
              <w:t>（5）向投标人的澄清记录及评标附表。</w:t>
            </w:r>
          </w:p>
        </w:tc>
      </w:tr>
    </w:tbl>
    <w:p>
      <w:pPr>
        <w:spacing w:line="360" w:lineRule="auto"/>
        <w:jc w:val="right"/>
        <w:rPr>
          <w:rFonts w:hint="eastAsia"/>
          <w:color w:val="auto"/>
          <w:highlight w:val="none"/>
        </w:rPr>
      </w:pPr>
    </w:p>
    <w:p>
      <w:pPr>
        <w:spacing w:line="360" w:lineRule="auto"/>
        <w:rPr>
          <w:rFonts w:hint="eastAsia"/>
          <w:color w:val="auto"/>
          <w:highlight w:val="none"/>
        </w:rPr>
        <w:sectPr>
          <w:type w:val="continuous"/>
          <w:pgSz w:w="11906" w:h="16838"/>
          <w:pgMar w:top="1474" w:right="1418" w:bottom="1361" w:left="1418" w:header="850" w:footer="992" w:gutter="0"/>
          <w:cols w:space="720" w:num="1"/>
          <w:docGrid w:linePitch="312" w:charSpace="0"/>
        </w:sectPr>
      </w:pPr>
    </w:p>
    <w:p>
      <w:pPr>
        <w:spacing w:line="360" w:lineRule="auto"/>
        <w:outlineLvl w:val="2"/>
        <w:rPr>
          <w:rFonts w:hint="eastAsia" w:ascii="黑体" w:hAnsi="宋体" w:eastAsia="黑体"/>
          <w:b/>
          <w:color w:val="auto"/>
          <w:highlight w:val="none"/>
        </w:rPr>
      </w:pPr>
      <w:bookmarkStart w:id="961" w:name="_Toc375000707"/>
      <w:bookmarkStart w:id="962" w:name="_Toc373697785"/>
      <w:bookmarkStart w:id="963" w:name="_Toc373871512"/>
      <w:bookmarkStart w:id="964" w:name="_Toc466365792"/>
      <w:r>
        <w:rPr>
          <w:rFonts w:hint="eastAsia" w:ascii="黑体" w:hAnsi="宋体" w:eastAsia="黑体"/>
          <w:b/>
          <w:color w:val="auto"/>
          <w:highlight w:val="none"/>
        </w:rPr>
        <w:t>1、评标方法</w:t>
      </w:r>
      <w:bookmarkEnd w:id="961"/>
      <w:bookmarkEnd w:id="962"/>
      <w:bookmarkEnd w:id="963"/>
      <w:bookmarkEnd w:id="964"/>
    </w:p>
    <w:p>
      <w:pPr>
        <w:spacing w:line="400" w:lineRule="exact"/>
        <w:rPr>
          <w:rFonts w:ascii="宋体" w:hAnsi="宋体"/>
          <w:color w:val="auto"/>
          <w:highlight w:val="none"/>
        </w:rPr>
      </w:pPr>
      <w:bookmarkStart w:id="965" w:name="_Toc4458"/>
      <w:bookmarkStart w:id="966" w:name="_Toc245477134"/>
      <w:bookmarkStart w:id="967" w:name="_Toc8147"/>
      <w:bookmarkStart w:id="968" w:name="_Toc21222"/>
      <w:r>
        <w:rPr>
          <w:rFonts w:hint="eastAsia" w:ascii="宋体" w:hAnsi="宋体"/>
          <w:color w:val="auto"/>
          <w:highlight w:val="none"/>
        </w:rPr>
        <w:t xml:space="preserve">    本次评标采用合理低价法。评标委员会对满足招标文件实质性要求的投标文件，按照本章第 2.2 款规定的评分标准进行打分，并按得分由高到低顺序推荐中标候选人，或根据招标人授权直接确定中 标人，但投标报价低于其成本的除外。综合评分相等时，以投标报价低的优先；投标报价也相等的， 招标人可采用被招标项目所在地省级交通主管部门评为较高信用等级的投标人优先或递交投标文件时间较前的投标人优先或其他方法确定第一中标候选人。</w:t>
      </w:r>
    </w:p>
    <w:p>
      <w:pPr>
        <w:spacing w:line="400" w:lineRule="exact"/>
        <w:outlineLvl w:val="2"/>
        <w:rPr>
          <w:rFonts w:hint="eastAsia" w:ascii="黑体" w:hAnsi="宋体" w:eastAsia="黑体"/>
          <w:b/>
          <w:color w:val="auto"/>
          <w:highlight w:val="none"/>
        </w:rPr>
      </w:pPr>
      <w:bookmarkStart w:id="969" w:name="_Toc375000708"/>
      <w:bookmarkStart w:id="970" w:name="_Toc295684328"/>
      <w:bookmarkStart w:id="971" w:name="_Toc266444053"/>
      <w:bookmarkStart w:id="972" w:name="_Toc284866300"/>
      <w:bookmarkStart w:id="973" w:name="_Toc373697786"/>
      <w:bookmarkStart w:id="974" w:name="_Toc466365793"/>
      <w:bookmarkStart w:id="975" w:name="_Toc373871513"/>
      <w:bookmarkStart w:id="976" w:name="_Toc262895696"/>
      <w:bookmarkStart w:id="977" w:name="_Toc324107647"/>
      <w:r>
        <w:rPr>
          <w:rFonts w:hint="eastAsia" w:ascii="黑体" w:hAnsi="宋体" w:eastAsia="黑体"/>
          <w:b/>
          <w:color w:val="auto"/>
          <w:highlight w:val="none"/>
        </w:rPr>
        <w:t>2、评审标准</w:t>
      </w:r>
      <w:bookmarkEnd w:id="965"/>
      <w:bookmarkEnd w:id="966"/>
      <w:bookmarkEnd w:id="967"/>
      <w:bookmarkEnd w:id="968"/>
      <w:bookmarkEnd w:id="969"/>
      <w:bookmarkEnd w:id="970"/>
      <w:bookmarkEnd w:id="971"/>
      <w:bookmarkEnd w:id="972"/>
      <w:bookmarkEnd w:id="973"/>
      <w:bookmarkEnd w:id="974"/>
      <w:bookmarkEnd w:id="975"/>
      <w:bookmarkEnd w:id="976"/>
      <w:bookmarkEnd w:id="977"/>
    </w:p>
    <w:p>
      <w:pPr>
        <w:spacing w:line="400" w:lineRule="exact"/>
        <w:outlineLvl w:val="3"/>
        <w:rPr>
          <w:rFonts w:hint="eastAsia" w:ascii="黑体" w:hAnsi="宋体" w:eastAsia="黑体"/>
          <w:b/>
          <w:color w:val="auto"/>
          <w:highlight w:val="none"/>
        </w:rPr>
      </w:pPr>
      <w:bookmarkStart w:id="978" w:name="_Toc262895697"/>
      <w:bookmarkStart w:id="979" w:name="_Toc284866301"/>
      <w:bookmarkStart w:id="980" w:name="_Toc245477135"/>
      <w:bookmarkStart w:id="981" w:name="_Toc373697787"/>
      <w:bookmarkStart w:id="982" w:name="_Toc375000709"/>
      <w:bookmarkStart w:id="983" w:name="_Toc373871514"/>
      <w:bookmarkStart w:id="984" w:name="_Toc295684329"/>
      <w:bookmarkStart w:id="985" w:name="_Toc466365794"/>
      <w:bookmarkStart w:id="986" w:name="_Toc324107648"/>
      <w:bookmarkStart w:id="987" w:name="_Toc266444054"/>
      <w:r>
        <w:rPr>
          <w:rFonts w:hint="eastAsia" w:ascii="黑体" w:hAnsi="宋体" w:eastAsia="黑体"/>
          <w:b/>
          <w:color w:val="auto"/>
          <w:highlight w:val="none"/>
        </w:rPr>
        <w:t>2.1  初步评审标准</w:t>
      </w:r>
      <w:bookmarkEnd w:id="978"/>
      <w:bookmarkEnd w:id="979"/>
      <w:bookmarkEnd w:id="980"/>
      <w:bookmarkEnd w:id="981"/>
      <w:bookmarkEnd w:id="982"/>
      <w:bookmarkEnd w:id="983"/>
      <w:bookmarkEnd w:id="984"/>
      <w:bookmarkEnd w:id="985"/>
      <w:bookmarkEnd w:id="986"/>
      <w:bookmarkEnd w:id="987"/>
    </w:p>
    <w:p>
      <w:pPr>
        <w:spacing w:line="400" w:lineRule="exact"/>
        <w:rPr>
          <w:rFonts w:hint="eastAsia" w:ascii="宋体" w:hAnsi="宋体"/>
          <w:color w:val="auto"/>
          <w:highlight w:val="none"/>
        </w:rPr>
      </w:pPr>
      <w:r>
        <w:rPr>
          <w:rFonts w:hint="eastAsia" w:ascii="宋体" w:hAnsi="宋体"/>
          <w:b/>
          <w:color w:val="auto"/>
          <w:highlight w:val="none"/>
        </w:rPr>
        <w:t xml:space="preserve">   </w:t>
      </w:r>
      <w:r>
        <w:rPr>
          <w:rFonts w:hint="eastAsia" w:ascii="宋体" w:hAnsi="宋体"/>
          <w:color w:val="auto"/>
          <w:highlight w:val="none"/>
        </w:rPr>
        <w:t xml:space="preserve"> 2.1.1形式评审标准：见评标办法前附表。</w:t>
      </w:r>
    </w:p>
    <w:p>
      <w:pPr>
        <w:spacing w:line="400" w:lineRule="exact"/>
        <w:rPr>
          <w:rFonts w:hint="eastAsia" w:ascii="宋体" w:hAnsi="宋体"/>
          <w:color w:val="auto"/>
          <w:highlight w:val="none"/>
        </w:rPr>
      </w:pPr>
      <w:r>
        <w:rPr>
          <w:rFonts w:hint="eastAsia" w:ascii="宋体" w:hAnsi="宋体"/>
          <w:color w:val="auto"/>
          <w:highlight w:val="none"/>
        </w:rPr>
        <w:t xml:space="preserve">    2.1.2资格评审标准：见评标办法前附表。</w:t>
      </w:r>
    </w:p>
    <w:p>
      <w:pPr>
        <w:spacing w:line="400" w:lineRule="exact"/>
        <w:rPr>
          <w:rFonts w:hint="eastAsia" w:ascii="宋体" w:hAnsi="宋体"/>
          <w:color w:val="auto"/>
          <w:highlight w:val="none"/>
        </w:rPr>
      </w:pPr>
      <w:r>
        <w:rPr>
          <w:rFonts w:hint="eastAsia" w:ascii="宋体" w:hAnsi="宋体"/>
          <w:color w:val="auto"/>
          <w:highlight w:val="none"/>
        </w:rPr>
        <w:t xml:space="preserve">    2.1.3响应性评审标准：见评标办法前附表。</w:t>
      </w:r>
    </w:p>
    <w:p>
      <w:pPr>
        <w:spacing w:line="400" w:lineRule="exact"/>
        <w:outlineLvl w:val="3"/>
        <w:rPr>
          <w:rFonts w:hint="eastAsia" w:ascii="黑体" w:hAnsi="宋体" w:eastAsia="黑体"/>
          <w:b/>
          <w:color w:val="auto"/>
          <w:highlight w:val="none"/>
        </w:rPr>
      </w:pPr>
      <w:bookmarkStart w:id="988" w:name="_Toc245477136"/>
      <w:bookmarkStart w:id="989" w:name="_Toc295684330"/>
      <w:bookmarkStart w:id="990" w:name="_Toc373697788"/>
      <w:bookmarkStart w:id="991" w:name="_Toc284866302"/>
      <w:bookmarkStart w:id="992" w:name="_Toc466365795"/>
      <w:bookmarkStart w:id="993" w:name="_Toc266444055"/>
      <w:bookmarkStart w:id="994" w:name="_Toc262895698"/>
      <w:bookmarkStart w:id="995" w:name="_Toc375000710"/>
      <w:bookmarkStart w:id="996" w:name="_Toc324107649"/>
      <w:bookmarkStart w:id="997" w:name="_Toc373871515"/>
      <w:r>
        <w:rPr>
          <w:rFonts w:hint="eastAsia" w:ascii="黑体" w:hAnsi="宋体" w:eastAsia="黑体"/>
          <w:b/>
          <w:color w:val="auto"/>
          <w:highlight w:val="none"/>
        </w:rPr>
        <w:t>2.2  分值构成与评分标准</w:t>
      </w:r>
      <w:bookmarkEnd w:id="988"/>
      <w:bookmarkEnd w:id="989"/>
      <w:bookmarkEnd w:id="990"/>
      <w:bookmarkEnd w:id="991"/>
      <w:bookmarkEnd w:id="992"/>
      <w:bookmarkEnd w:id="993"/>
      <w:bookmarkEnd w:id="994"/>
      <w:bookmarkEnd w:id="995"/>
      <w:bookmarkEnd w:id="996"/>
      <w:bookmarkEnd w:id="997"/>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2.2.1分值构成</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（1）施工组织设计：见评标办法前附表；</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（2）项目管理机构：见评标办法前附表；</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（3）投标报价：见评标办法前附表；</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（4）其他评分因素：见评标办法前附表。</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2.2.2评标基准价计算</w:t>
      </w:r>
    </w:p>
    <w:p>
      <w:pPr>
        <w:spacing w:line="400" w:lineRule="exact"/>
        <w:ind w:firstLine="840" w:firstLineChars="400"/>
        <w:rPr>
          <w:rFonts w:hint="eastAsia" w:ascii="宋体" w:hAnsi="宋体"/>
          <w:color w:val="auto"/>
          <w:highlight w:val="none"/>
        </w:rPr>
      </w:pPr>
      <w:r>
        <w:rPr>
          <w:rFonts w:hint="eastAsia" w:ascii="宋体" w:hAnsi="宋体"/>
          <w:color w:val="auto"/>
          <w:highlight w:val="none"/>
        </w:rPr>
        <w:t>评标基准价计算方法：见评标办法前附表。</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2.2.3投标报价的偏差率计算</w:t>
      </w:r>
    </w:p>
    <w:p>
      <w:pPr>
        <w:spacing w:line="400" w:lineRule="exact"/>
        <w:ind w:firstLine="840" w:firstLineChars="400"/>
        <w:rPr>
          <w:rFonts w:hint="eastAsia" w:ascii="宋体" w:hAnsi="宋体"/>
          <w:color w:val="auto"/>
          <w:highlight w:val="none"/>
        </w:rPr>
      </w:pPr>
      <w:r>
        <w:rPr>
          <w:rFonts w:hint="eastAsia" w:ascii="宋体" w:hAnsi="宋体"/>
          <w:color w:val="auto"/>
          <w:highlight w:val="none"/>
        </w:rPr>
        <w:t>投标报价的偏差率计算公式：见评标办法前附表。</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2.2.4评分标准</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（1）施工组织设计评分标准：见评标办法前附表；</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（2）项目管理机构评分标准：见评标办法前附表；</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（3）投标报价评分标准：见评标办法前附表；</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（4）其他因素评分标准：见评标办法前附表。</w:t>
      </w:r>
    </w:p>
    <w:p>
      <w:pPr>
        <w:spacing w:line="400" w:lineRule="exact"/>
        <w:outlineLvl w:val="2"/>
        <w:rPr>
          <w:rFonts w:ascii="黑体" w:hAnsi="宋体" w:eastAsia="黑体"/>
          <w:b/>
          <w:color w:val="auto"/>
          <w:highlight w:val="none"/>
        </w:rPr>
      </w:pPr>
      <w:bookmarkStart w:id="998" w:name="_Toc295684331"/>
      <w:bookmarkStart w:id="999" w:name="_Toc245477137"/>
      <w:bookmarkStart w:id="1000" w:name="_Toc324107650"/>
      <w:bookmarkStart w:id="1001" w:name="_Toc375000711"/>
      <w:bookmarkStart w:id="1002" w:name="_Toc373697789"/>
      <w:bookmarkStart w:id="1003" w:name="_Toc262895699"/>
      <w:bookmarkStart w:id="1004" w:name="_Toc466365796"/>
      <w:bookmarkStart w:id="1005" w:name="_Toc1320"/>
      <w:bookmarkStart w:id="1006" w:name="_Toc266444056"/>
      <w:bookmarkStart w:id="1007" w:name="_Toc373871516"/>
      <w:bookmarkStart w:id="1008" w:name="_Toc284866303"/>
      <w:bookmarkStart w:id="1009" w:name="_Toc18308"/>
      <w:bookmarkStart w:id="1010" w:name="_Toc24422"/>
      <w:r>
        <w:rPr>
          <w:rFonts w:ascii="黑体" w:hAnsi="宋体" w:eastAsia="黑体"/>
          <w:b/>
          <w:color w:val="auto"/>
          <w:highlight w:val="none"/>
        </w:rPr>
        <w:t>3、评标程序</w:t>
      </w:r>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spacing w:line="400" w:lineRule="exact"/>
        <w:outlineLvl w:val="3"/>
        <w:rPr>
          <w:rFonts w:ascii="黑体" w:hAnsi="宋体" w:eastAsia="黑体"/>
          <w:b/>
          <w:color w:val="auto"/>
          <w:highlight w:val="none"/>
        </w:rPr>
      </w:pPr>
      <w:bookmarkStart w:id="1011" w:name="_Toc284866304"/>
      <w:bookmarkStart w:id="1012" w:name="_Toc373871517"/>
      <w:bookmarkStart w:id="1013" w:name="_Toc295684332"/>
      <w:bookmarkStart w:id="1014" w:name="_Toc373697790"/>
      <w:bookmarkStart w:id="1015" w:name="_Toc324107651"/>
      <w:bookmarkStart w:id="1016" w:name="_Toc245477138"/>
      <w:bookmarkStart w:id="1017" w:name="_Toc466365797"/>
      <w:bookmarkStart w:id="1018" w:name="_Toc262895700"/>
      <w:bookmarkStart w:id="1019" w:name="_Toc266444057"/>
      <w:bookmarkStart w:id="1020" w:name="_Toc375000712"/>
      <w:r>
        <w:rPr>
          <w:rFonts w:ascii="黑体" w:hAnsi="宋体" w:eastAsia="黑体"/>
          <w:b/>
          <w:color w:val="auto"/>
          <w:highlight w:val="none"/>
        </w:rPr>
        <w:t>3.1  初步评审</w:t>
      </w:r>
      <w:bookmarkEnd w:id="1011"/>
      <w:bookmarkEnd w:id="1012"/>
      <w:bookmarkEnd w:id="1013"/>
      <w:bookmarkEnd w:id="1014"/>
      <w:bookmarkEnd w:id="1015"/>
      <w:bookmarkEnd w:id="1016"/>
      <w:bookmarkEnd w:id="1017"/>
      <w:bookmarkEnd w:id="1018"/>
      <w:bookmarkEnd w:id="1019"/>
      <w:bookmarkEnd w:id="1020"/>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3.1.1评标委员会可以要求投标人提交第二章“投标人须知”第3.5.1项至第3.5.5项规定的有关证明和证件的原件，以便核验。评标委员会依据本章第2.1款规定的标准对投标文件进行初步评审。有一项不符合评审标准的，作废标处理。</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3.1.2投标人有以下情形之一的，其投标作废标处理：</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（1）第二章“投标人须知”第1.4.3项规定的任何一种情形的；</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（2）串通投标或弄虚作假或有其他违法行为的；</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（3）不按评标委员会要求澄清、说明或补正的。</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3.1.3投标报价有算术错误的，评标委员会按以下原则对投标报价进行修正，修正的价格经投标人书面确认后具有约束力。投标人不接受修正价格的，其投标作废标处理，并没收其投标保证金。</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（1）投标文件中的大写金额与小写金额不一致的，以大写金额为准；</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（2）总价金额与依据单价计算出的结果不一致的，以单价金额为准修正总价，但单价金额小数点有明显错误的除外；</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（3）当单价与数量相乘不等于合价时，以单价计算为准，如果单价有明显的小数点位置差错，应以标出的合价为准，同时对单价予以修正；</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（4）当各子目的合价累计不等于总价时，应以各子目合价累计数为准，修正总价。</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3.1.4工程量清单中的投标报价有其他错误的，评标委员会按以下原则对投标报价进行修正，修正的价格经投标人书面确认后具有约束力。投标人不接受修正价格的，其投标作废标处理，并没收其投标保证金。</w:t>
      </w:r>
    </w:p>
    <w:p>
      <w:pPr>
        <w:spacing w:line="400" w:lineRule="exact"/>
        <w:rPr>
          <w:rFonts w:ascii="宋体" w:hAnsi="宋体"/>
          <w:color w:val="auto"/>
          <w:highlight w:val="none"/>
        </w:rPr>
      </w:pPr>
      <w:r>
        <w:rPr>
          <w:rFonts w:hint="eastAsia" w:ascii="宋体" w:hAnsi="宋体"/>
          <w:color w:val="auto"/>
          <w:highlight w:val="none"/>
        </w:rPr>
        <w:t xml:space="preserve">    （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spacing w:line="400" w:lineRule="exact"/>
        <w:rPr>
          <w:rFonts w:ascii="宋体" w:hAnsi="宋体"/>
          <w:color w:val="auto"/>
          <w:highlight w:val="none"/>
        </w:rPr>
      </w:pPr>
      <w:r>
        <w:rPr>
          <w:rFonts w:hint="eastAsia" w:ascii="宋体" w:hAnsi="宋体"/>
          <w:color w:val="auto"/>
          <w:highlight w:val="none"/>
        </w:rPr>
        <w:t xml:space="preserve">    （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spacing w:line="400" w:lineRule="exact"/>
        <w:rPr>
          <w:rFonts w:ascii="宋体" w:hAnsi="宋体"/>
          <w:color w:val="auto"/>
          <w:highlight w:val="none"/>
        </w:rPr>
      </w:pPr>
      <w:r>
        <w:rPr>
          <w:rFonts w:hint="eastAsia" w:ascii="宋体" w:hAnsi="宋体"/>
          <w:color w:val="auto"/>
          <w:highlight w:val="none"/>
        </w:rPr>
        <w:t xml:space="preserve">    （3）当单价与数量的乘积与合价（金额）虽然一致，但投标人修改了该子目的工程数量，则其合价按招标人给定的工程数量乘以投标人所报单价予以修正。</w:t>
      </w:r>
    </w:p>
    <w:p>
      <w:pPr>
        <w:spacing w:line="400" w:lineRule="exact"/>
        <w:rPr>
          <w:rFonts w:ascii="宋体" w:hAnsi="宋体"/>
          <w:color w:val="auto"/>
          <w:highlight w:val="none"/>
        </w:rPr>
      </w:pPr>
      <w:r>
        <w:rPr>
          <w:rFonts w:hint="eastAsia" w:ascii="宋体" w:hAnsi="宋体"/>
          <w:color w:val="auto"/>
          <w:highlight w:val="none"/>
        </w:rPr>
        <w:t xml:space="preserve">    3.1.5  修正后的最终投标报价若超过投标控制价上限（如有），投标人的投标文件作废标处理。</w:t>
      </w:r>
    </w:p>
    <w:p>
      <w:pPr>
        <w:spacing w:line="400" w:lineRule="exact"/>
        <w:rPr>
          <w:rFonts w:ascii="宋体" w:hAnsi="宋体"/>
          <w:color w:val="auto"/>
          <w:highlight w:val="none"/>
        </w:rPr>
      </w:pPr>
      <w:r>
        <w:rPr>
          <w:rFonts w:hint="eastAsia" w:ascii="宋体" w:hAnsi="宋体"/>
          <w:color w:val="auto"/>
          <w:highlight w:val="none"/>
        </w:rPr>
        <w:t xml:space="preserve">    3.1.6  修正后的最终投标报价仅作为签订合同的一个依据，不参与评标价得分的计算。</w:t>
      </w:r>
    </w:p>
    <w:p>
      <w:pPr>
        <w:spacing w:line="400" w:lineRule="exact"/>
        <w:outlineLvl w:val="3"/>
        <w:rPr>
          <w:rFonts w:ascii="黑体" w:hAnsi="宋体" w:eastAsia="黑体"/>
          <w:b/>
          <w:color w:val="auto"/>
          <w:highlight w:val="none"/>
        </w:rPr>
      </w:pPr>
      <w:bookmarkStart w:id="1021" w:name="_Toc466365798"/>
      <w:bookmarkStart w:id="1022" w:name="_Toc262895701"/>
      <w:bookmarkStart w:id="1023" w:name="_Toc373871518"/>
      <w:bookmarkStart w:id="1024" w:name="_Toc295684333"/>
      <w:bookmarkStart w:id="1025" w:name="_Toc266444058"/>
      <w:bookmarkStart w:id="1026" w:name="_Toc324107652"/>
      <w:bookmarkStart w:id="1027" w:name="_Toc373697791"/>
      <w:bookmarkStart w:id="1028" w:name="_Toc375000713"/>
      <w:bookmarkStart w:id="1029" w:name="_Toc245477139"/>
      <w:bookmarkStart w:id="1030" w:name="_Toc284866305"/>
      <w:r>
        <w:rPr>
          <w:rFonts w:ascii="黑体" w:hAnsi="宋体" w:eastAsia="黑体"/>
          <w:b/>
          <w:color w:val="auto"/>
          <w:highlight w:val="none"/>
        </w:rPr>
        <w:t>3.2  详细评审</w:t>
      </w:r>
      <w:bookmarkEnd w:id="1021"/>
      <w:bookmarkEnd w:id="1022"/>
      <w:bookmarkEnd w:id="1023"/>
      <w:bookmarkEnd w:id="1024"/>
      <w:bookmarkEnd w:id="1025"/>
      <w:bookmarkEnd w:id="1026"/>
      <w:bookmarkEnd w:id="1027"/>
      <w:bookmarkEnd w:id="1028"/>
      <w:bookmarkEnd w:id="1029"/>
      <w:bookmarkEnd w:id="1030"/>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3.2.1 评标委员会按本章第2.2款规定的量化因素和分值进行打分，并计算出综合评估得分。</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（1）按本章第2.2.4（1）目规定的评审因素和分值对施工组织设计计算出得分A；</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（2）按本章第2.2.4（2）目规定的评审因素和分值对项目管理机构计算出得分B；</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（3）按本章第2.2.4（3）目规定的评审因素和分值对投标报价计算出得分C；</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（4）按本章第2.2.4（4）目规定的评审因素和分值对其他部分计算出得分D。</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3.2.2 评分分值计算保留小数点后两位，小数点后第三位“四舍五入”。</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3.2.3 投标人得分=A+B+C+D。</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pPr>
        <w:spacing w:line="400" w:lineRule="exact"/>
        <w:outlineLvl w:val="3"/>
        <w:rPr>
          <w:rFonts w:ascii="黑体" w:hAnsi="宋体" w:eastAsia="黑体"/>
          <w:b/>
          <w:color w:val="auto"/>
          <w:highlight w:val="none"/>
        </w:rPr>
      </w:pPr>
      <w:bookmarkStart w:id="1031" w:name="_Toc466365799"/>
      <w:bookmarkStart w:id="1032" w:name="_Toc373697792"/>
      <w:bookmarkStart w:id="1033" w:name="_Toc266444059"/>
      <w:bookmarkStart w:id="1034" w:name="_Toc262895702"/>
      <w:bookmarkStart w:id="1035" w:name="_Toc373871519"/>
      <w:bookmarkStart w:id="1036" w:name="_Toc375000714"/>
      <w:bookmarkStart w:id="1037" w:name="_Toc295684334"/>
      <w:bookmarkStart w:id="1038" w:name="_Toc245477140"/>
      <w:bookmarkStart w:id="1039" w:name="_Toc324107653"/>
      <w:bookmarkStart w:id="1040" w:name="_Toc284866306"/>
      <w:r>
        <w:rPr>
          <w:rFonts w:ascii="黑体" w:hAnsi="宋体" w:eastAsia="黑体"/>
          <w:b/>
          <w:color w:val="auto"/>
          <w:highlight w:val="none"/>
        </w:rPr>
        <w:t>3.3  投标文件的澄清和补正</w:t>
      </w:r>
      <w:bookmarkEnd w:id="1031"/>
      <w:bookmarkEnd w:id="1032"/>
      <w:bookmarkEnd w:id="1033"/>
      <w:bookmarkEnd w:id="1034"/>
      <w:bookmarkEnd w:id="1035"/>
      <w:bookmarkEnd w:id="1036"/>
      <w:bookmarkEnd w:id="1037"/>
      <w:bookmarkEnd w:id="1038"/>
      <w:bookmarkEnd w:id="1039"/>
      <w:bookmarkEnd w:id="1040"/>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3.3.1在评标过程中，评标委员会可以书面形式要求投标人对所提交投标文件中不明确的内容进行书面澄清或说明，或者对细微偏差进行补正。评标委员会不接受投标人主动提出的澄清、说明或补正。</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3.3.2 澄清、说明和补正不得改变投标文件的实质性内容（算术性错误修正的除外）。投标人的书面澄清、说明和补正属于投标文件的组成部分。</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3.3.3 评标委员会对投标人提交的澄清、说明或补正有疑问的，可以要求投标人进一步澄清、说明或补正，直至满足评标委员会的要求。</w:t>
      </w:r>
    </w:p>
    <w:p>
      <w:pPr>
        <w:spacing w:line="400" w:lineRule="exact"/>
        <w:ind w:firstLine="420" w:firstLineChars="200"/>
        <w:rPr>
          <w:rFonts w:ascii="宋体" w:hAnsi="宋体"/>
          <w:color w:val="auto"/>
          <w:highlight w:val="none"/>
        </w:rPr>
      </w:pPr>
      <w:r>
        <w:rPr>
          <w:rFonts w:hint="eastAsia" w:ascii="宋体" w:hAnsi="宋体"/>
          <w:color w:val="auto"/>
          <w:highlight w:val="none"/>
        </w:rPr>
        <w:t>3.3.4 凡超出招标文件规定的或给发包人带来未曾要求的利益的变化、偏差或其他因素在评标时不予考虑。</w:t>
      </w:r>
    </w:p>
    <w:p>
      <w:pPr>
        <w:spacing w:line="400" w:lineRule="exact"/>
        <w:outlineLvl w:val="3"/>
        <w:rPr>
          <w:rFonts w:ascii="黑体" w:hAnsi="宋体" w:eastAsia="黑体"/>
          <w:b/>
          <w:color w:val="auto"/>
          <w:highlight w:val="none"/>
        </w:rPr>
      </w:pPr>
      <w:bookmarkStart w:id="1041" w:name="_Toc295684335"/>
      <w:bookmarkStart w:id="1042" w:name="_Toc324107654"/>
      <w:bookmarkStart w:id="1043" w:name="_Toc245477141"/>
      <w:bookmarkStart w:id="1044" w:name="_Toc373871520"/>
      <w:bookmarkStart w:id="1045" w:name="_Toc262895703"/>
      <w:bookmarkStart w:id="1046" w:name="_Toc284866307"/>
      <w:bookmarkStart w:id="1047" w:name="_Toc375000715"/>
      <w:bookmarkStart w:id="1048" w:name="_Toc266444060"/>
      <w:bookmarkStart w:id="1049" w:name="_Toc466365800"/>
      <w:bookmarkStart w:id="1050" w:name="_Toc373697793"/>
      <w:r>
        <w:rPr>
          <w:rFonts w:ascii="黑体" w:hAnsi="宋体" w:eastAsia="黑体"/>
          <w:b/>
          <w:color w:val="auto"/>
          <w:highlight w:val="none"/>
        </w:rPr>
        <w:t>3.4  评标结果</w:t>
      </w:r>
      <w:bookmarkEnd w:id="1041"/>
      <w:bookmarkEnd w:id="1042"/>
      <w:bookmarkEnd w:id="1043"/>
      <w:bookmarkEnd w:id="1044"/>
      <w:bookmarkEnd w:id="1045"/>
      <w:bookmarkEnd w:id="1046"/>
      <w:bookmarkEnd w:id="1047"/>
      <w:bookmarkEnd w:id="1048"/>
      <w:bookmarkEnd w:id="1049"/>
      <w:bookmarkEnd w:id="1050"/>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3.4.1除第二章“投标人须知”前附表授权直接确定中标人外，评标委员会按照得分由高到低的顺序推荐中标候选人。</w:t>
      </w:r>
    </w:p>
    <w:p>
      <w:pPr>
        <w:spacing w:line="400" w:lineRule="exact"/>
        <w:ind w:firstLine="420" w:firstLineChars="200"/>
        <w:rPr>
          <w:rFonts w:ascii="宋体" w:hAnsi="宋体"/>
          <w:color w:val="auto"/>
          <w:highlight w:val="none"/>
        </w:rPr>
      </w:pPr>
      <w:r>
        <w:rPr>
          <w:rFonts w:hint="eastAsia" w:ascii="宋体" w:hAnsi="宋体"/>
          <w:color w:val="auto"/>
          <w:highlight w:val="none"/>
        </w:rPr>
        <w:t>3.4.2 评标委员会完成评标后，应当向招标人提交书面评标报告。</w:t>
      </w:r>
    </w:p>
    <w:p>
      <w:pPr>
        <w:spacing w:line="400" w:lineRule="exact"/>
        <w:ind w:firstLine="480" w:firstLineChars="200"/>
        <w:rPr>
          <w:rFonts w:ascii="宋体" w:hAnsi="宋体"/>
          <w:color w:val="auto"/>
          <w:sz w:val="24"/>
          <w:highlight w:val="none"/>
        </w:rPr>
      </w:pPr>
    </w:p>
    <w:p>
      <w:pPr>
        <w:spacing w:line="400" w:lineRule="exact"/>
        <w:jc w:val="center"/>
        <w:outlineLvl w:val="0"/>
        <w:rPr>
          <w:rFonts w:hint="eastAsia" w:ascii="宋体" w:hAnsi="宋体"/>
          <w:b/>
          <w:color w:val="auto"/>
          <w:sz w:val="28"/>
          <w:highlight w:val="none"/>
        </w:rPr>
      </w:pPr>
      <w:r>
        <w:rPr>
          <w:rFonts w:ascii="宋体" w:hAnsi="宋体"/>
          <w:b/>
          <w:color w:val="auto"/>
          <w:sz w:val="28"/>
          <w:highlight w:val="none"/>
        </w:rPr>
        <w:br w:type="page"/>
      </w:r>
      <w:bookmarkStart w:id="1051" w:name="_Toc27554"/>
      <w:bookmarkStart w:id="1052" w:name="_Toc28790"/>
      <w:bookmarkStart w:id="1053" w:name="_Toc10253"/>
      <w:bookmarkStart w:id="1054" w:name="_Toc466366056"/>
      <w:bookmarkStart w:id="1055" w:name="_Toc2448"/>
      <w:r>
        <w:rPr>
          <w:rFonts w:hint="eastAsia" w:ascii="宋体" w:hAnsi="宋体"/>
          <w:b/>
          <w:color w:val="auto"/>
          <w:sz w:val="28"/>
          <w:highlight w:val="none"/>
        </w:rPr>
        <w:t>第四章  合同条款及格式</w:t>
      </w:r>
      <w:bookmarkEnd w:id="1051"/>
    </w:p>
    <w:p>
      <w:pPr>
        <w:spacing w:line="400" w:lineRule="exact"/>
        <w:jc w:val="center"/>
        <w:outlineLvl w:val="1"/>
        <w:rPr>
          <w:rFonts w:ascii="宋体" w:hAnsi="宋体"/>
          <w:b/>
          <w:color w:val="auto"/>
          <w:highlight w:val="none"/>
        </w:rPr>
      </w:pPr>
      <w:bookmarkStart w:id="1056" w:name="_Toc262895705"/>
      <w:bookmarkStart w:id="1057" w:name="_Toc16597"/>
      <w:bookmarkStart w:id="1058" w:name="_Toc24123"/>
      <w:bookmarkStart w:id="1059" w:name="_Toc5495"/>
      <w:bookmarkStart w:id="1060" w:name="_Toc26739"/>
      <w:bookmarkStart w:id="1061" w:name="_Toc262031645"/>
      <w:bookmarkStart w:id="1062" w:name="_Toc26882"/>
      <w:bookmarkStart w:id="1063" w:name="_Toc263889033"/>
      <w:bookmarkStart w:id="1064" w:name="_Toc245477143"/>
      <w:bookmarkStart w:id="1065" w:name="_Toc239671860"/>
      <w:bookmarkStart w:id="1066" w:name="_Toc21810"/>
      <w:r>
        <w:rPr>
          <w:rFonts w:hint="eastAsia" w:ascii="宋体" w:hAnsi="宋体"/>
          <w:b/>
          <w:color w:val="auto"/>
          <w:highlight w:val="none"/>
        </w:rPr>
        <w:t>第一节  通用合同条款</w:t>
      </w:r>
      <w:bookmarkEnd w:id="1056"/>
      <w:bookmarkEnd w:id="1057"/>
      <w:bookmarkEnd w:id="1058"/>
      <w:bookmarkEnd w:id="1059"/>
      <w:bookmarkEnd w:id="1060"/>
      <w:bookmarkEnd w:id="1061"/>
      <w:bookmarkEnd w:id="1062"/>
      <w:bookmarkEnd w:id="1063"/>
      <w:bookmarkEnd w:id="1064"/>
      <w:bookmarkEnd w:id="1065"/>
      <w:bookmarkEnd w:id="1066"/>
    </w:p>
    <w:p>
      <w:pPr>
        <w:spacing w:line="400" w:lineRule="exact"/>
        <w:jc w:val="center"/>
        <w:rPr>
          <w:rFonts w:ascii="宋体" w:hAnsi="宋体"/>
          <w:b/>
          <w:color w:val="auto"/>
          <w:highlight w:val="none"/>
        </w:rPr>
      </w:pPr>
      <w:r>
        <w:rPr>
          <w:rFonts w:hint="eastAsia" w:ascii="宋体" w:hAnsi="宋体"/>
          <w:color w:val="auto"/>
          <w:highlight w:val="none"/>
        </w:rPr>
        <w:t>“通用合同条款”采用《公路工程标准施工招标文件》第四章第一节“通用合同条款”。</w:t>
      </w:r>
      <w:r>
        <w:rPr>
          <w:rFonts w:ascii="宋体" w:hAnsi="宋体"/>
          <w:color w:val="auto"/>
          <w:highlight w:val="none"/>
        </w:rPr>
        <w:br w:type="column"/>
      </w:r>
      <w:bookmarkStart w:id="1067" w:name="_Toc245477302"/>
      <w:bookmarkStart w:id="1068" w:name="_Toc263889189"/>
      <w:bookmarkStart w:id="1069" w:name="_Toc239671861"/>
      <w:bookmarkStart w:id="1070" w:name="_Toc262031801"/>
      <w:bookmarkStart w:id="1071" w:name="_Toc262895861"/>
      <w:r>
        <w:rPr>
          <w:rFonts w:hint="eastAsia" w:ascii="宋体" w:hAnsi="宋体"/>
          <w:b/>
          <w:color w:val="auto"/>
          <w:highlight w:val="none"/>
        </w:rPr>
        <w:t>第二节  专用合同条款</w:t>
      </w:r>
      <w:bookmarkEnd w:id="1067"/>
      <w:bookmarkEnd w:id="1068"/>
      <w:bookmarkEnd w:id="1069"/>
      <w:bookmarkEnd w:id="1070"/>
      <w:bookmarkEnd w:id="1071"/>
    </w:p>
    <w:p>
      <w:pPr>
        <w:numPr>
          <w:ilvl w:val="0"/>
          <w:numId w:val="4"/>
        </w:numPr>
        <w:spacing w:line="400" w:lineRule="exact"/>
        <w:jc w:val="center"/>
        <w:outlineLvl w:val="1"/>
        <w:rPr>
          <w:rFonts w:hint="eastAsia" w:ascii="宋体" w:hAnsi="宋体"/>
          <w:b/>
          <w:color w:val="auto"/>
          <w:highlight w:val="none"/>
        </w:rPr>
      </w:pPr>
      <w:bookmarkStart w:id="1072" w:name="_Toc262895862"/>
      <w:bookmarkStart w:id="1073" w:name="_Toc29306"/>
      <w:bookmarkStart w:id="1074" w:name="_Toc245538752"/>
      <w:bookmarkStart w:id="1075" w:name="_Toc28032"/>
      <w:bookmarkStart w:id="1076" w:name="_Toc31383"/>
      <w:bookmarkStart w:id="1077" w:name="_Toc262031802"/>
      <w:bookmarkStart w:id="1078" w:name="_Toc31593"/>
      <w:bookmarkStart w:id="1079" w:name="_Toc263889190"/>
      <w:r>
        <w:rPr>
          <w:rFonts w:hint="eastAsia" w:ascii="宋体" w:hAnsi="宋体"/>
          <w:b/>
          <w:color w:val="auto"/>
          <w:highlight w:val="none"/>
        </w:rPr>
        <w:t>公路工程专用合同条款</w:t>
      </w:r>
      <w:bookmarkEnd w:id="1072"/>
      <w:bookmarkEnd w:id="1073"/>
      <w:bookmarkEnd w:id="1074"/>
      <w:bookmarkEnd w:id="1075"/>
      <w:bookmarkEnd w:id="1076"/>
      <w:bookmarkEnd w:id="1077"/>
      <w:bookmarkEnd w:id="1078"/>
      <w:bookmarkEnd w:id="1079"/>
    </w:p>
    <w:p>
      <w:pPr>
        <w:autoSpaceDE w:val="0"/>
        <w:autoSpaceDN w:val="0"/>
        <w:spacing w:before="166" w:line="304" w:lineRule="auto"/>
        <w:ind w:left="238" w:right="905" w:firstLine="419"/>
        <w:jc w:val="left"/>
        <w:rPr>
          <w:rFonts w:ascii="宋体" w:hAnsi="宋体" w:cs="宋体"/>
          <w:color w:val="auto"/>
          <w:szCs w:val="21"/>
          <w:highlight w:val="none"/>
          <w:lang w:val="zh-CN" w:bidi="zh-CN"/>
        </w:rPr>
      </w:pPr>
      <w:r>
        <w:rPr>
          <w:rFonts w:ascii="宋体" w:hAnsi="宋体" w:cs="宋体"/>
          <w:color w:val="auto"/>
          <w:szCs w:val="21"/>
          <w:highlight w:val="none"/>
          <w:lang w:val="zh-CN" w:bidi="zh-CN"/>
        </w:rPr>
        <w:t>“A. 公路工程专用合同条款”采用《公路工程标准施工招标文件》第四章第二节“A. 公路工程专用合同条款”。</w:t>
      </w:r>
    </w:p>
    <w:p>
      <w:pPr>
        <w:spacing w:line="400" w:lineRule="exact"/>
        <w:jc w:val="center"/>
        <w:outlineLvl w:val="1"/>
        <w:rPr>
          <w:rFonts w:ascii="宋体" w:hAnsi="宋体"/>
          <w:color w:val="auto"/>
          <w:sz w:val="30"/>
          <w:szCs w:val="30"/>
          <w:highlight w:val="none"/>
        </w:rPr>
      </w:pPr>
      <w:r>
        <w:rPr>
          <w:rFonts w:ascii="宋体" w:hAnsi="宋体"/>
          <w:b/>
          <w:color w:val="auto"/>
          <w:sz w:val="30"/>
          <w:szCs w:val="30"/>
          <w:highlight w:val="none"/>
        </w:rPr>
        <w:br w:type="page"/>
      </w:r>
      <w:r>
        <w:rPr>
          <w:rFonts w:hint="eastAsia" w:ascii="宋体" w:hAnsi="宋体"/>
          <w:b/>
          <w:color w:val="auto"/>
          <w:sz w:val="30"/>
          <w:szCs w:val="30"/>
          <w:highlight w:val="none"/>
        </w:rPr>
        <w:t>B、项目专用合同条款</w:t>
      </w:r>
      <w:bookmarkEnd w:id="1052"/>
      <w:bookmarkEnd w:id="1053"/>
      <w:bookmarkEnd w:id="1054"/>
      <w:bookmarkEnd w:id="1055"/>
    </w:p>
    <w:p>
      <w:pPr>
        <w:spacing w:line="400" w:lineRule="exact"/>
        <w:jc w:val="center"/>
        <w:outlineLvl w:val="2"/>
        <w:rPr>
          <w:rFonts w:ascii="宋体" w:hAnsi="宋体"/>
          <w:b/>
          <w:color w:val="auto"/>
          <w:sz w:val="24"/>
          <w:szCs w:val="24"/>
          <w:highlight w:val="none"/>
        </w:rPr>
      </w:pPr>
      <w:bookmarkStart w:id="1080" w:name="_Toc466366057"/>
      <w:r>
        <w:rPr>
          <w:rFonts w:hint="eastAsia" w:ascii="宋体" w:hAnsi="宋体"/>
          <w:b/>
          <w:color w:val="auto"/>
          <w:sz w:val="24"/>
          <w:szCs w:val="24"/>
          <w:highlight w:val="none"/>
        </w:rPr>
        <w:t>项目专用合同条款数据表</w:t>
      </w:r>
      <w:bookmarkEnd w:id="1080"/>
    </w:p>
    <w:p>
      <w:pPr>
        <w:spacing w:after="120" w:afterLines="50" w:line="360" w:lineRule="exact"/>
        <w:rPr>
          <w:rFonts w:hint="eastAsia" w:ascii="楷体_GB2312" w:eastAsia="楷体_GB2312"/>
          <w:color w:val="auto"/>
          <w:sz w:val="24"/>
          <w:highlight w:val="none"/>
        </w:rPr>
      </w:pPr>
      <w:r>
        <w:rPr>
          <w:rFonts w:hint="eastAsia" w:ascii="黑体" w:eastAsia="黑体"/>
          <w:color w:val="auto"/>
          <w:sz w:val="24"/>
          <w:highlight w:val="none"/>
        </w:rPr>
        <w:t>说明</w:t>
      </w:r>
      <w:r>
        <w:rPr>
          <w:rFonts w:hint="eastAsia"/>
          <w:color w:val="auto"/>
          <w:sz w:val="24"/>
          <w:highlight w:val="none"/>
        </w:rPr>
        <w:t>：</w:t>
      </w:r>
      <w:r>
        <w:rPr>
          <w:rFonts w:hint="eastAsia" w:ascii="楷体_GB2312" w:eastAsia="楷体_GB2312"/>
          <w:color w:val="auto"/>
          <w:sz w:val="24"/>
          <w:highlight w:val="none"/>
        </w:rPr>
        <w:t>本数据表是项目专用合同条款中适用于本项目的信息和数据的归纳与提示，是项目专用合同条款的组成部分。</w:t>
      </w:r>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098"/>
        <w:gridCol w:w="717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 w:hRule="atLeast"/>
        </w:trPr>
        <w:tc>
          <w:tcPr>
            <w:tcW w:w="816" w:type="dxa"/>
            <w:noWrap w:val="0"/>
            <w:vAlign w:val="center"/>
          </w:tcPr>
          <w:p>
            <w:pPr>
              <w:spacing w:line="240" w:lineRule="exact"/>
              <w:jc w:val="center"/>
              <w:rPr>
                <w:rFonts w:hint="eastAsia" w:ascii="黑体" w:eastAsia="黑体"/>
                <w:color w:val="auto"/>
                <w:szCs w:val="21"/>
                <w:highlight w:val="none"/>
              </w:rPr>
            </w:pPr>
            <w:r>
              <w:rPr>
                <w:rFonts w:hint="eastAsia" w:ascii="黑体" w:eastAsia="黑体"/>
                <w:color w:val="auto"/>
                <w:szCs w:val="21"/>
                <w:highlight w:val="none"/>
              </w:rPr>
              <w:t>序号</w:t>
            </w:r>
          </w:p>
        </w:tc>
        <w:tc>
          <w:tcPr>
            <w:tcW w:w="1098" w:type="dxa"/>
            <w:noWrap w:val="0"/>
            <w:vAlign w:val="center"/>
          </w:tcPr>
          <w:p>
            <w:pPr>
              <w:spacing w:line="240" w:lineRule="exact"/>
              <w:jc w:val="center"/>
              <w:rPr>
                <w:rFonts w:hint="eastAsia" w:ascii="黑体" w:eastAsia="黑体"/>
                <w:color w:val="auto"/>
                <w:szCs w:val="21"/>
                <w:highlight w:val="none"/>
              </w:rPr>
            </w:pPr>
            <w:r>
              <w:rPr>
                <w:rFonts w:hint="eastAsia" w:ascii="黑体" w:eastAsia="黑体"/>
                <w:color w:val="auto"/>
                <w:szCs w:val="21"/>
                <w:highlight w:val="none"/>
              </w:rPr>
              <w:t>条目号</w:t>
            </w:r>
          </w:p>
        </w:tc>
        <w:tc>
          <w:tcPr>
            <w:tcW w:w="7171" w:type="dxa"/>
            <w:noWrap w:val="0"/>
            <w:vAlign w:val="center"/>
          </w:tcPr>
          <w:p>
            <w:pPr>
              <w:spacing w:line="240" w:lineRule="exact"/>
              <w:jc w:val="center"/>
              <w:rPr>
                <w:rFonts w:hint="eastAsia" w:ascii="黑体" w:eastAsia="黑体"/>
                <w:color w:val="auto"/>
                <w:szCs w:val="21"/>
                <w:highlight w:val="none"/>
              </w:rPr>
            </w:pPr>
            <w:r>
              <w:rPr>
                <w:rFonts w:hint="eastAsia" w:ascii="黑体" w:eastAsia="黑体"/>
                <w:color w:val="auto"/>
                <w:szCs w:val="21"/>
                <w:highlight w:val="none"/>
              </w:rPr>
              <w:t>信息或数据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2"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1</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1.1.2.2</w:t>
            </w:r>
          </w:p>
        </w:tc>
        <w:tc>
          <w:tcPr>
            <w:tcW w:w="7171" w:type="dxa"/>
            <w:noWrap w:val="0"/>
            <w:vAlign w:val="center"/>
          </w:tcPr>
          <w:p>
            <w:pPr>
              <w:spacing w:line="300" w:lineRule="exact"/>
              <w:ind w:firstLine="210" w:firstLineChars="100"/>
              <w:jc w:val="left"/>
              <w:rPr>
                <w:rFonts w:hint="eastAsia" w:eastAsia="宋体"/>
                <w:color w:val="auto"/>
                <w:szCs w:val="21"/>
                <w:highlight w:val="none"/>
                <w:lang w:eastAsia="zh-CN"/>
              </w:rPr>
            </w:pPr>
            <w:r>
              <w:rPr>
                <w:rFonts w:hint="eastAsia"/>
                <w:color w:val="auto"/>
                <w:szCs w:val="21"/>
                <w:highlight w:val="none"/>
              </w:rPr>
              <w:t>发 包 人：</w:t>
            </w:r>
            <w:r>
              <w:rPr>
                <w:rFonts w:hint="eastAsia"/>
                <w:color w:val="auto"/>
                <w:szCs w:val="21"/>
                <w:highlight w:val="none"/>
                <w:lang w:eastAsia="zh-CN"/>
              </w:rPr>
              <w:t>平阳县南麂镇人民政府</w:t>
            </w:r>
          </w:p>
          <w:p>
            <w:pPr>
              <w:spacing w:line="300" w:lineRule="exact"/>
              <w:ind w:firstLine="210" w:firstLineChars="100"/>
              <w:jc w:val="left"/>
              <w:rPr>
                <w:rFonts w:hint="eastAsia"/>
                <w:color w:val="auto"/>
                <w:szCs w:val="21"/>
                <w:highlight w:val="none"/>
              </w:rPr>
            </w:pPr>
            <w:r>
              <w:rPr>
                <w:rFonts w:hint="eastAsia"/>
                <w:color w:val="auto"/>
                <w:szCs w:val="21"/>
                <w:highlight w:val="none"/>
              </w:rPr>
              <w:t>地    址：</w:t>
            </w:r>
            <w:r>
              <w:rPr>
                <w:rFonts w:hint="eastAsia" w:ascii="宋体" w:hAnsi="宋体" w:cs="宋体"/>
                <w:color w:val="auto"/>
                <w:szCs w:val="21"/>
                <w:highlight w:val="none"/>
                <w:shd w:val="clear" w:color="auto" w:fill="FFFFFF"/>
                <w:lang w:eastAsia="zh-CN"/>
              </w:rPr>
              <w:t>平阳县南麂镇</w:t>
            </w:r>
            <w:r>
              <w:rPr>
                <w:rFonts w:hint="eastAsia" w:hAnsi="宋体"/>
                <w:color w:val="auto"/>
                <w:kern w:val="0"/>
                <w:highlight w:val="none"/>
              </w:rPr>
              <w:t xml:space="preserve">      </w:t>
            </w:r>
          </w:p>
          <w:p>
            <w:pPr>
              <w:spacing w:line="300" w:lineRule="exact"/>
              <w:ind w:firstLine="210" w:firstLineChars="100"/>
              <w:jc w:val="left"/>
              <w:rPr>
                <w:rFonts w:hint="eastAsia" w:eastAsia="宋体"/>
                <w:color w:val="auto"/>
                <w:szCs w:val="21"/>
                <w:highlight w:val="none"/>
                <w:lang w:eastAsia="zh-CN"/>
              </w:rPr>
            </w:pPr>
            <w:r>
              <w:rPr>
                <w:rFonts w:hint="eastAsia"/>
                <w:color w:val="auto"/>
                <w:szCs w:val="21"/>
                <w:highlight w:val="none"/>
              </w:rPr>
              <w:t>邮政编码：</w:t>
            </w:r>
            <w:r>
              <w:rPr>
                <w:rFonts w:hint="eastAsia"/>
                <w:color w:val="auto"/>
                <w:szCs w:val="21"/>
                <w:highlight w:val="none"/>
                <w:lang w:eastAsia="zh-CN"/>
              </w:rPr>
              <w:t>325408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9"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2</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1.1.2.6</w:t>
            </w:r>
          </w:p>
        </w:tc>
        <w:tc>
          <w:tcPr>
            <w:tcW w:w="7171"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监理人：签订合同后，书面通知承包人</w:t>
            </w:r>
          </w:p>
          <w:p>
            <w:pPr>
              <w:spacing w:line="300" w:lineRule="exact"/>
              <w:ind w:firstLine="210" w:firstLineChars="100"/>
              <w:rPr>
                <w:rFonts w:hint="eastAsia"/>
                <w:color w:val="auto"/>
                <w:szCs w:val="21"/>
                <w:highlight w:val="none"/>
              </w:rPr>
            </w:pPr>
            <w:r>
              <w:rPr>
                <w:rFonts w:hint="eastAsia"/>
                <w:color w:val="auto"/>
                <w:szCs w:val="21"/>
                <w:highlight w:val="none"/>
              </w:rPr>
              <w:t>地  址：                       邮政编码：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3</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1.1.4.5</w:t>
            </w:r>
          </w:p>
        </w:tc>
        <w:tc>
          <w:tcPr>
            <w:tcW w:w="7171"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缺陷责任期：自实际交（竣工）日期（交工证书颁发之日）起计算24个月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869"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4</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1.6.3</w:t>
            </w:r>
          </w:p>
        </w:tc>
        <w:tc>
          <w:tcPr>
            <w:tcW w:w="7171"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图纸需要修改和补充的，应由监理人取得发包人同意后，在该工程相应部位施工前</w:t>
            </w:r>
            <w:r>
              <w:rPr>
                <w:rFonts w:hint="eastAsia"/>
                <w:color w:val="auto"/>
                <w:szCs w:val="21"/>
                <w:highlight w:val="none"/>
                <w:u w:val="single"/>
              </w:rPr>
              <w:t xml:space="preserve">  7  </w:t>
            </w:r>
            <w:r>
              <w:rPr>
                <w:rFonts w:hint="eastAsia"/>
                <w:color w:val="auto"/>
                <w:szCs w:val="21"/>
                <w:highlight w:val="none"/>
              </w:rPr>
              <w:t>天内签发图纸修改图和补充图给承包人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7"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5</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3.1.1</w:t>
            </w:r>
          </w:p>
        </w:tc>
        <w:tc>
          <w:tcPr>
            <w:tcW w:w="7171"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监理人在行使15.3款及其他项变更前均需要经发包人事先批准：</w:t>
            </w:r>
          </w:p>
          <w:p>
            <w:pPr>
              <w:spacing w:line="300" w:lineRule="exact"/>
              <w:ind w:firstLine="210" w:firstLineChars="100"/>
              <w:jc w:val="left"/>
              <w:rPr>
                <w:rFonts w:hint="eastAsia"/>
                <w:color w:val="auto"/>
                <w:szCs w:val="21"/>
                <w:highlight w:val="none"/>
              </w:rPr>
            </w:pPr>
            <w:r>
              <w:rPr>
                <w:rFonts w:hint="eastAsia"/>
                <w:color w:val="auto"/>
                <w:szCs w:val="21"/>
                <w:highlight w:val="none"/>
              </w:rPr>
              <w:t>（6）监理人在行使15.3款及其他项变更前均需要经发包人事先批准。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6</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5.2.1</w:t>
            </w:r>
          </w:p>
        </w:tc>
        <w:tc>
          <w:tcPr>
            <w:tcW w:w="7171"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发包人是否提供材料或工程设备：</w:t>
            </w:r>
            <w:r>
              <w:rPr>
                <w:rFonts w:hint="eastAsia"/>
                <w:color w:val="auto"/>
                <w:szCs w:val="21"/>
                <w:highlight w:val="none"/>
                <w:u w:val="single"/>
              </w:rPr>
              <w:t xml:space="preserve">  </w:t>
            </w:r>
            <w:r>
              <w:rPr>
                <w:rFonts w:hint="eastAsia" w:ascii="楷体_GB2312" w:eastAsia="楷体_GB2312"/>
                <w:color w:val="auto"/>
                <w:szCs w:val="21"/>
                <w:highlight w:val="none"/>
                <w:u w:val="single"/>
              </w:rPr>
              <w:t>否</w:t>
            </w:r>
            <w:r>
              <w:rPr>
                <w:rFonts w:hint="eastAsia"/>
                <w:color w:val="auto"/>
                <w:szCs w:val="21"/>
                <w:highlight w:val="none"/>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7</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6.2</w:t>
            </w:r>
          </w:p>
        </w:tc>
        <w:tc>
          <w:tcPr>
            <w:tcW w:w="7171"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发包人是否提供施工设备和临时设施：</w:t>
            </w:r>
            <w:r>
              <w:rPr>
                <w:rFonts w:hint="eastAsia"/>
                <w:color w:val="auto"/>
                <w:szCs w:val="21"/>
                <w:highlight w:val="none"/>
                <w:u w:val="single"/>
              </w:rPr>
              <w:t xml:space="preserve">  </w:t>
            </w:r>
            <w:r>
              <w:rPr>
                <w:rFonts w:hint="eastAsia" w:ascii="楷体_GB2312" w:eastAsia="楷体_GB2312"/>
                <w:color w:val="auto"/>
                <w:szCs w:val="21"/>
                <w:highlight w:val="none"/>
                <w:u w:val="single"/>
              </w:rPr>
              <w:t>否</w:t>
            </w:r>
            <w:r>
              <w:rPr>
                <w:rFonts w:hint="eastAsia"/>
                <w:color w:val="auto"/>
                <w:szCs w:val="21"/>
                <w:highlight w:val="none"/>
                <w:u w:val="single"/>
              </w:rPr>
              <w:t xml:space="preserve">  </w:t>
            </w:r>
            <w:r>
              <w:rPr>
                <w:rFonts w:hint="eastAsia"/>
                <w:color w:val="auto"/>
                <w:szCs w:val="21"/>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469"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8</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8.1.1</w:t>
            </w:r>
          </w:p>
        </w:tc>
        <w:tc>
          <w:tcPr>
            <w:tcW w:w="7171" w:type="dxa"/>
            <w:noWrap w:val="0"/>
            <w:vAlign w:val="center"/>
          </w:tcPr>
          <w:p>
            <w:pPr>
              <w:spacing w:line="300" w:lineRule="exact"/>
              <w:jc w:val="left"/>
              <w:rPr>
                <w:rFonts w:hint="eastAsia" w:eastAsia="楷体_GB2312"/>
                <w:color w:val="auto"/>
                <w:szCs w:val="21"/>
                <w:highlight w:val="none"/>
              </w:rPr>
            </w:pPr>
            <w:r>
              <w:rPr>
                <w:rFonts w:hint="eastAsia"/>
                <w:color w:val="auto"/>
                <w:szCs w:val="21"/>
                <w:highlight w:val="none"/>
              </w:rPr>
              <w:t>发包人提供测量基准点、基准线和水准点及其书面资料的期限：</w:t>
            </w:r>
            <w:r>
              <w:rPr>
                <w:rFonts w:hint="eastAsia" w:ascii="宋体" w:hAnsi="宋体"/>
                <w:color w:val="auto"/>
                <w:spacing w:val="-4"/>
                <w:highlight w:val="none"/>
                <w:u w:val="single"/>
              </w:rPr>
              <w:t>合同签订后7天内</w:t>
            </w:r>
          </w:p>
          <w:p>
            <w:pPr>
              <w:spacing w:line="300" w:lineRule="exact"/>
              <w:jc w:val="left"/>
              <w:rPr>
                <w:rFonts w:hint="eastAsia"/>
                <w:color w:val="auto"/>
                <w:szCs w:val="21"/>
                <w:highlight w:val="none"/>
              </w:rPr>
            </w:pPr>
            <w:r>
              <w:rPr>
                <w:rFonts w:hint="eastAsia"/>
                <w:color w:val="auto"/>
                <w:szCs w:val="21"/>
                <w:highlight w:val="none"/>
              </w:rPr>
              <w:t>承包人将施工控制网资料报送监理人审批的期限：</w:t>
            </w:r>
            <w:r>
              <w:rPr>
                <w:rFonts w:hint="eastAsia"/>
                <w:color w:val="auto"/>
                <w:szCs w:val="21"/>
                <w:highlight w:val="none"/>
                <w:u w:val="single"/>
              </w:rPr>
              <w:t xml:space="preserve"> </w:t>
            </w:r>
            <w:r>
              <w:rPr>
                <w:rFonts w:hint="eastAsia" w:ascii="宋体" w:hAnsi="宋体"/>
                <w:color w:val="auto"/>
                <w:highlight w:val="none"/>
                <w:u w:val="single"/>
              </w:rPr>
              <w:t>发包人提供资料后28天内</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9</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11.5</w:t>
            </w:r>
          </w:p>
        </w:tc>
        <w:tc>
          <w:tcPr>
            <w:tcW w:w="7171" w:type="dxa"/>
            <w:noWrap w:val="0"/>
            <w:vAlign w:val="center"/>
          </w:tcPr>
          <w:p>
            <w:pPr>
              <w:spacing w:line="360" w:lineRule="exact"/>
              <w:rPr>
                <w:color w:val="auto"/>
                <w:highlight w:val="none"/>
              </w:rPr>
            </w:pPr>
            <w:r>
              <w:rPr>
                <w:color w:val="auto"/>
                <w:highlight w:val="none"/>
              </w:rPr>
              <w:t>逾期</w:t>
            </w:r>
            <w:r>
              <w:rPr>
                <w:rFonts w:hint="eastAsia"/>
                <w:color w:val="auto"/>
                <w:highlight w:val="none"/>
              </w:rPr>
              <w:t>交（竣工）</w:t>
            </w:r>
            <w:r>
              <w:rPr>
                <w:color w:val="auto"/>
                <w:highlight w:val="none"/>
              </w:rPr>
              <w:t>违约金：</w:t>
            </w:r>
            <w:r>
              <w:rPr>
                <w:rFonts w:hint="eastAsia"/>
                <w:color w:val="auto"/>
                <w:highlight w:val="none"/>
              </w:rPr>
              <w:t>1</w:t>
            </w:r>
            <w:r>
              <w:rPr>
                <w:color w:val="auto"/>
                <w:highlight w:val="none"/>
              </w:rPr>
              <w:t>000元／天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10</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11.5</w:t>
            </w:r>
          </w:p>
        </w:tc>
        <w:tc>
          <w:tcPr>
            <w:tcW w:w="7171" w:type="dxa"/>
            <w:noWrap w:val="0"/>
            <w:vAlign w:val="center"/>
          </w:tcPr>
          <w:p>
            <w:pPr>
              <w:spacing w:line="360" w:lineRule="exact"/>
              <w:rPr>
                <w:color w:val="auto"/>
                <w:highlight w:val="none"/>
              </w:rPr>
            </w:pPr>
            <w:r>
              <w:rPr>
                <w:color w:val="auto"/>
                <w:highlight w:val="none"/>
              </w:rPr>
              <w:t>逾期</w:t>
            </w:r>
            <w:r>
              <w:rPr>
                <w:rFonts w:hint="eastAsia"/>
                <w:color w:val="auto"/>
                <w:highlight w:val="none"/>
              </w:rPr>
              <w:t>交（竣工）</w:t>
            </w:r>
            <w:r>
              <w:rPr>
                <w:color w:val="auto"/>
                <w:highlight w:val="none"/>
              </w:rPr>
              <w:t>违约金限额：</w:t>
            </w:r>
            <w:r>
              <w:rPr>
                <w:rFonts w:hint="eastAsia"/>
                <w:color w:val="auto"/>
                <w:highlight w:val="none"/>
              </w:rPr>
              <w:t>10</w:t>
            </w:r>
            <w:r>
              <w:rPr>
                <w:color w:val="auto"/>
                <w:highlight w:val="none"/>
              </w:rPr>
              <w:t>%签约合同价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11</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11.6</w:t>
            </w:r>
          </w:p>
        </w:tc>
        <w:tc>
          <w:tcPr>
            <w:tcW w:w="7171" w:type="dxa"/>
            <w:noWrap w:val="0"/>
            <w:vAlign w:val="center"/>
          </w:tcPr>
          <w:p>
            <w:pPr>
              <w:spacing w:line="380" w:lineRule="exact"/>
              <w:rPr>
                <w:color w:val="auto"/>
                <w:highlight w:val="none"/>
              </w:rPr>
            </w:pPr>
            <w:r>
              <w:rPr>
                <w:rFonts w:hint="eastAsia"/>
                <w:color w:val="auto"/>
                <w:highlight w:val="none"/>
              </w:rPr>
              <w:t>提前交（竣工）的奖金：无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12</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11.6</w:t>
            </w:r>
          </w:p>
        </w:tc>
        <w:tc>
          <w:tcPr>
            <w:tcW w:w="7171" w:type="dxa"/>
            <w:noWrap w:val="0"/>
            <w:vAlign w:val="center"/>
          </w:tcPr>
          <w:p>
            <w:pPr>
              <w:spacing w:line="380" w:lineRule="exact"/>
              <w:rPr>
                <w:color w:val="auto"/>
                <w:highlight w:val="none"/>
              </w:rPr>
            </w:pPr>
            <w:r>
              <w:rPr>
                <w:rFonts w:hint="eastAsia"/>
                <w:color w:val="auto"/>
                <w:highlight w:val="none"/>
              </w:rPr>
              <w:t>提前交（竣工）的奖金限额：无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color w:val="auto"/>
                <w:highlight w:val="none"/>
              </w:rPr>
            </w:pPr>
            <w:r>
              <w:rPr>
                <w:rFonts w:hint="eastAsia"/>
                <w:color w:val="auto"/>
                <w:highlight w:val="none"/>
              </w:rPr>
              <w:t>13</w:t>
            </w:r>
          </w:p>
        </w:tc>
        <w:tc>
          <w:tcPr>
            <w:tcW w:w="1098" w:type="dxa"/>
            <w:noWrap w:val="0"/>
            <w:vAlign w:val="center"/>
          </w:tcPr>
          <w:p>
            <w:pPr>
              <w:jc w:val="center"/>
              <w:rPr>
                <w:color w:val="auto"/>
                <w:highlight w:val="none"/>
              </w:rPr>
            </w:pPr>
            <w:r>
              <w:rPr>
                <w:rFonts w:hint="eastAsia"/>
                <w:color w:val="auto"/>
                <w:highlight w:val="none"/>
              </w:rPr>
              <w:t>13.1.1</w:t>
            </w:r>
          </w:p>
        </w:tc>
        <w:tc>
          <w:tcPr>
            <w:tcW w:w="7171" w:type="dxa"/>
            <w:noWrap w:val="0"/>
            <w:vAlign w:val="center"/>
          </w:tcPr>
          <w:p>
            <w:pPr>
              <w:spacing w:line="380" w:lineRule="exact"/>
              <w:rPr>
                <w:rFonts w:hint="eastAsia"/>
                <w:color w:val="auto"/>
                <w:highlight w:val="none"/>
              </w:rPr>
            </w:pPr>
            <w:r>
              <w:rPr>
                <w:rFonts w:hint="eastAsia"/>
                <w:color w:val="auto"/>
                <w:highlight w:val="none"/>
              </w:rPr>
              <w:t>标段工程交（竣工）验收的质量评定：合格；</w:t>
            </w:r>
          </w:p>
          <w:p>
            <w:pPr>
              <w:spacing w:line="380" w:lineRule="exact"/>
              <w:rPr>
                <w:rFonts w:hint="eastAsia"/>
                <w:color w:val="auto"/>
                <w:highlight w:val="none"/>
              </w:rPr>
            </w:pPr>
            <w:r>
              <w:rPr>
                <w:rFonts w:hint="eastAsia"/>
                <w:color w:val="auto"/>
                <w:highlight w:val="none"/>
              </w:rPr>
              <w:t>标段工程竣工验收的质量评定：合格。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3"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14</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15.5.2</w:t>
            </w:r>
          </w:p>
        </w:tc>
        <w:tc>
          <w:tcPr>
            <w:tcW w:w="7171" w:type="dxa"/>
            <w:noWrap w:val="0"/>
            <w:vAlign w:val="center"/>
          </w:tcPr>
          <w:p>
            <w:pPr>
              <w:spacing w:line="300" w:lineRule="exact"/>
              <w:jc w:val="left"/>
              <w:rPr>
                <w:rFonts w:hint="eastAsia"/>
                <w:color w:val="auto"/>
                <w:szCs w:val="21"/>
                <w:highlight w:val="none"/>
              </w:rPr>
            </w:pPr>
            <w:r>
              <w:rPr>
                <w:rFonts w:hint="eastAsia"/>
                <w:color w:val="auto"/>
                <w:szCs w:val="21"/>
                <w:highlight w:val="none"/>
              </w:rPr>
              <w:t>承包人提出的合理化建议降低了合同价格或者提高了工程经济效益的，发包人按所节约成本的</w:t>
            </w:r>
            <w:r>
              <w:rPr>
                <w:rFonts w:hint="eastAsia"/>
                <w:color w:val="auto"/>
                <w:szCs w:val="21"/>
                <w:highlight w:val="none"/>
                <w:u w:val="single"/>
              </w:rPr>
              <w:t xml:space="preserve">0 </w:t>
            </w:r>
            <w:r>
              <w:rPr>
                <w:rFonts w:hint="eastAsia"/>
                <w:color w:val="auto"/>
                <w:szCs w:val="21"/>
                <w:highlight w:val="none"/>
              </w:rPr>
              <w:t>%或增加收益的</w:t>
            </w:r>
            <w:r>
              <w:rPr>
                <w:rFonts w:hint="eastAsia"/>
                <w:color w:val="auto"/>
                <w:szCs w:val="21"/>
                <w:highlight w:val="none"/>
                <w:u w:val="single"/>
              </w:rPr>
              <w:t xml:space="preserve">0  </w:t>
            </w:r>
            <w:r>
              <w:rPr>
                <w:rFonts w:hint="eastAsia"/>
                <w:color w:val="auto"/>
                <w:szCs w:val="21"/>
                <w:highlight w:val="none"/>
              </w:rPr>
              <w:t>%给予奖励</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816" w:type="dxa"/>
            <w:noWrap w:val="0"/>
            <w:vAlign w:val="center"/>
          </w:tcPr>
          <w:p>
            <w:pPr>
              <w:spacing w:line="300" w:lineRule="exact"/>
              <w:jc w:val="center"/>
              <w:rPr>
                <w:rFonts w:hint="eastAsia"/>
                <w:color w:val="auto"/>
                <w:szCs w:val="21"/>
                <w:highlight w:val="none"/>
              </w:rPr>
            </w:pPr>
            <w:r>
              <w:rPr>
                <w:rFonts w:hint="eastAsia"/>
                <w:color w:val="auto"/>
                <w:szCs w:val="21"/>
                <w:highlight w:val="none"/>
              </w:rPr>
              <w:t>15</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16.1</w:t>
            </w:r>
          </w:p>
        </w:tc>
        <w:tc>
          <w:tcPr>
            <w:tcW w:w="7171" w:type="dxa"/>
            <w:noWrap w:val="0"/>
            <w:vAlign w:val="center"/>
          </w:tcPr>
          <w:p>
            <w:pPr>
              <w:spacing w:line="400" w:lineRule="exact"/>
              <w:rPr>
                <w:rFonts w:hint="eastAsia" w:ascii="宋体" w:hAnsi="宋体"/>
                <w:color w:val="auto"/>
                <w:highlight w:val="none"/>
              </w:rPr>
            </w:pPr>
            <w:r>
              <w:rPr>
                <w:rFonts w:hint="eastAsia" w:ascii="宋体" w:hAnsi="宋体"/>
                <w:color w:val="auto"/>
                <w:highlight w:val="none"/>
              </w:rPr>
              <w:t>因物价波动引起的价格不予调整。</w:t>
            </w:r>
          </w:p>
        </w:tc>
      </w:tr>
    </w:tbl>
    <w:p>
      <w:pPr>
        <w:spacing w:after="120" w:afterLines="50"/>
        <w:jc w:val="right"/>
        <w:rPr>
          <w:rFonts w:hint="eastAsia" w:ascii="宋体" w:hAnsi="宋体"/>
          <w:color w:val="auto"/>
          <w:highlight w:val="none"/>
        </w:rPr>
      </w:pPr>
    </w:p>
    <w:p>
      <w:pPr>
        <w:spacing w:after="120" w:afterLines="50"/>
        <w:jc w:val="right"/>
        <w:rPr>
          <w:rFonts w:hint="eastAsia"/>
          <w:color w:val="auto"/>
          <w:highlight w:val="none"/>
        </w:rPr>
      </w:pPr>
      <w:r>
        <w:rPr>
          <w:rFonts w:hint="eastAsia" w:ascii="宋体" w:hAnsi="宋体"/>
          <w:color w:val="auto"/>
          <w:highlight w:val="none"/>
        </w:rPr>
        <w:t>续上表</w:t>
      </w:r>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098"/>
        <w:gridCol w:w="73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7" w:hRule="atLeast"/>
        </w:trPr>
        <w:tc>
          <w:tcPr>
            <w:tcW w:w="816" w:type="dxa"/>
            <w:noWrap w:val="0"/>
            <w:vAlign w:val="center"/>
          </w:tcPr>
          <w:p>
            <w:pPr>
              <w:spacing w:line="240" w:lineRule="exact"/>
              <w:jc w:val="center"/>
              <w:rPr>
                <w:rFonts w:hint="eastAsia" w:ascii="黑体" w:eastAsia="黑体"/>
                <w:color w:val="auto"/>
                <w:szCs w:val="21"/>
                <w:highlight w:val="none"/>
              </w:rPr>
            </w:pPr>
            <w:r>
              <w:rPr>
                <w:rFonts w:hint="eastAsia" w:ascii="黑体" w:eastAsia="黑体"/>
                <w:color w:val="auto"/>
                <w:szCs w:val="21"/>
                <w:highlight w:val="none"/>
              </w:rPr>
              <w:t>序号</w:t>
            </w:r>
          </w:p>
        </w:tc>
        <w:tc>
          <w:tcPr>
            <w:tcW w:w="1098" w:type="dxa"/>
            <w:noWrap w:val="0"/>
            <w:vAlign w:val="center"/>
          </w:tcPr>
          <w:p>
            <w:pPr>
              <w:spacing w:line="240" w:lineRule="exact"/>
              <w:jc w:val="center"/>
              <w:rPr>
                <w:rFonts w:hint="eastAsia" w:ascii="黑体" w:eastAsia="黑体"/>
                <w:color w:val="auto"/>
                <w:szCs w:val="21"/>
                <w:highlight w:val="none"/>
              </w:rPr>
            </w:pPr>
            <w:r>
              <w:rPr>
                <w:rFonts w:hint="eastAsia" w:ascii="黑体" w:eastAsia="黑体"/>
                <w:color w:val="auto"/>
                <w:szCs w:val="21"/>
                <w:highlight w:val="none"/>
              </w:rPr>
              <w:t>条目号</w:t>
            </w:r>
          </w:p>
        </w:tc>
        <w:tc>
          <w:tcPr>
            <w:tcW w:w="7300" w:type="dxa"/>
            <w:noWrap w:val="0"/>
            <w:vAlign w:val="center"/>
          </w:tcPr>
          <w:p>
            <w:pPr>
              <w:spacing w:line="240" w:lineRule="exact"/>
              <w:jc w:val="center"/>
              <w:rPr>
                <w:rFonts w:hint="eastAsia" w:ascii="黑体" w:eastAsia="黑体"/>
                <w:color w:val="auto"/>
                <w:szCs w:val="21"/>
                <w:highlight w:val="none"/>
              </w:rPr>
            </w:pPr>
            <w:r>
              <w:rPr>
                <w:rFonts w:hint="eastAsia" w:ascii="黑体" w:eastAsia="黑体"/>
                <w:color w:val="auto"/>
                <w:szCs w:val="21"/>
                <w:highlight w:val="none"/>
              </w:rPr>
              <w:t>信息或数据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rFonts w:ascii="宋体" w:hAnsi="宋体"/>
                <w:color w:val="auto"/>
                <w:highlight w:val="none"/>
              </w:rPr>
            </w:pPr>
            <w:r>
              <w:rPr>
                <w:rFonts w:hint="eastAsia" w:ascii="宋体" w:hAnsi="宋体"/>
                <w:color w:val="auto"/>
                <w:highlight w:val="none"/>
              </w:rPr>
              <w:t>16</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17.2.1</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开工预付款金额：</w:t>
            </w:r>
            <w:r>
              <w:rPr>
                <w:rFonts w:hint="eastAsia"/>
                <w:color w:val="auto"/>
                <w:szCs w:val="21"/>
                <w:highlight w:val="none"/>
                <w:u w:val="single"/>
              </w:rPr>
              <w:t xml:space="preserve">10 </w:t>
            </w:r>
            <w:r>
              <w:rPr>
                <w:rFonts w:hint="eastAsia"/>
                <w:color w:val="auto"/>
                <w:szCs w:val="21"/>
                <w:highlight w:val="none"/>
              </w:rPr>
              <w:t>%签约合同价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rFonts w:ascii="宋体" w:hAnsi="宋体"/>
                <w:color w:val="auto"/>
                <w:highlight w:val="none"/>
              </w:rPr>
            </w:pPr>
            <w:r>
              <w:rPr>
                <w:rFonts w:hint="eastAsia" w:ascii="宋体" w:hAnsi="宋体"/>
                <w:color w:val="auto"/>
                <w:highlight w:val="none"/>
              </w:rPr>
              <w:t>17</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17.2.1</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ascii="宋体" w:hAnsi="宋体"/>
                <w:color w:val="auto"/>
                <w:highlight w:val="none"/>
              </w:rPr>
              <w:t>材料、设备预付款：本项目不适用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rFonts w:ascii="宋体" w:hAnsi="宋体"/>
                <w:color w:val="auto"/>
                <w:highlight w:val="none"/>
              </w:rPr>
            </w:pPr>
            <w:r>
              <w:rPr>
                <w:rFonts w:hint="eastAsia" w:ascii="宋体" w:hAnsi="宋体"/>
                <w:color w:val="auto"/>
                <w:highlight w:val="none"/>
              </w:rPr>
              <w:t>18</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17.3.2</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承包人在每个付款周期末向监理人提交进度付款申请单的份数：</w:t>
            </w:r>
            <w:r>
              <w:rPr>
                <w:rFonts w:hint="eastAsia"/>
                <w:color w:val="auto"/>
                <w:szCs w:val="21"/>
                <w:highlight w:val="none"/>
                <w:u w:val="single"/>
              </w:rPr>
              <w:t xml:space="preserve"> 6 </w:t>
            </w:r>
            <w:r>
              <w:rPr>
                <w:rFonts w:hint="eastAsia"/>
                <w:color w:val="auto"/>
                <w:szCs w:val="21"/>
                <w:highlight w:val="none"/>
              </w:rPr>
              <w:t>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rFonts w:ascii="宋体" w:hAnsi="宋体"/>
                <w:color w:val="auto"/>
                <w:highlight w:val="none"/>
              </w:rPr>
            </w:pPr>
            <w:r>
              <w:rPr>
                <w:rFonts w:hint="eastAsia" w:ascii="宋体" w:hAnsi="宋体"/>
                <w:color w:val="auto"/>
                <w:highlight w:val="none"/>
              </w:rPr>
              <w:t>19</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17.3.3（1）</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进度付款证书最低限额：</w:t>
            </w:r>
            <w:r>
              <w:rPr>
                <w:rFonts w:hint="eastAsia" w:ascii="宋体" w:hAnsi="宋体"/>
                <w:b/>
                <w:color w:val="auto"/>
                <w:kern w:val="0"/>
                <w:highlight w:val="none"/>
                <w:u w:val="single"/>
              </w:rPr>
              <w:t>50</w:t>
            </w:r>
            <w:r>
              <w:rPr>
                <w:rFonts w:hint="eastAsia"/>
                <w:color w:val="auto"/>
                <w:szCs w:val="21"/>
                <w:highlight w:val="none"/>
              </w:rPr>
              <w:t xml:space="preserve">万元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20</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17.4.1</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质量保证金限额： 工程完工审价结算后支付工程款98.5%，留1.5%的质量保证金。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21</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17.4.4</w:t>
            </w:r>
          </w:p>
        </w:tc>
        <w:tc>
          <w:tcPr>
            <w:tcW w:w="7300" w:type="dxa"/>
            <w:noWrap w:val="0"/>
            <w:vAlign w:val="center"/>
          </w:tcPr>
          <w:p>
            <w:pPr>
              <w:spacing w:line="300" w:lineRule="exact"/>
              <w:ind w:firstLine="210" w:firstLineChars="100"/>
              <w:jc w:val="left"/>
              <w:rPr>
                <w:rFonts w:hint="eastAsia" w:ascii="宋体" w:hAnsi="宋体"/>
                <w:color w:val="auto"/>
                <w:highlight w:val="none"/>
              </w:rPr>
            </w:pPr>
            <w:r>
              <w:rPr>
                <w:rFonts w:hint="eastAsia"/>
                <w:color w:val="auto"/>
                <w:szCs w:val="21"/>
                <w:highlight w:val="none"/>
              </w:rPr>
              <w:t>保留金比例：月支付额的</w:t>
            </w:r>
            <w:r>
              <w:rPr>
                <w:rFonts w:hint="eastAsia"/>
                <w:color w:val="auto"/>
                <w:szCs w:val="21"/>
                <w:highlight w:val="none"/>
                <w:u w:val="single"/>
              </w:rPr>
              <w:t xml:space="preserve">  15  </w:t>
            </w:r>
            <w:r>
              <w:rPr>
                <w:rFonts w:hint="eastAsia"/>
                <w:color w:val="auto"/>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22</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17.5.1</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承包人向监理人提交交（竣工）付款申请单（包括相关证明材料）的份数：</w:t>
            </w:r>
            <w:r>
              <w:rPr>
                <w:rFonts w:hint="eastAsia"/>
                <w:color w:val="auto"/>
                <w:szCs w:val="21"/>
                <w:highlight w:val="none"/>
                <w:u w:val="single"/>
              </w:rPr>
              <w:t xml:space="preserve"> 6 </w:t>
            </w:r>
            <w:r>
              <w:rPr>
                <w:rFonts w:hint="eastAsia"/>
                <w:color w:val="auto"/>
                <w:szCs w:val="21"/>
                <w:highlight w:val="none"/>
              </w:rPr>
              <w:t>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23</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17.6.1</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承包人向监理人提交最终结清申请单（包括相关证明材料）的份数：</w:t>
            </w:r>
            <w:r>
              <w:rPr>
                <w:rFonts w:hint="eastAsia"/>
                <w:color w:val="auto"/>
                <w:szCs w:val="21"/>
                <w:highlight w:val="none"/>
                <w:u w:val="single"/>
              </w:rPr>
              <w:t xml:space="preserve"> 6 </w:t>
            </w:r>
            <w:r>
              <w:rPr>
                <w:rFonts w:hint="eastAsia"/>
                <w:color w:val="auto"/>
                <w:szCs w:val="21"/>
                <w:highlight w:val="none"/>
              </w:rPr>
              <w:t>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24</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18.2</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竣工资料的份数：</w:t>
            </w:r>
            <w:r>
              <w:rPr>
                <w:rFonts w:hint="eastAsia"/>
                <w:color w:val="auto"/>
                <w:szCs w:val="21"/>
                <w:highlight w:val="none"/>
                <w:u w:val="single"/>
              </w:rPr>
              <w:t xml:space="preserve">  6  </w:t>
            </w:r>
            <w:r>
              <w:rPr>
                <w:rFonts w:hint="eastAsia"/>
                <w:color w:val="auto"/>
                <w:szCs w:val="21"/>
                <w:highlight w:val="none"/>
              </w:rPr>
              <w:t>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25</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18.5.1</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单位工程或工程设备是否需投入施工期运行：</w:t>
            </w:r>
            <w:r>
              <w:rPr>
                <w:rFonts w:hint="eastAsia"/>
                <w:color w:val="auto"/>
                <w:szCs w:val="21"/>
                <w:highlight w:val="none"/>
                <w:u w:val="single"/>
              </w:rPr>
              <w:t xml:space="preserve">  </w:t>
            </w:r>
            <w:r>
              <w:rPr>
                <w:rFonts w:hint="eastAsia" w:ascii="楷体_GB2312" w:eastAsia="楷体_GB2312"/>
                <w:color w:val="auto"/>
                <w:szCs w:val="21"/>
                <w:highlight w:val="none"/>
                <w:u w:val="single"/>
              </w:rPr>
              <w:t>否</w:t>
            </w:r>
            <w:r>
              <w:rPr>
                <w:rFonts w:hint="eastAsia"/>
                <w:color w:val="auto"/>
                <w:szCs w:val="21"/>
                <w:highlight w:val="none"/>
                <w:u w:val="single"/>
              </w:rPr>
              <w:t xml:space="preserve">  </w:t>
            </w:r>
            <w:r>
              <w:rPr>
                <w:rFonts w:hint="eastAsia"/>
                <w:color w:val="auto"/>
                <w:szCs w:val="21"/>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26</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18.6.1</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本工程及工程设备是否进行试运行：</w:t>
            </w:r>
            <w:r>
              <w:rPr>
                <w:rFonts w:hint="eastAsia"/>
                <w:color w:val="auto"/>
                <w:szCs w:val="21"/>
                <w:highlight w:val="none"/>
                <w:u w:val="single"/>
              </w:rPr>
              <w:t xml:space="preserve">  </w:t>
            </w:r>
            <w:r>
              <w:rPr>
                <w:rFonts w:hint="eastAsia" w:ascii="楷体_GB2312" w:eastAsia="楷体_GB2312"/>
                <w:color w:val="auto"/>
                <w:szCs w:val="21"/>
                <w:highlight w:val="none"/>
                <w:u w:val="single"/>
              </w:rPr>
              <w:t>否</w:t>
            </w:r>
            <w:r>
              <w:rPr>
                <w:rFonts w:hint="eastAsia"/>
                <w:color w:val="auto"/>
                <w:szCs w:val="21"/>
                <w:highlight w:val="none"/>
                <w:u w:val="single"/>
              </w:rPr>
              <w:t xml:space="preserve">  </w:t>
            </w:r>
            <w:r>
              <w:rPr>
                <w:rFonts w:hint="eastAsia"/>
                <w:color w:val="auto"/>
                <w:szCs w:val="21"/>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27</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19.7</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保修期：自实际交（竣工）日期（交工证书颁发之日）起计算24个月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28</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20.1</w:t>
            </w:r>
          </w:p>
        </w:tc>
        <w:tc>
          <w:tcPr>
            <w:tcW w:w="7300" w:type="dxa"/>
            <w:noWrap w:val="0"/>
            <w:vAlign w:val="center"/>
          </w:tcPr>
          <w:p>
            <w:pPr>
              <w:spacing w:line="300" w:lineRule="exact"/>
              <w:ind w:firstLine="210" w:firstLineChars="100"/>
              <w:jc w:val="left"/>
              <w:rPr>
                <w:rFonts w:hint="eastAsia"/>
                <w:b/>
                <w:color w:val="auto"/>
                <w:szCs w:val="21"/>
                <w:highlight w:val="none"/>
              </w:rPr>
            </w:pPr>
            <w:r>
              <w:rPr>
                <w:rFonts w:hint="eastAsia" w:ascii="宋体" w:hAnsi="宋体"/>
                <w:color w:val="auto"/>
                <w:szCs w:val="21"/>
                <w:highlight w:val="none"/>
              </w:rPr>
              <w:t>工程保险</w:t>
            </w:r>
            <w:bookmarkStart w:id="1081" w:name="_Hlk43667175"/>
            <w:r>
              <w:rPr>
                <w:rFonts w:hint="eastAsia" w:ascii="宋体" w:hAnsi="宋体"/>
                <w:color w:val="auto"/>
                <w:szCs w:val="21"/>
                <w:highlight w:val="none"/>
              </w:rPr>
              <w:t>（包括</w:t>
            </w:r>
            <w:r>
              <w:rPr>
                <w:rFonts w:hint="eastAsia" w:ascii="宋体" w:hAnsi="宋体"/>
                <w:b/>
                <w:bCs/>
                <w:color w:val="auto"/>
                <w:szCs w:val="21"/>
                <w:highlight w:val="none"/>
              </w:rPr>
              <w:t>建筑工程一切险</w:t>
            </w:r>
            <w:r>
              <w:rPr>
                <w:rFonts w:hint="eastAsia" w:ascii="宋体" w:hAnsi="宋体"/>
                <w:color w:val="auto"/>
                <w:szCs w:val="21"/>
                <w:highlight w:val="none"/>
              </w:rPr>
              <w:t>及</w:t>
            </w:r>
            <w:r>
              <w:rPr>
                <w:rFonts w:hint="eastAsia" w:ascii="宋体" w:hAnsi="宋体"/>
                <w:b/>
                <w:bCs/>
                <w:color w:val="auto"/>
                <w:szCs w:val="21"/>
                <w:highlight w:val="none"/>
              </w:rPr>
              <w:t>第三者责任险</w:t>
            </w:r>
            <w:r>
              <w:rPr>
                <w:rFonts w:hint="eastAsia" w:ascii="宋体" w:hAnsi="宋体"/>
                <w:color w:val="auto"/>
                <w:szCs w:val="21"/>
                <w:highlight w:val="none"/>
              </w:rPr>
              <w:t>）</w:t>
            </w:r>
            <w:bookmarkEnd w:id="1081"/>
            <w:r>
              <w:rPr>
                <w:rFonts w:hint="eastAsia" w:ascii="宋体" w:hAnsi="宋体"/>
                <w:color w:val="auto"/>
                <w:szCs w:val="21"/>
                <w:highlight w:val="none"/>
              </w:rPr>
              <w:t>费率：</w:t>
            </w:r>
            <w:r>
              <w:rPr>
                <w:rFonts w:hint="eastAsia"/>
                <w:b/>
                <w:color w:val="auto"/>
                <w:szCs w:val="21"/>
                <w:highlight w:val="none"/>
                <w:u w:val="single"/>
              </w:rPr>
              <w:t xml:space="preserve"> 3‰</w:t>
            </w:r>
            <w:r>
              <w:rPr>
                <w:rFonts w:hint="eastAsia"/>
                <w:b/>
                <w:color w:val="auto"/>
                <w:szCs w:val="21"/>
                <w:highlight w:val="none"/>
              </w:rPr>
              <w:t>（若保险费率不足3‰的，以实际费率支付；若保险费率大于3‰的，超出的部分由承包人承担）。</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6" w:hRule="atLeast"/>
        </w:trPr>
        <w:tc>
          <w:tcPr>
            <w:tcW w:w="816" w:type="dxa"/>
            <w:noWrap w:val="0"/>
            <w:vAlign w:val="center"/>
          </w:tcPr>
          <w:p>
            <w:pPr>
              <w:jc w:val="center"/>
              <w:rPr>
                <w:rFonts w:ascii="宋体" w:hAnsi="宋体"/>
                <w:color w:val="auto"/>
                <w:highlight w:val="none"/>
              </w:rPr>
            </w:pPr>
            <w:r>
              <w:rPr>
                <w:rFonts w:hint="eastAsia" w:ascii="宋体" w:hAnsi="宋体"/>
                <w:color w:val="auto"/>
                <w:highlight w:val="none"/>
              </w:rPr>
              <w:t>29</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20.4.2</w:t>
            </w:r>
          </w:p>
        </w:tc>
        <w:tc>
          <w:tcPr>
            <w:tcW w:w="7300" w:type="dxa"/>
            <w:noWrap w:val="0"/>
            <w:vAlign w:val="center"/>
          </w:tcPr>
          <w:p>
            <w:pPr>
              <w:spacing w:line="300" w:lineRule="exact"/>
              <w:ind w:firstLine="210" w:firstLineChars="100"/>
              <w:jc w:val="left"/>
              <w:rPr>
                <w:rFonts w:hint="eastAsia"/>
                <w:color w:val="auto"/>
                <w:szCs w:val="21"/>
                <w:highlight w:val="none"/>
              </w:rPr>
            </w:pPr>
            <w:r>
              <w:rPr>
                <w:rFonts w:hint="eastAsia"/>
                <w:color w:val="auto"/>
                <w:szCs w:val="21"/>
                <w:highlight w:val="none"/>
              </w:rPr>
              <w:t>第三者责任险的最低投保金额：</w:t>
            </w:r>
            <w:r>
              <w:rPr>
                <w:rFonts w:hint="eastAsia"/>
                <w:color w:val="auto"/>
                <w:szCs w:val="21"/>
                <w:highlight w:val="none"/>
                <w:u w:val="single"/>
              </w:rPr>
              <w:t xml:space="preserve"> 100  </w:t>
            </w:r>
            <w:r>
              <w:rPr>
                <w:rFonts w:hint="eastAsia"/>
                <w:color w:val="auto"/>
                <w:szCs w:val="21"/>
                <w:highlight w:val="none"/>
              </w:rPr>
              <w:t>万元，事故次数不限（不计免赔额）</w:t>
            </w:r>
          </w:p>
          <w:p>
            <w:pPr>
              <w:spacing w:line="300" w:lineRule="exact"/>
              <w:ind w:firstLine="210" w:firstLineChars="100"/>
              <w:jc w:val="left"/>
              <w:rPr>
                <w:rFonts w:hint="eastAsia"/>
                <w:color w:val="auto"/>
                <w:szCs w:val="21"/>
                <w:highlight w:val="none"/>
              </w:rPr>
            </w:pPr>
            <w:r>
              <w:rPr>
                <w:rFonts w:hint="eastAsia"/>
                <w:color w:val="auto"/>
                <w:szCs w:val="21"/>
                <w:highlight w:val="none"/>
              </w:rPr>
              <w:t>保险费率：</w:t>
            </w:r>
            <w:r>
              <w:rPr>
                <w:rFonts w:hint="eastAsia"/>
                <w:color w:val="auto"/>
                <w:szCs w:val="21"/>
                <w:highlight w:val="none"/>
                <w:u w:val="single"/>
              </w:rPr>
              <w:t xml:space="preserve">  5 </w:t>
            </w:r>
            <w:r>
              <w:rPr>
                <w:rFonts w:hint="eastAsia" w:ascii="宋体" w:hAnsi="宋体"/>
                <w:color w:val="auto"/>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5" w:hRule="atLeast"/>
        </w:trPr>
        <w:tc>
          <w:tcPr>
            <w:tcW w:w="816" w:type="dxa"/>
            <w:noWrap w:val="0"/>
            <w:vAlign w:val="center"/>
          </w:tcPr>
          <w:p>
            <w:pPr>
              <w:jc w:val="center"/>
              <w:rPr>
                <w:rFonts w:hint="eastAsia" w:ascii="宋体" w:hAnsi="宋体"/>
                <w:color w:val="auto"/>
                <w:highlight w:val="none"/>
              </w:rPr>
            </w:pPr>
            <w:r>
              <w:rPr>
                <w:rFonts w:hint="eastAsia" w:ascii="宋体" w:hAnsi="宋体"/>
                <w:color w:val="auto"/>
                <w:highlight w:val="none"/>
              </w:rPr>
              <w:t>30</w:t>
            </w:r>
          </w:p>
        </w:tc>
        <w:tc>
          <w:tcPr>
            <w:tcW w:w="1098" w:type="dxa"/>
            <w:noWrap w:val="0"/>
            <w:vAlign w:val="center"/>
          </w:tcPr>
          <w:p>
            <w:pPr>
              <w:spacing w:line="300" w:lineRule="exact"/>
              <w:jc w:val="center"/>
              <w:rPr>
                <w:rFonts w:hint="eastAsia"/>
                <w:color w:val="auto"/>
                <w:szCs w:val="21"/>
                <w:highlight w:val="none"/>
              </w:rPr>
            </w:pPr>
            <w:r>
              <w:rPr>
                <w:rFonts w:hint="eastAsia"/>
                <w:color w:val="auto"/>
                <w:szCs w:val="21"/>
                <w:highlight w:val="none"/>
              </w:rPr>
              <w:t>24.1</w:t>
            </w:r>
          </w:p>
        </w:tc>
        <w:tc>
          <w:tcPr>
            <w:tcW w:w="7300" w:type="dxa"/>
            <w:noWrap w:val="0"/>
            <w:vAlign w:val="center"/>
          </w:tcPr>
          <w:p>
            <w:pPr>
              <w:spacing w:line="300" w:lineRule="exact"/>
              <w:ind w:firstLine="210" w:firstLineChars="100"/>
              <w:jc w:val="left"/>
              <w:rPr>
                <w:rFonts w:hint="eastAsia" w:ascii="宋体" w:hAnsi="宋体" w:cs="宋体"/>
                <w:color w:val="auto"/>
                <w:szCs w:val="21"/>
                <w:highlight w:val="none"/>
                <w:u w:val="single"/>
              </w:rPr>
            </w:pPr>
            <w:r>
              <w:rPr>
                <w:rFonts w:hint="eastAsia"/>
                <w:color w:val="auto"/>
                <w:szCs w:val="21"/>
                <w:highlight w:val="none"/>
              </w:rPr>
              <w:t>争议的最终解决方式：</w:t>
            </w:r>
            <w:r>
              <w:rPr>
                <w:rFonts w:hint="eastAsia" w:ascii="宋体" w:hAnsi="宋体" w:cs="宋体"/>
                <w:color w:val="auto"/>
                <w:szCs w:val="21"/>
                <w:highlight w:val="none"/>
                <w:u w:val="single"/>
              </w:rPr>
              <w:t xml:space="preserve">  诉讼  </w:t>
            </w:r>
          </w:p>
          <w:p>
            <w:pPr>
              <w:spacing w:line="300" w:lineRule="exact"/>
              <w:ind w:firstLine="210" w:firstLineChars="100"/>
              <w:jc w:val="left"/>
              <w:rPr>
                <w:color w:val="auto"/>
                <w:szCs w:val="21"/>
                <w:highlight w:val="none"/>
              </w:rPr>
            </w:pPr>
            <w:r>
              <w:rPr>
                <w:rFonts w:hint="eastAsia" w:ascii="宋体" w:hAnsi="宋体" w:cs="宋体"/>
                <w:color w:val="auto"/>
                <w:szCs w:val="21"/>
                <w:highlight w:val="none"/>
              </w:rPr>
              <w:t>提出诉讼单位名称：工程所在地法院</w:t>
            </w:r>
          </w:p>
        </w:tc>
      </w:tr>
    </w:tbl>
    <w:p>
      <w:pPr>
        <w:spacing w:before="120" w:beforeLines="50" w:after="120" w:afterLines="50" w:line="360" w:lineRule="exact"/>
        <w:ind w:firstLine="437"/>
        <w:jc w:val="center"/>
        <w:rPr>
          <w:rFonts w:hint="eastAsia" w:ascii="黑体" w:hAnsi="黑体" w:eastAsia="黑体"/>
          <w:color w:val="auto"/>
          <w:sz w:val="28"/>
          <w:szCs w:val="28"/>
          <w:highlight w:val="none"/>
        </w:rPr>
      </w:pPr>
      <w:bookmarkStart w:id="1082" w:name="_Toc361140999"/>
      <w:bookmarkStart w:id="1083" w:name="_Toc235846458"/>
      <w:bookmarkStart w:id="1084" w:name="_Toc237400189"/>
      <w:bookmarkStart w:id="1085" w:name="_Toc1237"/>
      <w:bookmarkStart w:id="1086" w:name="_Toc233435990"/>
      <w:bookmarkStart w:id="1087" w:name="_Toc237255134"/>
      <w:bookmarkStart w:id="1088" w:name="_Toc233429851"/>
      <w:bookmarkStart w:id="1089" w:name="_Toc399396835"/>
      <w:bookmarkStart w:id="1090" w:name="_Toc262646401"/>
      <w:bookmarkStart w:id="1091" w:name="_Toc239488075"/>
      <w:bookmarkStart w:id="1092" w:name="_Toc292754746"/>
      <w:bookmarkStart w:id="1093" w:name="_Toc23707"/>
      <w:bookmarkStart w:id="1094" w:name="_Toc13967"/>
      <w:r>
        <w:rPr>
          <w:b/>
          <w:color w:val="auto"/>
          <w:sz w:val="28"/>
          <w:szCs w:val="24"/>
          <w:highlight w:val="none"/>
        </w:rPr>
        <w:br w:type="page"/>
      </w:r>
      <w:r>
        <w:rPr>
          <w:rFonts w:hint="eastAsia" w:ascii="黑体" w:hAnsi="黑体" w:eastAsia="黑体"/>
          <w:color w:val="auto"/>
          <w:sz w:val="28"/>
          <w:szCs w:val="28"/>
          <w:highlight w:val="none"/>
        </w:rPr>
        <w:t>项目专用合同条款</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说明：本项目专用合同条款是根据本项目的特点和实际需要对“通用合同条款”和“A.公路工程专用合同条款”的补充、细化和约定。投标人应对照 “通用合同条款”、“ A.公路工程专用合同条款”中同一编号的条款一起阅读和理解。</w:t>
      </w:r>
    </w:p>
    <w:p>
      <w:pPr>
        <w:tabs>
          <w:tab w:val="left" w:pos="2790"/>
        </w:tabs>
        <w:snapToGrid w:val="0"/>
        <w:spacing w:line="400" w:lineRule="exact"/>
        <w:outlineLvl w:val="2"/>
        <w:rPr>
          <w:rFonts w:hint="eastAsia" w:ascii="黑体" w:eastAsia="黑体"/>
          <w:color w:val="auto"/>
          <w:sz w:val="24"/>
          <w:szCs w:val="30"/>
          <w:highlight w:val="none"/>
        </w:rPr>
      </w:pPr>
      <w:bookmarkStart w:id="1095" w:name="_Toc399396836"/>
      <w:bookmarkStart w:id="1096" w:name="_Toc31120"/>
      <w:bookmarkStart w:id="1097" w:name="_Toc19116"/>
      <w:bookmarkStart w:id="1098" w:name="_Toc292754747"/>
      <w:bookmarkStart w:id="1099" w:name="_Toc466366058"/>
      <w:bookmarkStart w:id="1100" w:name="_Toc31762"/>
      <w:bookmarkStart w:id="1101" w:name="_Toc262646402"/>
      <w:bookmarkStart w:id="1102" w:name="_Toc361141000"/>
      <w:r>
        <w:rPr>
          <w:rFonts w:hint="eastAsia" w:ascii="黑体" w:eastAsia="黑体"/>
          <w:color w:val="auto"/>
          <w:sz w:val="24"/>
          <w:szCs w:val="30"/>
          <w:highlight w:val="none"/>
        </w:rPr>
        <w:t>1. 一般约定</w:t>
      </w:r>
      <w:bookmarkEnd w:id="1095"/>
      <w:bookmarkEnd w:id="1096"/>
      <w:bookmarkEnd w:id="1097"/>
      <w:bookmarkEnd w:id="1098"/>
      <w:bookmarkEnd w:id="1099"/>
      <w:bookmarkEnd w:id="1100"/>
      <w:bookmarkEnd w:id="1101"/>
      <w:bookmarkEnd w:id="1102"/>
    </w:p>
    <w:p>
      <w:pPr>
        <w:tabs>
          <w:tab w:val="left" w:pos="2790"/>
        </w:tabs>
        <w:snapToGrid w:val="0"/>
        <w:spacing w:line="400" w:lineRule="exact"/>
        <w:outlineLvl w:val="3"/>
        <w:rPr>
          <w:rFonts w:hint="eastAsia" w:ascii="黑体" w:eastAsia="黑体"/>
          <w:color w:val="auto"/>
          <w:szCs w:val="21"/>
          <w:highlight w:val="none"/>
        </w:rPr>
      </w:pPr>
      <w:bookmarkStart w:id="1103" w:name="_Toc361141001"/>
      <w:bookmarkStart w:id="1104" w:name="_Toc25866"/>
      <w:bookmarkStart w:id="1105" w:name="_Toc262646403"/>
      <w:bookmarkStart w:id="1106" w:name="_Toc292754748"/>
      <w:bookmarkStart w:id="1107" w:name="_Toc466366059"/>
      <w:bookmarkStart w:id="1108" w:name="_Toc23479"/>
      <w:bookmarkStart w:id="1109" w:name="_Toc4292"/>
      <w:bookmarkStart w:id="1110" w:name="_Toc399396837"/>
      <w:r>
        <w:rPr>
          <w:rFonts w:hint="eastAsia" w:ascii="黑体" w:eastAsia="黑体"/>
          <w:color w:val="auto"/>
          <w:szCs w:val="21"/>
          <w:highlight w:val="none"/>
        </w:rPr>
        <w:t>1.1 词语定义</w:t>
      </w:r>
      <w:bookmarkEnd w:id="1103"/>
      <w:bookmarkEnd w:id="1104"/>
      <w:bookmarkEnd w:id="1105"/>
      <w:bookmarkEnd w:id="1106"/>
      <w:bookmarkEnd w:id="1107"/>
      <w:bookmarkEnd w:id="1108"/>
      <w:bookmarkEnd w:id="1109"/>
      <w:bookmarkEnd w:id="1110"/>
    </w:p>
    <w:p>
      <w:pPr>
        <w:spacing w:line="360" w:lineRule="exact"/>
        <w:ind w:firstLine="435"/>
        <w:rPr>
          <w:rFonts w:hint="eastAsia" w:ascii="宋体" w:hAnsi="宋体"/>
          <w:color w:val="auto"/>
          <w:highlight w:val="none"/>
        </w:rPr>
      </w:pPr>
      <w:r>
        <w:rPr>
          <w:rFonts w:hint="eastAsia" w:ascii="宋体" w:hAnsi="宋体"/>
          <w:color w:val="auto"/>
          <w:highlight w:val="none"/>
        </w:rPr>
        <w:t>1.1.1  合同</w:t>
      </w:r>
    </w:p>
    <w:p>
      <w:pPr>
        <w:spacing w:line="360" w:lineRule="exact"/>
        <w:ind w:firstLine="435"/>
        <w:rPr>
          <w:rFonts w:hint="eastAsia" w:ascii="宋体" w:hAnsi="宋体"/>
          <w:b/>
          <w:color w:val="auto"/>
          <w:highlight w:val="none"/>
        </w:rPr>
      </w:pPr>
      <w:r>
        <w:rPr>
          <w:rFonts w:hint="eastAsia" w:ascii="宋体" w:hAnsi="宋体"/>
          <w:b/>
          <w:color w:val="auto"/>
          <w:highlight w:val="none"/>
        </w:rPr>
        <w:t>公路工程专用合同条款第1.1.1.8目细化为：</w:t>
      </w:r>
    </w:p>
    <w:p>
      <w:pPr>
        <w:spacing w:line="360" w:lineRule="exact"/>
        <w:ind w:firstLine="435"/>
        <w:rPr>
          <w:rFonts w:hint="eastAsia" w:ascii="宋体" w:hAnsi="宋体"/>
          <w:color w:val="auto"/>
          <w:highlight w:val="none"/>
        </w:rPr>
      </w:pPr>
      <w:r>
        <w:rPr>
          <w:rFonts w:hint="eastAsia" w:ascii="宋体" w:hAnsi="宋体"/>
          <w:color w:val="auto"/>
          <w:highlight w:val="none"/>
        </w:rPr>
        <w:t xml:space="preserve"> 已标价的工程量清单：指构成合同文件组成部分的已标明价格，经算术性错误修正及其他错误修正（如有）且承包人已确认的最终的工程量清单，包括工程量清单说明、投标报价说明、其他说明及工程量清单各项表格。</w:t>
      </w:r>
    </w:p>
    <w:p>
      <w:pPr>
        <w:spacing w:line="360" w:lineRule="exact"/>
        <w:ind w:firstLine="435"/>
        <w:rPr>
          <w:rFonts w:hint="eastAsia" w:ascii="宋体" w:hAnsi="宋体"/>
          <w:color w:val="auto"/>
          <w:highlight w:val="none"/>
        </w:rPr>
      </w:pPr>
      <w:r>
        <w:rPr>
          <w:rFonts w:hint="eastAsia" w:ascii="宋体" w:hAnsi="宋体"/>
          <w:color w:val="auto"/>
          <w:highlight w:val="none"/>
        </w:rPr>
        <w:t>1.1.2 合同当事人和人员</w:t>
      </w:r>
    </w:p>
    <w:p>
      <w:pPr>
        <w:spacing w:line="360" w:lineRule="exact"/>
        <w:ind w:firstLine="435"/>
        <w:rPr>
          <w:rFonts w:hint="eastAsia" w:ascii="宋体" w:hAnsi="宋体"/>
          <w:color w:val="auto"/>
          <w:highlight w:val="none"/>
        </w:rPr>
      </w:pPr>
      <w:r>
        <w:rPr>
          <w:rFonts w:hint="eastAsia" w:ascii="宋体" w:hAnsi="宋体"/>
          <w:color w:val="auto"/>
          <w:highlight w:val="none"/>
        </w:rPr>
        <w:t>通用合同条款1.1.2.2目细化为：</w:t>
      </w:r>
    </w:p>
    <w:p>
      <w:pPr>
        <w:spacing w:line="360" w:lineRule="exact"/>
        <w:ind w:firstLine="420" w:firstLineChars="200"/>
        <w:rPr>
          <w:rFonts w:hint="eastAsia" w:ascii="宋体" w:hAnsi="宋体"/>
          <w:color w:val="auto"/>
          <w:szCs w:val="21"/>
          <w:highlight w:val="none"/>
        </w:rPr>
      </w:pPr>
      <w:bookmarkStart w:id="1111" w:name="_Toc262646404"/>
      <w:bookmarkStart w:id="1112" w:name="_Toc292754749"/>
      <w:bookmarkStart w:id="1113" w:name="_Toc137"/>
      <w:bookmarkStart w:id="1114" w:name="_Toc15406"/>
      <w:bookmarkStart w:id="1115" w:name="_Toc18511"/>
      <w:r>
        <w:rPr>
          <w:rFonts w:hint="eastAsia" w:ascii="宋体" w:hAnsi="宋体"/>
          <w:color w:val="auto"/>
          <w:highlight w:val="none"/>
        </w:rPr>
        <w:t>本项目的发包人为</w:t>
      </w:r>
      <w:r>
        <w:rPr>
          <w:rFonts w:hint="eastAsia" w:ascii="宋体" w:hAnsi="宋体"/>
          <w:color w:val="auto"/>
          <w:highlight w:val="none"/>
          <w:u w:val="single"/>
          <w:lang w:eastAsia="zh-CN"/>
        </w:rPr>
        <w:t>平阳县南麂镇人民政府</w:t>
      </w:r>
      <w:r>
        <w:rPr>
          <w:rFonts w:hint="eastAsia" w:ascii="宋体" w:hAnsi="宋体"/>
          <w:color w:val="auto"/>
          <w:highlight w:val="none"/>
        </w:rPr>
        <w:t>，负责本项目的建设管理和招标采购事宜，并与承包人在合同协议书中签字的当事人。</w:t>
      </w:r>
    </w:p>
    <w:p>
      <w:pPr>
        <w:tabs>
          <w:tab w:val="left" w:pos="2790"/>
        </w:tabs>
        <w:snapToGrid w:val="0"/>
        <w:spacing w:line="400" w:lineRule="exact"/>
        <w:outlineLvl w:val="3"/>
        <w:rPr>
          <w:rFonts w:hint="eastAsia" w:ascii="黑体" w:eastAsia="黑体"/>
          <w:color w:val="auto"/>
          <w:szCs w:val="21"/>
          <w:highlight w:val="none"/>
        </w:rPr>
      </w:pPr>
      <w:bookmarkStart w:id="1116" w:name="_Toc399396838"/>
      <w:bookmarkStart w:id="1117" w:name="_Toc361141002"/>
      <w:bookmarkStart w:id="1118" w:name="_Toc466366060"/>
      <w:r>
        <w:rPr>
          <w:rFonts w:hint="eastAsia" w:ascii="黑体" w:eastAsia="黑体"/>
          <w:color w:val="auto"/>
          <w:szCs w:val="21"/>
          <w:highlight w:val="none"/>
        </w:rPr>
        <w:t>1.4 合同文件的优先顺序</w:t>
      </w:r>
      <w:bookmarkEnd w:id="1111"/>
      <w:bookmarkEnd w:id="1112"/>
      <w:bookmarkEnd w:id="1113"/>
      <w:bookmarkEnd w:id="1114"/>
      <w:bookmarkEnd w:id="1115"/>
      <w:bookmarkEnd w:id="1116"/>
      <w:bookmarkEnd w:id="1117"/>
      <w:bookmarkEnd w:id="1118"/>
    </w:p>
    <w:p>
      <w:pPr>
        <w:spacing w:line="360" w:lineRule="exact"/>
        <w:rPr>
          <w:rFonts w:hint="eastAsia" w:ascii="宋体" w:hAnsi="宋体"/>
          <w:b/>
          <w:color w:val="auto"/>
          <w:highlight w:val="none"/>
        </w:rPr>
      </w:pPr>
      <w:r>
        <w:rPr>
          <w:rFonts w:hint="eastAsia" w:ascii="宋体" w:hAnsi="宋体"/>
          <w:b/>
          <w:color w:val="auto"/>
          <w:highlight w:val="none"/>
        </w:rPr>
        <w:t>公路工程专用合同条款1.4款约定为：</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组成合同的各项文件应互相解释，互为说明。解释合同文件的优先顺序如下：</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（1）合同协议书和及各种合同附件（含廉政合同、安全生产合同、工程质量责任合同、工程资金监管协议及评标期间和合同谈判过程中的澄清文件和补充资料）;</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（2）中标通知书；</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（3）投标函及投标函附录；</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（4）项目专用合同条款（含招标文件补遗书中与此有关的部分）；</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（5）公路工程专用合同条款；</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（6）通用合同条款；</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（7）项目专用技术规范（含招标文件补遗书中与此有关的部分）；</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（8）通用技术规范；</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（9）图纸（含招标文件补遗书中与此有关的部分）；</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（10）已标价工程量清单（含说明）；</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（11）承包人有关人员，设备投入，财务能力的承诺及投标文件中的施工组织设计；</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（12）构成本合同组成部分的其它文件。</w:t>
      </w:r>
    </w:p>
    <w:p>
      <w:pPr>
        <w:tabs>
          <w:tab w:val="left" w:pos="2790"/>
        </w:tabs>
        <w:snapToGrid w:val="0"/>
        <w:spacing w:line="400" w:lineRule="exact"/>
        <w:outlineLvl w:val="3"/>
        <w:rPr>
          <w:rFonts w:hint="eastAsia" w:ascii="黑体" w:eastAsia="黑体"/>
          <w:color w:val="auto"/>
          <w:szCs w:val="21"/>
          <w:highlight w:val="none"/>
        </w:rPr>
      </w:pPr>
      <w:bookmarkStart w:id="1119" w:name="_Toc466366061"/>
      <w:bookmarkStart w:id="1120" w:name="_Toc262646405"/>
      <w:bookmarkStart w:id="1121" w:name="_Toc361141003"/>
      <w:bookmarkStart w:id="1122" w:name="_Toc20241"/>
      <w:bookmarkStart w:id="1123" w:name="_Toc29135"/>
      <w:bookmarkStart w:id="1124" w:name="_Toc292754750"/>
      <w:bookmarkStart w:id="1125" w:name="_Toc12294"/>
      <w:bookmarkStart w:id="1126" w:name="_Toc399396839"/>
      <w:r>
        <w:rPr>
          <w:rFonts w:hint="eastAsia" w:ascii="黑体" w:eastAsia="黑体"/>
          <w:color w:val="auto"/>
          <w:szCs w:val="21"/>
          <w:highlight w:val="none"/>
        </w:rPr>
        <w:t>1.6 图纸和承包人文件</w:t>
      </w:r>
      <w:bookmarkEnd w:id="1119"/>
      <w:bookmarkEnd w:id="1120"/>
      <w:bookmarkEnd w:id="1121"/>
      <w:bookmarkEnd w:id="1122"/>
      <w:bookmarkEnd w:id="1123"/>
      <w:bookmarkEnd w:id="1124"/>
      <w:bookmarkEnd w:id="1125"/>
      <w:bookmarkEnd w:id="1126"/>
    </w:p>
    <w:p>
      <w:pPr>
        <w:spacing w:line="360" w:lineRule="exact"/>
        <w:rPr>
          <w:rFonts w:hint="eastAsia" w:ascii="宋体" w:hAnsi="宋体"/>
          <w:color w:val="auto"/>
          <w:highlight w:val="none"/>
        </w:rPr>
      </w:pPr>
      <w:r>
        <w:rPr>
          <w:rFonts w:hint="eastAsia" w:ascii="宋体" w:hAnsi="宋体"/>
          <w:color w:val="auto"/>
          <w:highlight w:val="none"/>
        </w:rPr>
        <w:t>1.6.3 图纸的修改</w:t>
      </w:r>
    </w:p>
    <w:p>
      <w:pPr>
        <w:spacing w:line="360" w:lineRule="exact"/>
        <w:ind w:firstLine="422" w:firstLineChars="200"/>
        <w:rPr>
          <w:rFonts w:hint="eastAsia" w:ascii="宋体" w:hAnsi="宋体"/>
          <w:b/>
          <w:color w:val="auto"/>
          <w:highlight w:val="none"/>
        </w:rPr>
      </w:pPr>
      <w:r>
        <w:rPr>
          <w:rFonts w:hint="eastAsia" w:ascii="宋体" w:hAnsi="宋体"/>
          <w:b/>
          <w:color w:val="auto"/>
          <w:highlight w:val="none"/>
        </w:rPr>
        <w:t>通用合同条款1.6.3项约定为：</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签发图纸修改图和补充图的期限：</w:t>
      </w:r>
      <w:r>
        <w:rPr>
          <w:rFonts w:hint="eastAsia"/>
          <w:color w:val="auto"/>
          <w:szCs w:val="21"/>
          <w:highlight w:val="none"/>
        </w:rPr>
        <w:t>图纸需要修改和补充的，应由监理人取得发包人同意后，在该工程或工程相应部位施工前</w:t>
      </w:r>
      <w:r>
        <w:rPr>
          <w:rFonts w:hint="eastAsia"/>
          <w:color w:val="auto"/>
          <w:szCs w:val="21"/>
          <w:highlight w:val="none"/>
          <w:u w:val="single"/>
        </w:rPr>
        <w:t xml:space="preserve">  7  </w:t>
      </w:r>
      <w:r>
        <w:rPr>
          <w:rFonts w:hint="eastAsia"/>
          <w:color w:val="auto"/>
          <w:szCs w:val="21"/>
          <w:highlight w:val="none"/>
        </w:rPr>
        <w:t>天内签发图纸修改图和补充图给承包人，承包人应按补充图纸和修改后的图纸施工</w:t>
      </w:r>
      <w:r>
        <w:rPr>
          <w:rFonts w:hint="eastAsia" w:ascii="宋体" w:hAnsi="宋体"/>
          <w:color w:val="auto"/>
          <w:szCs w:val="21"/>
          <w:highlight w:val="none"/>
        </w:rPr>
        <w:t>。</w:t>
      </w:r>
    </w:p>
    <w:p>
      <w:pPr>
        <w:tabs>
          <w:tab w:val="left" w:pos="2790"/>
        </w:tabs>
        <w:snapToGrid w:val="0"/>
        <w:spacing w:line="400" w:lineRule="exact"/>
        <w:outlineLvl w:val="3"/>
        <w:rPr>
          <w:rFonts w:hint="eastAsia" w:ascii="黑体" w:eastAsia="黑体"/>
          <w:color w:val="auto"/>
          <w:szCs w:val="21"/>
          <w:highlight w:val="none"/>
        </w:rPr>
      </w:pPr>
      <w:bookmarkStart w:id="1127" w:name="_Toc361141004"/>
      <w:bookmarkStart w:id="1128" w:name="_Toc26702"/>
      <w:bookmarkStart w:id="1129" w:name="_Toc18560"/>
      <w:bookmarkStart w:id="1130" w:name="_Toc399396840"/>
      <w:bookmarkStart w:id="1131" w:name="_Toc292754751"/>
      <w:bookmarkStart w:id="1132" w:name="_Toc262646406"/>
      <w:bookmarkStart w:id="1133" w:name="_Toc466366062"/>
      <w:bookmarkStart w:id="1134" w:name="_Toc4636"/>
      <w:r>
        <w:rPr>
          <w:rFonts w:hint="eastAsia" w:ascii="黑体" w:eastAsia="黑体"/>
          <w:color w:val="auto"/>
          <w:szCs w:val="21"/>
          <w:highlight w:val="none"/>
        </w:rPr>
        <w:t>1.7 联络</w:t>
      </w:r>
      <w:bookmarkEnd w:id="1127"/>
      <w:bookmarkEnd w:id="1128"/>
      <w:bookmarkEnd w:id="1129"/>
      <w:bookmarkEnd w:id="1130"/>
      <w:bookmarkEnd w:id="1131"/>
      <w:bookmarkEnd w:id="1132"/>
      <w:bookmarkEnd w:id="1133"/>
      <w:bookmarkEnd w:id="1134"/>
    </w:p>
    <w:p>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通用合同条款1.7.2项约定为：</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1.7.2第1.7.1项中的通知、批准、证明、证书、指示、要求、请求、同意、意见、确定和决定等来往函件，均应在函件发出24小时内送达指定地点和接受人，并办理签收手续。</w:t>
      </w:r>
    </w:p>
    <w:p>
      <w:pPr>
        <w:tabs>
          <w:tab w:val="left" w:pos="2790"/>
        </w:tabs>
        <w:snapToGrid w:val="0"/>
        <w:spacing w:line="400" w:lineRule="exact"/>
        <w:outlineLvl w:val="2"/>
        <w:rPr>
          <w:rFonts w:hint="eastAsia" w:ascii="黑体" w:eastAsia="黑体"/>
          <w:color w:val="auto"/>
          <w:sz w:val="24"/>
          <w:szCs w:val="30"/>
          <w:highlight w:val="none"/>
        </w:rPr>
      </w:pPr>
      <w:bookmarkStart w:id="1135" w:name="_Toc399396841"/>
      <w:bookmarkStart w:id="1136" w:name="_Toc361141005"/>
      <w:bookmarkStart w:id="1137" w:name="_Toc16413"/>
      <w:bookmarkStart w:id="1138" w:name="_Toc466366063"/>
      <w:bookmarkStart w:id="1139" w:name="_Toc292754752"/>
      <w:bookmarkStart w:id="1140" w:name="_Toc19512"/>
      <w:bookmarkStart w:id="1141" w:name="_Toc11165"/>
      <w:bookmarkStart w:id="1142" w:name="_Toc184635101"/>
      <w:bookmarkStart w:id="1143" w:name="_Toc262646407"/>
      <w:r>
        <w:rPr>
          <w:rFonts w:hint="eastAsia" w:ascii="黑体" w:eastAsia="黑体"/>
          <w:color w:val="auto"/>
          <w:sz w:val="24"/>
          <w:szCs w:val="30"/>
          <w:highlight w:val="none"/>
        </w:rPr>
        <w:t>4. 承包人</w:t>
      </w:r>
      <w:bookmarkEnd w:id="1135"/>
      <w:bookmarkEnd w:id="1136"/>
      <w:bookmarkEnd w:id="1137"/>
      <w:bookmarkEnd w:id="1138"/>
      <w:bookmarkEnd w:id="1139"/>
      <w:bookmarkEnd w:id="1140"/>
      <w:bookmarkEnd w:id="1141"/>
      <w:bookmarkEnd w:id="1142"/>
      <w:bookmarkEnd w:id="1143"/>
    </w:p>
    <w:p>
      <w:pPr>
        <w:tabs>
          <w:tab w:val="left" w:pos="2790"/>
        </w:tabs>
        <w:snapToGrid w:val="0"/>
        <w:spacing w:line="400" w:lineRule="exact"/>
        <w:outlineLvl w:val="3"/>
        <w:rPr>
          <w:rFonts w:hint="eastAsia" w:ascii="黑体" w:eastAsia="黑体"/>
          <w:color w:val="auto"/>
          <w:szCs w:val="21"/>
          <w:highlight w:val="none"/>
        </w:rPr>
      </w:pPr>
      <w:bookmarkStart w:id="1144" w:name="_Toc292754753"/>
      <w:bookmarkStart w:id="1145" w:name="_Toc399396842"/>
      <w:bookmarkStart w:id="1146" w:name="_Toc466366064"/>
      <w:bookmarkStart w:id="1147" w:name="_Toc361141006"/>
      <w:bookmarkStart w:id="1148" w:name="_Toc19690"/>
      <w:bookmarkStart w:id="1149" w:name="_Toc262646408"/>
      <w:bookmarkStart w:id="1150" w:name="_Toc14490"/>
      <w:bookmarkStart w:id="1151" w:name="_Toc32490"/>
      <w:r>
        <w:rPr>
          <w:rFonts w:hint="eastAsia" w:ascii="黑体" w:eastAsia="黑体"/>
          <w:color w:val="auto"/>
          <w:szCs w:val="21"/>
          <w:highlight w:val="none"/>
        </w:rPr>
        <w:t>4.1 承包人的一般义务</w:t>
      </w:r>
      <w:bookmarkEnd w:id="1144"/>
      <w:bookmarkEnd w:id="1145"/>
      <w:bookmarkEnd w:id="1146"/>
      <w:bookmarkEnd w:id="1147"/>
      <w:bookmarkEnd w:id="1148"/>
      <w:bookmarkEnd w:id="1149"/>
      <w:bookmarkEnd w:id="1150"/>
      <w:bookmarkEnd w:id="1151"/>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4.1.3 完成各项承包工作</w:t>
      </w:r>
    </w:p>
    <w:p>
      <w:pPr>
        <w:spacing w:line="340" w:lineRule="exact"/>
        <w:ind w:firstLine="420"/>
        <w:rPr>
          <w:rFonts w:hint="eastAsia" w:ascii="宋体" w:hAnsi="宋体"/>
          <w:b/>
          <w:color w:val="auto"/>
          <w:szCs w:val="21"/>
          <w:highlight w:val="none"/>
        </w:rPr>
      </w:pPr>
      <w:r>
        <w:rPr>
          <w:rFonts w:hint="eastAsia" w:ascii="宋体" w:hAnsi="宋体"/>
          <w:b/>
          <w:color w:val="auto"/>
          <w:szCs w:val="21"/>
          <w:highlight w:val="none"/>
        </w:rPr>
        <w:t>通用合同条款4.1.3项细化为：</w:t>
      </w:r>
    </w:p>
    <w:p>
      <w:pPr>
        <w:spacing w:line="340" w:lineRule="exact"/>
        <w:ind w:firstLine="420"/>
        <w:rPr>
          <w:rFonts w:hint="eastAsia" w:ascii="宋体" w:hAnsi="宋体"/>
          <w:color w:val="auto"/>
          <w:szCs w:val="21"/>
          <w:highlight w:val="none"/>
        </w:rPr>
      </w:pPr>
      <w:r>
        <w:rPr>
          <w:rFonts w:hint="eastAsia" w:ascii="宋体" w:hAnsi="宋体"/>
          <w:color w:val="auto"/>
          <w:szCs w:val="21"/>
          <w:highlight w:val="none"/>
        </w:rPr>
        <w:t>承包人应按合同约定以及监理人根据第3.4款作出的指示，实施、完成全部工程，并修补工程中的任何缺陷。承包人应提供为完成合同工作所需的劳务、材料、施工设备、工程设备和其他物品，并按合同约定负责临时设施的设计、建造、运行、维护、管理和拆除。</w:t>
      </w:r>
    </w:p>
    <w:p>
      <w:pPr>
        <w:spacing w:line="340" w:lineRule="exact"/>
        <w:ind w:firstLine="420"/>
        <w:rPr>
          <w:rFonts w:hint="eastAsia" w:ascii="宋体" w:hAnsi="宋体"/>
          <w:color w:val="auto"/>
          <w:szCs w:val="21"/>
          <w:highlight w:val="none"/>
        </w:rPr>
      </w:pPr>
      <w:r>
        <w:rPr>
          <w:rFonts w:hint="eastAsia" w:ascii="宋体" w:hAnsi="宋体"/>
          <w:color w:val="auto"/>
          <w:szCs w:val="21"/>
          <w:highlight w:val="none"/>
        </w:rPr>
        <w:t>承包人应在签订合同协议书后14天内为本合同实施设立现场项目经理部，该项目经理部应成为承包人授权的代理人或代表的合法机构，承包人应保证该项目经理部履行职责直至合同期满为止。</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4.1.10 其他义务</w:t>
      </w:r>
    </w:p>
    <w:p>
      <w:pPr>
        <w:spacing w:line="34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公路工程专用合同条款4.1.10第（2）目细化为：</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承包人应承担并支付为获得本合同工程所需的石料、砂、砾石、黏土或其他当地材料等所发生的料场使用费、资源费及其他开支或补偿费。发包人应尽可能协助承包人办理料场租用手续及解决使用过程中的有关问题。</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发包人协助办理的成功与否，不免除根据合同文件规定的承包人的一切责任。</w:t>
      </w:r>
    </w:p>
    <w:p>
      <w:pPr>
        <w:spacing w:line="34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公路工程专用合同条款4.1.10第（3）目细化为：</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支付给承包人的工程款中扣除相应款项。对恶意拖欠和拒不按计划支付的，作为不良记录纳入公路建设市场信用信息管理系统。</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承包人的项目经理部是民工工资的支付行为的主体，承包人的项目经理是民工工资支付的责任人。项目经理部要建立全体民工花名册和工资支付表，确保将工资直接发给民工本人，或委托银行发放民工工资，严禁发放给“包工头”或其他不具备用工主体资格的组织和个人。</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工资支付表应如实记录支付单位、支付时间、支付对象、支付数额、支付对象的身份证号和签名等信息。民工花名册和工资支付表应报监理人备查。</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承包人在本工程中，应严格执行《关于进一步落实交通建设领域施工企业农民工记工考勤卡等事宜的通知》（浙交[2009]39号）、</w:t>
      </w:r>
      <w:r>
        <w:rPr>
          <w:rFonts w:hint="eastAsia" w:ascii="宋体" w:hAnsi="宋体"/>
          <w:b/>
          <w:color w:val="auto"/>
          <w:highlight w:val="none"/>
        </w:rPr>
        <w:t>《浙江省人民政府办公厅转发省建设厅省人力社保厅关于进一步完善建筑业企业农民工工资支付保证金制度意见的通知》（浙政办发[2012]100号）</w:t>
      </w:r>
      <w:r>
        <w:rPr>
          <w:rFonts w:hint="eastAsia" w:ascii="宋体" w:hAnsi="宋体"/>
          <w:color w:val="auto"/>
          <w:highlight w:val="none"/>
        </w:rPr>
        <w:t>。</w:t>
      </w:r>
    </w:p>
    <w:p>
      <w:pPr>
        <w:spacing w:line="340" w:lineRule="exact"/>
        <w:ind w:firstLine="420" w:firstLineChars="200"/>
        <w:rPr>
          <w:rFonts w:hint="eastAsia" w:ascii="仿宋_GB2312"/>
          <w:color w:val="auto"/>
          <w:szCs w:val="32"/>
          <w:highlight w:val="none"/>
        </w:rPr>
      </w:pPr>
      <w:r>
        <w:rPr>
          <w:rFonts w:hint="eastAsia" w:ascii="仿宋_GB2312"/>
          <w:color w:val="auto"/>
          <w:szCs w:val="32"/>
          <w:highlight w:val="none"/>
        </w:rPr>
        <w:t xml:space="preserve">按浙政办发〔2012〕100号的要求，今后，农民工工资保证金应以企业为单位在工程所在设区市（市本级）缴纳，不以承接的工程项目为单位缴纳。投标人应将农民工工资保证金缴纳至工程所在地的各市交通运输行政主管部门设立的交通建设领域农民工工资保证金专户。一般为：总承包企业的最高缴纳金额不超过120万元，专业承包企业不超过60万元，劳务分包企业不超过30万元。 </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承包人应按照《关于进一步落实交通建设领域施工企业农民工记工考勤卡等事宜的通知》的规定，在用工后 15 天内与农民工签订劳动合同，根据劳动合同签订情况，统计农民工人数，按照实际人数办理记工考勤卡。项目完工后或农民工提前离开工地，承包人应在合同约定期限之内对农民工工资进行结算，并一次性付清所有应发放的工资，同时承包人应在项目经理部和新闻媒介上分阶段公示工资支付情况，并公开 2 个监督电话（电话为当地交通主管部门和劳动保障部门等第三方单位可打通的号码），公示期为 5 个工作日。承包人应加强劳动合同管理，规范公路建设用工行为。不拖欠农民工工资，及时、足额发放农民工工资。</w:t>
      </w:r>
    </w:p>
    <w:p>
      <w:pPr>
        <w:pStyle w:val="2"/>
        <w:spacing w:before="0" w:beforeLines="0" w:after="0" w:line="340" w:lineRule="exact"/>
        <w:ind w:firstLineChars="200"/>
        <w:rPr>
          <w:rFonts w:hint="eastAsia"/>
          <w:color w:val="auto"/>
          <w:highlight w:val="none"/>
        </w:rPr>
      </w:pPr>
      <w:r>
        <w:rPr>
          <w:rFonts w:hint="eastAsia"/>
          <w:color w:val="auto"/>
          <w:highlight w:val="none"/>
        </w:rPr>
        <w:t>根据《温州市人民政府关于印发深入开展“温州无欠薪”行动实施方案的通知》（温政办〔2017〕72 号）文件精神，承包人应认真落实建筑业企业农民工工资保证金制度、施工现场作业人员实名管理制度、民工工资和工程款分账管理、建设工程综合保险、银行代发工资、设置工资维权信息告示牌等各项制度。</w:t>
      </w:r>
    </w:p>
    <w:p>
      <w:pPr>
        <w:spacing w:line="34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公路工程专用合同条款4.1.10第（4）目细化为：</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（4）项目审计（含跟踪审计）、稽查和检查等的配合</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a．与本工程项目相关的审计、稽查，承包人应高度重视并委派专人积极配合。</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b．有关单位对本项目的各种检查和视察等活动，承包人有义务予以积极配合开展各项工作。</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c.本工程项目有关的各类统计报表、汇报材料包括交（竣）工验收和项目后评价报告等，承包人有义务配合发包人做好编制工作并提供相应的资料。</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d.承包人应按发包人、监理人和有关文件要求，建立相应的计量、支付和变更台账，同时承包人应配合发包人、监理人建立相应的台账，并保持其持续有效，直至工程决算完成。</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e.承包人应按发包人要求将有关材料的供货合同等资料提供给发包人和监理人备案，取材的料场或供货人和货源应保持相对固定，承包人及其供货人应接受发包人和监理人的监督检查，如有变更应及时通知发包人或监理人并送交相应有关资料。监理人征得发包人同意后有权要求承包人更换不符合要求的料场，承包人必须接受。</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（5）与第三方检测、监控、科研单位的配合</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a.承包人必须积极配合、协助第三方检测、监控、科研等单位的工作，委派专人做好配合工作。</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b.承包人应熟悉第三方检测、监控、科研等单位的检测、监控、科研实施方案和流程，配合工作也应有相应的方案，该方案须经监理人审批同意；</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c.施工检测、监控、科研过程中，应在监理人的统一调配下，承包人应尽可能地提供人员、材料、设备的便利，以便施工检测、监控、科研工作顺利的进行；</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d.承包人应参与检测、监控、科研资料的总结与分析工作。</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（6）地方道路的维护和管理</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承包人在使用地方道路中，必须采取一切措施确保车辆正常通行，做到施工、通车两不误。承包人应针对通车路段的施工特点，提出通车路段的施工维护方案，报监理人批准，并认真组织实施。施工方案和措施应包括：</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a．成立维护、管理组织、负责正常道路维护和交通管理工作；</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b．落实施工措施，根据实际情况合理分段、分幅安排施工，要控制施工长度，维持足够宽度，保持良好平整度，做到排水顺畅，路面无低洼积水，确保车辆能顺利交会，车辆平稳通行；</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c.配备交通管理标志，指定专人维护交通秩序；</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d.加强与交警联系，争取交警参与，建立交通管理制度。</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由于承包人措施不力，导致阻车和事故频发或损坏地方道路，影响交通安全和正常运行，并造成重大影响，引起索赔，赔偿、诉讼费用及工地拖延或施工费用增加时，应由承包人承担一切责任和费用。</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凡标段内与已建公路等有交叉干扰的地段，承包人应在不干扰公路等正常运行的前提下，合理安排施工组织计划，采取有效措施保证施工和运营安全，并在必要时疏导现有交通流。承包人应将采取的措施而可能发生的全部费用计入投标报价中，发包人将不另行支付。如因承包人采取措施不力，影响公路正常安全运营而给其他部门或个人造成的一切损失或由于上述原因造成工期的拖延或施工费用的增加，均由承包人自行承担。</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（8）承包人进驻施工现场后十天应根据本条款要求制定工地规则并报监理人审查批准，告示全体工作人员在工程实施过程中切实遵守。工地规则应包括但不限于下列内容：</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 安全保卫制度；</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b. 施工安全制度；</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c. 工地出入管理制度；</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d. 环境卫生制度；</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e. 防火、防爆制度；</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f. 周围及邻近环境保护规则。</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g. 农民工管理制度（含维护农民工权益制度）</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h. 社会治安、计划生育管理制度</w:t>
      </w:r>
    </w:p>
    <w:p>
      <w:pPr>
        <w:spacing w:line="3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整个施工过程中对承包人采取的安全、保卫和环境保护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pPr>
        <w:tabs>
          <w:tab w:val="left" w:pos="2790"/>
        </w:tabs>
        <w:snapToGrid w:val="0"/>
        <w:spacing w:line="400" w:lineRule="exact"/>
        <w:ind w:firstLine="420" w:firstLineChars="200"/>
        <w:outlineLvl w:val="3"/>
        <w:rPr>
          <w:rFonts w:hint="eastAsia" w:ascii="宋体" w:hAnsi="宋体"/>
          <w:color w:val="auto"/>
          <w:szCs w:val="21"/>
          <w:highlight w:val="none"/>
        </w:rPr>
      </w:pPr>
      <w:bookmarkStart w:id="1152" w:name="_Toc466366065"/>
      <w:bookmarkStart w:id="1153" w:name="_Toc399396843"/>
      <w:bookmarkStart w:id="1154" w:name="_Toc361141007"/>
      <w:r>
        <w:rPr>
          <w:rFonts w:hint="eastAsia" w:ascii="宋体" w:hAnsi="宋体"/>
          <w:color w:val="auto"/>
          <w:szCs w:val="21"/>
          <w:highlight w:val="none"/>
        </w:rPr>
        <w:t>（9）承包人应配合发包人做好征地拆迁的配合工作，必要时应无偿提供人力、设备以及材料等方面的支持配合，承包人因此增加的费用应认为已包括在合同价之中，发包人不另行支付。</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10）几个承包人或与相邻标段或与相邻项目在同一区域内施工时，监理人有权协调工程的实施，并对工程衔接作出指示，承包人应在监理人的统一协调下工作，承包人因此增加的费用应认为已包括在投标价之中，发包人不另行支付。</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（11）未经发包人事先批准，承包人不得在任何报纸、商业或技术文献上刊登或披露任何与本合同或本工程有关的详细资料。</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承包人不应在现场或施工设施上展示或允许展示任何贸易和商业性广告。在工地现场张贴布告，应事先得到监理人的批准，当监理人指示撤除时，应立即执行。</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（12）承包人不得将任何种类的爆破器材给予、易货或以其他方式转让给他人，承包人应遵守《中华人民共和国民用爆炸物品管理条例》。承包人在进行爆破施工前应当编制详细实施性施工方</w:t>
      </w:r>
    </w:p>
    <w:p>
      <w:pPr>
        <w:tabs>
          <w:tab w:val="left" w:pos="2790"/>
        </w:tabs>
        <w:snapToGrid w:val="0"/>
        <w:spacing w:line="400" w:lineRule="exact"/>
        <w:outlineLvl w:val="3"/>
        <w:rPr>
          <w:rFonts w:hint="eastAsia" w:ascii="宋体" w:hAnsi="宋体"/>
          <w:color w:val="auto"/>
          <w:szCs w:val="21"/>
          <w:highlight w:val="none"/>
        </w:rPr>
      </w:pPr>
      <w:r>
        <w:rPr>
          <w:rFonts w:hint="eastAsia" w:ascii="宋体" w:hAnsi="宋体"/>
          <w:color w:val="auto"/>
          <w:szCs w:val="21"/>
          <w:highlight w:val="none"/>
        </w:rPr>
        <w:t>案、安全专项方案以及进行相关的试爆工作的实施方案，并报经监理人及相关部门审批认可，同时</w:t>
      </w:r>
    </w:p>
    <w:p>
      <w:pPr>
        <w:tabs>
          <w:tab w:val="left" w:pos="2790"/>
        </w:tabs>
        <w:snapToGrid w:val="0"/>
        <w:spacing w:line="400" w:lineRule="exact"/>
        <w:outlineLvl w:val="3"/>
        <w:rPr>
          <w:rFonts w:hint="eastAsia" w:ascii="宋体" w:hAnsi="宋体"/>
          <w:color w:val="auto"/>
          <w:szCs w:val="21"/>
          <w:highlight w:val="none"/>
        </w:rPr>
      </w:pPr>
      <w:r>
        <w:rPr>
          <w:rFonts w:hint="eastAsia" w:ascii="宋体" w:hAnsi="宋体"/>
          <w:color w:val="auto"/>
          <w:szCs w:val="21"/>
          <w:highlight w:val="none"/>
        </w:rPr>
        <w:t>应综合考虑爆破震动、落物等负面因素对正在运营的高速公路、电力、通信通讯等周边设施、建筑</w:t>
      </w:r>
    </w:p>
    <w:p>
      <w:pPr>
        <w:tabs>
          <w:tab w:val="left" w:pos="2790"/>
        </w:tabs>
        <w:snapToGrid w:val="0"/>
        <w:spacing w:line="400" w:lineRule="exact"/>
        <w:outlineLvl w:val="3"/>
        <w:rPr>
          <w:rFonts w:hint="eastAsia" w:ascii="宋体" w:hAnsi="宋体"/>
          <w:color w:val="auto"/>
          <w:szCs w:val="21"/>
          <w:highlight w:val="none"/>
        </w:rPr>
      </w:pPr>
      <w:r>
        <w:rPr>
          <w:rFonts w:hint="eastAsia" w:ascii="宋体" w:hAnsi="宋体"/>
          <w:color w:val="auto"/>
          <w:szCs w:val="21"/>
          <w:highlight w:val="none"/>
        </w:rPr>
        <w:t>物和环境等的影响，承包人应加强施工过程中的监控量测工作，制定相应的预警预控机制和安全应</w:t>
      </w:r>
    </w:p>
    <w:p>
      <w:pPr>
        <w:tabs>
          <w:tab w:val="left" w:pos="2790"/>
        </w:tabs>
        <w:snapToGrid w:val="0"/>
        <w:spacing w:line="400" w:lineRule="exact"/>
        <w:outlineLvl w:val="3"/>
        <w:rPr>
          <w:rFonts w:hint="eastAsia" w:ascii="宋体" w:hAnsi="宋体"/>
          <w:color w:val="auto"/>
          <w:szCs w:val="21"/>
          <w:highlight w:val="none"/>
        </w:rPr>
      </w:pPr>
      <w:r>
        <w:rPr>
          <w:rFonts w:hint="eastAsia" w:ascii="宋体" w:hAnsi="宋体"/>
          <w:color w:val="auto"/>
          <w:szCs w:val="21"/>
          <w:highlight w:val="none"/>
        </w:rPr>
        <w:t>急预案，避免对上述设施造成破环，否则，由此引起的一切费用由承包人承担。</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13）工程完工后，承包人所在标段的遗留问题，如（不限于）：河道清理、渣土清运、临时用地（含取、弃土场等）的复耕复种、老桥拆除砼垃圾的清运解小、建筑垃圾和渣土清运，临时工程的清除、赔偿，因承包人施工原因造成的受损地方道路、桥梁或其他公共设施等，承包人应积极主动进行处理、解决、修复和恢复等，并承担所有费用。如果上述问题在发包人规定的期限内不能解决，发包人有权单独或委托其他单位进行处理，发生的全部费用从承包人保留金中抵扣，承包人应无条件接受。</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（14）承包人应按照浙江省交通运输厅浙交〔2019〕197 号文《浙江省交通建设工程平安建设管理实施办法》、《浙江省普通国省道公路建设标准化工地建设管理和考核办法（试行）》的通知（浙交〔2011〕112 号）、浙江省交通运输厅《浙江省交通建设工程质量和安全生产监督工作实施办法》（ZJSP17-2019-0017）、浙江省交通运输厅《浙江省公路水运建设工程施工现场安全标志和安全防护设施设置规定（试行）》（浙交〔2011〕68 号）、交通运输部关于印发《公路水运工程平安工地建设管理办法》的通知（交安监发〔2018〕43 号）、《浙江省交通建设工程平安工地建设管理实施办法》（ZJSP17-2019-0019）、《交通运输部关 于进一步加强隧道工程质量和安全监管工作的若干意见》（交质监发〔2013〕549 号）、交通运输部《关于打造公路水运品质工程的指导意见》（交安监发〔2016〕216 号）、交通运输部办公厅《关于开展公路水运品质工程示范创建工作的通知》（交办安发〔2016〕193 号）、《浙江省交通建设工程安全生产费用管理办法》（浙交〔2021〕12 号）、《浙江省公路水运“品质工程”建设活动指导意见》、《浙江省交通运输厅关于进一步加强浙江省交通建设工程质量安全管理工作的若干意见》（浙交〔2015〕59 号）、原浙江省交通建设工程监督管理局《关于进一步深化全省在建公路水运工程“质安文化进工地”活动的通知》（浙交监〔2016〕2 号）、浙江省交通运输厅《关于印发&lt;关于开展浙江省公路水运”品质工程”建设活动的指导意见&gt;的通知》（浙交〔2016〕112 号）、浙江省交通运输厅《关于印发&lt;浙江省创建美丽公路“五个一万”工程实施意见&gt;的通知》</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（15）承包人应依据浙江省交通运输厅浙交〔2019〕197 号文《浙江省交通建设危险性较大的分部分项工程专项施工方案管理办法》及发包人要求的关键分部分项工程，相应编制安全专项施工方案、专项施工技术方案和专项交通组织方案等方案，并经由承包人内审（技术、安全、质量等相关部门专业技术人员进行审核），技术负责人签字确认后上报；对不需专家论证的方案，报监理人审批；对需论证的方案应由承包人按文件要求组织专家进行论证，并根据专家的书面论证审查意见对专项方案进行修改完善后，报监理人审核和发包人审批，均同意后方可实施（其中方案中涉及计算复核工作应由承包人委托第三方进行验算）。由施工引起的需涉及预埋管线的（如便道跨越管线等所有交叉工程），需由承包人负责安全风险评估等相关工作，以保证施工安全。</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（16）根据最新修订的《中华人民共和国水土保持法》规定及要求，承包人在项目施工过程中应严格规范施工技术，确保建设项目水土保持的稳定性，积极配合相关部门的水土保持监测和监督工作。</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（17）承包人对影响公路工程质量的原材料及成品材料常用产品的质量管理应按照浙江省交通运输厅 “关于印发《浙江省公路水运工程常用产品质量监督抽查管理实施意见（试行）》浙交[2012]248 号文的通知”的有关要求执行。</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（18）维护社会稳定</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承包人应做好施工区域相关工作维护社会稳定，避免发生承包人原因引起施工队伍或施工引起周边群众等群体性上访事件。违反本款规定，则按第 22.1 款承包人违约处理。</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19）为了便于本项目的施工全过程跟踪管理，承包人须配备动态项目管理系统。在资金管理上，承包人须与发包人、银行签订工程资金监管协议，严格管理工程资金。所需的相关费用由承包人在投标报价中综合考虑，发包人不另行计量支付。</w:t>
      </w:r>
    </w:p>
    <w:p>
      <w:pPr>
        <w:tabs>
          <w:tab w:val="left" w:pos="2790"/>
        </w:tabs>
        <w:snapToGrid w:val="0"/>
        <w:spacing w:line="400" w:lineRule="exact"/>
        <w:ind w:firstLine="420" w:firstLineChars="200"/>
        <w:outlineLvl w:val="3"/>
        <w:rPr>
          <w:rFonts w:hint="eastAsia" w:ascii="宋体" w:hAnsi="宋体"/>
          <w:color w:val="auto"/>
          <w:szCs w:val="21"/>
          <w:highlight w:val="none"/>
        </w:rPr>
      </w:pPr>
      <w:r>
        <w:rPr>
          <w:rFonts w:hint="eastAsia" w:ascii="宋体" w:hAnsi="宋体"/>
          <w:color w:val="auto"/>
          <w:szCs w:val="21"/>
          <w:highlight w:val="none"/>
        </w:rPr>
        <w:t>（20）承包人须在发包人要求的节点工期时间内完成约定的工作，承包人应在报价中综合考虑。若承包人未能按节点工期完成约定的工作，则视为违反第 22.1.1 项（4）。</w:t>
      </w:r>
    </w:p>
    <w:p>
      <w:pPr>
        <w:tabs>
          <w:tab w:val="left" w:pos="2790"/>
        </w:tabs>
        <w:snapToGrid w:val="0"/>
        <w:spacing w:line="400" w:lineRule="exact"/>
        <w:ind w:firstLine="420" w:firstLineChars="200"/>
        <w:outlineLvl w:val="3"/>
        <w:rPr>
          <w:rFonts w:hint="eastAsia" w:ascii="黑体" w:eastAsia="黑体"/>
          <w:color w:val="auto"/>
          <w:szCs w:val="21"/>
          <w:highlight w:val="none"/>
        </w:rPr>
      </w:pPr>
      <w:r>
        <w:rPr>
          <w:rFonts w:hint="eastAsia" w:ascii="黑体" w:eastAsia="黑体"/>
          <w:color w:val="auto"/>
          <w:szCs w:val="21"/>
          <w:highlight w:val="none"/>
        </w:rPr>
        <w:t>4.3 分包</w:t>
      </w:r>
      <w:bookmarkEnd w:id="1152"/>
      <w:bookmarkEnd w:id="1153"/>
      <w:bookmarkEnd w:id="1154"/>
    </w:p>
    <w:p>
      <w:pPr>
        <w:spacing w:line="360" w:lineRule="exact"/>
        <w:ind w:firstLine="420" w:firstLineChars="200"/>
        <w:rPr>
          <w:rFonts w:hint="eastAsia" w:ascii="宋体" w:hAnsi="宋体"/>
          <w:color w:val="auto"/>
          <w:highlight w:val="none"/>
        </w:rPr>
      </w:pPr>
      <w:bookmarkStart w:id="1155" w:name="_Toc262646409"/>
      <w:bookmarkStart w:id="1156" w:name="_Toc18309"/>
      <w:bookmarkStart w:id="1157" w:name="_Toc399396844"/>
      <w:bookmarkStart w:id="1158" w:name="_Toc30212"/>
      <w:bookmarkStart w:id="1159" w:name="_Toc361141008"/>
      <w:bookmarkStart w:id="1160" w:name="_Toc292754754"/>
      <w:bookmarkStart w:id="1161" w:name="_Toc22603"/>
      <w:r>
        <w:rPr>
          <w:rFonts w:hint="eastAsia" w:ascii="宋体" w:hAnsi="宋体"/>
          <w:color w:val="auto"/>
          <w:highlight w:val="none"/>
        </w:rPr>
        <w:t>公路工程专用合同条款4.3.2项补充：</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具体的分包活动应符合交通运输部交公路发[2011]685号文《关于印发公路工程施工分包管理办法的通知》及浙江省交通运输厅浙交〔2012〕253号文《关于印发《浙江省公路水运工程施工分包管理实施细则》的通知》相关的管理规定。</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公路工程专用合同条款4.3.3（1）目细化为：</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（1）允许分包的工程范围仅限于适合专业化队伍施工的工程（</w:t>
      </w:r>
      <w:r>
        <w:rPr>
          <w:rFonts w:hint="eastAsia" w:ascii="宋体" w:hAnsi="宋体"/>
          <w:b/>
          <w:bCs/>
          <w:color w:val="auto"/>
          <w:highlight w:val="none"/>
        </w:rPr>
        <w:t>本项目仅交通安全设施允许专项分包</w:t>
      </w:r>
      <w:r>
        <w:rPr>
          <w:rFonts w:hint="eastAsia" w:ascii="宋体" w:hAnsi="宋体"/>
          <w:color w:val="auto"/>
          <w:highlight w:val="none"/>
        </w:rPr>
        <w:t>）。</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4.6 承包人人员的管理</w:t>
      </w:r>
      <w:bookmarkEnd w:id="1155"/>
      <w:bookmarkEnd w:id="1156"/>
      <w:bookmarkEnd w:id="1157"/>
      <w:bookmarkEnd w:id="1158"/>
      <w:bookmarkEnd w:id="1159"/>
      <w:bookmarkEnd w:id="1160"/>
      <w:bookmarkEnd w:id="1161"/>
    </w:p>
    <w:p>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公路工程专用合同条款4.6款补充第4.6.6项～第4.6.8项：</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4.6.6 承包人的所有管理、施工人员（包括分包队伍）需着统一的明显标志服，夜间须为反光标志服，同时须符合相关安全管理的规定，并按不同岗位佩证上岗。</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4.6.7 承包人项目经理、项目总工及主要管理人员的出勤需进行考勤。项目经理及项目总工离开工地必须向监理人书面请假，并经发包人同意后才能离开；每月在工地天数应大于 20 天（特殊情况经监理人批准报发包人同意例外）。</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4.6.8 除因管理原因发生重大质量安全事故不适合再任，因生病住院、终止劳动合同关系（需提供相关部门或单位的证明材料）等无法继续履行合同责任和义务，被责令停止执业、羁押或判刑外，承包人不得提出更换项目经理、项目总工。符合上述规定确需更换的，应征得发包人同意，并经有关行业行政主管部门备案，且更换后的人员不得低于原投标承诺人员所具有的资格和业绩条件。</w:t>
      </w:r>
    </w:p>
    <w:p>
      <w:pPr>
        <w:tabs>
          <w:tab w:val="left" w:pos="2790"/>
        </w:tabs>
        <w:snapToGrid w:val="0"/>
        <w:spacing w:line="400" w:lineRule="exact"/>
        <w:outlineLvl w:val="3"/>
        <w:rPr>
          <w:rFonts w:hint="eastAsia" w:ascii="黑体" w:eastAsia="黑体"/>
          <w:color w:val="auto"/>
          <w:szCs w:val="21"/>
          <w:highlight w:val="none"/>
        </w:rPr>
      </w:pPr>
      <w:bookmarkStart w:id="1162" w:name="_Toc466366066"/>
      <w:bookmarkStart w:id="1163" w:name="_Toc5498"/>
      <w:bookmarkStart w:id="1164" w:name="_Toc262646410"/>
      <w:bookmarkStart w:id="1165" w:name="_Toc399396845"/>
      <w:bookmarkStart w:id="1166" w:name="_Toc15582"/>
      <w:bookmarkStart w:id="1167" w:name="_Toc361141009"/>
      <w:bookmarkStart w:id="1168" w:name="_Toc32260"/>
      <w:bookmarkStart w:id="1169" w:name="_Toc292754755"/>
      <w:r>
        <w:rPr>
          <w:rFonts w:hint="eastAsia" w:ascii="黑体" w:eastAsia="黑体"/>
          <w:color w:val="auto"/>
          <w:szCs w:val="21"/>
          <w:highlight w:val="none"/>
        </w:rPr>
        <w:t>4.8 保障承包人人员的合法权益</w:t>
      </w:r>
      <w:bookmarkEnd w:id="1162"/>
      <w:bookmarkEnd w:id="1163"/>
      <w:bookmarkEnd w:id="1164"/>
      <w:bookmarkEnd w:id="1165"/>
      <w:bookmarkEnd w:id="1166"/>
      <w:bookmarkEnd w:id="1167"/>
      <w:bookmarkEnd w:id="1168"/>
      <w:bookmarkEnd w:id="1169"/>
    </w:p>
    <w:p>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通用合同条款4.8.3项补充：</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承包人应至少设一名具有一定卫生常识及传染病防治知识的卫生员，负责承包人所在施工现场的传染病检查、控制、报告。</w:t>
      </w:r>
    </w:p>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一旦爆发任何具有传染性的疾病时，承包人应遵守并执行当地政府或卫生防疫部门为防治和消灭上述传染病蔓延而制定的规章、命令和要求。建立人员流动登记制度、信息报告制度，与当地卫生防疫部门积极合作，做好各项防范措施的落实工作。 </w:t>
      </w:r>
    </w:p>
    <w:p>
      <w:pPr>
        <w:tabs>
          <w:tab w:val="left" w:pos="2790"/>
        </w:tabs>
        <w:snapToGrid w:val="0"/>
        <w:spacing w:line="400" w:lineRule="exact"/>
        <w:outlineLvl w:val="3"/>
        <w:rPr>
          <w:rFonts w:hint="eastAsia" w:ascii="黑体" w:eastAsia="黑体"/>
          <w:color w:val="auto"/>
          <w:szCs w:val="21"/>
          <w:highlight w:val="none"/>
        </w:rPr>
      </w:pPr>
      <w:bookmarkStart w:id="1170" w:name="_Toc292754756"/>
      <w:bookmarkStart w:id="1171" w:name="_Toc262646411"/>
      <w:bookmarkStart w:id="1172" w:name="_Toc5315"/>
      <w:bookmarkStart w:id="1173" w:name="_Toc361141010"/>
      <w:bookmarkStart w:id="1174" w:name="_Toc466366067"/>
      <w:bookmarkStart w:id="1175" w:name="_Toc399396846"/>
      <w:bookmarkStart w:id="1176" w:name="_Toc3455"/>
      <w:bookmarkStart w:id="1177" w:name="_Toc30821"/>
      <w:r>
        <w:rPr>
          <w:rFonts w:hint="eastAsia" w:ascii="黑体" w:eastAsia="黑体"/>
          <w:color w:val="auto"/>
          <w:szCs w:val="21"/>
          <w:highlight w:val="none"/>
        </w:rPr>
        <w:t>4.11 不利物质条件</w:t>
      </w:r>
      <w:bookmarkEnd w:id="1170"/>
      <w:bookmarkEnd w:id="1171"/>
      <w:bookmarkEnd w:id="1172"/>
      <w:bookmarkEnd w:id="1173"/>
      <w:bookmarkEnd w:id="1174"/>
      <w:bookmarkEnd w:id="1175"/>
      <w:bookmarkEnd w:id="1176"/>
      <w:bookmarkEnd w:id="1177"/>
    </w:p>
    <w:p>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通用合同条款4.11.1项约定:</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4.11.1 不利物质条件的范围：</w:t>
      </w:r>
      <w:r>
        <w:rPr>
          <w:rFonts w:hint="eastAsia" w:ascii="宋体" w:hAnsi="宋体"/>
          <w:color w:val="auto"/>
          <w:szCs w:val="21"/>
          <w:highlight w:val="none"/>
          <w:u w:val="single"/>
        </w:rPr>
        <w:t xml:space="preserve">          无         </w:t>
      </w:r>
      <w:r>
        <w:rPr>
          <w:rFonts w:hint="eastAsia" w:ascii="宋体" w:hAnsi="宋体"/>
          <w:color w:val="auto"/>
          <w:szCs w:val="21"/>
          <w:highlight w:val="none"/>
        </w:rPr>
        <w:t xml:space="preserve"> </w:t>
      </w:r>
    </w:p>
    <w:p>
      <w:pPr>
        <w:tabs>
          <w:tab w:val="left" w:pos="2790"/>
        </w:tabs>
        <w:snapToGrid w:val="0"/>
        <w:spacing w:line="400" w:lineRule="exact"/>
        <w:outlineLvl w:val="2"/>
        <w:rPr>
          <w:rFonts w:hint="eastAsia" w:ascii="黑体" w:eastAsia="黑体"/>
          <w:color w:val="auto"/>
          <w:sz w:val="24"/>
          <w:szCs w:val="30"/>
          <w:highlight w:val="none"/>
        </w:rPr>
      </w:pPr>
      <w:r>
        <w:rPr>
          <w:rFonts w:hint="eastAsia" w:ascii="黑体" w:eastAsia="黑体"/>
          <w:color w:val="auto"/>
          <w:sz w:val="24"/>
          <w:szCs w:val="30"/>
          <w:highlight w:val="none"/>
        </w:rPr>
        <w:t>5.材料和工程设备</w:t>
      </w:r>
    </w:p>
    <w:p>
      <w:pPr>
        <w:tabs>
          <w:tab w:val="left" w:pos="2790"/>
        </w:tabs>
        <w:snapToGrid w:val="0"/>
        <w:spacing w:line="400" w:lineRule="exact"/>
        <w:outlineLvl w:val="3"/>
        <w:rPr>
          <w:rFonts w:hint="eastAsia" w:ascii="黑体" w:eastAsia="黑体"/>
          <w:color w:val="auto"/>
          <w:szCs w:val="21"/>
          <w:highlight w:val="none"/>
        </w:rPr>
      </w:pPr>
      <w:r>
        <w:rPr>
          <w:rFonts w:hint="eastAsia" w:ascii="黑体" w:eastAsia="黑体"/>
          <w:color w:val="auto"/>
          <w:szCs w:val="21"/>
          <w:highlight w:val="none"/>
        </w:rPr>
        <w:t>5.1 承包人提供的材料和工程设备</w:t>
      </w:r>
    </w:p>
    <w:p>
      <w:pPr>
        <w:pStyle w:val="2"/>
        <w:spacing w:before="0" w:beforeLines="0" w:after="0" w:line="360" w:lineRule="exact"/>
        <w:ind w:firstLineChars="200"/>
        <w:rPr>
          <w:rFonts w:hint="eastAsia"/>
          <w:color w:val="auto"/>
          <w:highlight w:val="none"/>
        </w:rPr>
      </w:pPr>
      <w:r>
        <w:rPr>
          <w:rFonts w:hint="eastAsia"/>
          <w:color w:val="auto"/>
          <w:highlight w:val="none"/>
        </w:rPr>
        <w:t>通用合同条款 5.1.1 项约定为：</w:t>
      </w:r>
    </w:p>
    <w:p>
      <w:pPr>
        <w:pStyle w:val="2"/>
        <w:spacing w:before="0" w:beforeLines="0" w:after="0" w:line="360" w:lineRule="exact"/>
        <w:ind w:firstLineChars="200"/>
        <w:rPr>
          <w:rFonts w:hint="eastAsia"/>
          <w:color w:val="auto"/>
          <w:highlight w:val="none"/>
        </w:rPr>
      </w:pPr>
      <w:r>
        <w:rPr>
          <w:rFonts w:hint="eastAsia"/>
          <w:color w:val="auto"/>
          <w:highlight w:val="none"/>
        </w:rPr>
        <w:t>5.1.1 为确保本项目使用质量优、价格合理的材料，应选择信誉好、服务到位的供应商。承包人在选择用于本项目永久性工程的下列主要材料须做到：</w:t>
      </w:r>
    </w:p>
    <w:p>
      <w:pPr>
        <w:pStyle w:val="2"/>
        <w:spacing w:before="0" w:beforeLines="0" w:after="0" w:line="360" w:lineRule="exact"/>
        <w:ind w:firstLineChars="200"/>
        <w:rPr>
          <w:rFonts w:hint="eastAsia"/>
          <w:color w:val="auto"/>
          <w:szCs w:val="22"/>
          <w:highlight w:val="none"/>
        </w:rPr>
      </w:pPr>
      <w:r>
        <w:rPr>
          <w:rFonts w:hint="eastAsia"/>
          <w:color w:val="auto"/>
          <w:szCs w:val="22"/>
          <w:highlight w:val="none"/>
        </w:rPr>
        <w:t>水泥、钢材、钢绞线、波纹管、支座等常用产品应按浙江省交通运输厅 2012 年 9 月 19 日印发的《浙江省公路水运工程常用产品质量监督抽查管理实施意见（试行）》的要求执行，并将拟选择的供应商名录需上报监理人审核，并经发包人备案。</w:t>
      </w:r>
    </w:p>
    <w:p>
      <w:pPr>
        <w:tabs>
          <w:tab w:val="left" w:pos="2790"/>
        </w:tabs>
        <w:snapToGrid w:val="0"/>
        <w:spacing w:line="400" w:lineRule="exact"/>
        <w:outlineLvl w:val="2"/>
        <w:rPr>
          <w:rFonts w:hint="eastAsia" w:ascii="黑体" w:eastAsia="黑体"/>
          <w:color w:val="auto"/>
          <w:sz w:val="24"/>
          <w:szCs w:val="30"/>
          <w:highlight w:val="none"/>
        </w:rPr>
      </w:pPr>
      <w:bookmarkStart w:id="1178" w:name="_Toc13555"/>
      <w:bookmarkStart w:id="1179" w:name="_Toc399396847"/>
      <w:bookmarkStart w:id="1180" w:name="_Toc5875"/>
      <w:bookmarkStart w:id="1181" w:name="_Toc262646412"/>
      <w:bookmarkStart w:id="1182" w:name="_Toc28685"/>
      <w:bookmarkStart w:id="1183" w:name="_Toc292754759"/>
      <w:bookmarkStart w:id="1184" w:name="_Toc466366068"/>
      <w:bookmarkStart w:id="1185" w:name="_Toc184635103"/>
      <w:bookmarkStart w:id="1186" w:name="_Toc361141011"/>
      <w:r>
        <w:rPr>
          <w:rFonts w:hint="eastAsia" w:ascii="黑体" w:eastAsia="黑体"/>
          <w:color w:val="auto"/>
          <w:sz w:val="24"/>
          <w:szCs w:val="30"/>
          <w:highlight w:val="none"/>
        </w:rPr>
        <w:t>6. 施工设备和临时设施</w:t>
      </w:r>
      <w:bookmarkEnd w:id="1178"/>
      <w:bookmarkEnd w:id="1179"/>
      <w:bookmarkEnd w:id="1180"/>
      <w:bookmarkEnd w:id="1181"/>
      <w:bookmarkEnd w:id="1182"/>
      <w:bookmarkEnd w:id="1183"/>
      <w:bookmarkEnd w:id="1184"/>
      <w:bookmarkEnd w:id="1185"/>
      <w:bookmarkEnd w:id="1186"/>
    </w:p>
    <w:p>
      <w:pPr>
        <w:tabs>
          <w:tab w:val="left" w:pos="2790"/>
        </w:tabs>
        <w:snapToGrid w:val="0"/>
        <w:spacing w:line="400" w:lineRule="exact"/>
        <w:outlineLvl w:val="3"/>
        <w:rPr>
          <w:rFonts w:hint="eastAsia" w:ascii="黑体" w:eastAsia="黑体"/>
          <w:color w:val="auto"/>
          <w:szCs w:val="21"/>
          <w:highlight w:val="none"/>
        </w:rPr>
      </w:pPr>
      <w:bookmarkStart w:id="1187" w:name="_Toc292754761"/>
      <w:bookmarkStart w:id="1188" w:name="_Toc262646413"/>
      <w:bookmarkStart w:id="1189" w:name="_Toc399396848"/>
      <w:bookmarkStart w:id="1190" w:name="_Toc16151"/>
      <w:bookmarkStart w:id="1191" w:name="_Toc466366069"/>
      <w:bookmarkStart w:id="1192" w:name="_Toc11700"/>
      <w:bookmarkStart w:id="1193" w:name="_Toc361141012"/>
      <w:bookmarkStart w:id="1194" w:name="_Toc24909"/>
      <w:r>
        <w:rPr>
          <w:rFonts w:hint="eastAsia" w:ascii="黑体" w:eastAsia="黑体"/>
          <w:color w:val="auto"/>
          <w:szCs w:val="21"/>
          <w:highlight w:val="none"/>
        </w:rPr>
        <w:t>6.3 要求承包人增加或更换施工设备</w:t>
      </w:r>
      <w:bookmarkEnd w:id="1187"/>
      <w:bookmarkEnd w:id="1188"/>
      <w:bookmarkEnd w:id="1189"/>
      <w:bookmarkEnd w:id="1190"/>
      <w:bookmarkEnd w:id="1191"/>
      <w:bookmarkEnd w:id="1192"/>
      <w:bookmarkEnd w:id="1193"/>
      <w:bookmarkEnd w:id="1194"/>
      <w:bookmarkStart w:id="1195" w:name="_Toc184635104"/>
    </w:p>
    <w:p>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公路工程专用合同条款6.3款细化为：</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承包人承诺的施工设备必须按时到达现场，不得拖延、缺短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承包人应综合考虑本项目特点、现场情况的特殊性，根据项目总体进度计划和阶段性计划以及发包人的要求合理安排好施工设备进场，必要时应切实加大施工设备、人力、物力的投入并经监理人、发包人审批认可，由此增加的费用认为已包括在投标价之中，发包人不另行支付。</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承包人的机械、车辆必须证（照）齐全，三无车辆不得进场。</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违反本款规定，则按第22.1款承包人违约处理。</w:t>
      </w:r>
    </w:p>
    <w:p>
      <w:pPr>
        <w:tabs>
          <w:tab w:val="left" w:pos="2790"/>
        </w:tabs>
        <w:snapToGrid w:val="0"/>
        <w:spacing w:line="400" w:lineRule="exact"/>
        <w:outlineLvl w:val="2"/>
        <w:rPr>
          <w:rFonts w:hint="eastAsia" w:ascii="黑体" w:eastAsia="黑体"/>
          <w:color w:val="auto"/>
          <w:sz w:val="24"/>
          <w:szCs w:val="30"/>
          <w:highlight w:val="none"/>
        </w:rPr>
      </w:pPr>
      <w:bookmarkStart w:id="1196" w:name="_Toc12491"/>
      <w:bookmarkStart w:id="1197" w:name="_Toc399396849"/>
      <w:bookmarkStart w:id="1198" w:name="_Toc1197"/>
      <w:bookmarkStart w:id="1199" w:name="_Toc262646414"/>
      <w:bookmarkStart w:id="1200" w:name="_Toc292754762"/>
      <w:bookmarkStart w:id="1201" w:name="_Toc361141013"/>
      <w:bookmarkStart w:id="1202" w:name="_Toc23646"/>
      <w:bookmarkStart w:id="1203" w:name="_Toc466366070"/>
      <w:r>
        <w:rPr>
          <w:rFonts w:hint="eastAsia" w:ascii="黑体" w:eastAsia="黑体"/>
          <w:color w:val="auto"/>
          <w:sz w:val="24"/>
          <w:szCs w:val="30"/>
          <w:highlight w:val="none"/>
        </w:rPr>
        <w:t>7. 交通运输</w:t>
      </w:r>
      <w:bookmarkEnd w:id="1195"/>
      <w:bookmarkEnd w:id="1196"/>
      <w:bookmarkEnd w:id="1197"/>
      <w:bookmarkEnd w:id="1198"/>
      <w:bookmarkEnd w:id="1199"/>
      <w:bookmarkEnd w:id="1200"/>
      <w:bookmarkEnd w:id="1201"/>
      <w:bookmarkEnd w:id="1202"/>
      <w:bookmarkEnd w:id="1203"/>
    </w:p>
    <w:p>
      <w:pPr>
        <w:tabs>
          <w:tab w:val="left" w:pos="2790"/>
        </w:tabs>
        <w:snapToGrid w:val="0"/>
        <w:spacing w:line="400" w:lineRule="exact"/>
        <w:outlineLvl w:val="3"/>
        <w:rPr>
          <w:rFonts w:hint="eastAsia" w:ascii="黑体" w:eastAsia="黑体"/>
          <w:color w:val="auto"/>
          <w:szCs w:val="21"/>
          <w:highlight w:val="none"/>
        </w:rPr>
      </w:pPr>
      <w:bookmarkStart w:id="1204" w:name="_Toc361141014"/>
      <w:bookmarkStart w:id="1205" w:name="_Toc399396850"/>
      <w:bookmarkStart w:id="1206" w:name="_Toc13923"/>
      <w:bookmarkStart w:id="1207" w:name="_Toc5250"/>
      <w:bookmarkStart w:id="1208" w:name="_Toc292754763"/>
      <w:bookmarkStart w:id="1209" w:name="_Toc262646415"/>
      <w:bookmarkStart w:id="1210" w:name="_Toc14395"/>
      <w:bookmarkStart w:id="1211" w:name="_Toc466366071"/>
      <w:r>
        <w:rPr>
          <w:rFonts w:hint="eastAsia" w:ascii="黑体" w:eastAsia="黑体"/>
          <w:color w:val="auto"/>
          <w:szCs w:val="21"/>
          <w:highlight w:val="none"/>
        </w:rPr>
        <w:t>7.2 场内施工道路</w:t>
      </w:r>
      <w:bookmarkEnd w:id="1204"/>
      <w:bookmarkEnd w:id="1205"/>
      <w:bookmarkEnd w:id="1206"/>
      <w:bookmarkEnd w:id="1207"/>
      <w:bookmarkEnd w:id="1208"/>
      <w:bookmarkEnd w:id="1209"/>
      <w:bookmarkEnd w:id="1210"/>
      <w:bookmarkEnd w:id="1211"/>
    </w:p>
    <w:p>
      <w:pPr>
        <w:spacing w:line="360" w:lineRule="exact"/>
        <w:ind w:firstLine="422" w:firstLineChars="200"/>
        <w:rPr>
          <w:rFonts w:hint="eastAsia" w:ascii="宋体" w:hAnsi="宋体"/>
          <w:b/>
          <w:color w:val="auto"/>
          <w:szCs w:val="21"/>
          <w:highlight w:val="none"/>
        </w:rPr>
      </w:pPr>
      <w:r>
        <w:rPr>
          <w:rFonts w:hint="eastAsia" w:ascii="宋体" w:hAnsi="宋体"/>
          <w:b/>
          <w:color w:val="auto"/>
          <w:highlight w:val="none"/>
        </w:rPr>
        <w:t>通</w:t>
      </w:r>
      <w:r>
        <w:rPr>
          <w:rFonts w:hint="eastAsia" w:ascii="宋体" w:hAnsi="宋体"/>
          <w:b/>
          <w:color w:val="auto"/>
          <w:szCs w:val="21"/>
          <w:highlight w:val="none"/>
        </w:rPr>
        <w:t>用合同条款第7.2.2项约定为：</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承包人应允许发包人、监理人及发包人安排的其他相关人员无偿使用由承包人修建和维护的临时道路、桥梁等设施。承包人应允许与发包人签订有承包合同的其他承包人或其工作人员使用由承包人修建和维护的临时道路、桥梁等设施；如其他承包人或其工作人员在使用中对临时设施有损坏时，承包人可通过监理人指出由其他承包人给予修复或赔偿的要求。</w:t>
      </w:r>
    </w:p>
    <w:p>
      <w:pPr>
        <w:tabs>
          <w:tab w:val="left" w:pos="2790"/>
        </w:tabs>
        <w:snapToGrid w:val="0"/>
        <w:spacing w:line="400" w:lineRule="exact"/>
        <w:outlineLvl w:val="2"/>
        <w:rPr>
          <w:rFonts w:hint="eastAsia" w:ascii="黑体" w:eastAsia="黑体"/>
          <w:color w:val="auto"/>
          <w:sz w:val="24"/>
          <w:szCs w:val="30"/>
          <w:highlight w:val="none"/>
        </w:rPr>
      </w:pPr>
      <w:bookmarkStart w:id="1212" w:name="_Toc23929"/>
      <w:bookmarkStart w:id="1213" w:name="_Toc466366072"/>
      <w:bookmarkStart w:id="1214" w:name="_Toc28656"/>
      <w:bookmarkStart w:id="1215" w:name="_Toc262646416"/>
      <w:bookmarkStart w:id="1216" w:name="_Toc292754764"/>
      <w:bookmarkStart w:id="1217" w:name="_Toc361141015"/>
      <w:bookmarkStart w:id="1218" w:name="_Toc27428"/>
      <w:bookmarkStart w:id="1219" w:name="_Toc184635106"/>
      <w:bookmarkStart w:id="1220" w:name="_Toc399396851"/>
      <w:r>
        <w:rPr>
          <w:rFonts w:hint="eastAsia" w:ascii="黑体" w:eastAsia="黑体"/>
          <w:color w:val="auto"/>
          <w:sz w:val="24"/>
          <w:szCs w:val="30"/>
          <w:highlight w:val="none"/>
        </w:rPr>
        <w:t>9. 施工安全、治安保卫和环境保护</w:t>
      </w:r>
      <w:bookmarkEnd w:id="1212"/>
      <w:bookmarkEnd w:id="1213"/>
      <w:bookmarkEnd w:id="1214"/>
      <w:bookmarkEnd w:id="1215"/>
      <w:bookmarkEnd w:id="1216"/>
      <w:bookmarkEnd w:id="1217"/>
      <w:bookmarkEnd w:id="1218"/>
      <w:bookmarkEnd w:id="1219"/>
      <w:bookmarkEnd w:id="1220"/>
    </w:p>
    <w:p>
      <w:pPr>
        <w:tabs>
          <w:tab w:val="left" w:pos="2790"/>
        </w:tabs>
        <w:snapToGrid w:val="0"/>
        <w:spacing w:line="400" w:lineRule="exact"/>
        <w:outlineLvl w:val="3"/>
        <w:rPr>
          <w:rFonts w:hint="eastAsia" w:ascii="黑体" w:eastAsia="黑体"/>
          <w:color w:val="auto"/>
          <w:szCs w:val="21"/>
          <w:highlight w:val="none"/>
        </w:rPr>
      </w:pPr>
      <w:bookmarkStart w:id="1221" w:name="_Toc466366073"/>
      <w:bookmarkStart w:id="1222" w:name="_Toc262646417"/>
      <w:bookmarkStart w:id="1223" w:name="_Toc13599"/>
      <w:bookmarkStart w:id="1224" w:name="_Toc292754765"/>
      <w:bookmarkStart w:id="1225" w:name="_Toc399396852"/>
      <w:bookmarkStart w:id="1226" w:name="_Toc5372"/>
      <w:bookmarkStart w:id="1227" w:name="_Toc361141016"/>
      <w:bookmarkStart w:id="1228" w:name="_Toc13782"/>
      <w:r>
        <w:rPr>
          <w:rFonts w:hint="eastAsia" w:ascii="黑体" w:eastAsia="黑体"/>
          <w:color w:val="auto"/>
          <w:szCs w:val="21"/>
          <w:highlight w:val="none"/>
        </w:rPr>
        <w:t>9.2 承包人的施工安全责任</w:t>
      </w:r>
      <w:bookmarkEnd w:id="1221"/>
      <w:bookmarkEnd w:id="1222"/>
      <w:bookmarkEnd w:id="1223"/>
      <w:bookmarkEnd w:id="1224"/>
      <w:bookmarkEnd w:id="1225"/>
      <w:bookmarkEnd w:id="1226"/>
      <w:bookmarkEnd w:id="1227"/>
      <w:bookmarkEnd w:id="1228"/>
    </w:p>
    <w:p>
      <w:pPr>
        <w:spacing w:line="360" w:lineRule="exact"/>
        <w:ind w:firstLine="422" w:firstLineChars="200"/>
        <w:rPr>
          <w:rFonts w:hint="eastAsia" w:ascii="宋体" w:hAnsi="宋体"/>
          <w:b/>
          <w:color w:val="auto"/>
          <w:highlight w:val="none"/>
        </w:rPr>
      </w:pPr>
      <w:r>
        <w:rPr>
          <w:rFonts w:hint="eastAsia" w:ascii="宋体" w:hAnsi="宋体"/>
          <w:b/>
          <w:color w:val="auto"/>
          <w:highlight w:val="none"/>
        </w:rPr>
        <w:t>通用合同条款第9.2.2项细化为：</w:t>
      </w:r>
    </w:p>
    <w:p>
      <w:pPr>
        <w:spacing w:line="360" w:lineRule="exact"/>
        <w:ind w:firstLine="409" w:firstLineChars="195"/>
        <w:rPr>
          <w:rFonts w:hint="eastAsia" w:ascii="宋体" w:hAnsi="宋体"/>
          <w:color w:val="auto"/>
          <w:highlight w:val="none"/>
        </w:rPr>
      </w:pPr>
      <w:r>
        <w:rPr>
          <w:rFonts w:hint="eastAsia" w:ascii="宋体" w:hAnsi="宋体"/>
          <w:color w:val="auto"/>
          <w:highlight w:val="none"/>
        </w:rPr>
        <w:t>（1）承包人应加强施工作业安全管理，特别应加强易燃、易爆材料、火工器材、有毒与腐蚀性材料和其他危险品的管理，以及对爆破作业和地下工程施工等危险作业的管理。</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2）在实施和完成本标段工程及其缺陷责任期内的缺陷修复的整个过程中，承包人在安全方面应该充分关注和保障所有在现场工作人员的安全，采取有效措施，使现场和本标段工程的实施保持有条不紊，以免使上述人员的安全受到威胁：</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a. 现场专职安全员配备必须按照浙江省交通运输厅《浙江省交通建设工程质量和安全生产监督管工作实施办法》（浙交〔2019〕197 号）和《公路水运工程安全生产监督管理办法》要求配备。</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b.特殊工种（电工、起重工、电焊工、车辆驾驶员等（但不限于））要经过专业培训，并持有主管部门签发的合格证上岗；</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c.对于易燃易爆的材料除应专门妥善保管之外，还应配备有足够的消防设备，所有施工人员都应熟悉消防设备的性能和使用方法；</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d.所有施工机具设备均应定期检查，并有安全员的签字记录；</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e.根据本合同各单位工程的施工特点，严格执行JTG F90-2015《公路工程施工安全技术规程》与《公路筑养路机械操作规程》的具体规定。</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f.建立严格的安全生产教育制度，坚持人员入场教育，坚持定期召开安全生产形势分析和事故苗头的安全教育会议，针对定期检查出来的问题召开分析会，并针对事故苗头或险情进行安全教育。增强安全施工意识，将安全工作落实到全体职工和生产各个环节。</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g.加强安全法制观念，严格执行安全生产合同，必须坚持特殊安全操作持证上岗；</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h.加强施工管理人员安全意识，避免违章指挥；</w:t>
      </w:r>
    </w:p>
    <w:p>
      <w:pPr>
        <w:spacing w:line="360" w:lineRule="exact"/>
        <w:ind w:firstLine="407" w:firstLineChars="194"/>
        <w:rPr>
          <w:rFonts w:hint="eastAsia" w:ascii="宋体" w:hAnsi="宋体"/>
          <w:color w:val="auto"/>
          <w:highlight w:val="none"/>
        </w:rPr>
      </w:pPr>
      <w:r>
        <w:rPr>
          <w:rFonts w:hint="eastAsia" w:ascii="宋体" w:hAnsi="宋体"/>
          <w:color w:val="auto"/>
          <w:highlight w:val="none"/>
        </w:rPr>
        <w:t>i.建立定期检查、突击检查和特殊检查相结合的安全检查形式，发现问题及时整改，及时采取措施排除险情。</w:t>
      </w:r>
    </w:p>
    <w:p>
      <w:pPr>
        <w:spacing w:line="360" w:lineRule="exact"/>
        <w:ind w:firstLine="407" w:firstLineChars="194"/>
        <w:rPr>
          <w:rFonts w:hint="eastAsia" w:ascii="宋体" w:hAnsi="宋体"/>
          <w:color w:val="auto"/>
          <w:highlight w:val="none"/>
        </w:rPr>
      </w:pPr>
      <w:r>
        <w:rPr>
          <w:rFonts w:hint="eastAsia" w:ascii="宋体" w:hAnsi="宋体"/>
          <w:color w:val="auto"/>
          <w:highlight w:val="none"/>
        </w:rPr>
        <w:t>（3）为了保护本合同工程免遭损坏，或为了现场附近和过往群众的安全与方便，在确有必要的时候和地方，或当监理人或有关主管部门要求时，承包人应自费提供照明、警卫、护栅、警告标志等安全防护设施。</w:t>
      </w:r>
    </w:p>
    <w:p>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公路工程专用合同条款第9.2.5项约定为：</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9.2.5</w:t>
      </w:r>
      <w:r>
        <w:rPr>
          <w:rFonts w:hint="eastAsia" w:ascii="宋体" w:hAnsi="宋体"/>
          <w:b/>
          <w:bCs/>
          <w:color w:val="auto"/>
          <w:highlight w:val="none"/>
        </w:rPr>
        <w:t>安全生产费用不低于投标总价的2％，</w:t>
      </w:r>
      <w:r>
        <w:rPr>
          <w:rFonts w:hint="eastAsia" w:ascii="宋体" w:hAnsi="宋体"/>
          <w:b/>
          <w:color w:val="auto"/>
          <w:szCs w:val="21"/>
          <w:highlight w:val="none"/>
        </w:rPr>
        <w:t>（</w:t>
      </w:r>
      <w:r>
        <w:rPr>
          <w:rFonts w:hint="eastAsia" w:ascii="宋体" w:hAnsi="宋体"/>
          <w:b/>
          <w:bCs/>
          <w:color w:val="auto"/>
          <w:szCs w:val="21"/>
          <w:highlight w:val="none"/>
        </w:rPr>
        <w:t>浙交[2020]104号《关于进一步加强全省交通建设工程安全生产管理工作的若干规定》、</w:t>
      </w:r>
      <w:r>
        <w:rPr>
          <w:rFonts w:hint="eastAsia" w:ascii="宋体" w:hAnsi="宋体"/>
          <w:b/>
          <w:color w:val="auto"/>
          <w:szCs w:val="21"/>
          <w:highlight w:val="none"/>
        </w:rPr>
        <w:t>浙交[2021]40号文《</w:t>
      </w:r>
      <w:r>
        <w:rPr>
          <w:rFonts w:ascii="宋体" w:hAnsi="宋体"/>
          <w:b/>
          <w:color w:val="auto"/>
          <w:szCs w:val="21"/>
          <w:highlight w:val="none"/>
        </w:rPr>
        <w:t>关于印发《全省“平安交通建设年”交通建设工程专项整治实施方案》的通知</w:t>
      </w:r>
      <w:r>
        <w:rPr>
          <w:rFonts w:hint="eastAsia" w:ascii="宋体" w:hAnsi="宋体"/>
          <w:b/>
          <w:color w:val="auto"/>
          <w:szCs w:val="21"/>
          <w:highlight w:val="none"/>
        </w:rPr>
        <w:t>》）。</w:t>
      </w:r>
      <w:r>
        <w:rPr>
          <w:rFonts w:hint="eastAsia" w:ascii="宋体" w:hAnsi="宋体"/>
          <w:color w:val="auto"/>
          <w:highlight w:val="none"/>
        </w:rPr>
        <w:t>安全生产费用应用于施工安全防护用具及设施的采购和更新、安全施工措施的落实、安全生产条件的改善，不得挪作他用。承包人还应执行《浙江省交通建设工程质量和安全生产管理条例》、浙江省交通运输厅浙交〔2019〕197 号《关于印发《浙江省交通建设工程质量和安全生产监督工作实施办法》的通知的相关规定和要求。如承包人在此基础上增加安全生产费用以满足项目施工需要，则承包人应在本项目工程量清单其他相关子目的单价或总额价中予以考虑，发包人不再另行支付。因采取合同未约定的特殊防护措施增加的费用，由监理人按第3.5 款商定或确定。</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安全生产费用的使用和支付按浙交[2021]12号省交通运输厅关于印发《浙江省交通建设工程安全生产费用管理办法》的通知中相关要求以及相关最新规定办理。</w:t>
      </w:r>
    </w:p>
    <w:p>
      <w:pPr>
        <w:spacing w:line="360" w:lineRule="exact"/>
        <w:ind w:firstLine="435"/>
        <w:rPr>
          <w:rFonts w:hint="eastAsia" w:ascii="宋体" w:hAnsi="宋体"/>
          <w:b/>
          <w:color w:val="auto"/>
          <w:highlight w:val="none"/>
        </w:rPr>
      </w:pPr>
      <w:bookmarkStart w:id="1229" w:name="_Toc271183343"/>
      <w:bookmarkStart w:id="1230" w:name="_Toc292754766"/>
      <w:bookmarkStart w:id="1231" w:name="_Toc266444334"/>
      <w:bookmarkStart w:id="1232" w:name="_Toc262895978"/>
      <w:bookmarkStart w:id="1233" w:name="_Toc18089"/>
      <w:bookmarkStart w:id="1234" w:name="_Toc184635107"/>
      <w:bookmarkStart w:id="1235" w:name="_Toc24240"/>
      <w:bookmarkStart w:id="1236" w:name="_Toc694"/>
      <w:bookmarkStart w:id="1237" w:name="_Toc262646418"/>
      <w:r>
        <w:rPr>
          <w:rFonts w:hint="eastAsia" w:ascii="宋体" w:hAnsi="宋体"/>
          <w:b/>
          <w:color w:val="auto"/>
          <w:highlight w:val="none"/>
        </w:rPr>
        <w:t>公路工程专用合同条款补充第9.2.12项：</w:t>
      </w:r>
    </w:p>
    <w:bookmarkEnd w:id="1229"/>
    <w:bookmarkEnd w:id="1230"/>
    <w:bookmarkEnd w:id="1231"/>
    <w:bookmarkEnd w:id="1232"/>
    <w:p>
      <w:pPr>
        <w:spacing w:line="340" w:lineRule="exact"/>
        <w:ind w:firstLine="435"/>
        <w:rPr>
          <w:rFonts w:hint="eastAsia" w:ascii="宋体" w:hAnsi="宋体"/>
          <w:color w:val="auto"/>
          <w:highlight w:val="none"/>
        </w:rPr>
      </w:pPr>
      <w:bookmarkStart w:id="1238" w:name="_Toc292754767"/>
      <w:r>
        <w:rPr>
          <w:rFonts w:hint="eastAsia" w:ascii="宋体" w:hAnsi="宋体"/>
          <w:color w:val="auto"/>
          <w:highlight w:val="none"/>
        </w:rPr>
        <w:t>9.2.12 在工程移交发包人前，承包人应作好防损坏，防盗等工作，否则因此引起的后果由投标人自行负责。</w:t>
      </w:r>
    </w:p>
    <w:p>
      <w:pPr>
        <w:tabs>
          <w:tab w:val="left" w:pos="2790"/>
        </w:tabs>
        <w:snapToGrid w:val="0"/>
        <w:spacing w:line="400" w:lineRule="exact"/>
        <w:outlineLvl w:val="2"/>
        <w:rPr>
          <w:rFonts w:hint="eastAsia" w:ascii="黑体" w:eastAsia="黑体"/>
          <w:color w:val="auto"/>
          <w:sz w:val="24"/>
          <w:szCs w:val="30"/>
          <w:highlight w:val="none"/>
        </w:rPr>
      </w:pPr>
      <w:bookmarkStart w:id="1239" w:name="_Toc361141017"/>
      <w:bookmarkStart w:id="1240" w:name="_Toc399396853"/>
      <w:bookmarkStart w:id="1241" w:name="_Toc466366074"/>
      <w:r>
        <w:rPr>
          <w:rFonts w:hint="eastAsia" w:ascii="黑体" w:eastAsia="黑体"/>
          <w:color w:val="auto"/>
          <w:sz w:val="24"/>
          <w:szCs w:val="30"/>
          <w:highlight w:val="none"/>
        </w:rPr>
        <w:t>10. 进度计划</w:t>
      </w:r>
      <w:bookmarkEnd w:id="1233"/>
      <w:bookmarkEnd w:id="1234"/>
      <w:bookmarkEnd w:id="1235"/>
      <w:bookmarkEnd w:id="1236"/>
      <w:bookmarkEnd w:id="1237"/>
      <w:bookmarkEnd w:id="1238"/>
      <w:bookmarkEnd w:id="1239"/>
      <w:bookmarkEnd w:id="1240"/>
      <w:bookmarkEnd w:id="1241"/>
    </w:p>
    <w:p>
      <w:pPr>
        <w:tabs>
          <w:tab w:val="left" w:pos="2790"/>
        </w:tabs>
        <w:snapToGrid w:val="0"/>
        <w:spacing w:line="400" w:lineRule="exact"/>
        <w:outlineLvl w:val="3"/>
        <w:rPr>
          <w:rFonts w:hint="eastAsia" w:ascii="黑体" w:eastAsia="黑体"/>
          <w:color w:val="auto"/>
          <w:szCs w:val="21"/>
          <w:highlight w:val="none"/>
        </w:rPr>
      </w:pPr>
      <w:bookmarkStart w:id="1242" w:name="_Toc262646419"/>
      <w:bookmarkStart w:id="1243" w:name="_Toc6090"/>
      <w:bookmarkStart w:id="1244" w:name="_Toc12262"/>
      <w:bookmarkStart w:id="1245" w:name="_Toc292754768"/>
      <w:bookmarkStart w:id="1246" w:name="_Toc399396854"/>
      <w:bookmarkStart w:id="1247" w:name="_Toc466366075"/>
      <w:bookmarkStart w:id="1248" w:name="_Toc3388"/>
      <w:bookmarkStart w:id="1249" w:name="_Toc361141018"/>
      <w:r>
        <w:rPr>
          <w:rFonts w:hint="eastAsia" w:ascii="黑体" w:eastAsia="黑体"/>
          <w:color w:val="auto"/>
          <w:szCs w:val="21"/>
          <w:highlight w:val="none"/>
        </w:rPr>
        <w:t>10.1 合同进度计划</w:t>
      </w:r>
      <w:bookmarkEnd w:id="1242"/>
      <w:bookmarkEnd w:id="1243"/>
      <w:bookmarkEnd w:id="1244"/>
      <w:bookmarkEnd w:id="1245"/>
      <w:bookmarkEnd w:id="1246"/>
      <w:bookmarkEnd w:id="1247"/>
      <w:bookmarkEnd w:id="1248"/>
      <w:bookmarkEnd w:id="1249"/>
    </w:p>
    <w:p>
      <w:pPr>
        <w:spacing w:line="360" w:lineRule="exact"/>
        <w:ind w:firstLine="413" w:firstLineChars="196"/>
        <w:rPr>
          <w:rFonts w:hint="eastAsia" w:ascii="宋体" w:hAnsi="宋体"/>
          <w:b/>
          <w:color w:val="auto"/>
          <w:highlight w:val="none"/>
        </w:rPr>
      </w:pPr>
      <w:r>
        <w:rPr>
          <w:rFonts w:hint="eastAsia" w:ascii="宋体" w:hAnsi="宋体"/>
          <w:b/>
          <w:color w:val="auto"/>
          <w:highlight w:val="none"/>
        </w:rPr>
        <w:t>通用合同条款及公路工程专用合同条款10.1款细化为：</w:t>
      </w:r>
    </w:p>
    <w:p>
      <w:pPr>
        <w:spacing w:line="360" w:lineRule="exact"/>
        <w:ind w:firstLine="420" w:firstLineChars="200"/>
        <w:rPr>
          <w:rFonts w:hint="eastAsia"/>
          <w:color w:val="auto"/>
          <w:highlight w:val="none"/>
        </w:rPr>
      </w:pPr>
      <w:r>
        <w:rPr>
          <w:rFonts w:hint="eastAsia"/>
          <w:color w:val="auto"/>
          <w:highlight w:val="none"/>
        </w:rPr>
        <w:t>承包人应在签订合同协议书后14天内，编制详细的施工进度计划和施工方案说明报送监理人。监理人应在7天内批复或提出修改意见，否则该进度计划视为已得到批准。经监理人批准的施工进度计划称合同进度计划，是控制合同工程进度的依据。承包人还应根据合同进度计划，编制更为详细的分阶段或分项进度计划，报监理人审批。</w:t>
      </w:r>
    </w:p>
    <w:p>
      <w:pPr>
        <w:spacing w:line="360" w:lineRule="exact"/>
        <w:ind w:firstLine="420" w:firstLineChars="200"/>
        <w:rPr>
          <w:rFonts w:ascii="宋体" w:hAnsi="宋体"/>
          <w:b/>
          <w:color w:val="auto"/>
          <w:highlight w:val="none"/>
        </w:rPr>
      </w:pPr>
      <w:r>
        <w:rPr>
          <w:rFonts w:hint="eastAsia"/>
          <w:vanish/>
          <w:color w:val="auto"/>
          <w:highlight w:val="none"/>
        </w:rPr>
        <w:t>天4人 gon</w:t>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vanish/>
          <w:color w:val="auto"/>
          <w:highlight w:val="none"/>
        </w:rPr>
        <w:pgNum/>
      </w:r>
      <w:r>
        <w:rPr>
          <w:rFonts w:hint="eastAsia"/>
          <w:color w:val="auto"/>
          <w:highlight w:val="none"/>
        </w:rPr>
        <w:t>合同进度计划应按照关键线路网络图和主要工作横道图两种形式分别编绘，并应包括每月预计完成的工作量和形象进度。</w:t>
      </w:r>
    </w:p>
    <w:p>
      <w:pPr>
        <w:spacing w:line="360" w:lineRule="exact"/>
        <w:rPr>
          <w:rFonts w:hint="eastAsia" w:ascii="宋体" w:hAnsi="宋体"/>
          <w:color w:val="auto"/>
          <w:highlight w:val="none"/>
        </w:rPr>
      </w:pPr>
      <w:r>
        <w:rPr>
          <w:rFonts w:hint="eastAsia" w:ascii="宋体" w:hAnsi="宋体"/>
          <w:color w:val="auto"/>
          <w:highlight w:val="none"/>
        </w:rPr>
        <w:t xml:space="preserve">    承包人编制施工方案的内容应包括（但不限于）：</w:t>
      </w:r>
    </w:p>
    <w:p>
      <w:pPr>
        <w:spacing w:line="360" w:lineRule="exact"/>
        <w:rPr>
          <w:rFonts w:hint="eastAsia" w:ascii="宋体" w:hAnsi="宋体"/>
          <w:color w:val="auto"/>
          <w:highlight w:val="none"/>
        </w:rPr>
      </w:pPr>
      <w:r>
        <w:rPr>
          <w:rFonts w:hint="eastAsia" w:ascii="宋体" w:hAnsi="宋体"/>
          <w:color w:val="auto"/>
          <w:highlight w:val="none"/>
        </w:rPr>
        <w:t xml:space="preserve">    （1） 总体施工组织布置及规划</w:t>
      </w:r>
    </w:p>
    <w:p>
      <w:pPr>
        <w:spacing w:line="360" w:lineRule="exact"/>
        <w:rPr>
          <w:rFonts w:hint="eastAsia" w:ascii="宋体" w:hAnsi="宋体"/>
          <w:color w:val="auto"/>
          <w:highlight w:val="none"/>
        </w:rPr>
      </w:pPr>
      <w:r>
        <w:rPr>
          <w:rFonts w:hint="eastAsia" w:ascii="宋体" w:hAnsi="宋体"/>
          <w:color w:val="auto"/>
          <w:highlight w:val="none"/>
        </w:rPr>
        <w:t xml:space="preserve">    （2） 主要工程项目的施工方案、方法和技术措施（尤其对重点、关键和难点工程的施工方案、方法及其措施）</w:t>
      </w:r>
    </w:p>
    <w:p>
      <w:pPr>
        <w:spacing w:line="360" w:lineRule="exact"/>
        <w:rPr>
          <w:rFonts w:hint="eastAsia" w:ascii="宋体" w:hAnsi="宋体"/>
          <w:color w:val="auto"/>
          <w:highlight w:val="none"/>
        </w:rPr>
      </w:pPr>
      <w:r>
        <w:rPr>
          <w:rFonts w:hint="eastAsia" w:ascii="宋体" w:hAnsi="宋体"/>
          <w:color w:val="auto"/>
          <w:highlight w:val="none"/>
        </w:rPr>
        <w:t xml:space="preserve">    （3） 工期保证体系及保证措施</w:t>
      </w:r>
    </w:p>
    <w:p>
      <w:pPr>
        <w:spacing w:line="360" w:lineRule="exact"/>
        <w:rPr>
          <w:rFonts w:hint="eastAsia" w:ascii="宋体" w:hAnsi="宋体"/>
          <w:color w:val="auto"/>
          <w:highlight w:val="none"/>
        </w:rPr>
      </w:pPr>
      <w:r>
        <w:rPr>
          <w:rFonts w:hint="eastAsia" w:ascii="宋体" w:hAnsi="宋体"/>
          <w:color w:val="auto"/>
          <w:highlight w:val="none"/>
        </w:rPr>
        <w:t xml:space="preserve">    （4） 工程质量管理体系及保证措施</w:t>
      </w:r>
    </w:p>
    <w:p>
      <w:pPr>
        <w:spacing w:line="360" w:lineRule="exact"/>
        <w:rPr>
          <w:rFonts w:hint="eastAsia" w:ascii="宋体" w:hAnsi="宋体"/>
          <w:color w:val="auto"/>
          <w:highlight w:val="none"/>
        </w:rPr>
      </w:pPr>
      <w:r>
        <w:rPr>
          <w:rFonts w:hint="eastAsia" w:ascii="宋体" w:hAnsi="宋体"/>
          <w:color w:val="auto"/>
          <w:highlight w:val="none"/>
        </w:rPr>
        <w:t xml:space="preserve">    （5） 安全生产管理体系及保证措施</w:t>
      </w:r>
    </w:p>
    <w:p>
      <w:pPr>
        <w:spacing w:line="360" w:lineRule="exact"/>
        <w:rPr>
          <w:rFonts w:hint="eastAsia" w:ascii="宋体" w:hAnsi="宋体"/>
          <w:color w:val="auto"/>
          <w:highlight w:val="none"/>
        </w:rPr>
      </w:pPr>
      <w:r>
        <w:rPr>
          <w:rFonts w:hint="eastAsia" w:ascii="宋体" w:hAnsi="宋体"/>
          <w:color w:val="auto"/>
          <w:highlight w:val="none"/>
        </w:rPr>
        <w:t xml:space="preserve">    （6） 环境保护、水土保持保证体系及保证措施</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（7） 文明施工、文物保护保证体系及保证措施</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（8） 项目风险预测与防范，事故应急预案</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（9） 其他应说明的事项以及相应的图表。</w:t>
      </w:r>
    </w:p>
    <w:p>
      <w:pPr>
        <w:spacing w:line="360" w:lineRule="exact"/>
        <w:ind w:firstLine="422" w:firstLineChars="200"/>
        <w:rPr>
          <w:rFonts w:hint="eastAsia" w:ascii="宋体" w:hAnsi="宋体"/>
          <w:b/>
          <w:color w:val="auto"/>
          <w:highlight w:val="none"/>
        </w:rPr>
      </w:pPr>
      <w:r>
        <w:rPr>
          <w:rFonts w:hint="eastAsia" w:ascii="宋体" w:hAnsi="宋体"/>
          <w:b/>
          <w:color w:val="auto"/>
          <w:highlight w:val="none"/>
        </w:rPr>
        <w:t>公路工程专用合同条款补充第10.5款</w:t>
      </w:r>
    </w:p>
    <w:p>
      <w:pPr>
        <w:tabs>
          <w:tab w:val="left" w:pos="2790"/>
        </w:tabs>
        <w:snapToGrid w:val="0"/>
        <w:spacing w:line="400" w:lineRule="exact"/>
        <w:outlineLvl w:val="3"/>
        <w:rPr>
          <w:rFonts w:hint="eastAsia" w:ascii="黑体" w:eastAsia="黑体"/>
          <w:color w:val="auto"/>
          <w:szCs w:val="21"/>
          <w:highlight w:val="none"/>
        </w:rPr>
      </w:pPr>
      <w:bookmarkStart w:id="1250" w:name="_Toc11445"/>
      <w:bookmarkStart w:id="1251" w:name="_Toc292754769"/>
      <w:bookmarkStart w:id="1252" w:name="_Toc5566"/>
      <w:bookmarkStart w:id="1253" w:name="_Toc31758"/>
      <w:bookmarkStart w:id="1254" w:name="_Toc262646420"/>
      <w:bookmarkStart w:id="1255" w:name="_Toc324107931"/>
      <w:bookmarkStart w:id="1256" w:name="_Toc361141019"/>
      <w:bookmarkStart w:id="1257" w:name="_Toc466366076"/>
      <w:bookmarkStart w:id="1258" w:name="_Toc399396855"/>
      <w:bookmarkStart w:id="1259" w:name="_Toc18537"/>
      <w:bookmarkStart w:id="1260" w:name="_Toc10213"/>
      <w:bookmarkStart w:id="1261" w:name="_Toc262646421"/>
      <w:bookmarkStart w:id="1262" w:name="_Toc292754770"/>
      <w:bookmarkStart w:id="1263" w:name="_Toc184635108"/>
      <w:bookmarkStart w:id="1264" w:name="_Toc24951"/>
      <w:r>
        <w:rPr>
          <w:rFonts w:hint="eastAsia" w:ascii="黑体" w:eastAsia="黑体"/>
          <w:color w:val="auto"/>
          <w:szCs w:val="21"/>
          <w:highlight w:val="none"/>
        </w:rPr>
        <w:t>10.5</w:t>
      </w:r>
      <w:bookmarkEnd w:id="1250"/>
      <w:bookmarkEnd w:id="1251"/>
      <w:bookmarkEnd w:id="1252"/>
      <w:bookmarkEnd w:id="1253"/>
      <w:bookmarkEnd w:id="1254"/>
      <w:bookmarkEnd w:id="1255"/>
      <w:r>
        <w:rPr>
          <w:rFonts w:hint="eastAsia" w:ascii="黑体" w:eastAsia="黑体"/>
          <w:color w:val="auto"/>
          <w:szCs w:val="21"/>
          <w:highlight w:val="none"/>
        </w:rPr>
        <w:t xml:space="preserve"> </w:t>
      </w:r>
      <w:bookmarkEnd w:id="1256"/>
      <w:bookmarkEnd w:id="1257"/>
      <w:bookmarkEnd w:id="1258"/>
      <w:r>
        <w:rPr>
          <w:rFonts w:hint="eastAsia" w:ascii="黑体" w:eastAsia="黑体"/>
          <w:color w:val="auto"/>
          <w:szCs w:val="21"/>
          <w:highlight w:val="none"/>
        </w:rPr>
        <w:t>月度计划、旬计划和关键节点施工计划</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（1）月度计划</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承包人在季度计划的要求下编制月度计划，其格式统一按发包人批准后下发的填报要求执行。月度计划必须保持季度计划的实现。月度计划应在上个月25 日前交给监理人，月度计划如未能完成，应在文字介绍里详述原因，并在剩余工期中的下一阶段进度计划中补回来，且详述补救措施。</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（2）旬计划</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承包人应根据批复的月度计划编制旬计划，并按要求定期向监理人（发包人）上报旬计划及完成情况汇报资料。</w:t>
      </w:r>
    </w:p>
    <w:p>
      <w:pPr>
        <w:pStyle w:val="2"/>
        <w:spacing w:before="120"/>
        <w:ind w:firstLineChars="200"/>
        <w:rPr>
          <w:rFonts w:hint="eastAsia"/>
          <w:color w:val="auto"/>
          <w:highlight w:val="none"/>
        </w:rPr>
      </w:pPr>
      <w:r>
        <w:rPr>
          <w:rFonts w:hint="eastAsia"/>
          <w:color w:val="auto"/>
          <w:highlight w:val="none"/>
        </w:rPr>
        <w:t>（3）关键节点施工计划</w:t>
      </w:r>
    </w:p>
    <w:p>
      <w:pPr>
        <w:pStyle w:val="2"/>
        <w:spacing w:before="120"/>
        <w:ind w:firstLineChars="200"/>
        <w:rPr>
          <w:rFonts w:hint="eastAsia"/>
          <w:color w:val="auto"/>
          <w:highlight w:val="none"/>
        </w:rPr>
      </w:pPr>
      <w:r>
        <w:rPr>
          <w:rFonts w:hint="eastAsia"/>
          <w:color w:val="auto"/>
          <w:highlight w:val="none"/>
        </w:rPr>
        <w:t>承包人应根据批复的总体施工计划，根据发包人的要求编制详细并切实可行的关键节点施工计划，发包人将对列入关键节点的工程项目进行考核，若因承包人原因未按要求完成关键节点施工计划的，则按第 22.1 款承包人违约处理。</w:t>
      </w:r>
    </w:p>
    <w:p>
      <w:pPr>
        <w:tabs>
          <w:tab w:val="left" w:pos="2790"/>
        </w:tabs>
        <w:snapToGrid w:val="0"/>
        <w:spacing w:line="400" w:lineRule="exact"/>
        <w:outlineLvl w:val="2"/>
        <w:rPr>
          <w:rFonts w:hint="eastAsia" w:ascii="黑体" w:eastAsia="黑体"/>
          <w:color w:val="auto"/>
          <w:sz w:val="24"/>
          <w:szCs w:val="30"/>
          <w:highlight w:val="none"/>
        </w:rPr>
      </w:pPr>
      <w:bookmarkStart w:id="1265" w:name="_Toc466366077"/>
      <w:bookmarkStart w:id="1266" w:name="_Toc361141020"/>
      <w:bookmarkStart w:id="1267" w:name="_Toc399396856"/>
      <w:r>
        <w:rPr>
          <w:rFonts w:hint="eastAsia" w:ascii="黑体" w:eastAsia="黑体"/>
          <w:color w:val="auto"/>
          <w:sz w:val="24"/>
          <w:szCs w:val="30"/>
          <w:highlight w:val="none"/>
        </w:rPr>
        <w:t>11.开工和交工</w:t>
      </w:r>
      <w:bookmarkEnd w:id="1259"/>
      <w:bookmarkEnd w:id="1260"/>
      <w:bookmarkEnd w:id="1261"/>
      <w:bookmarkEnd w:id="1262"/>
      <w:bookmarkEnd w:id="1263"/>
      <w:bookmarkEnd w:id="1264"/>
      <w:bookmarkEnd w:id="1265"/>
      <w:bookmarkEnd w:id="1266"/>
      <w:bookmarkEnd w:id="1267"/>
    </w:p>
    <w:p>
      <w:pPr>
        <w:tabs>
          <w:tab w:val="left" w:pos="2790"/>
        </w:tabs>
        <w:snapToGrid w:val="0"/>
        <w:spacing w:line="400" w:lineRule="exact"/>
        <w:outlineLvl w:val="3"/>
        <w:rPr>
          <w:rFonts w:hint="eastAsia" w:ascii="黑体" w:eastAsia="黑体"/>
          <w:color w:val="auto"/>
          <w:szCs w:val="21"/>
          <w:highlight w:val="none"/>
        </w:rPr>
      </w:pPr>
      <w:bookmarkStart w:id="1268" w:name="_Toc17513"/>
      <w:bookmarkStart w:id="1269" w:name="_Toc292754771"/>
      <w:bookmarkStart w:id="1270" w:name="_Toc262646422"/>
      <w:bookmarkStart w:id="1271" w:name="_Toc466366078"/>
      <w:bookmarkStart w:id="1272" w:name="_Toc8378"/>
      <w:bookmarkStart w:id="1273" w:name="_Toc8479"/>
      <w:bookmarkStart w:id="1274" w:name="_Toc399396857"/>
      <w:bookmarkStart w:id="1275" w:name="_Toc361141021"/>
      <w:r>
        <w:rPr>
          <w:rFonts w:hint="eastAsia" w:ascii="黑体" w:eastAsia="黑体"/>
          <w:color w:val="auto"/>
          <w:szCs w:val="21"/>
          <w:highlight w:val="none"/>
        </w:rPr>
        <w:t>11.4 异常恶劣的气候条件</w:t>
      </w:r>
      <w:bookmarkEnd w:id="1268"/>
      <w:bookmarkEnd w:id="1269"/>
      <w:bookmarkEnd w:id="1270"/>
      <w:bookmarkEnd w:id="1271"/>
      <w:bookmarkEnd w:id="1272"/>
      <w:bookmarkEnd w:id="1273"/>
      <w:bookmarkEnd w:id="1274"/>
      <w:bookmarkEnd w:id="1275"/>
      <w:bookmarkStart w:id="1276" w:name="_Toc184635109"/>
    </w:p>
    <w:p>
      <w:pPr>
        <w:spacing w:line="360" w:lineRule="exact"/>
        <w:ind w:firstLine="422" w:firstLineChars="200"/>
        <w:rPr>
          <w:rFonts w:hint="eastAsia" w:ascii="宋体" w:hAnsi="宋体"/>
          <w:b/>
          <w:color w:val="auto"/>
          <w:highlight w:val="none"/>
        </w:rPr>
      </w:pPr>
      <w:r>
        <w:rPr>
          <w:rFonts w:hint="eastAsia" w:ascii="宋体" w:hAnsi="宋体"/>
          <w:b/>
          <w:color w:val="auto"/>
          <w:highlight w:val="none"/>
        </w:rPr>
        <w:t>公路工程专用合同条款11.4款约定为：</w:t>
      </w:r>
    </w:p>
    <w:p>
      <w:pPr>
        <w:spacing w:line="360" w:lineRule="exact"/>
        <w:ind w:firstLine="315" w:firstLineChars="150"/>
        <w:rPr>
          <w:rFonts w:hint="eastAsia" w:ascii="宋体" w:hAnsi="宋体"/>
          <w:color w:val="auto"/>
          <w:highlight w:val="none"/>
        </w:rPr>
      </w:pPr>
      <w:r>
        <w:rPr>
          <w:rFonts w:hint="eastAsia" w:ascii="宋体" w:hAnsi="宋体"/>
          <w:color w:val="auto"/>
          <w:highlight w:val="none"/>
        </w:rPr>
        <w:t>（1） 异常恶劣的气候条件，对本项目而言，是指发生龙卷风、工地受淹、超过桥梁设计洪水位以及不利降水等引起延误的情况。</w:t>
      </w:r>
    </w:p>
    <w:p>
      <w:pPr>
        <w:spacing w:line="360" w:lineRule="exact"/>
        <w:ind w:firstLine="315" w:firstLineChars="150"/>
        <w:rPr>
          <w:rFonts w:hint="eastAsia" w:ascii="宋体" w:hAnsi="宋体"/>
          <w:color w:val="auto"/>
          <w:highlight w:val="none"/>
        </w:rPr>
      </w:pPr>
      <w:r>
        <w:rPr>
          <w:rFonts w:hint="eastAsia" w:ascii="宋体" w:hAnsi="宋体"/>
          <w:color w:val="auto"/>
          <w:highlight w:val="none"/>
        </w:rPr>
        <w:t>（2） 不利降水的衡量标准为：</w:t>
      </w:r>
    </w:p>
    <w:p>
      <w:pPr>
        <w:spacing w:line="360" w:lineRule="exact"/>
        <w:ind w:firstLine="315" w:firstLineChars="150"/>
        <w:rPr>
          <w:rFonts w:hint="eastAsia" w:ascii="宋体" w:hAnsi="宋体"/>
          <w:color w:val="auto"/>
          <w:szCs w:val="21"/>
          <w:highlight w:val="none"/>
        </w:rPr>
      </w:pPr>
      <w:r>
        <w:rPr>
          <w:rFonts w:hint="eastAsia" w:ascii="宋体" w:hAnsi="宋体"/>
          <w:color w:val="auto"/>
          <w:szCs w:val="21"/>
          <w:highlight w:val="none"/>
        </w:rPr>
        <w:t>a. 按本省气象部门统计的项目所在地降水资料，取最近二十年的平均降水天数为标准；</w:t>
      </w:r>
    </w:p>
    <w:p>
      <w:pPr>
        <w:spacing w:line="360" w:lineRule="exact"/>
        <w:ind w:firstLine="315" w:firstLineChars="150"/>
        <w:rPr>
          <w:rFonts w:hint="eastAsia" w:ascii="宋体" w:hAnsi="宋体"/>
          <w:color w:val="auto"/>
          <w:szCs w:val="21"/>
          <w:highlight w:val="none"/>
        </w:rPr>
      </w:pPr>
      <w:r>
        <w:rPr>
          <w:rFonts w:hint="eastAsia" w:ascii="宋体" w:hAnsi="宋体"/>
          <w:color w:val="auto"/>
          <w:szCs w:val="21"/>
          <w:highlight w:val="none"/>
        </w:rPr>
        <w:t>b. 按项目所在地实际统计的年降水天数与a所指的年降水天数之差，每年计算一次。</w:t>
      </w:r>
    </w:p>
    <w:p>
      <w:pPr>
        <w:spacing w:line="360" w:lineRule="exact"/>
        <w:ind w:firstLine="315" w:firstLineChars="150"/>
        <w:rPr>
          <w:rFonts w:hint="eastAsia" w:ascii="宋体" w:hAnsi="宋体"/>
          <w:color w:val="auto"/>
          <w:szCs w:val="21"/>
          <w:highlight w:val="none"/>
        </w:rPr>
      </w:pPr>
      <w:r>
        <w:rPr>
          <w:rFonts w:hint="eastAsia" w:ascii="宋体" w:hAnsi="宋体"/>
          <w:color w:val="auto"/>
          <w:szCs w:val="21"/>
          <w:highlight w:val="none"/>
        </w:rPr>
        <w:t>（3） 异常恶劣气候的时间，监理人将根据承包人的申请和提交的证明予以评定，但在评定时还将考虑按同等标准，用施工期限内其他月份良好的气候的时间予以抵补。恶劣气候在每个月对工程进度影响的评定，应在整个合同期内予以累计。</w:t>
      </w:r>
    </w:p>
    <w:p>
      <w:pPr>
        <w:spacing w:line="360" w:lineRule="exact"/>
        <w:ind w:firstLine="315" w:firstLineChars="150"/>
        <w:rPr>
          <w:rFonts w:hint="eastAsia" w:ascii="宋体" w:hAnsi="宋体"/>
          <w:color w:val="auto"/>
          <w:szCs w:val="21"/>
          <w:highlight w:val="none"/>
        </w:rPr>
      </w:pPr>
      <w:r>
        <w:rPr>
          <w:rFonts w:hint="eastAsia" w:ascii="宋体" w:hAnsi="宋体"/>
          <w:color w:val="auto"/>
          <w:szCs w:val="21"/>
          <w:highlight w:val="none"/>
        </w:rPr>
        <w:t>（4） 若恶劣气候只是对局部工程有影响，承包人应采取合同措施予以弥补，而不能推迟工程的总工期。</w:t>
      </w:r>
    </w:p>
    <w:p>
      <w:pPr>
        <w:spacing w:line="360" w:lineRule="exact"/>
        <w:ind w:firstLine="315" w:firstLineChars="150"/>
        <w:rPr>
          <w:rFonts w:hint="eastAsia" w:ascii="宋体" w:hAnsi="宋体"/>
          <w:color w:val="auto"/>
          <w:szCs w:val="21"/>
          <w:highlight w:val="none"/>
        </w:rPr>
      </w:pPr>
      <w:r>
        <w:rPr>
          <w:rFonts w:hint="eastAsia" w:ascii="宋体" w:hAnsi="宋体"/>
          <w:color w:val="auto"/>
          <w:szCs w:val="21"/>
          <w:highlight w:val="none"/>
        </w:rPr>
        <w:t>（5）受本款所述的恶劣气候影响的分项工程，必须在工程施工进度网络计划的关键线路上，监理人方能考虑延长工程总工期。</w:t>
      </w:r>
    </w:p>
    <w:p>
      <w:pPr>
        <w:tabs>
          <w:tab w:val="left" w:pos="2790"/>
        </w:tabs>
        <w:snapToGrid w:val="0"/>
        <w:spacing w:line="400" w:lineRule="exact"/>
        <w:outlineLvl w:val="2"/>
        <w:rPr>
          <w:rFonts w:hint="eastAsia" w:ascii="黑体" w:eastAsia="黑体"/>
          <w:color w:val="auto"/>
          <w:sz w:val="24"/>
          <w:szCs w:val="30"/>
          <w:highlight w:val="none"/>
        </w:rPr>
      </w:pPr>
      <w:bookmarkStart w:id="1277" w:name="_Toc399396858"/>
      <w:bookmarkStart w:id="1278" w:name="_Toc13301"/>
      <w:bookmarkStart w:id="1279" w:name="_Toc292754772"/>
      <w:bookmarkStart w:id="1280" w:name="_Toc262646423"/>
      <w:bookmarkStart w:id="1281" w:name="_Toc361141022"/>
      <w:bookmarkStart w:id="1282" w:name="_Toc8699"/>
      <w:bookmarkStart w:id="1283" w:name="_Toc27930"/>
      <w:bookmarkStart w:id="1284" w:name="_Toc466366079"/>
      <w:r>
        <w:rPr>
          <w:rFonts w:hint="eastAsia" w:ascii="黑体" w:eastAsia="黑体"/>
          <w:color w:val="auto"/>
          <w:sz w:val="24"/>
          <w:szCs w:val="30"/>
          <w:highlight w:val="none"/>
        </w:rPr>
        <w:t>12. 暂停施工</w:t>
      </w:r>
      <w:bookmarkEnd w:id="1276"/>
      <w:bookmarkEnd w:id="1277"/>
      <w:bookmarkEnd w:id="1278"/>
      <w:bookmarkEnd w:id="1279"/>
      <w:bookmarkEnd w:id="1280"/>
      <w:bookmarkEnd w:id="1281"/>
      <w:bookmarkEnd w:id="1282"/>
      <w:bookmarkEnd w:id="1283"/>
      <w:bookmarkEnd w:id="1284"/>
    </w:p>
    <w:p>
      <w:pPr>
        <w:tabs>
          <w:tab w:val="left" w:pos="2790"/>
        </w:tabs>
        <w:snapToGrid w:val="0"/>
        <w:spacing w:line="400" w:lineRule="exact"/>
        <w:outlineLvl w:val="3"/>
        <w:rPr>
          <w:rFonts w:hint="eastAsia" w:ascii="黑体" w:eastAsia="黑体"/>
          <w:color w:val="auto"/>
          <w:szCs w:val="21"/>
          <w:highlight w:val="none"/>
        </w:rPr>
      </w:pPr>
      <w:bookmarkStart w:id="1285" w:name="_Toc292754773"/>
      <w:bookmarkStart w:id="1286" w:name="_Toc361141023"/>
      <w:bookmarkStart w:id="1287" w:name="_Toc466366080"/>
      <w:bookmarkStart w:id="1288" w:name="_Toc4895"/>
      <w:bookmarkStart w:id="1289" w:name="_Toc21811"/>
      <w:bookmarkStart w:id="1290" w:name="_Toc262646424"/>
      <w:bookmarkStart w:id="1291" w:name="_Toc399396859"/>
      <w:bookmarkStart w:id="1292" w:name="_Toc26229"/>
      <w:r>
        <w:rPr>
          <w:rFonts w:hint="eastAsia" w:ascii="黑体" w:eastAsia="黑体"/>
          <w:color w:val="auto"/>
          <w:szCs w:val="21"/>
          <w:highlight w:val="none"/>
        </w:rPr>
        <w:t>12.1 承包人暂停施工的责任</w:t>
      </w:r>
      <w:bookmarkEnd w:id="1285"/>
      <w:bookmarkEnd w:id="1286"/>
      <w:bookmarkEnd w:id="1287"/>
      <w:bookmarkEnd w:id="1288"/>
      <w:bookmarkEnd w:id="1289"/>
      <w:bookmarkEnd w:id="1290"/>
      <w:bookmarkEnd w:id="1291"/>
      <w:bookmarkEnd w:id="1292"/>
    </w:p>
    <w:p>
      <w:pPr>
        <w:spacing w:line="360" w:lineRule="exact"/>
        <w:ind w:firstLine="435"/>
        <w:rPr>
          <w:rFonts w:hint="eastAsia" w:ascii="宋体" w:hAnsi="宋体"/>
          <w:b/>
          <w:color w:val="auto"/>
          <w:highlight w:val="none"/>
        </w:rPr>
      </w:pPr>
      <w:r>
        <w:rPr>
          <w:rFonts w:hint="eastAsia" w:ascii="宋体" w:hAnsi="宋体"/>
          <w:b/>
          <w:color w:val="auto"/>
          <w:highlight w:val="none"/>
        </w:rPr>
        <w:t>公路工程专用合同条款12.1（6）项约定：</w:t>
      </w:r>
    </w:p>
    <w:p>
      <w:pPr>
        <w:spacing w:line="360" w:lineRule="exact"/>
        <w:ind w:firstLine="435"/>
        <w:rPr>
          <w:rFonts w:hint="eastAsia" w:ascii="宋体" w:hAnsi="宋体"/>
          <w:color w:val="auto"/>
          <w:highlight w:val="none"/>
          <w:u w:val="single"/>
        </w:rPr>
      </w:pPr>
      <w:r>
        <w:rPr>
          <w:rFonts w:hint="eastAsia" w:ascii="宋体" w:hAnsi="宋体"/>
          <w:color w:val="auto"/>
          <w:highlight w:val="none"/>
        </w:rPr>
        <w:t xml:space="preserve"> （6） 由承包人承担的其他暂停施工：</w:t>
      </w:r>
      <w:r>
        <w:rPr>
          <w:rFonts w:hint="eastAsia" w:ascii="宋体" w:hAnsi="宋体"/>
          <w:color w:val="auto"/>
          <w:highlight w:val="none"/>
          <w:u w:val="single"/>
        </w:rPr>
        <w:t>　　　　　　　无　　　　　　　　</w:t>
      </w:r>
    </w:p>
    <w:p>
      <w:pPr>
        <w:tabs>
          <w:tab w:val="left" w:pos="2790"/>
        </w:tabs>
        <w:snapToGrid w:val="0"/>
        <w:spacing w:line="400" w:lineRule="exact"/>
        <w:outlineLvl w:val="2"/>
        <w:rPr>
          <w:rFonts w:hint="eastAsia" w:ascii="黑体" w:eastAsia="黑体"/>
          <w:color w:val="auto"/>
          <w:sz w:val="24"/>
          <w:szCs w:val="30"/>
          <w:highlight w:val="none"/>
        </w:rPr>
      </w:pPr>
      <w:bookmarkStart w:id="1293" w:name="_Toc184635110"/>
      <w:bookmarkStart w:id="1294" w:name="_Toc262646425"/>
      <w:bookmarkStart w:id="1295" w:name="_Toc466366081"/>
      <w:bookmarkStart w:id="1296" w:name="_Toc292754774"/>
      <w:bookmarkStart w:id="1297" w:name="_Toc12842"/>
      <w:bookmarkStart w:id="1298" w:name="_Toc361141024"/>
      <w:bookmarkStart w:id="1299" w:name="_Toc6715"/>
      <w:bookmarkStart w:id="1300" w:name="_Toc399396860"/>
      <w:bookmarkStart w:id="1301" w:name="_Toc26234"/>
      <w:r>
        <w:rPr>
          <w:rFonts w:hint="eastAsia" w:ascii="黑体" w:eastAsia="黑体"/>
          <w:color w:val="auto"/>
          <w:sz w:val="24"/>
          <w:szCs w:val="30"/>
          <w:highlight w:val="none"/>
        </w:rPr>
        <w:t>13. 工程质量</w:t>
      </w:r>
      <w:bookmarkEnd w:id="1293"/>
      <w:bookmarkEnd w:id="1294"/>
      <w:bookmarkEnd w:id="1295"/>
      <w:bookmarkEnd w:id="1296"/>
      <w:bookmarkEnd w:id="1297"/>
      <w:bookmarkEnd w:id="1298"/>
      <w:bookmarkEnd w:id="1299"/>
      <w:bookmarkEnd w:id="1300"/>
      <w:bookmarkEnd w:id="1301"/>
    </w:p>
    <w:p>
      <w:pPr>
        <w:tabs>
          <w:tab w:val="left" w:pos="2790"/>
        </w:tabs>
        <w:snapToGrid w:val="0"/>
        <w:spacing w:line="400" w:lineRule="exact"/>
        <w:outlineLvl w:val="3"/>
        <w:rPr>
          <w:rFonts w:hint="eastAsia" w:ascii="黑体" w:eastAsia="黑体"/>
          <w:color w:val="auto"/>
          <w:szCs w:val="21"/>
          <w:highlight w:val="none"/>
        </w:rPr>
      </w:pPr>
      <w:bookmarkStart w:id="1302" w:name="_Toc262646426"/>
      <w:bookmarkStart w:id="1303" w:name="_Toc12863"/>
      <w:bookmarkStart w:id="1304" w:name="_Toc466366082"/>
      <w:bookmarkStart w:id="1305" w:name="_Toc361141025"/>
      <w:bookmarkStart w:id="1306" w:name="_Toc292754775"/>
      <w:bookmarkStart w:id="1307" w:name="_Toc399396861"/>
      <w:bookmarkStart w:id="1308" w:name="_Toc9394"/>
      <w:r>
        <w:rPr>
          <w:rFonts w:hint="eastAsia" w:ascii="黑体" w:eastAsia="黑体"/>
          <w:color w:val="auto"/>
          <w:szCs w:val="21"/>
          <w:highlight w:val="none"/>
        </w:rPr>
        <w:t>13.1 工程质量要求</w:t>
      </w:r>
      <w:bookmarkEnd w:id="1302"/>
      <w:bookmarkEnd w:id="1303"/>
      <w:bookmarkEnd w:id="1304"/>
      <w:bookmarkEnd w:id="1305"/>
      <w:bookmarkEnd w:id="1306"/>
      <w:bookmarkEnd w:id="1307"/>
      <w:bookmarkEnd w:id="1308"/>
    </w:p>
    <w:p>
      <w:pPr>
        <w:adjustRightInd w:val="0"/>
        <w:snapToGrid w:val="0"/>
        <w:spacing w:line="360" w:lineRule="exact"/>
        <w:ind w:firstLine="420"/>
        <w:rPr>
          <w:color w:val="auto"/>
          <w:highlight w:val="none"/>
        </w:rPr>
      </w:pPr>
      <w:bookmarkStart w:id="1309" w:name="_Toc266444344"/>
      <w:bookmarkStart w:id="1310" w:name="_Toc292754776"/>
      <w:bookmarkStart w:id="1311" w:name="_Toc284866588"/>
      <w:bookmarkStart w:id="1312" w:name="_Toc399396862"/>
      <w:bookmarkStart w:id="1313" w:name="_Toc466366083"/>
      <w:bookmarkStart w:id="1314" w:name="_Toc262895988"/>
      <w:bookmarkStart w:id="1315" w:name="_Toc361141026"/>
      <w:r>
        <w:rPr>
          <w:rFonts w:hint="eastAsia"/>
          <w:color w:val="auto"/>
          <w:highlight w:val="none"/>
        </w:rPr>
        <w:t>13.1.1</w:t>
      </w:r>
      <w:r>
        <w:rPr>
          <w:color w:val="auto"/>
          <w:highlight w:val="none"/>
        </w:rPr>
        <w:t>工程质量验收按技术规范及《公路工程质量检验评定标准》执行。本工程的质量目标：标段工程</w:t>
      </w:r>
      <w:r>
        <w:rPr>
          <w:rFonts w:hint="eastAsia"/>
          <w:color w:val="auto"/>
          <w:highlight w:val="none"/>
        </w:rPr>
        <w:t>交（竣工）</w:t>
      </w:r>
      <w:r>
        <w:rPr>
          <w:color w:val="auto"/>
          <w:highlight w:val="none"/>
        </w:rPr>
        <w:t>验收工程质量评定</w:t>
      </w:r>
      <w:r>
        <w:rPr>
          <w:rFonts w:hint="eastAsia"/>
          <w:color w:val="auto"/>
          <w:highlight w:val="none"/>
        </w:rPr>
        <w:t>：</w:t>
      </w:r>
      <w:r>
        <w:rPr>
          <w:rFonts w:hint="eastAsia"/>
          <w:color w:val="auto"/>
          <w:highlight w:val="none"/>
          <w:u w:val="single"/>
        </w:rPr>
        <w:t>合格</w:t>
      </w:r>
      <w:r>
        <w:rPr>
          <w:color w:val="auto"/>
          <w:highlight w:val="none"/>
        </w:rPr>
        <w:t>；标段工程竣工验收工程质量评定：</w:t>
      </w:r>
      <w:r>
        <w:rPr>
          <w:rFonts w:hint="eastAsia"/>
          <w:color w:val="auto"/>
          <w:highlight w:val="none"/>
          <w:u w:val="single"/>
        </w:rPr>
        <w:t>合格</w:t>
      </w:r>
      <w:r>
        <w:rPr>
          <w:color w:val="auto"/>
          <w:highlight w:val="none"/>
        </w:rPr>
        <w:t>。</w:t>
      </w:r>
    </w:p>
    <w:p>
      <w:pPr>
        <w:adjustRightInd w:val="0"/>
        <w:snapToGrid w:val="0"/>
        <w:spacing w:line="360" w:lineRule="exact"/>
        <w:outlineLvl w:val="2"/>
        <w:rPr>
          <w:color w:val="auto"/>
          <w:sz w:val="24"/>
          <w:highlight w:val="none"/>
        </w:rPr>
      </w:pPr>
      <w:bookmarkStart w:id="1316" w:name="_Toc60680774"/>
      <w:bookmarkStart w:id="1317" w:name="_Toc3546"/>
      <w:bookmarkStart w:id="1318" w:name="_Toc467785023"/>
      <w:bookmarkStart w:id="1319" w:name="_Toc237"/>
      <w:bookmarkStart w:id="1320" w:name="_Toc16751"/>
      <w:r>
        <w:rPr>
          <w:color w:val="auto"/>
          <w:sz w:val="24"/>
          <w:highlight w:val="none"/>
        </w:rPr>
        <w:t>13.2承包人的质量管理</w:t>
      </w:r>
      <w:bookmarkEnd w:id="1316"/>
      <w:bookmarkEnd w:id="1317"/>
      <w:bookmarkEnd w:id="1318"/>
      <w:bookmarkEnd w:id="1319"/>
      <w:bookmarkEnd w:id="1320"/>
    </w:p>
    <w:p>
      <w:pPr>
        <w:adjustRightInd w:val="0"/>
        <w:snapToGrid w:val="0"/>
        <w:spacing w:line="360" w:lineRule="exact"/>
        <w:ind w:firstLine="480"/>
        <w:rPr>
          <w:b/>
          <w:color w:val="auto"/>
          <w:szCs w:val="21"/>
          <w:highlight w:val="none"/>
        </w:rPr>
      </w:pPr>
      <w:r>
        <w:rPr>
          <w:b/>
          <w:color w:val="auto"/>
          <w:szCs w:val="21"/>
          <w:highlight w:val="none"/>
        </w:rPr>
        <w:t>公路工程专用合同条款第13.2.3项细化为：</w:t>
      </w:r>
    </w:p>
    <w:p>
      <w:pPr>
        <w:adjustRightInd w:val="0"/>
        <w:snapToGrid w:val="0"/>
        <w:spacing w:line="360" w:lineRule="exact"/>
        <w:ind w:firstLine="480"/>
        <w:rPr>
          <w:rFonts w:hint="eastAsia"/>
          <w:color w:val="auto"/>
          <w:szCs w:val="21"/>
          <w:highlight w:val="none"/>
        </w:rPr>
      </w:pPr>
      <w:r>
        <w:rPr>
          <w:color w:val="auto"/>
          <w:szCs w:val="21"/>
          <w:highlight w:val="none"/>
        </w:rPr>
        <w:t>13.2.3承包人必须遵守有关法律、法规、规章和办法，严格执行公路工程强制性技术标准、各类技术规范及</w:t>
      </w:r>
      <w:r>
        <w:rPr>
          <w:color w:val="auto"/>
          <w:highlight w:val="none"/>
        </w:rPr>
        <w:t>《浙江省交通建设工程质量和安全生产管理</w:t>
      </w:r>
      <w:r>
        <w:rPr>
          <w:rFonts w:hint="eastAsia"/>
          <w:color w:val="auto"/>
          <w:highlight w:val="none"/>
        </w:rPr>
        <w:t>条例</w:t>
      </w:r>
      <w:r>
        <w:rPr>
          <w:color w:val="auto"/>
          <w:highlight w:val="none"/>
        </w:rPr>
        <w:t>》，全面履行工程合同义务，依法对公路工程质量负责。</w:t>
      </w:r>
    </w:p>
    <w:p>
      <w:pPr>
        <w:tabs>
          <w:tab w:val="left" w:pos="2790"/>
        </w:tabs>
        <w:snapToGrid w:val="0"/>
        <w:spacing w:line="400" w:lineRule="exact"/>
        <w:outlineLvl w:val="3"/>
        <w:rPr>
          <w:rFonts w:hint="eastAsia" w:ascii="黑体" w:eastAsia="黑体"/>
          <w:color w:val="auto"/>
          <w:szCs w:val="21"/>
          <w:highlight w:val="none"/>
        </w:rPr>
      </w:pPr>
      <w:r>
        <w:rPr>
          <w:rFonts w:hint="eastAsia" w:ascii="黑体" w:eastAsia="黑体"/>
          <w:color w:val="auto"/>
          <w:szCs w:val="21"/>
          <w:highlight w:val="none"/>
        </w:rPr>
        <w:t>13.5 工程隐蔽部位覆盖前的检查</w:t>
      </w:r>
      <w:bookmarkEnd w:id="1309"/>
      <w:bookmarkEnd w:id="1310"/>
      <w:bookmarkEnd w:id="1311"/>
      <w:bookmarkEnd w:id="1312"/>
      <w:bookmarkEnd w:id="1313"/>
      <w:bookmarkEnd w:id="1314"/>
      <w:bookmarkEnd w:id="1315"/>
    </w:p>
    <w:p>
      <w:pPr>
        <w:spacing w:line="360" w:lineRule="exact"/>
        <w:ind w:firstLine="422" w:firstLineChars="200"/>
        <w:rPr>
          <w:rFonts w:hint="eastAsia" w:ascii="宋体" w:hAnsi="宋体"/>
          <w:b/>
          <w:color w:val="auto"/>
          <w:highlight w:val="none"/>
        </w:rPr>
      </w:pPr>
      <w:r>
        <w:rPr>
          <w:rFonts w:hint="eastAsia" w:ascii="宋体" w:hAnsi="宋体"/>
          <w:b/>
          <w:color w:val="auto"/>
          <w:highlight w:val="none"/>
        </w:rPr>
        <w:t>公路工程专用合同条款第13.5.1项补充：</w:t>
      </w:r>
    </w:p>
    <w:p>
      <w:pPr>
        <w:spacing w:line="360" w:lineRule="exact"/>
        <w:ind w:firstLine="407" w:firstLineChars="194"/>
        <w:rPr>
          <w:rFonts w:hint="eastAsia" w:ascii="宋体" w:hAnsi="宋体"/>
          <w:color w:val="auto"/>
          <w:highlight w:val="none"/>
        </w:rPr>
      </w:pPr>
      <w:r>
        <w:rPr>
          <w:rFonts w:hint="eastAsia" w:ascii="宋体" w:hAnsi="宋体"/>
          <w:color w:val="auto"/>
          <w:highlight w:val="none"/>
        </w:rPr>
        <w:t>隐蔽工程覆盖前应经监理人检查签认，分阶段（工序）进行拍摄或照相，并向监理人提供相关资料作为计量支付的依据。</w:t>
      </w:r>
    </w:p>
    <w:p>
      <w:pPr>
        <w:spacing w:line="360" w:lineRule="exact"/>
        <w:ind w:firstLine="200"/>
        <w:rPr>
          <w:rFonts w:hint="eastAsia" w:ascii="宋体" w:hAnsi="宋体"/>
          <w:b/>
          <w:color w:val="auto"/>
          <w:szCs w:val="21"/>
          <w:highlight w:val="none"/>
        </w:rPr>
      </w:pPr>
      <w:r>
        <w:rPr>
          <w:rFonts w:hint="eastAsia" w:ascii="宋体" w:hAnsi="宋体"/>
          <w:b/>
          <w:color w:val="auto"/>
          <w:szCs w:val="21"/>
          <w:highlight w:val="none"/>
        </w:rPr>
        <w:t>公路工程专用合同条款补充第13.7款：</w:t>
      </w:r>
    </w:p>
    <w:p>
      <w:pPr>
        <w:tabs>
          <w:tab w:val="left" w:pos="2790"/>
        </w:tabs>
        <w:snapToGrid w:val="0"/>
        <w:spacing w:line="400" w:lineRule="exact"/>
        <w:outlineLvl w:val="3"/>
        <w:rPr>
          <w:rFonts w:hint="eastAsia" w:ascii="黑体" w:eastAsia="黑体"/>
          <w:color w:val="auto"/>
          <w:szCs w:val="21"/>
          <w:highlight w:val="none"/>
        </w:rPr>
      </w:pPr>
      <w:bookmarkStart w:id="1321" w:name="_Toc23139"/>
      <w:bookmarkStart w:id="1322" w:name="_Toc361141027"/>
      <w:bookmarkStart w:id="1323" w:name="_Toc3807"/>
      <w:bookmarkStart w:id="1324" w:name="_Toc292754777"/>
      <w:bookmarkStart w:id="1325" w:name="_Toc466366084"/>
      <w:bookmarkStart w:id="1326" w:name="_Toc399396863"/>
      <w:bookmarkStart w:id="1327" w:name="_Toc5439"/>
      <w:bookmarkStart w:id="1328" w:name="_Toc262646427"/>
      <w:r>
        <w:rPr>
          <w:rFonts w:hint="eastAsia" w:ascii="黑体" w:eastAsia="黑体"/>
          <w:color w:val="auto"/>
          <w:szCs w:val="21"/>
          <w:highlight w:val="none"/>
        </w:rPr>
        <w:t>13.7 质量抽检</w:t>
      </w:r>
      <w:bookmarkEnd w:id="1321"/>
      <w:bookmarkEnd w:id="1322"/>
      <w:bookmarkEnd w:id="1323"/>
      <w:bookmarkEnd w:id="1324"/>
      <w:bookmarkEnd w:id="1325"/>
      <w:bookmarkEnd w:id="1326"/>
      <w:bookmarkEnd w:id="1327"/>
      <w:bookmarkEnd w:id="1328"/>
    </w:p>
    <w:p>
      <w:pPr>
        <w:spacing w:line="360" w:lineRule="exact"/>
        <w:ind w:firstLine="420" w:firstLineChars="200"/>
        <w:rPr>
          <w:rFonts w:hint="eastAsia" w:ascii="宋体" w:hAnsi="宋体"/>
          <w:color w:val="auto"/>
          <w:highlight w:val="none"/>
        </w:rPr>
      </w:pPr>
      <w:r>
        <w:rPr>
          <w:rFonts w:hint="eastAsia" w:ascii="宋体" w:hAnsi="宋体"/>
          <w:color w:val="auto"/>
          <w:highlight w:val="none"/>
          <w:u w:val="single"/>
        </w:rPr>
        <w:t>平阳县交通运输局</w:t>
      </w:r>
      <w:r>
        <w:rPr>
          <w:rFonts w:hint="eastAsia" w:ascii="宋体" w:hAnsi="宋体"/>
          <w:color w:val="auto"/>
          <w:highlight w:val="none"/>
        </w:rPr>
        <w:t>或其委托授权的县交通工程质量监督机构有权对承包人施工质量随时进行抽检，并通过监理人对工程质量实施否决。</w:t>
      </w:r>
    </w:p>
    <w:p>
      <w:pPr>
        <w:tabs>
          <w:tab w:val="left" w:pos="2790"/>
        </w:tabs>
        <w:snapToGrid w:val="0"/>
        <w:spacing w:line="400" w:lineRule="exact"/>
        <w:outlineLvl w:val="2"/>
        <w:rPr>
          <w:rFonts w:hint="eastAsia" w:ascii="黑体" w:eastAsia="黑体"/>
          <w:color w:val="auto"/>
          <w:sz w:val="24"/>
          <w:szCs w:val="30"/>
          <w:highlight w:val="none"/>
        </w:rPr>
      </w:pPr>
      <w:bookmarkStart w:id="1329" w:name="_Toc466366085"/>
      <w:bookmarkStart w:id="1330" w:name="_Toc245538877"/>
      <w:bookmarkStart w:id="1331" w:name="_Toc361141028"/>
      <w:bookmarkStart w:id="1332" w:name="_Toc262895991"/>
      <w:bookmarkStart w:id="1333" w:name="_Toc292754778"/>
      <w:bookmarkStart w:id="1334" w:name="_Toc266444346"/>
      <w:bookmarkStart w:id="1335" w:name="_Toc399396864"/>
      <w:bookmarkStart w:id="1336" w:name="_Toc284866590"/>
      <w:r>
        <w:rPr>
          <w:rFonts w:hint="eastAsia" w:ascii="黑体" w:eastAsia="黑体"/>
          <w:color w:val="auto"/>
          <w:sz w:val="24"/>
          <w:szCs w:val="30"/>
          <w:highlight w:val="none"/>
        </w:rPr>
        <w:t>14. 试验和检验</w:t>
      </w:r>
      <w:bookmarkEnd w:id="1329"/>
      <w:bookmarkEnd w:id="1330"/>
      <w:bookmarkEnd w:id="1331"/>
      <w:bookmarkEnd w:id="1332"/>
      <w:bookmarkEnd w:id="1333"/>
      <w:bookmarkEnd w:id="1334"/>
      <w:bookmarkEnd w:id="1335"/>
      <w:bookmarkEnd w:id="1336"/>
    </w:p>
    <w:p>
      <w:pPr>
        <w:tabs>
          <w:tab w:val="left" w:pos="2790"/>
        </w:tabs>
        <w:snapToGrid w:val="0"/>
        <w:spacing w:line="400" w:lineRule="exact"/>
        <w:outlineLvl w:val="3"/>
        <w:rPr>
          <w:rFonts w:hint="eastAsia" w:ascii="黑体" w:eastAsia="黑体"/>
          <w:color w:val="auto"/>
          <w:szCs w:val="21"/>
          <w:highlight w:val="none"/>
        </w:rPr>
      </w:pPr>
      <w:bookmarkStart w:id="1337" w:name="_Toc292754779"/>
      <w:bookmarkStart w:id="1338" w:name="_Toc284866591"/>
      <w:bookmarkStart w:id="1339" w:name="_Toc466366086"/>
      <w:bookmarkStart w:id="1340" w:name="_Toc266444347"/>
      <w:bookmarkStart w:id="1341" w:name="_Toc361141029"/>
      <w:bookmarkStart w:id="1342" w:name="_Toc399396865"/>
      <w:bookmarkStart w:id="1343" w:name="_Toc262895992"/>
      <w:bookmarkStart w:id="1344" w:name="_Toc245538878"/>
      <w:r>
        <w:rPr>
          <w:rFonts w:hint="eastAsia" w:ascii="黑体" w:eastAsia="黑体"/>
          <w:color w:val="auto"/>
          <w:szCs w:val="21"/>
          <w:highlight w:val="none"/>
        </w:rPr>
        <w:t>14.1 材料、工程设备和工程的试验和检验</w:t>
      </w:r>
      <w:bookmarkEnd w:id="1337"/>
      <w:bookmarkEnd w:id="1338"/>
      <w:bookmarkEnd w:id="1339"/>
      <w:bookmarkEnd w:id="1340"/>
      <w:bookmarkEnd w:id="1341"/>
      <w:bookmarkEnd w:id="1342"/>
      <w:bookmarkEnd w:id="1343"/>
      <w:bookmarkEnd w:id="1344"/>
    </w:p>
    <w:p>
      <w:pPr>
        <w:spacing w:line="360" w:lineRule="exact"/>
        <w:ind w:firstLine="413" w:firstLineChars="196"/>
        <w:rPr>
          <w:rFonts w:hint="eastAsia" w:ascii="宋体" w:hAnsi="宋体"/>
          <w:b/>
          <w:color w:val="auto"/>
          <w:highlight w:val="none"/>
        </w:rPr>
      </w:pPr>
      <w:r>
        <w:rPr>
          <w:rFonts w:hint="eastAsia" w:ascii="宋体" w:hAnsi="宋体"/>
          <w:b/>
          <w:color w:val="auto"/>
          <w:highlight w:val="none"/>
        </w:rPr>
        <w:t>通用合同条款14.1.3项细化为：</w:t>
      </w:r>
    </w:p>
    <w:p>
      <w:pPr>
        <w:autoSpaceDE w:val="0"/>
        <w:autoSpaceDN w:val="0"/>
        <w:adjustRightInd w:val="0"/>
        <w:spacing w:line="360" w:lineRule="exact"/>
        <w:ind w:firstLine="411" w:firstLineChars="196"/>
        <w:jc w:val="left"/>
        <w:rPr>
          <w:rFonts w:hint="eastAsia" w:ascii="宋体" w:hAnsi="宋体"/>
          <w:color w:val="auto"/>
          <w:highlight w:val="none"/>
        </w:rPr>
      </w:pPr>
      <w:r>
        <w:rPr>
          <w:rFonts w:hint="eastAsia" w:ascii="宋体" w:hAnsi="宋体"/>
          <w:color w:val="auto"/>
          <w:highlight w:val="none"/>
        </w:rPr>
        <w:t>14.1.3 监理人对承包人的试验和检验结果有疑问的，或为查清承包人试验和检验成果的可靠性要求承包人重新试验和检验的，可按合同约定由监理人与承包人共同进行</w:t>
      </w:r>
      <w:r>
        <w:rPr>
          <w:rFonts w:hint="eastAsia" w:ascii="宋体" w:hAnsi="宋体" w:cs="楷体_GB2312"/>
          <w:color w:val="auto"/>
          <w:kern w:val="0"/>
          <w:szCs w:val="21"/>
          <w:highlight w:val="none"/>
        </w:rPr>
        <w:t>，或由监理人委托给第三方独立的检验单位，该检验单位必须具有国家技术监督局或专业机构的认证资格。</w:t>
      </w:r>
      <w:r>
        <w:rPr>
          <w:rFonts w:hint="eastAsia" w:ascii="宋体" w:hAnsi="宋体"/>
          <w:color w:val="auto"/>
          <w:highlight w:val="none"/>
        </w:rPr>
        <w:t>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pPr>
        <w:tabs>
          <w:tab w:val="left" w:pos="2790"/>
        </w:tabs>
        <w:snapToGrid w:val="0"/>
        <w:spacing w:line="400" w:lineRule="exact"/>
        <w:outlineLvl w:val="2"/>
        <w:rPr>
          <w:rFonts w:hint="eastAsia" w:ascii="黑体" w:eastAsia="黑体"/>
          <w:color w:val="auto"/>
          <w:sz w:val="24"/>
          <w:szCs w:val="30"/>
          <w:highlight w:val="none"/>
        </w:rPr>
      </w:pPr>
      <w:bookmarkStart w:id="1345" w:name="_Toc292754780"/>
      <w:bookmarkStart w:id="1346" w:name="_Toc21425"/>
      <w:bookmarkStart w:id="1347" w:name="_Toc466366087"/>
      <w:bookmarkStart w:id="1348" w:name="_Toc361141030"/>
      <w:bookmarkStart w:id="1349" w:name="_Toc399396866"/>
      <w:bookmarkStart w:id="1350" w:name="_Toc23502"/>
      <w:bookmarkStart w:id="1351" w:name="_Toc262646430"/>
      <w:bookmarkStart w:id="1352" w:name="_Toc26409"/>
      <w:r>
        <w:rPr>
          <w:rFonts w:hint="eastAsia" w:ascii="黑体" w:eastAsia="黑体"/>
          <w:color w:val="auto"/>
          <w:sz w:val="24"/>
          <w:szCs w:val="30"/>
          <w:highlight w:val="none"/>
        </w:rPr>
        <w:t>15. 变更</w:t>
      </w:r>
      <w:bookmarkEnd w:id="1345"/>
      <w:bookmarkEnd w:id="1346"/>
      <w:bookmarkEnd w:id="1347"/>
      <w:bookmarkEnd w:id="1348"/>
      <w:bookmarkEnd w:id="1349"/>
      <w:bookmarkEnd w:id="1350"/>
      <w:bookmarkEnd w:id="1351"/>
      <w:bookmarkEnd w:id="1352"/>
    </w:p>
    <w:p>
      <w:pPr>
        <w:tabs>
          <w:tab w:val="left" w:pos="2790"/>
        </w:tabs>
        <w:snapToGrid w:val="0"/>
        <w:spacing w:line="400" w:lineRule="exact"/>
        <w:outlineLvl w:val="3"/>
        <w:rPr>
          <w:rFonts w:ascii="黑体" w:eastAsia="黑体"/>
          <w:color w:val="auto"/>
          <w:szCs w:val="21"/>
          <w:highlight w:val="none"/>
        </w:rPr>
      </w:pPr>
      <w:bookmarkStart w:id="1353" w:name="_Toc361141031"/>
      <w:bookmarkStart w:id="1354" w:name="_Toc326309007"/>
      <w:bookmarkStart w:id="1355" w:name="_Toc399396867"/>
      <w:bookmarkStart w:id="1356" w:name="_Toc310853890"/>
      <w:bookmarkStart w:id="1357" w:name="_Toc466366088"/>
      <w:bookmarkStart w:id="1358" w:name="_Toc4467"/>
      <w:bookmarkStart w:id="1359" w:name="_Toc262646431"/>
      <w:bookmarkStart w:id="1360" w:name="_Toc292754781"/>
      <w:bookmarkStart w:id="1361" w:name="_Toc27349"/>
      <w:bookmarkStart w:id="1362" w:name="_Toc14712"/>
      <w:r>
        <w:rPr>
          <w:rFonts w:ascii="黑体" w:eastAsia="黑体"/>
          <w:color w:val="auto"/>
          <w:szCs w:val="21"/>
          <w:highlight w:val="none"/>
        </w:rPr>
        <w:t xml:space="preserve">15.3 </w:t>
      </w:r>
      <w:r>
        <w:rPr>
          <w:rFonts w:hint="eastAsia" w:ascii="黑体" w:eastAsia="黑体"/>
          <w:color w:val="auto"/>
          <w:szCs w:val="21"/>
          <w:highlight w:val="none"/>
        </w:rPr>
        <w:t>变更程序</w:t>
      </w:r>
      <w:bookmarkEnd w:id="1353"/>
      <w:bookmarkEnd w:id="1354"/>
      <w:bookmarkEnd w:id="1355"/>
      <w:bookmarkEnd w:id="1356"/>
      <w:bookmarkEnd w:id="1357"/>
    </w:p>
    <w:bookmarkEnd w:id="1358"/>
    <w:bookmarkEnd w:id="1359"/>
    <w:bookmarkEnd w:id="1360"/>
    <w:bookmarkEnd w:id="1361"/>
    <w:bookmarkEnd w:id="1362"/>
    <w:p>
      <w:pPr>
        <w:spacing w:line="360" w:lineRule="exact"/>
        <w:ind w:firstLine="413" w:firstLineChars="196"/>
        <w:rPr>
          <w:rFonts w:ascii="宋体" w:hAnsi="宋体"/>
          <w:b/>
          <w:color w:val="auto"/>
          <w:highlight w:val="none"/>
        </w:rPr>
      </w:pPr>
      <w:r>
        <w:rPr>
          <w:rFonts w:hint="eastAsia" w:ascii="宋体" w:hAnsi="宋体"/>
          <w:b/>
          <w:color w:val="auto"/>
          <w:highlight w:val="none"/>
        </w:rPr>
        <w:t>公路工程专用合同条款第</w:t>
      </w:r>
      <w:r>
        <w:rPr>
          <w:rFonts w:ascii="宋体" w:hAnsi="宋体"/>
          <w:b/>
          <w:color w:val="auto"/>
          <w:highlight w:val="none"/>
        </w:rPr>
        <w:t xml:space="preserve">15.3.4 </w:t>
      </w:r>
      <w:r>
        <w:rPr>
          <w:rFonts w:hint="eastAsia" w:ascii="宋体" w:hAnsi="宋体"/>
          <w:b/>
          <w:color w:val="auto"/>
          <w:highlight w:val="none"/>
        </w:rPr>
        <w:t>项细化为：</w:t>
      </w:r>
    </w:p>
    <w:p>
      <w:pPr>
        <w:spacing w:line="360" w:lineRule="exact"/>
        <w:ind w:firstLine="420" w:firstLineChars="200"/>
        <w:rPr>
          <w:rFonts w:ascii="宋体" w:hAnsi="宋体"/>
          <w:color w:val="auto"/>
          <w:highlight w:val="none"/>
        </w:rPr>
      </w:pPr>
      <w:r>
        <w:rPr>
          <w:rFonts w:hint="eastAsia" w:ascii="宋体" w:hAnsi="宋体"/>
          <w:color w:val="auto"/>
          <w:highlight w:val="none"/>
        </w:rPr>
        <w:t>15.3.4设计变更程序应执行交通运输部《公路工程设计变更管理办法》（交通运输部令2005年第5号）、浙江省交通运输厅《浙江省普通国省道干线公路工程设计变更管理实施细则》（浙交〔2017〕34号）及温州市公路工程建设市场管理补充规定（试行）（温交[2012]111号）的相关规定和要求。</w:t>
      </w:r>
    </w:p>
    <w:p>
      <w:pPr>
        <w:tabs>
          <w:tab w:val="left" w:pos="2790"/>
        </w:tabs>
        <w:snapToGrid w:val="0"/>
        <w:spacing w:line="400" w:lineRule="exact"/>
        <w:outlineLvl w:val="3"/>
        <w:rPr>
          <w:rFonts w:ascii="黑体" w:eastAsia="黑体"/>
          <w:color w:val="auto"/>
          <w:szCs w:val="21"/>
          <w:highlight w:val="none"/>
        </w:rPr>
      </w:pPr>
      <w:bookmarkStart w:id="1363" w:name="_Toc262895545"/>
      <w:bookmarkStart w:id="1364" w:name="_Toc41753439"/>
      <w:bookmarkStart w:id="1365" w:name="_Toc49286980"/>
      <w:bookmarkStart w:id="1366" w:name="_Toc245538880"/>
      <w:r>
        <w:rPr>
          <w:rFonts w:hint="eastAsia" w:ascii="黑体" w:eastAsia="黑体"/>
          <w:color w:val="auto"/>
          <w:szCs w:val="21"/>
          <w:highlight w:val="none"/>
        </w:rPr>
        <w:t>15.4 变更的估价原则</w:t>
      </w:r>
      <w:bookmarkEnd w:id="1363"/>
      <w:bookmarkEnd w:id="1364"/>
      <w:bookmarkEnd w:id="1365"/>
      <w:bookmarkEnd w:id="1366"/>
    </w:p>
    <w:p>
      <w:pPr>
        <w:spacing w:line="360" w:lineRule="exact"/>
        <w:ind w:firstLine="435"/>
        <w:rPr>
          <w:rFonts w:hint="eastAsia" w:ascii="宋体" w:hAnsi="宋体"/>
          <w:b/>
          <w:color w:val="auto"/>
          <w:highlight w:val="none"/>
        </w:rPr>
      </w:pPr>
      <w:r>
        <w:rPr>
          <w:rFonts w:hint="eastAsia" w:ascii="宋体" w:hAnsi="宋体"/>
          <w:b/>
          <w:color w:val="auto"/>
          <w:highlight w:val="none"/>
        </w:rPr>
        <w:t>公路工程专用合同条款第15.4.2项约定为：</w:t>
      </w:r>
    </w:p>
    <w:p>
      <w:pPr>
        <w:spacing w:line="360" w:lineRule="exact"/>
        <w:ind w:firstLine="435"/>
        <w:rPr>
          <w:rFonts w:hint="eastAsia" w:ascii="宋体" w:hAnsi="宋体"/>
          <w:color w:val="auto"/>
          <w:highlight w:val="none"/>
        </w:rPr>
      </w:pPr>
      <w:r>
        <w:rPr>
          <w:rFonts w:hint="eastAsia" w:ascii="宋体" w:hAnsi="宋体"/>
          <w:color w:val="auto"/>
          <w:highlight w:val="none"/>
        </w:rPr>
        <w:t>15.4.2 已标价的工程量清单中有适用于变更工作的子目的，采用该子目的单价。如果合同的工程量清单中某一个支付子目所列的“合价”（含变更后的“合价”）超过签约合同价的2％，而且该支付子目变更后的工程实际数量超过或少于工程量清单中所列数量的25％，则该支付子目的单价应予以调整，新单价的确定原则适用15.4.4项的规定。当支付子目变更后的工程实际数量超过工程量清单中所列数量的25％的，调整后的新单价适用于该支付子目超过25%以外部分的工程量；当支付子目变更后工程实际数量减少超过本项工程量25%以内的，按原投标单价在该项目合价中扣除，减少超过25%以外部分工程量，按调整后的新单价计算合价后，在该项目合价中扣除”。</w:t>
      </w:r>
    </w:p>
    <w:p>
      <w:pPr>
        <w:spacing w:line="360" w:lineRule="exact"/>
        <w:ind w:firstLine="413" w:firstLineChars="196"/>
        <w:rPr>
          <w:rFonts w:hint="eastAsia" w:ascii="宋体" w:hAnsi="宋体"/>
          <w:b/>
          <w:color w:val="auto"/>
          <w:highlight w:val="none"/>
        </w:rPr>
      </w:pPr>
      <w:r>
        <w:rPr>
          <w:rFonts w:hint="eastAsia" w:ascii="宋体" w:hAnsi="宋体"/>
          <w:b/>
          <w:color w:val="auto"/>
          <w:highlight w:val="none"/>
        </w:rPr>
        <w:t>公路工程专用合同条款15.4.4项细化为：</w:t>
      </w:r>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15.4.4已标价工程量清单中无适用或类似子目的单价，按以下原则进行组价：</w:t>
      </w:r>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（1）定额套用：</w:t>
      </w:r>
      <w:r>
        <w:rPr>
          <w:rFonts w:hint="eastAsia" w:ascii="宋体" w:hAnsi="宋体" w:cs="宋体"/>
          <w:color w:val="auto"/>
          <w:highlight w:val="none"/>
        </w:rPr>
        <w:t>《公路工程预算定额》(</w:t>
      </w:r>
      <w:r>
        <w:rPr>
          <w:rFonts w:ascii="宋体" w:hAnsi="宋体" w:cs="宋体"/>
          <w:color w:val="auto"/>
          <w:highlight w:val="none"/>
        </w:rPr>
        <w:t>JTG-T3832-2018</w:t>
      </w:r>
      <w:r>
        <w:rPr>
          <w:rFonts w:hint="eastAsia" w:ascii="宋体" w:hAnsi="宋体" w:cs="宋体"/>
          <w:color w:val="auto"/>
          <w:highlight w:val="none"/>
        </w:rPr>
        <w:t>)、《公路工程机械台班费用定额》(</w:t>
      </w:r>
      <w:r>
        <w:rPr>
          <w:rFonts w:ascii="宋体" w:hAnsi="宋体" w:cs="宋体"/>
          <w:color w:val="auto"/>
          <w:highlight w:val="none"/>
        </w:rPr>
        <w:t>JTG-T3833-2018</w:t>
      </w:r>
      <w:r>
        <w:rPr>
          <w:rFonts w:hint="eastAsia" w:ascii="宋体" w:hAnsi="宋体" w:cs="宋体"/>
          <w:color w:val="auto"/>
          <w:highlight w:val="none"/>
        </w:rPr>
        <w:t>)</w:t>
      </w:r>
      <w:r>
        <w:rPr>
          <w:rFonts w:hint="eastAsia" w:ascii="宋体" w:hAnsi="宋体"/>
          <w:color w:val="auto"/>
          <w:highlight w:val="none"/>
        </w:rPr>
        <w:t>及《转发交通运输部2018年第86号公告的通知》(浙交[2019]116号)；</w:t>
      </w:r>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（2）取费标准、人工费、机械台班费用：按《公路工程建设项目概算预算编制办法》(</w:t>
      </w:r>
      <w:r>
        <w:rPr>
          <w:rFonts w:ascii="宋体" w:hAnsi="宋体"/>
          <w:color w:val="auto"/>
          <w:highlight w:val="none"/>
        </w:rPr>
        <w:t>JTG3830-2018</w:t>
      </w:r>
      <w:r>
        <w:rPr>
          <w:rFonts w:hint="eastAsia" w:ascii="宋体" w:hAnsi="宋体"/>
          <w:color w:val="auto"/>
          <w:highlight w:val="none"/>
        </w:rPr>
        <w:t>)、《转发交通运输部办公厅关于印发&lt;公路工程营业税改征增值税计价依据调整方案&gt;的通知》（浙交办〔2016〕113号）、《转发交通运输部2018年第86号公告的通知》(浙交[2019]116号)执行执行；</w:t>
      </w:r>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（3）材料（均指除税信息价） ：按本项目合同专用条款 16.1 款公布的基期价格计入，16.1 款无规定基期价格的材料，按投标截止期前1个月浙江省交通厅工程造价管理站发布的《质监与造价》上的信息价计入；《质监与造价》中也无信息价的，由监理人、发包人、承包人商定；</w:t>
      </w:r>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（4）无法套用上述定额和取费标准的，依次按水运、市政、水利、铁路、建筑定额和取费标准的顺序进行组价；上述定额有区域性的，优先适用浙江定额与取费标准；</w:t>
      </w:r>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（5）无法套用任何现行定额的，由承包人报监理人审核，并经发包人审批同意后计取；</w:t>
      </w:r>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（6）根据上述原则组价的综合单价，乘以承包人的投标价与招标时经公布的工程量清单预算价的比例，作为该子目的单价。</w:t>
      </w:r>
    </w:p>
    <w:p>
      <w:pPr>
        <w:tabs>
          <w:tab w:val="left" w:pos="2790"/>
        </w:tabs>
        <w:snapToGrid w:val="0"/>
        <w:spacing w:line="400" w:lineRule="exact"/>
        <w:outlineLvl w:val="2"/>
        <w:rPr>
          <w:rFonts w:hint="eastAsia" w:ascii="黑体" w:eastAsia="黑体"/>
          <w:color w:val="auto"/>
          <w:sz w:val="24"/>
          <w:szCs w:val="30"/>
          <w:highlight w:val="none"/>
        </w:rPr>
      </w:pPr>
      <w:bookmarkStart w:id="1367" w:name="_Toc21899"/>
      <w:bookmarkStart w:id="1368" w:name="_Toc23910"/>
      <w:bookmarkStart w:id="1369" w:name="_Toc399396869"/>
      <w:bookmarkStart w:id="1370" w:name="_Toc19700"/>
      <w:bookmarkStart w:id="1371" w:name="_Toc1510"/>
      <w:bookmarkStart w:id="1372" w:name="_Toc292754782"/>
      <w:bookmarkStart w:id="1373" w:name="_Toc262646432"/>
      <w:bookmarkStart w:id="1374" w:name="_Toc361141033"/>
      <w:bookmarkStart w:id="1375" w:name="_Toc262646434"/>
      <w:bookmarkStart w:id="1376" w:name="_Toc361141035"/>
      <w:bookmarkStart w:id="1377" w:name="_Toc466366092"/>
      <w:bookmarkStart w:id="1378" w:name="_Toc1959"/>
      <w:bookmarkStart w:id="1379" w:name="_Toc292754784"/>
      <w:bookmarkStart w:id="1380" w:name="_Toc10740"/>
      <w:bookmarkStart w:id="1381" w:name="_Toc399396871"/>
      <w:bookmarkStart w:id="1382" w:name="_Toc22848"/>
      <w:r>
        <w:rPr>
          <w:rFonts w:hint="eastAsia" w:ascii="黑体" w:eastAsia="黑体"/>
          <w:color w:val="auto"/>
          <w:sz w:val="24"/>
          <w:szCs w:val="30"/>
          <w:highlight w:val="none"/>
        </w:rPr>
        <w:t>16. 价格调整</w:t>
      </w:r>
      <w:bookmarkEnd w:id="1367"/>
      <w:bookmarkEnd w:id="1368"/>
      <w:bookmarkEnd w:id="1369"/>
      <w:bookmarkEnd w:id="1370"/>
      <w:bookmarkEnd w:id="1371"/>
      <w:bookmarkEnd w:id="1372"/>
      <w:bookmarkEnd w:id="1373"/>
      <w:bookmarkEnd w:id="1374"/>
    </w:p>
    <w:p>
      <w:pPr>
        <w:tabs>
          <w:tab w:val="left" w:pos="2790"/>
        </w:tabs>
        <w:snapToGrid w:val="0"/>
        <w:spacing w:line="400" w:lineRule="exact"/>
        <w:outlineLvl w:val="3"/>
        <w:rPr>
          <w:rFonts w:hint="eastAsia" w:ascii="黑体" w:eastAsia="黑体"/>
          <w:color w:val="auto"/>
          <w:szCs w:val="21"/>
          <w:highlight w:val="none"/>
        </w:rPr>
      </w:pPr>
      <w:bookmarkStart w:id="1383" w:name="_Toc3038"/>
      <w:bookmarkStart w:id="1384" w:name="_Toc399396870"/>
      <w:bookmarkStart w:id="1385" w:name="_Toc453"/>
      <w:bookmarkStart w:id="1386" w:name="_Toc361141034"/>
      <w:bookmarkStart w:id="1387" w:name="_Toc292754783"/>
      <w:bookmarkStart w:id="1388" w:name="_Toc16647"/>
      <w:bookmarkStart w:id="1389" w:name="_Toc262646433"/>
      <w:bookmarkStart w:id="1390" w:name="_Toc27474"/>
      <w:r>
        <w:rPr>
          <w:rFonts w:hint="eastAsia" w:ascii="黑体" w:eastAsia="黑体"/>
          <w:color w:val="auto"/>
          <w:szCs w:val="21"/>
          <w:highlight w:val="none"/>
        </w:rPr>
        <w:t>16.1 物价波动引起的价格调整</w:t>
      </w:r>
      <w:bookmarkEnd w:id="1383"/>
      <w:bookmarkEnd w:id="1384"/>
      <w:bookmarkEnd w:id="1385"/>
      <w:bookmarkEnd w:id="1386"/>
      <w:bookmarkEnd w:id="1387"/>
      <w:bookmarkEnd w:id="1388"/>
      <w:bookmarkEnd w:id="1389"/>
      <w:bookmarkEnd w:id="1390"/>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通用合同条款 16.1.2 项约定为：</w:t>
      </w:r>
    </w:p>
    <w:p>
      <w:pPr>
        <w:tabs>
          <w:tab w:val="left" w:pos="2790"/>
        </w:tabs>
        <w:snapToGrid w:val="0"/>
        <w:spacing w:line="400" w:lineRule="exact"/>
        <w:ind w:firstLine="420" w:firstLineChars="200"/>
        <w:outlineLvl w:val="2"/>
        <w:rPr>
          <w:rFonts w:hint="eastAsia" w:ascii="宋体" w:hAnsi="宋体"/>
          <w:color w:val="auto"/>
          <w:highlight w:val="none"/>
        </w:rPr>
      </w:pPr>
      <w:r>
        <w:rPr>
          <w:rFonts w:hint="eastAsia" w:ascii="宋体" w:hAnsi="宋体"/>
          <w:color w:val="auto"/>
          <w:highlight w:val="none"/>
        </w:rPr>
        <w:t>16.1.2在公路工程合同执行期间（包括工期拖延期间），由于人工、材料、机械价格的上涨而引起工程施工成本增加的风险由承包人自行承担，合同价格不会因此而调整。</w:t>
      </w:r>
    </w:p>
    <w:p>
      <w:pPr>
        <w:tabs>
          <w:tab w:val="left" w:pos="2790"/>
        </w:tabs>
        <w:snapToGrid w:val="0"/>
        <w:spacing w:line="400" w:lineRule="exact"/>
        <w:outlineLvl w:val="2"/>
        <w:rPr>
          <w:rFonts w:hint="eastAsia" w:ascii="黑体" w:eastAsia="黑体"/>
          <w:color w:val="auto"/>
          <w:sz w:val="24"/>
          <w:szCs w:val="30"/>
          <w:highlight w:val="none"/>
        </w:rPr>
      </w:pPr>
      <w:r>
        <w:rPr>
          <w:rFonts w:hint="eastAsia" w:ascii="黑体" w:eastAsia="黑体"/>
          <w:color w:val="auto"/>
          <w:sz w:val="24"/>
          <w:szCs w:val="30"/>
          <w:highlight w:val="none"/>
        </w:rPr>
        <w:t>17. 计量与支付</w:t>
      </w:r>
      <w:bookmarkEnd w:id="1375"/>
      <w:bookmarkEnd w:id="1376"/>
      <w:bookmarkEnd w:id="1377"/>
      <w:bookmarkEnd w:id="1378"/>
      <w:bookmarkEnd w:id="1379"/>
      <w:bookmarkEnd w:id="1380"/>
      <w:bookmarkEnd w:id="1381"/>
      <w:bookmarkEnd w:id="1382"/>
    </w:p>
    <w:p>
      <w:pPr>
        <w:tabs>
          <w:tab w:val="left" w:pos="2790"/>
        </w:tabs>
        <w:snapToGrid w:val="0"/>
        <w:spacing w:line="400" w:lineRule="exact"/>
        <w:outlineLvl w:val="3"/>
        <w:rPr>
          <w:rFonts w:hint="eastAsia" w:ascii="黑体" w:eastAsia="黑体"/>
          <w:color w:val="auto"/>
          <w:szCs w:val="21"/>
          <w:highlight w:val="none"/>
          <w:lang w:val="en-US" w:eastAsia="zh-CN"/>
        </w:rPr>
      </w:pPr>
      <w:bookmarkStart w:id="1391" w:name="_Toc241741646"/>
      <w:bookmarkStart w:id="1392" w:name="_Toc249947007"/>
      <w:bookmarkStart w:id="1393" w:name="_Toc241637686"/>
      <w:bookmarkStart w:id="1394" w:name="_Toc399396873"/>
      <w:bookmarkStart w:id="1395" w:name="_Toc361141037"/>
      <w:bookmarkStart w:id="1396" w:name="_Toc466366093"/>
      <w:bookmarkStart w:id="1397" w:name="_Toc292754786"/>
      <w:bookmarkStart w:id="1398" w:name="_Toc241744946"/>
      <w:r>
        <w:rPr>
          <w:rFonts w:hint="eastAsia" w:ascii="黑体" w:eastAsia="黑体"/>
          <w:color w:val="auto"/>
          <w:szCs w:val="21"/>
          <w:highlight w:val="none"/>
        </w:rPr>
        <w:t>17.2预付款</w:t>
      </w:r>
      <w:r>
        <w:rPr>
          <w:rFonts w:hint="eastAsia" w:ascii="黑体" w:eastAsia="黑体"/>
          <w:color w:val="auto"/>
          <w:szCs w:val="21"/>
          <w:highlight w:val="none"/>
          <w:lang w:val="en-US" w:eastAsia="zh-CN"/>
        </w:rPr>
        <w:t>x</w:t>
      </w:r>
    </w:p>
    <w:p>
      <w:pPr>
        <w:spacing w:line="360" w:lineRule="exact"/>
        <w:ind w:firstLine="420" w:firstLineChars="200"/>
        <w:textAlignment w:val="baseline"/>
        <w:rPr>
          <w:rFonts w:hint="eastAsia" w:ascii="宋体" w:hAnsi="宋体"/>
          <w:color w:val="auto"/>
          <w:sz w:val="24"/>
          <w:highlight w:val="none"/>
        </w:rPr>
      </w:pPr>
      <w:r>
        <w:rPr>
          <w:rFonts w:hint="eastAsia" w:ascii="宋体" w:hAnsi="宋体"/>
          <w:color w:val="auto"/>
          <w:highlight w:val="none"/>
        </w:rPr>
        <w:t>17.2.1 预付款</w:t>
      </w:r>
    </w:p>
    <w:p>
      <w:pPr>
        <w:spacing w:line="360" w:lineRule="exact"/>
        <w:ind w:firstLine="420"/>
        <w:textAlignment w:val="baseline"/>
        <w:rPr>
          <w:rFonts w:hint="eastAsia" w:ascii="宋体" w:hAnsi="宋体"/>
          <w:b/>
          <w:color w:val="auto"/>
          <w:highlight w:val="none"/>
        </w:rPr>
      </w:pPr>
      <w:r>
        <w:rPr>
          <w:rFonts w:hint="eastAsia" w:ascii="宋体" w:hAnsi="宋体"/>
          <w:b/>
          <w:color w:val="auto"/>
          <w:highlight w:val="none"/>
        </w:rPr>
        <w:t>公路工程专用合同条款第 17.2.1.(1) 、（2）目细化为：</w:t>
      </w:r>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（1）开工预付款的金额为签约合同价的 10%。在承包人签订了合同协议书，监理人应当在当期进度付款证书中向承包人支付开工预付款的 70%的价款；在承包人承诺的主要人员、设备进场并经监理人确认后，再支付预付款的30%。</w:t>
      </w:r>
    </w:p>
    <w:p>
      <w:pPr>
        <w:spacing w:line="360" w:lineRule="exact"/>
        <w:ind w:firstLine="420"/>
        <w:textAlignment w:val="baseline"/>
        <w:rPr>
          <w:rFonts w:hint="eastAsia" w:ascii="宋体" w:hAnsi="宋体"/>
          <w:color w:val="auto"/>
          <w:highlight w:val="none"/>
        </w:rPr>
      </w:pPr>
      <w:r>
        <w:rPr>
          <w:rFonts w:hint="eastAsia" w:ascii="宋体" w:hAnsi="宋体"/>
          <w:color w:val="auto"/>
          <w:highlight w:val="none"/>
        </w:rPr>
        <w:t>承包人不得将该预付款用于与本工程无关的支出，监理人有权监督承包人对该项费用的使用，如经查实承包人滥用开工预付款，发包人有权将该款收回。</w:t>
      </w:r>
    </w:p>
    <w:p>
      <w:pPr>
        <w:tabs>
          <w:tab w:val="left" w:pos="2790"/>
        </w:tabs>
        <w:snapToGrid w:val="0"/>
        <w:spacing w:line="400" w:lineRule="exact"/>
        <w:ind w:firstLine="420" w:firstLineChars="200"/>
        <w:outlineLvl w:val="3"/>
        <w:rPr>
          <w:rFonts w:hint="eastAsia" w:ascii="宋体" w:hAnsi="宋体"/>
          <w:color w:val="auto"/>
          <w:highlight w:val="none"/>
        </w:rPr>
      </w:pPr>
      <w:r>
        <w:rPr>
          <w:rFonts w:hint="eastAsia" w:ascii="宋体" w:hAnsi="宋体"/>
          <w:color w:val="auto"/>
          <w:highlight w:val="none"/>
        </w:rPr>
        <w:t>（2）本项目材料、设备预付款比例：本项目不适用。</w:t>
      </w:r>
    </w:p>
    <w:p>
      <w:pPr>
        <w:spacing w:line="360" w:lineRule="exact"/>
        <w:ind w:firstLine="420" w:firstLineChars="200"/>
        <w:textAlignment w:val="baseline"/>
        <w:rPr>
          <w:rFonts w:hint="eastAsia" w:ascii="宋体" w:hAnsi="宋体"/>
          <w:color w:val="auto"/>
          <w:highlight w:val="none"/>
        </w:rPr>
      </w:pPr>
      <w:r>
        <w:rPr>
          <w:rFonts w:hint="eastAsia" w:ascii="宋体" w:hAnsi="宋体"/>
          <w:color w:val="auto"/>
          <w:highlight w:val="none"/>
        </w:rPr>
        <w:t>17.2.2预付款保函</w:t>
      </w:r>
    </w:p>
    <w:p>
      <w:pPr>
        <w:spacing w:line="360" w:lineRule="exact"/>
        <w:ind w:firstLine="422" w:firstLineChars="200"/>
        <w:textAlignment w:val="baseline"/>
        <w:rPr>
          <w:rFonts w:hint="eastAsia" w:ascii="宋体" w:hAnsi="宋体"/>
          <w:b/>
          <w:color w:val="auto"/>
          <w:highlight w:val="none"/>
        </w:rPr>
      </w:pPr>
      <w:r>
        <w:rPr>
          <w:rFonts w:hint="eastAsia" w:ascii="宋体" w:hAnsi="宋体"/>
          <w:b/>
          <w:color w:val="auto"/>
          <w:highlight w:val="none"/>
        </w:rPr>
        <w:t>通用合同条款、公路工程专用合同条款第 17.2.2款细化为：</w:t>
      </w:r>
    </w:p>
    <w:p>
      <w:pPr>
        <w:pStyle w:val="2"/>
        <w:spacing w:before="120"/>
        <w:ind w:firstLine="210"/>
        <w:rPr>
          <w:rFonts w:hint="eastAsia" w:ascii="宋体" w:hAnsi="宋体"/>
          <w:color w:val="auto"/>
          <w:highlight w:val="none"/>
        </w:rPr>
      </w:pPr>
      <w:r>
        <w:rPr>
          <w:rFonts w:hint="eastAsia" w:ascii="宋体" w:hAnsi="宋体"/>
          <w:color w:val="auto"/>
          <w:highlight w:val="none"/>
        </w:rPr>
        <w:t>承包人在收到开工预付款前不需要向发包人提交开工预付款保函。</w:t>
      </w:r>
    </w:p>
    <w:p>
      <w:pPr>
        <w:spacing w:line="360" w:lineRule="auto"/>
        <w:ind w:left="420"/>
        <w:rPr>
          <w:rFonts w:hint="eastAsia"/>
          <w:color w:val="auto"/>
          <w:szCs w:val="21"/>
          <w:highlight w:val="none"/>
        </w:rPr>
      </w:pPr>
      <w:r>
        <w:rPr>
          <w:rFonts w:hint="eastAsia"/>
          <w:color w:val="auto"/>
          <w:szCs w:val="21"/>
          <w:highlight w:val="none"/>
        </w:rPr>
        <w:t xml:space="preserve">17.2.3 预付款的扣回与还清 </w:t>
      </w:r>
    </w:p>
    <w:p>
      <w:pPr>
        <w:spacing w:line="360" w:lineRule="auto"/>
        <w:ind w:left="420"/>
        <w:rPr>
          <w:rFonts w:hint="eastAsia"/>
          <w:color w:val="auto"/>
          <w:szCs w:val="21"/>
          <w:highlight w:val="none"/>
        </w:rPr>
      </w:pPr>
      <w:r>
        <w:rPr>
          <w:rFonts w:hint="eastAsia"/>
          <w:color w:val="auto"/>
          <w:szCs w:val="21"/>
          <w:highlight w:val="none"/>
        </w:rPr>
        <w:t>（1）开工预付款在第一次支付工程进度款（不包括暂列金额和安全文明费、暂估价）时开始分两次等额全部扣回。</w:t>
      </w:r>
    </w:p>
    <w:p>
      <w:pPr>
        <w:spacing w:line="360" w:lineRule="auto"/>
        <w:ind w:left="420"/>
        <w:rPr>
          <w:rFonts w:hint="eastAsia"/>
          <w:color w:val="auto"/>
          <w:szCs w:val="21"/>
          <w:highlight w:val="none"/>
        </w:rPr>
      </w:pPr>
      <w:r>
        <w:rPr>
          <w:rFonts w:hint="eastAsia"/>
          <w:color w:val="auto"/>
          <w:szCs w:val="21"/>
          <w:highlight w:val="none"/>
        </w:rPr>
        <w:t>（2）当材料已用于养护工程之中时，材料预付款应从进度付款证书中扣回，扣回期不超过3个月。已经支付材料预付款的材料的所有权应属于发包人。</w:t>
      </w:r>
    </w:p>
    <w:p>
      <w:pPr>
        <w:pStyle w:val="4"/>
        <w:ind w:left="0" w:firstLine="420" w:firstLineChars="200"/>
        <w:rPr>
          <w:rFonts w:hint="eastAsia"/>
          <w:color w:val="auto"/>
          <w:sz w:val="21"/>
          <w:szCs w:val="21"/>
          <w:highlight w:val="none"/>
        </w:rPr>
      </w:pPr>
      <w:r>
        <w:rPr>
          <w:rFonts w:hint="eastAsia"/>
          <w:color w:val="auto"/>
          <w:sz w:val="21"/>
          <w:szCs w:val="21"/>
          <w:highlight w:val="none"/>
        </w:rPr>
        <w:t>在颁发工程接收证书前，由于不可抗力或其它原因解除合同时，预付款尚未扣清的，尚未扣清的预付款余额应作为承包人的到期应付款。</w:t>
      </w:r>
    </w:p>
    <w:p>
      <w:pPr>
        <w:tabs>
          <w:tab w:val="left" w:pos="2790"/>
        </w:tabs>
        <w:snapToGrid w:val="0"/>
        <w:spacing w:line="400" w:lineRule="exact"/>
        <w:outlineLvl w:val="3"/>
        <w:rPr>
          <w:rFonts w:hint="eastAsia" w:ascii="黑体" w:eastAsia="黑体"/>
          <w:color w:val="auto"/>
          <w:szCs w:val="21"/>
          <w:highlight w:val="none"/>
        </w:rPr>
      </w:pPr>
      <w:r>
        <w:rPr>
          <w:rFonts w:hint="eastAsia" w:ascii="黑体" w:eastAsia="黑体"/>
          <w:color w:val="auto"/>
          <w:szCs w:val="21"/>
          <w:highlight w:val="none"/>
        </w:rPr>
        <w:t>17.3 工程进度付款</w:t>
      </w:r>
      <w:bookmarkEnd w:id="1391"/>
      <w:bookmarkEnd w:id="1392"/>
      <w:bookmarkEnd w:id="1393"/>
      <w:bookmarkEnd w:id="1394"/>
      <w:bookmarkEnd w:id="1395"/>
      <w:bookmarkEnd w:id="1396"/>
      <w:bookmarkEnd w:id="1397"/>
      <w:bookmarkEnd w:id="1398"/>
    </w:p>
    <w:p>
      <w:pPr>
        <w:spacing w:line="360" w:lineRule="exact"/>
        <w:ind w:firstLine="435"/>
        <w:rPr>
          <w:rFonts w:hint="eastAsia" w:ascii="宋体" w:hAnsi="宋体"/>
          <w:color w:val="auto"/>
          <w:highlight w:val="none"/>
        </w:rPr>
      </w:pPr>
      <w:r>
        <w:rPr>
          <w:rFonts w:hint="eastAsia" w:ascii="宋体" w:hAnsi="宋体"/>
          <w:color w:val="auto"/>
          <w:highlight w:val="none"/>
        </w:rPr>
        <w:t>17.3.2 进度付款申请单</w:t>
      </w:r>
    </w:p>
    <w:p>
      <w:pPr>
        <w:spacing w:line="360" w:lineRule="exact"/>
        <w:ind w:firstLine="435"/>
        <w:rPr>
          <w:rFonts w:hint="eastAsia" w:ascii="宋体" w:hAnsi="宋体"/>
          <w:color w:val="auto"/>
          <w:highlight w:val="none"/>
        </w:rPr>
      </w:pPr>
      <w:r>
        <w:rPr>
          <w:rFonts w:hint="eastAsia" w:ascii="宋体" w:hAnsi="宋体"/>
          <w:color w:val="auto"/>
          <w:highlight w:val="none"/>
        </w:rPr>
        <w:t xml:space="preserve">通用合同条款17.3.2项中第一句“每个付款周期末”约定为“每月25日”。 </w:t>
      </w:r>
    </w:p>
    <w:p>
      <w:pPr>
        <w:spacing w:line="360" w:lineRule="exact"/>
        <w:ind w:firstLine="435"/>
        <w:rPr>
          <w:rFonts w:hint="eastAsia"/>
          <w:color w:val="auto"/>
          <w:highlight w:val="none"/>
        </w:rPr>
      </w:pPr>
      <w:r>
        <w:rPr>
          <w:rFonts w:hint="eastAsia" w:ascii="宋体" w:hAnsi="宋体"/>
          <w:color w:val="auto"/>
          <w:highlight w:val="none"/>
        </w:rPr>
        <w:t>本项目交（竣工）后支付合同价的85%.</w:t>
      </w:r>
    </w:p>
    <w:p>
      <w:pPr>
        <w:tabs>
          <w:tab w:val="left" w:pos="2790"/>
        </w:tabs>
        <w:snapToGrid w:val="0"/>
        <w:spacing w:line="360" w:lineRule="exact"/>
        <w:outlineLvl w:val="3"/>
        <w:rPr>
          <w:rFonts w:hint="eastAsia" w:ascii="黑体" w:eastAsia="黑体"/>
          <w:color w:val="auto"/>
          <w:szCs w:val="21"/>
          <w:highlight w:val="none"/>
        </w:rPr>
      </w:pPr>
      <w:bookmarkStart w:id="1399" w:name="_Toc49286986"/>
      <w:bookmarkStart w:id="1400" w:name="_Toc41753445"/>
      <w:bookmarkStart w:id="1401" w:name="_Toc284866599"/>
      <w:bookmarkStart w:id="1402" w:name="_Toc466366095"/>
      <w:bookmarkStart w:id="1403" w:name="_Toc292754787"/>
      <w:bookmarkStart w:id="1404" w:name="_Toc399396874"/>
      <w:bookmarkStart w:id="1405" w:name="_Toc361141038"/>
      <w:r>
        <w:rPr>
          <w:rFonts w:hint="eastAsia" w:ascii="黑体" w:eastAsia="黑体"/>
          <w:color w:val="auto"/>
          <w:szCs w:val="21"/>
          <w:highlight w:val="none"/>
        </w:rPr>
        <w:t>17.4质量保证金</w:t>
      </w:r>
      <w:bookmarkEnd w:id="1399"/>
      <w:bookmarkEnd w:id="1400"/>
    </w:p>
    <w:p>
      <w:pPr>
        <w:spacing w:line="360" w:lineRule="auto"/>
        <w:ind w:firstLine="420" w:firstLineChars="200"/>
        <w:rPr>
          <w:rFonts w:hint="eastAsia"/>
          <w:color w:val="auto"/>
          <w:highlight w:val="none"/>
        </w:rPr>
      </w:pPr>
      <w:r>
        <w:rPr>
          <w:rFonts w:hint="eastAsia"/>
          <w:color w:val="auto"/>
          <w:highlight w:val="none"/>
        </w:rPr>
        <w:t>通用合同条款及公路工程专用合同条款第17.4.1项细化为：</w:t>
      </w:r>
    </w:p>
    <w:p>
      <w:pPr>
        <w:spacing w:line="360" w:lineRule="auto"/>
        <w:ind w:firstLine="420" w:firstLineChars="200"/>
        <w:rPr>
          <w:rFonts w:hint="eastAsia"/>
          <w:color w:val="auto"/>
          <w:highlight w:val="none"/>
        </w:rPr>
      </w:pPr>
      <w:r>
        <w:rPr>
          <w:rFonts w:hint="eastAsia"/>
          <w:color w:val="auto"/>
          <w:highlight w:val="none"/>
        </w:rPr>
        <w:t>17.4.1交工验收证书签发前，承包人应向发包人缴纳质量保证金。质量保证金可采用银行保函或现金、支票形式，金额见项目专用合同条款数据表。采用银行保函时，出具保函的银行须具有相应担保能力，且按照发包人批准的格式出具，所需费用由承包人承担。质量保证金采用现金、支票形式提交的，不计付利息。</w:t>
      </w:r>
    </w:p>
    <w:p>
      <w:pPr>
        <w:spacing w:line="360" w:lineRule="auto"/>
        <w:ind w:firstLine="420" w:firstLineChars="200"/>
        <w:rPr>
          <w:rFonts w:hint="eastAsia"/>
          <w:color w:val="auto"/>
          <w:highlight w:val="none"/>
        </w:rPr>
      </w:pPr>
      <w:r>
        <w:rPr>
          <w:rFonts w:hint="eastAsia"/>
          <w:color w:val="auto"/>
          <w:highlight w:val="none"/>
        </w:rPr>
        <w:t>通用合同条款第17.4.2项细化为：</w:t>
      </w:r>
    </w:p>
    <w:p>
      <w:pPr>
        <w:tabs>
          <w:tab w:val="left" w:pos="2790"/>
        </w:tabs>
        <w:snapToGrid w:val="0"/>
        <w:spacing w:line="400" w:lineRule="exact"/>
        <w:ind w:firstLine="420" w:firstLineChars="200"/>
        <w:outlineLvl w:val="3"/>
        <w:rPr>
          <w:rFonts w:hint="eastAsia" w:ascii="黑体" w:eastAsia="黑体"/>
          <w:color w:val="auto"/>
          <w:szCs w:val="21"/>
          <w:highlight w:val="none"/>
        </w:rPr>
      </w:pPr>
      <w:r>
        <w:rPr>
          <w:rFonts w:hint="eastAsia"/>
          <w:color w:val="auto"/>
          <w:highlight w:val="none"/>
        </w:rPr>
        <w:t>17.4.2 在第 1.1.4.5 目约定的缺陷责任期满，且交通主管部门已按规定完成对工程竣工质量评定备案（鉴定）或已完成质量专项验收，承包人向发包人申请到期应返还承包人剩余的质量保证金金额，发包人应在 14 天内会同承包人按照合同约定的内容核实承包人是否完成缺陷责任。如无异议，发包人应当在核实后将剩余保证金返还承包人。”</w:t>
      </w:r>
    </w:p>
    <w:p>
      <w:pPr>
        <w:tabs>
          <w:tab w:val="left" w:pos="2790"/>
        </w:tabs>
        <w:snapToGrid w:val="0"/>
        <w:spacing w:line="400" w:lineRule="exact"/>
        <w:outlineLvl w:val="3"/>
        <w:rPr>
          <w:rFonts w:hint="eastAsia" w:ascii="黑体" w:eastAsia="黑体"/>
          <w:color w:val="auto"/>
          <w:szCs w:val="21"/>
          <w:highlight w:val="none"/>
        </w:rPr>
      </w:pPr>
      <w:r>
        <w:rPr>
          <w:rFonts w:hint="eastAsia" w:ascii="黑体" w:eastAsia="黑体"/>
          <w:color w:val="auto"/>
          <w:szCs w:val="21"/>
          <w:highlight w:val="none"/>
        </w:rPr>
        <w:t>17.6 最终结清</w:t>
      </w:r>
      <w:bookmarkEnd w:id="1401"/>
      <w:bookmarkEnd w:id="1402"/>
      <w:bookmarkEnd w:id="1403"/>
      <w:bookmarkEnd w:id="1404"/>
      <w:bookmarkEnd w:id="1405"/>
    </w:p>
    <w:p>
      <w:pPr>
        <w:spacing w:line="360" w:lineRule="exact"/>
        <w:ind w:firstLine="420" w:firstLineChars="200"/>
        <w:textAlignment w:val="baseline"/>
        <w:rPr>
          <w:rFonts w:hint="eastAsia" w:ascii="宋体" w:hAnsi="宋体"/>
          <w:color w:val="auto"/>
          <w:highlight w:val="none"/>
        </w:rPr>
      </w:pPr>
      <w:bookmarkStart w:id="1406" w:name="_Toc262646436"/>
      <w:bookmarkStart w:id="1407" w:name="_Toc28636"/>
      <w:bookmarkStart w:id="1408" w:name="_Toc3481"/>
      <w:bookmarkStart w:id="1409" w:name="_Toc15368"/>
      <w:bookmarkStart w:id="1410" w:name="_Toc292754788"/>
      <w:bookmarkStart w:id="1411" w:name="_Toc399396875"/>
      <w:bookmarkStart w:id="1412" w:name="_Toc361141039"/>
      <w:r>
        <w:rPr>
          <w:rFonts w:hint="eastAsia" w:ascii="宋体" w:hAnsi="宋体"/>
          <w:color w:val="auto"/>
          <w:highlight w:val="none"/>
        </w:rPr>
        <w:t>17.6.2 最终结清证书和支付时间</w:t>
      </w:r>
    </w:p>
    <w:p>
      <w:pPr>
        <w:spacing w:line="360" w:lineRule="exact"/>
        <w:ind w:firstLine="315" w:firstLineChars="150"/>
        <w:textAlignment w:val="baseline"/>
        <w:rPr>
          <w:rFonts w:hint="eastAsia" w:ascii="宋体" w:hAnsi="宋体"/>
          <w:color w:val="auto"/>
          <w:highlight w:val="none"/>
        </w:rPr>
      </w:pPr>
      <w:r>
        <w:rPr>
          <w:rFonts w:hint="eastAsia" w:ascii="宋体" w:hAnsi="宋体"/>
          <w:color w:val="auto"/>
          <w:highlight w:val="none"/>
        </w:rPr>
        <w:t>通用合同条款本项(2)目细化为：</w:t>
      </w:r>
    </w:p>
    <w:p>
      <w:pPr>
        <w:spacing w:line="360" w:lineRule="exact"/>
        <w:ind w:firstLine="315" w:firstLineChars="150"/>
        <w:textAlignment w:val="baseline"/>
        <w:rPr>
          <w:rFonts w:hint="eastAsia" w:ascii="宋体" w:hAnsi="宋体"/>
          <w:color w:val="auto"/>
          <w:highlight w:val="none"/>
        </w:rPr>
      </w:pPr>
      <w:r>
        <w:rPr>
          <w:rFonts w:hint="eastAsia" w:ascii="宋体" w:hAnsi="宋体"/>
          <w:color w:val="auto"/>
          <w:highlight w:val="none"/>
        </w:rPr>
        <w:t>（2）发包人应在审计完成并在监理人出具最终结清证书后的14 天内，将应支付款支付给承包人。发包人不按期支付的，按第17.3.3（2）目的约定，将逾期付款违约金支付给承包人。</w:t>
      </w:r>
    </w:p>
    <w:p>
      <w:pPr>
        <w:spacing w:line="360" w:lineRule="exact"/>
        <w:ind w:firstLine="315" w:firstLineChars="150"/>
        <w:textAlignment w:val="baseline"/>
        <w:rPr>
          <w:rFonts w:hint="eastAsia" w:ascii="宋体" w:hAnsi="宋体"/>
          <w:color w:val="auto"/>
          <w:highlight w:val="none"/>
        </w:rPr>
      </w:pPr>
      <w:r>
        <w:rPr>
          <w:rFonts w:hint="eastAsia" w:ascii="宋体" w:hAnsi="宋体"/>
          <w:color w:val="auto"/>
          <w:highlight w:val="none"/>
        </w:rPr>
        <w:t>最终结清申请证书中的总金额应认为是代表了根据合同规定应付给承包人的全部款项的最后结算。</w:t>
      </w:r>
    </w:p>
    <w:p>
      <w:pPr>
        <w:tabs>
          <w:tab w:val="left" w:pos="2790"/>
        </w:tabs>
        <w:snapToGrid w:val="0"/>
        <w:spacing w:line="400" w:lineRule="exact"/>
        <w:outlineLvl w:val="2"/>
        <w:rPr>
          <w:rFonts w:hint="eastAsia" w:ascii="黑体" w:eastAsia="黑体"/>
          <w:color w:val="auto"/>
          <w:sz w:val="24"/>
          <w:szCs w:val="30"/>
          <w:highlight w:val="none"/>
        </w:rPr>
      </w:pPr>
      <w:bookmarkStart w:id="1413" w:name="_Toc466366096"/>
      <w:r>
        <w:rPr>
          <w:rFonts w:hint="eastAsia" w:ascii="黑体" w:eastAsia="黑体"/>
          <w:color w:val="auto"/>
          <w:sz w:val="24"/>
          <w:szCs w:val="30"/>
          <w:highlight w:val="none"/>
        </w:rPr>
        <w:t>18. 交工验收</w:t>
      </w:r>
      <w:bookmarkEnd w:id="1406"/>
      <w:bookmarkEnd w:id="1407"/>
      <w:bookmarkEnd w:id="1408"/>
      <w:bookmarkEnd w:id="1409"/>
      <w:bookmarkEnd w:id="1410"/>
      <w:bookmarkEnd w:id="1411"/>
      <w:bookmarkEnd w:id="1412"/>
      <w:bookmarkEnd w:id="1413"/>
    </w:p>
    <w:p>
      <w:pPr>
        <w:tabs>
          <w:tab w:val="left" w:pos="2790"/>
        </w:tabs>
        <w:snapToGrid w:val="0"/>
        <w:spacing w:line="400" w:lineRule="exact"/>
        <w:outlineLvl w:val="3"/>
        <w:rPr>
          <w:rFonts w:hint="eastAsia" w:ascii="黑体" w:eastAsia="黑体"/>
          <w:color w:val="auto"/>
          <w:szCs w:val="21"/>
          <w:highlight w:val="none"/>
        </w:rPr>
      </w:pPr>
      <w:bookmarkStart w:id="1414" w:name="_Toc466366097"/>
      <w:bookmarkStart w:id="1415" w:name="_Toc26847"/>
      <w:bookmarkStart w:id="1416" w:name="_Toc399396876"/>
      <w:bookmarkStart w:id="1417" w:name="_Toc262646437"/>
      <w:bookmarkStart w:id="1418" w:name="_Toc28684"/>
      <w:bookmarkStart w:id="1419" w:name="_Toc361141041"/>
      <w:bookmarkStart w:id="1420" w:name="_Toc15282"/>
      <w:bookmarkStart w:id="1421" w:name="_Toc292754789"/>
      <w:r>
        <w:rPr>
          <w:rFonts w:hint="eastAsia" w:ascii="黑体" w:eastAsia="黑体"/>
          <w:color w:val="auto"/>
          <w:szCs w:val="21"/>
          <w:highlight w:val="none"/>
        </w:rPr>
        <w:t>18.3 验收</w:t>
      </w:r>
      <w:bookmarkEnd w:id="1414"/>
    </w:p>
    <w:p>
      <w:pPr>
        <w:spacing w:line="360" w:lineRule="exact"/>
        <w:ind w:firstLine="437"/>
        <w:rPr>
          <w:rFonts w:hint="eastAsia" w:ascii="宋体" w:hAnsi="宋体"/>
          <w:color w:val="auto"/>
          <w:highlight w:val="none"/>
        </w:rPr>
      </w:pPr>
      <w:r>
        <w:rPr>
          <w:rFonts w:hint="eastAsia" w:ascii="宋体" w:hAnsi="宋体"/>
          <w:color w:val="auto"/>
          <w:highlight w:val="none"/>
        </w:rPr>
        <w:t>公路工程专用合同条款第18.3.2 项细化为：</w:t>
      </w:r>
    </w:p>
    <w:p>
      <w:pPr>
        <w:spacing w:line="360" w:lineRule="exact"/>
        <w:ind w:firstLine="437"/>
        <w:rPr>
          <w:rFonts w:hint="eastAsia" w:ascii="宋体" w:hAnsi="宋体"/>
          <w:color w:val="auto"/>
          <w:highlight w:val="none"/>
        </w:rPr>
      </w:pPr>
      <w:r>
        <w:rPr>
          <w:rFonts w:hint="eastAsia" w:ascii="宋体" w:hAnsi="宋体"/>
          <w:color w:val="auto"/>
          <w:highlight w:val="none"/>
        </w:rPr>
        <w:t>18.3.2 交工验收按按交通运输部2004 年第3 号令《公路工程竣(交)工验收办法》、交通运输部交公路发（2010）65 号《公路工程竣(交)工验收办法实施细则》和浙江省交通运输厅浙交〔2019〕184 号《浙江省公路工程竣（交）工验收办法》及发包人的相关规定执行。承包人应按发包人的要求提交资料，完成交工验收准备工作。</w:t>
      </w:r>
    </w:p>
    <w:p>
      <w:pPr>
        <w:tabs>
          <w:tab w:val="left" w:pos="2790"/>
        </w:tabs>
        <w:snapToGrid w:val="0"/>
        <w:spacing w:line="400" w:lineRule="exact"/>
        <w:outlineLvl w:val="3"/>
        <w:rPr>
          <w:rFonts w:hint="eastAsia" w:ascii="黑体" w:eastAsia="黑体"/>
          <w:color w:val="auto"/>
          <w:szCs w:val="21"/>
          <w:highlight w:val="none"/>
        </w:rPr>
      </w:pPr>
      <w:bookmarkStart w:id="1422" w:name="_Toc466366098"/>
      <w:r>
        <w:rPr>
          <w:rFonts w:hint="eastAsia" w:ascii="黑体" w:eastAsia="黑体"/>
          <w:color w:val="auto"/>
          <w:szCs w:val="21"/>
          <w:highlight w:val="none"/>
        </w:rPr>
        <w:t>18.9 竣工文件</w:t>
      </w:r>
      <w:bookmarkEnd w:id="1415"/>
      <w:bookmarkEnd w:id="1416"/>
      <w:bookmarkEnd w:id="1417"/>
      <w:bookmarkEnd w:id="1418"/>
      <w:bookmarkEnd w:id="1419"/>
      <w:bookmarkEnd w:id="1420"/>
      <w:bookmarkEnd w:id="1421"/>
      <w:bookmarkEnd w:id="1422"/>
    </w:p>
    <w:p>
      <w:pPr>
        <w:spacing w:line="360" w:lineRule="exact"/>
        <w:ind w:firstLine="437"/>
        <w:rPr>
          <w:rFonts w:hint="eastAsia" w:ascii="宋体" w:hAnsi="宋体"/>
          <w:b/>
          <w:color w:val="auto"/>
          <w:highlight w:val="none"/>
        </w:rPr>
      </w:pPr>
      <w:r>
        <w:rPr>
          <w:rFonts w:hint="eastAsia" w:ascii="宋体" w:hAnsi="宋体"/>
          <w:b/>
          <w:color w:val="auto"/>
          <w:highlight w:val="none"/>
        </w:rPr>
        <w:t>公路工程专用合同条款18.9款细化为：</w:t>
      </w:r>
    </w:p>
    <w:p>
      <w:pPr>
        <w:spacing w:line="360" w:lineRule="exact"/>
        <w:ind w:firstLine="437"/>
        <w:rPr>
          <w:rFonts w:hint="eastAsia" w:ascii="宋体" w:hAnsi="宋体"/>
          <w:color w:val="auto"/>
          <w:highlight w:val="none"/>
        </w:rPr>
      </w:pPr>
      <w:r>
        <w:rPr>
          <w:rFonts w:hint="eastAsia" w:ascii="宋体" w:hAnsi="宋体"/>
          <w:color w:val="auto"/>
          <w:highlight w:val="none"/>
        </w:rPr>
        <w:t>竣工文件应按交通运输部2004年第3号令《公路工程竣（交）工验收办法》、交公路发（2010）65号《公路工程竣（交）工验收办法实施细则》和浙江省交通运输厅《浙江省公路工程竣工文件编制办法》、浙江省交通运输厅《浙江省公路工程竣（交）工验收办法》（浙交［2019］184号）等编制。在缺陷责任期内应为竣工验收补充竣工资料，并在竣工验收45天之前提交。承包人还应按交通运输部交财发[2000]207号《交通基本建设项目竣工决算报告编制办法》的规定和要求编制（由承包人实施的部分）竣工决算一式六套，提交监理人审核，同时应提交全套竣工资料的电子文档刻录光盘或其他电子存储介质，费用由承包人承担。</w:t>
      </w:r>
    </w:p>
    <w:p>
      <w:pPr>
        <w:spacing w:line="360" w:lineRule="exact"/>
        <w:ind w:firstLine="437"/>
        <w:rPr>
          <w:rFonts w:hint="eastAsia" w:ascii="宋体" w:hAnsi="宋体"/>
          <w:color w:val="auto"/>
          <w:highlight w:val="none"/>
        </w:rPr>
      </w:pPr>
      <w:r>
        <w:rPr>
          <w:rFonts w:hint="eastAsia" w:ascii="宋体" w:hAnsi="宋体"/>
          <w:color w:val="auto"/>
          <w:highlight w:val="none"/>
        </w:rPr>
        <w:t>竣工文件中涉及施工及监理文件的有关表式，应按《浙江省公路建设项目施工统一用表管理系统（2019年修订版）》（光盘）和浙江省交通运输厅工程质量监督局检测中心规定的统一试验用表（光盘）选用。光盘由承包人自备。</w:t>
      </w:r>
    </w:p>
    <w:p>
      <w:pPr>
        <w:tabs>
          <w:tab w:val="left" w:pos="2790"/>
        </w:tabs>
        <w:snapToGrid w:val="0"/>
        <w:spacing w:line="400" w:lineRule="exact"/>
        <w:outlineLvl w:val="2"/>
        <w:rPr>
          <w:rFonts w:hint="eastAsia" w:ascii="黑体" w:eastAsia="黑体"/>
          <w:color w:val="auto"/>
          <w:sz w:val="24"/>
          <w:szCs w:val="30"/>
          <w:highlight w:val="none"/>
        </w:rPr>
      </w:pPr>
      <w:bookmarkStart w:id="1423" w:name="_Toc466366099"/>
      <w:bookmarkStart w:id="1424" w:name="_Toc361141042"/>
      <w:bookmarkStart w:id="1425" w:name="_Toc292754790"/>
      <w:bookmarkStart w:id="1426" w:name="_Toc262896002"/>
      <w:bookmarkStart w:id="1427" w:name="_Toc284866602"/>
      <w:bookmarkStart w:id="1428" w:name="_Toc399396877"/>
      <w:bookmarkStart w:id="1429" w:name="_Toc245538888"/>
      <w:bookmarkStart w:id="1430" w:name="_Toc266444357"/>
      <w:r>
        <w:rPr>
          <w:rFonts w:hint="eastAsia" w:ascii="黑体" w:eastAsia="黑体"/>
          <w:color w:val="auto"/>
          <w:sz w:val="24"/>
          <w:szCs w:val="30"/>
          <w:highlight w:val="none"/>
        </w:rPr>
        <w:t>19. 缺陷责任与保修责任</w:t>
      </w:r>
      <w:bookmarkEnd w:id="1423"/>
      <w:bookmarkEnd w:id="1424"/>
      <w:bookmarkEnd w:id="1425"/>
      <w:bookmarkEnd w:id="1426"/>
      <w:bookmarkEnd w:id="1427"/>
      <w:bookmarkEnd w:id="1428"/>
      <w:bookmarkEnd w:id="1429"/>
      <w:bookmarkEnd w:id="1430"/>
    </w:p>
    <w:p>
      <w:pPr>
        <w:tabs>
          <w:tab w:val="left" w:pos="2790"/>
        </w:tabs>
        <w:snapToGrid w:val="0"/>
        <w:spacing w:line="400" w:lineRule="exact"/>
        <w:outlineLvl w:val="3"/>
        <w:rPr>
          <w:rFonts w:ascii="黑体" w:eastAsia="黑体"/>
          <w:color w:val="auto"/>
          <w:szCs w:val="21"/>
          <w:highlight w:val="none"/>
        </w:rPr>
      </w:pPr>
      <w:bookmarkStart w:id="1431" w:name="_Toc399396878"/>
      <w:bookmarkStart w:id="1432" w:name="_Toc245538889"/>
      <w:bookmarkStart w:id="1433" w:name="_Toc361141043"/>
      <w:bookmarkStart w:id="1434" w:name="_Toc266444358"/>
      <w:bookmarkStart w:id="1435" w:name="_Toc284866603"/>
      <w:bookmarkStart w:id="1436" w:name="_Toc466366100"/>
      <w:bookmarkStart w:id="1437" w:name="_Toc262896003"/>
      <w:bookmarkStart w:id="1438" w:name="_Toc292754791"/>
      <w:r>
        <w:rPr>
          <w:rFonts w:hint="eastAsia" w:ascii="黑体" w:eastAsia="黑体"/>
          <w:color w:val="auto"/>
          <w:szCs w:val="21"/>
          <w:highlight w:val="none"/>
        </w:rPr>
        <w:t>19.2 缺陷责任</w:t>
      </w:r>
      <w:bookmarkEnd w:id="1431"/>
      <w:bookmarkEnd w:id="1432"/>
      <w:bookmarkEnd w:id="1433"/>
      <w:bookmarkEnd w:id="1434"/>
      <w:bookmarkEnd w:id="1435"/>
      <w:bookmarkEnd w:id="1436"/>
      <w:bookmarkEnd w:id="1437"/>
      <w:bookmarkEnd w:id="1438"/>
    </w:p>
    <w:p>
      <w:pPr>
        <w:spacing w:line="360" w:lineRule="exact"/>
        <w:ind w:firstLine="420"/>
        <w:rPr>
          <w:rFonts w:hint="eastAsia" w:ascii="宋体" w:hAnsi="宋体"/>
          <w:b/>
          <w:color w:val="auto"/>
          <w:sz w:val="24"/>
          <w:highlight w:val="none"/>
        </w:rPr>
      </w:pPr>
      <w:bookmarkStart w:id="1439" w:name="_Toc245040295"/>
      <w:bookmarkStart w:id="1440" w:name="_Toc245538890"/>
      <w:r>
        <w:rPr>
          <w:rFonts w:hint="eastAsia" w:ascii="宋体" w:hAnsi="宋体"/>
          <w:b/>
          <w:color w:val="auto"/>
          <w:highlight w:val="none"/>
        </w:rPr>
        <w:t>通用合同条款及公路工程专用合同条款19.2.2项细化为：</w:t>
      </w:r>
    </w:p>
    <w:bookmarkEnd w:id="1439"/>
    <w:bookmarkEnd w:id="1440"/>
    <w:p>
      <w:pPr>
        <w:spacing w:line="360" w:lineRule="exact"/>
        <w:ind w:firstLine="420"/>
        <w:rPr>
          <w:rFonts w:hint="eastAsia" w:ascii="宋体" w:hAnsi="宋体"/>
          <w:color w:val="auto"/>
          <w:highlight w:val="none"/>
        </w:rPr>
      </w:pPr>
      <w:r>
        <w:rPr>
          <w:rFonts w:hint="eastAsia" w:ascii="宋体" w:hAnsi="宋体"/>
          <w:color w:val="auto"/>
          <w:highlight w:val="none"/>
        </w:rPr>
        <w:t>19.2.2缺陷责任期内，发包人对已接收使用的工程负责日常维护工作。发包人在使用过程中，发现已接收的工程由于承包人的原因所造成新的缺陷或已修复的缺陷部位或部件又遭损坏的，承包人应负责修复，直至检验合格为止。</w:t>
      </w:r>
    </w:p>
    <w:p>
      <w:pPr>
        <w:spacing w:line="360" w:lineRule="exact"/>
        <w:ind w:firstLine="420"/>
        <w:rPr>
          <w:rFonts w:hint="eastAsia" w:ascii="宋体" w:hAnsi="宋体"/>
          <w:color w:val="auto"/>
          <w:highlight w:val="none"/>
        </w:rPr>
      </w:pPr>
      <w:r>
        <w:rPr>
          <w:rFonts w:hint="eastAsia" w:ascii="宋体" w:hAnsi="宋体"/>
          <w:color w:val="auto"/>
          <w:highlight w:val="none"/>
        </w:rPr>
        <w:t>在缺陷责任期内，承包人应尽快完成在交工验收证书中写明的未完成工作，并完成对本工程缺陷的修复或监理人指令的修补工作。</w:t>
      </w:r>
    </w:p>
    <w:p>
      <w:pPr>
        <w:spacing w:line="360" w:lineRule="exact"/>
        <w:ind w:firstLine="420"/>
        <w:rPr>
          <w:rFonts w:hint="eastAsia" w:ascii="宋体" w:hAnsi="宋体"/>
          <w:color w:val="auto"/>
          <w:highlight w:val="none"/>
        </w:rPr>
      </w:pPr>
      <w:r>
        <w:rPr>
          <w:rFonts w:hint="eastAsia" w:ascii="宋体" w:hAnsi="宋体"/>
          <w:color w:val="auto"/>
          <w:highlight w:val="none"/>
        </w:rPr>
        <w:t>承包人因修复缺陷病害或不合格工程而发生的时间，发包人会同监理人延长相应缺陷责任期，直至完全修复合格为止。若承包人未能按规定要求及时修复工程的缺陷、病害或不合格之处，则发包人会同监理人，指令承包人延长缺陷责任，如果只是工程的一部分则延长责任期只适用那一部分，直至修复合格为止。</w:t>
      </w:r>
    </w:p>
    <w:p>
      <w:pPr>
        <w:tabs>
          <w:tab w:val="left" w:pos="2790"/>
        </w:tabs>
        <w:snapToGrid w:val="0"/>
        <w:spacing w:line="400" w:lineRule="exact"/>
        <w:outlineLvl w:val="2"/>
        <w:rPr>
          <w:rFonts w:hint="eastAsia" w:ascii="黑体" w:eastAsia="黑体"/>
          <w:color w:val="auto"/>
          <w:sz w:val="24"/>
          <w:szCs w:val="30"/>
          <w:highlight w:val="none"/>
        </w:rPr>
      </w:pPr>
      <w:bookmarkStart w:id="1441" w:name="_Toc271183368"/>
      <w:bookmarkStart w:id="1442" w:name="_Toc466366101"/>
      <w:bookmarkStart w:id="1443" w:name="_Toc361141044"/>
      <w:bookmarkStart w:id="1444" w:name="_Toc399396879"/>
      <w:bookmarkStart w:id="1445" w:name="_Toc292754792"/>
      <w:r>
        <w:rPr>
          <w:rFonts w:hint="eastAsia" w:ascii="黑体" w:eastAsia="黑体"/>
          <w:color w:val="auto"/>
          <w:sz w:val="24"/>
          <w:szCs w:val="30"/>
          <w:highlight w:val="none"/>
        </w:rPr>
        <w:t>20. 保险</w:t>
      </w:r>
      <w:bookmarkEnd w:id="1441"/>
      <w:bookmarkEnd w:id="1442"/>
      <w:bookmarkEnd w:id="1443"/>
      <w:bookmarkEnd w:id="1444"/>
      <w:bookmarkEnd w:id="1445"/>
    </w:p>
    <w:p>
      <w:pPr>
        <w:tabs>
          <w:tab w:val="left" w:pos="2790"/>
        </w:tabs>
        <w:snapToGrid w:val="0"/>
        <w:spacing w:line="400" w:lineRule="exact"/>
        <w:outlineLvl w:val="3"/>
        <w:rPr>
          <w:rFonts w:hint="eastAsia" w:ascii="黑体" w:eastAsia="黑体"/>
          <w:color w:val="auto"/>
          <w:szCs w:val="21"/>
          <w:highlight w:val="none"/>
        </w:rPr>
      </w:pPr>
      <w:bookmarkStart w:id="1446" w:name="_Toc292754793"/>
      <w:bookmarkStart w:id="1447" w:name="_Toc466366102"/>
      <w:bookmarkStart w:id="1448" w:name="_Toc399396880"/>
      <w:bookmarkStart w:id="1449" w:name="_Toc271183369"/>
      <w:bookmarkStart w:id="1450" w:name="_Toc361141045"/>
      <w:r>
        <w:rPr>
          <w:rFonts w:hint="eastAsia" w:ascii="黑体" w:eastAsia="黑体"/>
          <w:color w:val="auto"/>
          <w:szCs w:val="21"/>
          <w:highlight w:val="none"/>
        </w:rPr>
        <w:t>20.1 工程保险</w:t>
      </w:r>
      <w:bookmarkEnd w:id="1446"/>
      <w:bookmarkEnd w:id="1447"/>
      <w:bookmarkEnd w:id="1448"/>
      <w:bookmarkEnd w:id="1449"/>
      <w:bookmarkEnd w:id="1450"/>
    </w:p>
    <w:p>
      <w:pPr>
        <w:spacing w:line="360" w:lineRule="exact"/>
        <w:ind w:firstLine="413" w:firstLineChars="196"/>
        <w:rPr>
          <w:rFonts w:hint="eastAsia" w:ascii="宋体" w:hAnsi="宋体"/>
          <w:color w:val="auto"/>
          <w:sz w:val="24"/>
          <w:highlight w:val="none"/>
        </w:rPr>
      </w:pPr>
      <w:r>
        <w:rPr>
          <w:rFonts w:hint="eastAsia" w:ascii="宋体" w:hAnsi="宋体"/>
          <w:b/>
          <w:color w:val="auto"/>
          <w:highlight w:val="none"/>
        </w:rPr>
        <w:t>公路工程专用合同条款20.1款约定为：</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建筑工程一切险的投保内容：为本合同工程的永久工程、临时工程和设备及已运至施工工地用于永久工程的材料和设备所投的保险。</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保险金额：工程量清单第100章（不含工程一切险及第三方责任险的保险费及安全生产费用）至</w:t>
      </w:r>
      <w:r>
        <w:rPr>
          <w:rFonts w:hint="eastAsia" w:ascii="宋体" w:hAnsi="宋体"/>
          <w:color w:val="auto"/>
          <w:szCs w:val="21"/>
          <w:highlight w:val="none"/>
          <w:lang w:val="en-US" w:eastAsia="zh-CN"/>
        </w:rPr>
        <w:t>800</w:t>
      </w:r>
      <w:r>
        <w:rPr>
          <w:rFonts w:hint="eastAsia" w:ascii="宋体" w:hAnsi="宋体"/>
          <w:color w:val="auto"/>
          <w:szCs w:val="21"/>
          <w:highlight w:val="none"/>
        </w:rPr>
        <w:t>章的合计金额。</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保险费率：在项目专用合同条款数据表中约定。</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保险期限：开工日起直至本合同工程签发缺陷责任期终止证书止（即合同工期＋缺陷责任期）。</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承包人应以发包人和承包人的共同名义投保建筑工程一切险。建筑工程一切险的保险费由承包人报价时列入工程量清单100章内。发包人在接到保险单后，将保险单费用直接向承包人支付。</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若合同工期延长，承包人应以发包人和承包人的共同名义续保建筑工程一切险。发包人在接到保险单后，按照保险单的费用直接向承包人支付。</w:t>
      </w:r>
    </w:p>
    <w:p>
      <w:pPr>
        <w:tabs>
          <w:tab w:val="left" w:pos="2790"/>
        </w:tabs>
        <w:snapToGrid w:val="0"/>
        <w:spacing w:line="400" w:lineRule="exact"/>
        <w:outlineLvl w:val="3"/>
        <w:rPr>
          <w:rFonts w:ascii="黑体" w:eastAsia="黑体"/>
          <w:color w:val="auto"/>
          <w:szCs w:val="21"/>
          <w:highlight w:val="none"/>
        </w:rPr>
      </w:pPr>
      <w:bookmarkStart w:id="1451" w:name="_Toc466366103"/>
      <w:bookmarkStart w:id="1452" w:name="_Toc406351405"/>
      <w:r>
        <w:rPr>
          <w:rFonts w:hint="eastAsia" w:ascii="黑体" w:eastAsia="黑体"/>
          <w:color w:val="auto"/>
          <w:szCs w:val="21"/>
          <w:highlight w:val="none"/>
        </w:rPr>
        <w:t>20.6  对各项保险的一般要求</w:t>
      </w:r>
      <w:bookmarkEnd w:id="1451"/>
      <w:bookmarkEnd w:id="1452"/>
    </w:p>
    <w:p>
      <w:pPr>
        <w:spacing w:line="360" w:lineRule="exact"/>
        <w:ind w:firstLine="420"/>
        <w:rPr>
          <w:rFonts w:hint="eastAsia" w:ascii="宋体" w:hAnsi="宋体"/>
          <w:color w:val="auto"/>
          <w:highlight w:val="none"/>
        </w:rPr>
      </w:pPr>
      <w:r>
        <w:rPr>
          <w:rFonts w:hint="eastAsia" w:ascii="宋体" w:hAnsi="宋体"/>
          <w:color w:val="auto"/>
          <w:highlight w:val="none"/>
        </w:rPr>
        <w:t>20.6.4  保险金不足的补偿</w:t>
      </w:r>
    </w:p>
    <w:p>
      <w:pPr>
        <w:spacing w:line="360" w:lineRule="exact"/>
        <w:ind w:firstLine="420"/>
        <w:rPr>
          <w:rFonts w:hint="eastAsia" w:ascii="宋体" w:hAnsi="宋体"/>
          <w:b/>
          <w:color w:val="auto"/>
          <w:highlight w:val="none"/>
        </w:rPr>
      </w:pPr>
      <w:r>
        <w:rPr>
          <w:rFonts w:hint="eastAsia" w:ascii="宋体" w:hAnsi="宋体"/>
          <w:b/>
          <w:color w:val="auto"/>
          <w:highlight w:val="none"/>
        </w:rPr>
        <w:t>公路工程专用合同条款20.6.4款细化为：</w:t>
      </w:r>
    </w:p>
    <w:p>
      <w:pPr>
        <w:spacing w:line="360" w:lineRule="exact"/>
        <w:ind w:firstLine="420"/>
        <w:rPr>
          <w:rFonts w:hint="eastAsia" w:ascii="宋体" w:hAnsi="宋体"/>
          <w:color w:val="auto"/>
          <w:highlight w:val="none"/>
        </w:rPr>
      </w:pPr>
      <w:r>
        <w:rPr>
          <w:rFonts w:hint="eastAsia" w:ascii="宋体" w:hAnsi="宋体"/>
          <w:color w:val="auto"/>
          <w:highlight w:val="none"/>
        </w:rPr>
        <w:t>保险金的赔偿金额以有资质的公估单位确定的金额为准，免赔额和超过赔偿限额的部分由承包人承担。</w:t>
      </w:r>
    </w:p>
    <w:p>
      <w:pPr>
        <w:tabs>
          <w:tab w:val="left" w:pos="2790"/>
        </w:tabs>
        <w:snapToGrid w:val="0"/>
        <w:spacing w:line="400" w:lineRule="exact"/>
        <w:outlineLvl w:val="2"/>
        <w:rPr>
          <w:rFonts w:hint="eastAsia" w:ascii="黑体" w:eastAsia="黑体"/>
          <w:color w:val="auto"/>
          <w:sz w:val="24"/>
          <w:szCs w:val="30"/>
          <w:highlight w:val="none"/>
        </w:rPr>
      </w:pPr>
      <w:bookmarkStart w:id="1453" w:name="_Toc361141046"/>
      <w:bookmarkStart w:id="1454" w:name="_Toc399396881"/>
      <w:bookmarkStart w:id="1455" w:name="_Toc262646438"/>
      <w:bookmarkStart w:id="1456" w:name="_Toc292754794"/>
      <w:bookmarkStart w:id="1457" w:name="_Toc1362"/>
      <w:bookmarkStart w:id="1458" w:name="_Toc30849"/>
      <w:bookmarkStart w:id="1459" w:name="_Toc29173"/>
      <w:bookmarkStart w:id="1460" w:name="_Toc466366104"/>
      <w:r>
        <w:rPr>
          <w:rFonts w:hint="eastAsia" w:ascii="黑体" w:eastAsia="黑体"/>
          <w:color w:val="auto"/>
          <w:sz w:val="24"/>
          <w:szCs w:val="30"/>
          <w:highlight w:val="none"/>
        </w:rPr>
        <w:t>21. 不可抗力</w:t>
      </w:r>
      <w:bookmarkEnd w:id="1453"/>
      <w:bookmarkEnd w:id="1454"/>
      <w:bookmarkEnd w:id="1455"/>
      <w:bookmarkEnd w:id="1456"/>
      <w:bookmarkEnd w:id="1457"/>
      <w:bookmarkEnd w:id="1458"/>
      <w:bookmarkEnd w:id="1459"/>
      <w:bookmarkEnd w:id="1460"/>
    </w:p>
    <w:p>
      <w:pPr>
        <w:tabs>
          <w:tab w:val="left" w:pos="2790"/>
        </w:tabs>
        <w:snapToGrid w:val="0"/>
        <w:spacing w:line="400" w:lineRule="exact"/>
        <w:outlineLvl w:val="3"/>
        <w:rPr>
          <w:rFonts w:hint="eastAsia" w:ascii="黑体" w:eastAsia="黑体"/>
          <w:color w:val="auto"/>
          <w:szCs w:val="21"/>
          <w:highlight w:val="none"/>
        </w:rPr>
      </w:pPr>
      <w:bookmarkStart w:id="1461" w:name="_Toc466366105"/>
      <w:bookmarkStart w:id="1462" w:name="_Toc14261"/>
      <w:bookmarkStart w:id="1463" w:name="_Toc23214"/>
      <w:bookmarkStart w:id="1464" w:name="_Toc262646439"/>
      <w:bookmarkStart w:id="1465" w:name="_Toc399396882"/>
      <w:bookmarkStart w:id="1466" w:name="_Toc361141047"/>
      <w:bookmarkStart w:id="1467" w:name="_Toc292754795"/>
      <w:bookmarkStart w:id="1468" w:name="_Toc18719"/>
      <w:r>
        <w:rPr>
          <w:rFonts w:hint="eastAsia" w:ascii="黑体" w:eastAsia="黑体"/>
          <w:color w:val="auto"/>
          <w:szCs w:val="21"/>
          <w:highlight w:val="none"/>
        </w:rPr>
        <w:t>21.1 不可抗力的确认</w:t>
      </w:r>
      <w:bookmarkEnd w:id="1461"/>
      <w:bookmarkEnd w:id="1462"/>
      <w:bookmarkEnd w:id="1463"/>
      <w:bookmarkEnd w:id="1464"/>
      <w:bookmarkEnd w:id="1465"/>
      <w:bookmarkEnd w:id="1466"/>
      <w:bookmarkEnd w:id="1467"/>
      <w:bookmarkEnd w:id="1468"/>
    </w:p>
    <w:p>
      <w:pPr>
        <w:spacing w:line="320" w:lineRule="exact"/>
        <w:rPr>
          <w:rFonts w:hint="eastAsia" w:ascii="宋体" w:hAnsi="宋体"/>
          <w:b/>
          <w:color w:val="auto"/>
          <w:highlight w:val="none"/>
        </w:rPr>
      </w:pPr>
      <w:r>
        <w:rPr>
          <w:rFonts w:hint="eastAsia" w:ascii="宋体" w:hAnsi="宋体"/>
          <w:b/>
          <w:color w:val="auto"/>
          <w:highlight w:val="none"/>
        </w:rPr>
        <w:t xml:space="preserve">  公路工程专用合同条款21.1.1（6）目约定为：</w:t>
      </w:r>
    </w:p>
    <w:p>
      <w:pPr>
        <w:spacing w:line="320" w:lineRule="exact"/>
        <w:ind w:firstLine="315" w:firstLineChars="150"/>
        <w:rPr>
          <w:rFonts w:hint="eastAsia" w:ascii="宋体" w:hAnsi="宋体"/>
          <w:color w:val="auto"/>
          <w:highlight w:val="none"/>
          <w:u w:val="single"/>
        </w:rPr>
      </w:pPr>
      <w:r>
        <w:rPr>
          <w:rFonts w:hint="eastAsia" w:ascii="宋体" w:hAnsi="宋体"/>
          <w:color w:val="auto"/>
          <w:highlight w:val="none"/>
        </w:rPr>
        <w:t>（6）不可抗力的其他情形：</w:t>
      </w:r>
      <w:r>
        <w:rPr>
          <w:rFonts w:hint="eastAsia" w:ascii="宋体" w:hAnsi="宋体"/>
          <w:color w:val="auto"/>
          <w:highlight w:val="none"/>
          <w:u w:val="single"/>
        </w:rPr>
        <w:t xml:space="preserve">  ／  </w:t>
      </w:r>
    </w:p>
    <w:p>
      <w:pPr>
        <w:tabs>
          <w:tab w:val="left" w:pos="2790"/>
        </w:tabs>
        <w:snapToGrid w:val="0"/>
        <w:spacing w:line="400" w:lineRule="exact"/>
        <w:outlineLvl w:val="2"/>
        <w:rPr>
          <w:rFonts w:ascii="黑体" w:eastAsia="黑体"/>
          <w:color w:val="auto"/>
          <w:sz w:val="24"/>
          <w:szCs w:val="30"/>
          <w:highlight w:val="none"/>
        </w:rPr>
      </w:pPr>
      <w:bookmarkStart w:id="1469" w:name="_Toc361141048"/>
      <w:bookmarkStart w:id="1470" w:name="_Toc245538894"/>
      <w:bookmarkStart w:id="1471" w:name="_Toc292754796"/>
      <w:bookmarkStart w:id="1472" w:name="_Toc262896006"/>
      <w:bookmarkStart w:id="1473" w:name="_Toc399396883"/>
      <w:bookmarkStart w:id="1474" w:name="_Toc466366106"/>
      <w:bookmarkStart w:id="1475" w:name="_Toc266444361"/>
      <w:bookmarkStart w:id="1476" w:name="_Toc271183372"/>
      <w:r>
        <w:rPr>
          <w:rFonts w:hint="eastAsia" w:ascii="黑体" w:eastAsia="黑体"/>
          <w:color w:val="auto"/>
          <w:sz w:val="24"/>
          <w:szCs w:val="30"/>
          <w:highlight w:val="none"/>
        </w:rPr>
        <w:t>22. 违约</w:t>
      </w:r>
      <w:bookmarkEnd w:id="1469"/>
      <w:bookmarkEnd w:id="1470"/>
      <w:bookmarkEnd w:id="1471"/>
      <w:bookmarkEnd w:id="1472"/>
      <w:bookmarkEnd w:id="1473"/>
      <w:bookmarkEnd w:id="1474"/>
      <w:bookmarkEnd w:id="1475"/>
      <w:bookmarkEnd w:id="1476"/>
    </w:p>
    <w:p>
      <w:pPr>
        <w:tabs>
          <w:tab w:val="left" w:pos="2790"/>
        </w:tabs>
        <w:snapToGrid w:val="0"/>
        <w:spacing w:line="400" w:lineRule="exact"/>
        <w:outlineLvl w:val="3"/>
        <w:rPr>
          <w:rFonts w:ascii="黑体" w:eastAsia="黑体"/>
          <w:color w:val="auto"/>
          <w:szCs w:val="21"/>
          <w:highlight w:val="none"/>
        </w:rPr>
      </w:pPr>
      <w:bookmarkStart w:id="1477" w:name="_Toc361141049"/>
      <w:bookmarkStart w:id="1478" w:name="_Toc399396884"/>
      <w:bookmarkStart w:id="1479" w:name="_Toc466366107"/>
      <w:bookmarkStart w:id="1480" w:name="_Toc292754797"/>
      <w:bookmarkStart w:id="1481" w:name="_Toc266444362"/>
      <w:bookmarkStart w:id="1482" w:name="_Toc245538895"/>
      <w:bookmarkStart w:id="1483" w:name="_Toc262896007"/>
      <w:bookmarkStart w:id="1484" w:name="_Toc271183373"/>
      <w:r>
        <w:rPr>
          <w:rFonts w:hint="eastAsia" w:ascii="黑体" w:eastAsia="黑体"/>
          <w:color w:val="auto"/>
          <w:szCs w:val="21"/>
          <w:highlight w:val="none"/>
        </w:rPr>
        <w:t>22.1承包人违约</w:t>
      </w:r>
      <w:bookmarkEnd w:id="1477"/>
      <w:bookmarkEnd w:id="1478"/>
      <w:bookmarkEnd w:id="1479"/>
      <w:bookmarkEnd w:id="1480"/>
      <w:bookmarkEnd w:id="1481"/>
      <w:bookmarkEnd w:id="1482"/>
      <w:bookmarkEnd w:id="1483"/>
      <w:bookmarkEnd w:id="1484"/>
    </w:p>
    <w:p>
      <w:pPr>
        <w:spacing w:line="340" w:lineRule="exact"/>
        <w:rPr>
          <w:rFonts w:ascii="宋体" w:hAnsi="宋体"/>
          <w:color w:val="auto"/>
          <w:sz w:val="24"/>
          <w:highlight w:val="none"/>
        </w:rPr>
      </w:pPr>
      <w:r>
        <w:rPr>
          <w:rFonts w:hint="eastAsia" w:ascii="宋体" w:hAnsi="宋体"/>
          <w:color w:val="auto"/>
          <w:highlight w:val="none"/>
        </w:rPr>
        <w:t xml:space="preserve">    22.1.1  承包人违约的情形</w:t>
      </w:r>
    </w:p>
    <w:p>
      <w:pPr>
        <w:spacing w:line="340" w:lineRule="exact"/>
        <w:ind w:firstLine="310" w:firstLineChars="147"/>
        <w:rPr>
          <w:rFonts w:hint="eastAsia" w:ascii="宋体" w:hAnsi="宋体"/>
          <w:b/>
          <w:color w:val="auto"/>
          <w:highlight w:val="none"/>
        </w:rPr>
      </w:pPr>
      <w:r>
        <w:rPr>
          <w:rFonts w:hint="eastAsia" w:ascii="宋体" w:hAnsi="宋体"/>
          <w:b/>
          <w:color w:val="auto"/>
          <w:highlight w:val="none"/>
        </w:rPr>
        <w:t>通用合同条款及公路工程专用合同条款22.1.1项细化为：</w:t>
      </w:r>
    </w:p>
    <w:p>
      <w:pPr>
        <w:spacing w:line="340" w:lineRule="exact"/>
        <w:ind w:firstLine="420" w:firstLineChars="200"/>
        <w:rPr>
          <w:rFonts w:ascii="宋体" w:hAnsi="宋体"/>
          <w:color w:val="auto"/>
          <w:highlight w:val="none"/>
        </w:rPr>
      </w:pPr>
      <w:r>
        <w:rPr>
          <w:rFonts w:hint="eastAsia" w:ascii="宋体" w:hAnsi="宋体"/>
          <w:color w:val="auto"/>
          <w:highlight w:val="none"/>
        </w:rPr>
        <w:t>在履行合同过程中发生的下列情形，属承包人违约：</w:t>
      </w:r>
    </w:p>
    <w:p>
      <w:pPr>
        <w:spacing w:line="340" w:lineRule="exact"/>
        <w:ind w:firstLine="420" w:firstLineChars="200"/>
        <w:rPr>
          <w:rFonts w:ascii="宋体" w:hAnsi="宋体"/>
          <w:color w:val="auto"/>
          <w:highlight w:val="none"/>
        </w:rPr>
      </w:pPr>
      <w:r>
        <w:rPr>
          <w:rFonts w:hint="eastAsia" w:ascii="宋体" w:hAnsi="宋体"/>
          <w:color w:val="auto"/>
          <w:highlight w:val="none"/>
        </w:rPr>
        <w:t>（1）承包人违反第1.8款或第4.3款的约定，私自将合同的全部或部分权利转让给其他人，或私自将合同的全部或部分义务转移给其他人；</w:t>
      </w:r>
    </w:p>
    <w:p>
      <w:pPr>
        <w:spacing w:line="340" w:lineRule="exact"/>
        <w:ind w:firstLine="420" w:firstLineChars="200"/>
        <w:rPr>
          <w:rFonts w:ascii="宋体" w:hAnsi="宋体"/>
          <w:color w:val="auto"/>
          <w:highlight w:val="none"/>
        </w:rPr>
      </w:pPr>
      <w:r>
        <w:rPr>
          <w:rFonts w:hint="eastAsia" w:ascii="宋体" w:hAnsi="宋体"/>
          <w:color w:val="auto"/>
          <w:highlight w:val="none"/>
        </w:rPr>
        <w:t>（2）承包人违反第5.3款或第6.4款的约定，未经监理人批准，私自将已按合同约定进入施工场地的施工设备、临时设施、材料或工程设备撤离施工场地；</w:t>
      </w:r>
    </w:p>
    <w:p>
      <w:pPr>
        <w:spacing w:line="340" w:lineRule="exact"/>
        <w:ind w:firstLine="420" w:firstLineChars="200"/>
        <w:rPr>
          <w:rFonts w:ascii="宋体" w:hAnsi="宋体"/>
          <w:color w:val="auto"/>
          <w:highlight w:val="none"/>
        </w:rPr>
      </w:pPr>
      <w:r>
        <w:rPr>
          <w:rFonts w:hint="eastAsia" w:ascii="宋体" w:hAnsi="宋体"/>
          <w:color w:val="auto"/>
          <w:highlight w:val="none"/>
        </w:rPr>
        <w:t>（3）承包人违反第5.4款的约定使用了不合格材料或工程设备，工程质量达不到标准要求，又拒绝清除不合格工程；</w:t>
      </w:r>
    </w:p>
    <w:p>
      <w:pPr>
        <w:spacing w:line="340" w:lineRule="exact"/>
        <w:ind w:firstLine="420" w:firstLineChars="200"/>
        <w:rPr>
          <w:rFonts w:ascii="宋体" w:hAnsi="宋体"/>
          <w:color w:val="auto"/>
          <w:highlight w:val="none"/>
        </w:rPr>
      </w:pPr>
      <w:r>
        <w:rPr>
          <w:rFonts w:hint="eastAsia" w:ascii="宋体" w:hAnsi="宋体"/>
          <w:color w:val="auto"/>
          <w:highlight w:val="none"/>
        </w:rPr>
        <w:t>（4）承包人未能按合同进度计划及时完成合同约定的工作，已造成或预期造成工期延误；</w:t>
      </w:r>
    </w:p>
    <w:p>
      <w:pPr>
        <w:spacing w:line="340" w:lineRule="exact"/>
        <w:ind w:firstLine="420" w:firstLineChars="200"/>
        <w:rPr>
          <w:rFonts w:ascii="宋体" w:hAnsi="宋体"/>
          <w:color w:val="auto"/>
          <w:highlight w:val="none"/>
        </w:rPr>
      </w:pPr>
      <w:r>
        <w:rPr>
          <w:rFonts w:hint="eastAsia" w:ascii="宋体" w:hAnsi="宋体"/>
          <w:color w:val="auto"/>
          <w:highlight w:val="none"/>
        </w:rPr>
        <w:t>（5）承包人在缺陷责任期内，未能对工程接收证书所列的缺陷清单的内容或缺陷责任期内发生的缺陷进行修复，而又拒绝按监理人指示再进行修补；</w:t>
      </w:r>
    </w:p>
    <w:p>
      <w:pPr>
        <w:spacing w:line="340" w:lineRule="exact"/>
        <w:ind w:firstLine="420" w:firstLineChars="200"/>
        <w:rPr>
          <w:rFonts w:ascii="宋体" w:hAnsi="宋体"/>
          <w:color w:val="auto"/>
          <w:highlight w:val="none"/>
        </w:rPr>
      </w:pPr>
      <w:r>
        <w:rPr>
          <w:rFonts w:hint="eastAsia" w:ascii="宋体" w:hAnsi="宋体"/>
          <w:color w:val="auto"/>
          <w:highlight w:val="none"/>
        </w:rPr>
        <w:t>（6）承包人无法继续履行或明确表示不履行或实质上已停止履行合同；</w:t>
      </w:r>
    </w:p>
    <w:p>
      <w:pPr>
        <w:spacing w:line="340" w:lineRule="exact"/>
        <w:ind w:firstLine="435"/>
        <w:rPr>
          <w:rFonts w:ascii="宋体" w:hAnsi="宋体"/>
          <w:color w:val="auto"/>
          <w:highlight w:val="none"/>
        </w:rPr>
      </w:pPr>
      <w:r>
        <w:rPr>
          <w:rFonts w:hint="eastAsia" w:ascii="宋体" w:hAnsi="宋体"/>
          <w:color w:val="auto"/>
          <w:highlight w:val="none"/>
        </w:rPr>
        <w:t>（7）项目已具备开工条件，因承包人原因，承包人未能按期开工；</w:t>
      </w:r>
    </w:p>
    <w:p>
      <w:pPr>
        <w:spacing w:line="340" w:lineRule="exact"/>
        <w:ind w:firstLine="435"/>
        <w:rPr>
          <w:rFonts w:ascii="宋体" w:hAnsi="宋体"/>
          <w:color w:val="auto"/>
          <w:highlight w:val="none"/>
        </w:rPr>
      </w:pPr>
      <w:r>
        <w:rPr>
          <w:rFonts w:hint="eastAsia" w:ascii="宋体" w:hAnsi="宋体"/>
          <w:color w:val="auto"/>
          <w:highlight w:val="none"/>
        </w:rPr>
        <w:t>（8）</w:t>
      </w:r>
      <w:r>
        <w:rPr>
          <w:rFonts w:hint="eastAsia" w:ascii="宋体" w:hAnsi="宋体"/>
          <w:color w:val="auto"/>
          <w:spacing w:val="-8"/>
          <w:highlight w:val="none"/>
        </w:rPr>
        <w:t>承包人违反第6.3款的规定，未按承诺或未按监理人的要求及时配备合同约定的关键施工设备；</w:t>
      </w:r>
    </w:p>
    <w:p>
      <w:pPr>
        <w:spacing w:line="340" w:lineRule="exact"/>
        <w:ind w:firstLine="420" w:firstLineChars="200"/>
        <w:rPr>
          <w:rFonts w:ascii="宋体" w:hAnsi="宋体"/>
          <w:color w:val="auto"/>
          <w:highlight w:val="none"/>
        </w:rPr>
      </w:pPr>
      <w:r>
        <w:rPr>
          <w:rFonts w:hint="eastAsia" w:ascii="宋体" w:hAnsi="宋体"/>
          <w:color w:val="auto"/>
          <w:highlight w:val="none"/>
        </w:rPr>
        <w:t>（9）经监理人和发包人检查，发现承包人有安全问题或有违反安全管理规章制度的情形；</w:t>
      </w:r>
    </w:p>
    <w:p>
      <w:pPr>
        <w:spacing w:line="340" w:lineRule="exact"/>
        <w:rPr>
          <w:rFonts w:hint="eastAsia" w:ascii="宋体" w:hAnsi="宋体"/>
          <w:color w:val="auto"/>
          <w:highlight w:val="none"/>
        </w:rPr>
      </w:pPr>
      <w:r>
        <w:rPr>
          <w:rFonts w:hint="eastAsia" w:ascii="宋体" w:hAnsi="宋体"/>
          <w:color w:val="auto"/>
          <w:highlight w:val="none"/>
        </w:rPr>
        <w:t xml:space="preserve">    （10）承包人违反第13.1.1项约定，工程质量未达到标段交（竣）工验收的质量评定要求的；</w:t>
      </w:r>
    </w:p>
    <w:p>
      <w:pPr>
        <w:spacing w:line="340" w:lineRule="exact"/>
        <w:rPr>
          <w:rFonts w:hint="eastAsia" w:ascii="宋体" w:hAnsi="宋体"/>
          <w:color w:val="auto"/>
          <w:highlight w:val="none"/>
        </w:rPr>
      </w:pPr>
      <w:r>
        <w:rPr>
          <w:rFonts w:hint="eastAsia" w:ascii="宋体" w:hAnsi="宋体"/>
          <w:color w:val="auto"/>
          <w:highlight w:val="none"/>
        </w:rPr>
        <w:t xml:space="preserve">    （11）承包人违反第4.9款的约定，将发包人支付给承包人的各项价款转移或用于其他工程；</w:t>
      </w:r>
    </w:p>
    <w:p>
      <w:pPr>
        <w:spacing w:line="340" w:lineRule="exact"/>
        <w:rPr>
          <w:rFonts w:ascii="宋体" w:hAnsi="宋体"/>
          <w:color w:val="auto"/>
          <w:highlight w:val="none"/>
        </w:rPr>
      </w:pPr>
      <w:r>
        <w:rPr>
          <w:rFonts w:hint="eastAsia" w:ascii="宋体" w:hAnsi="宋体"/>
          <w:color w:val="auto"/>
          <w:highlight w:val="none"/>
        </w:rPr>
        <w:t xml:space="preserve">    （12）承包人违反第4.6款的约定，未按承诺或未按监理人的要求及时配备称职的主要管理人员、技术骨干，或未按规定替换，或撤离职守的：</w:t>
      </w:r>
    </w:p>
    <w:p>
      <w:pPr>
        <w:spacing w:line="340" w:lineRule="exact"/>
        <w:ind w:firstLine="420"/>
        <w:rPr>
          <w:rFonts w:hint="eastAsia" w:ascii="宋体" w:hAnsi="宋体"/>
          <w:color w:val="auto"/>
          <w:highlight w:val="none"/>
        </w:rPr>
      </w:pPr>
      <w:r>
        <w:rPr>
          <w:rFonts w:hint="eastAsia" w:ascii="宋体" w:hAnsi="宋体"/>
          <w:color w:val="auto"/>
          <w:highlight w:val="none"/>
        </w:rPr>
        <w:t>（13）承包人违反投标人须知3.5款的规定，在合同实施期间发现承包人在投标时提供了虚假资料的。</w:t>
      </w:r>
    </w:p>
    <w:p>
      <w:pPr>
        <w:spacing w:line="340" w:lineRule="exact"/>
        <w:rPr>
          <w:rFonts w:ascii="宋体" w:hAnsi="宋体"/>
          <w:color w:val="auto"/>
          <w:sz w:val="24"/>
          <w:highlight w:val="none"/>
        </w:rPr>
      </w:pPr>
      <w:r>
        <w:rPr>
          <w:rFonts w:hint="eastAsia" w:ascii="宋体" w:hAnsi="宋体"/>
          <w:color w:val="auto"/>
          <w:highlight w:val="none"/>
        </w:rPr>
        <w:t xml:space="preserve">     22.1.2  对承包人违约的处理</w:t>
      </w:r>
    </w:p>
    <w:p>
      <w:pPr>
        <w:spacing w:line="340" w:lineRule="exact"/>
        <w:ind w:firstLine="310" w:firstLineChars="147"/>
        <w:rPr>
          <w:rFonts w:hint="eastAsia" w:ascii="宋体" w:hAnsi="宋体"/>
          <w:b/>
          <w:color w:val="auto"/>
          <w:sz w:val="24"/>
          <w:highlight w:val="none"/>
        </w:rPr>
      </w:pPr>
      <w:r>
        <w:rPr>
          <w:rFonts w:hint="eastAsia" w:ascii="宋体" w:hAnsi="宋体"/>
          <w:b/>
          <w:color w:val="auto"/>
          <w:highlight w:val="none"/>
        </w:rPr>
        <w:t xml:space="preserve">  通用合同条款及公路工程专用合同条款22.1.2项细化为：</w:t>
      </w:r>
    </w:p>
    <w:p>
      <w:pPr>
        <w:spacing w:line="340" w:lineRule="exact"/>
        <w:ind w:firstLine="435"/>
        <w:rPr>
          <w:rFonts w:ascii="宋体" w:hAnsi="宋体"/>
          <w:color w:val="auto"/>
          <w:highlight w:val="none"/>
        </w:rPr>
      </w:pPr>
      <w:bookmarkStart w:id="1485" w:name="_Toc262646443"/>
      <w:bookmarkStart w:id="1486" w:name="_Toc292754799"/>
      <w:bookmarkStart w:id="1487" w:name="_Toc28304"/>
      <w:bookmarkStart w:id="1488" w:name="_Toc26164"/>
      <w:bookmarkStart w:id="1489" w:name="_Toc399396886"/>
      <w:bookmarkStart w:id="1490" w:name="_Toc17365"/>
      <w:bookmarkStart w:id="1491" w:name="_Toc256409653"/>
      <w:bookmarkStart w:id="1492" w:name="_Toc466366109"/>
      <w:bookmarkStart w:id="1493" w:name="_Toc361141051"/>
      <w:r>
        <w:rPr>
          <w:rFonts w:hint="eastAsia" w:ascii="宋体" w:hAnsi="宋体"/>
          <w:color w:val="auto"/>
          <w:highlight w:val="none"/>
        </w:rPr>
        <w:t>（1）承包人发生第22.1.1（6）目约定的违约情形时，发包人可通知承包人立即解除合同，并按有关法律处理。</w:t>
      </w:r>
    </w:p>
    <w:p>
      <w:pPr>
        <w:spacing w:line="340" w:lineRule="exact"/>
        <w:ind w:firstLine="435"/>
        <w:rPr>
          <w:rFonts w:ascii="宋体" w:hAnsi="宋体"/>
          <w:color w:val="auto"/>
          <w:highlight w:val="none"/>
        </w:rPr>
      </w:pPr>
      <w:r>
        <w:rPr>
          <w:rFonts w:hint="eastAsia" w:ascii="宋体" w:hAnsi="宋体"/>
          <w:color w:val="auto"/>
          <w:highlight w:val="none"/>
        </w:rPr>
        <w:t>（2）承包人发生除第22.1.1（6）目约定以外的其他违约情形时，监理人可向承包人发出整改通知，要求其在指定的期限内改正。承包人应承担其违约所引起的费用增加、发包人损失和（或）工期延误。</w:t>
      </w:r>
    </w:p>
    <w:p>
      <w:pPr>
        <w:spacing w:line="340" w:lineRule="exact"/>
        <w:ind w:firstLine="435"/>
        <w:rPr>
          <w:rFonts w:ascii="宋体" w:hAnsi="宋体"/>
          <w:color w:val="auto"/>
          <w:highlight w:val="none"/>
        </w:rPr>
      </w:pPr>
      <w:r>
        <w:rPr>
          <w:rFonts w:hint="eastAsia" w:ascii="宋体" w:hAnsi="宋体"/>
          <w:color w:val="auto"/>
          <w:highlight w:val="none"/>
        </w:rPr>
        <w:t>（3）经检查证明承包人已采取了有效措施纠正违约行为，具备复工条件的，可由监理人签发复工通知复工。</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4）承包人发生第22.1.1项约定的违约情形时，无论发包人是否解除合同，发包人均有权从应付或到期应付给承包人的任何款项中或采用其他方法向承包人课以违约金，并由发包人将其违约行为上报省级交通主管部门，作为不良记录纳入公路建设市场信用信息管理系统。具体约定如下：</w:t>
      </w:r>
    </w:p>
    <w:p>
      <w:pPr>
        <w:spacing w:line="340" w:lineRule="exact"/>
        <w:ind w:firstLine="420" w:firstLineChars="200"/>
        <w:rPr>
          <w:rFonts w:ascii="宋体" w:hAnsi="宋体"/>
          <w:color w:val="auto"/>
          <w:highlight w:val="none"/>
        </w:rPr>
      </w:pPr>
      <w:r>
        <w:rPr>
          <w:rFonts w:hint="eastAsia" w:ascii="宋体" w:hAnsi="宋体"/>
          <w:color w:val="auto"/>
          <w:highlight w:val="none"/>
        </w:rPr>
        <w:t>a.承包人发生第22.1.1项（1）目中违反第1.8款约定的情形，除责令立即纠正外，并课以不超过1%签约合同价的违约金；发生第22.1.1项（1）目中违反第4.3款约定的情形，在发包人向承包人发出书面通知的14天内未见纠正后，发包人将酌情向承包人课以不超过1%签约合同价的违约金。即使缴纳了违约金，承包人仍应按合同规定继续实施和完成本合同工程及其缺陷修复。</w:t>
      </w:r>
    </w:p>
    <w:p>
      <w:pPr>
        <w:spacing w:line="340" w:lineRule="exact"/>
        <w:ind w:firstLine="420" w:firstLineChars="200"/>
        <w:rPr>
          <w:rFonts w:ascii="宋体" w:hAnsi="宋体"/>
          <w:color w:val="auto"/>
          <w:highlight w:val="none"/>
        </w:rPr>
      </w:pPr>
      <w:r>
        <w:rPr>
          <w:rFonts w:hint="eastAsia" w:ascii="宋体" w:hAnsi="宋体"/>
          <w:color w:val="auto"/>
          <w:highlight w:val="none"/>
        </w:rPr>
        <w:t>b.承包人发生第22.1.1项（2）目中违反第5.3款约定的情形，在发包人向承包人发出书面通知的14天内未见纠正后，发包人将向承包人课以不超过材料和工程设备价值两倍的违约金；发生第22.1.1项（2）目中违反第6.4款约定的情形，在发包人向承包人发出书面通知的14天内未见纠正后，发包人将向承包人课以不超过其台班费两倍的违约金；</w:t>
      </w:r>
    </w:p>
    <w:p>
      <w:pPr>
        <w:spacing w:line="340" w:lineRule="exact"/>
        <w:ind w:firstLine="420" w:firstLineChars="200"/>
        <w:rPr>
          <w:rFonts w:ascii="宋体" w:hAnsi="宋体"/>
          <w:color w:val="auto"/>
          <w:highlight w:val="none"/>
        </w:rPr>
      </w:pPr>
      <w:r>
        <w:rPr>
          <w:rFonts w:hint="eastAsia" w:ascii="宋体" w:hAnsi="宋体"/>
          <w:color w:val="auto"/>
          <w:highlight w:val="none"/>
        </w:rPr>
        <w:t>c. 承包人发生第22.1.1项（3）目情形，在发包人向承包人发出书面通知的14天内未见纠正后，发包人将按每一情形酌情向承包人课以不超过0.5%签约合同价的违约金。即使缴纳了违约金，承包人仍应按合同规定继续实施和完成本合同工程及其缺陷修复。</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d.承包人发生第22.1.1项（4）目情形,则按第11.5款规定处理；</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e.承包人发生第22.1.1项（5）目情形,则按第19.2.4项规定处理；</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f.承包人发生第22.1.1项（7）目情形,发包人有权按第11.5款规定的逾期交工违约金金额的二分之一乘以未按期开工天数处以违约金；</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g</w:t>
      </w:r>
      <w:bookmarkStart w:id="1494" w:name="OLE_LINK4"/>
      <w:r>
        <w:rPr>
          <w:rFonts w:hint="eastAsia" w:ascii="宋体" w:hAnsi="宋体"/>
          <w:color w:val="auto"/>
          <w:highlight w:val="none"/>
        </w:rPr>
        <w:t>.</w:t>
      </w:r>
      <w:bookmarkEnd w:id="1494"/>
      <w:r>
        <w:rPr>
          <w:rFonts w:hint="eastAsia" w:ascii="宋体" w:hAnsi="宋体"/>
          <w:color w:val="auto"/>
          <w:highlight w:val="none"/>
        </w:rPr>
        <w:t>承包人发生第22.1.1项（8）目情形, 在发包人向承包人发出书面通知的14天内未见纠正后，发包人将向承包人课以不超过0.5%签约合同价的违约金；</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h.承包人发生第22.1.1项（9）目情形，发包人将责令整改；情节严重的，将停工整顿，并酌情扣除安全生产费；</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i.承包人发生第22.1.1项（10）目情形，则课以不超过1%签约合同价的违约金；</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j.承包人发生第22.1.1项（11）目情形，则课以与转移（挪用）资金等额的违约金；</w:t>
      </w:r>
    </w:p>
    <w:p>
      <w:pPr>
        <w:spacing w:line="340" w:lineRule="exact"/>
        <w:ind w:firstLine="420" w:firstLineChars="200"/>
        <w:rPr>
          <w:rFonts w:ascii="宋体" w:hAnsi="宋体"/>
          <w:color w:val="auto"/>
          <w:highlight w:val="none"/>
        </w:rPr>
      </w:pPr>
      <w:r>
        <w:rPr>
          <w:rFonts w:hint="eastAsia" w:ascii="宋体" w:hAnsi="宋体"/>
          <w:color w:val="auto"/>
          <w:highlight w:val="none"/>
        </w:rPr>
        <w:t>k.承包人发生第22.1.1项（12）目情形，项目经理或项目总工未经发包人同意擅自离开工地，每天课以违约金3000元／人；项目经理或项目总工若每月在工地天数不足2</w:t>
      </w:r>
      <w:r>
        <w:rPr>
          <w:rFonts w:hint="eastAsia" w:ascii="宋体" w:hAnsi="宋体"/>
          <w:color w:val="auto"/>
          <w:highlight w:val="none"/>
          <w:lang w:val="en-US" w:eastAsia="zh-CN"/>
        </w:rPr>
        <w:t>2</w:t>
      </w:r>
      <w:r>
        <w:rPr>
          <w:rFonts w:hint="eastAsia" w:ascii="宋体" w:hAnsi="宋体"/>
          <w:color w:val="auto"/>
          <w:highlight w:val="none"/>
        </w:rPr>
        <w:t>天（特殊情况经监理人批准报发包人同意例外）者，每不足一天课以违约金2000元／人；除项目经理和项目总工外其他主要人员若每月在工地天数不足20天（特殊情况经监理人批准报发包人同意例外）者，每不足一天课以违约金1000元／人；</w:t>
      </w:r>
    </w:p>
    <w:p>
      <w:pPr>
        <w:spacing w:line="340" w:lineRule="exact"/>
        <w:ind w:firstLine="420" w:firstLineChars="200"/>
        <w:rPr>
          <w:rFonts w:hint="eastAsia" w:ascii="宋体" w:hAnsi="宋体"/>
          <w:color w:val="auto"/>
          <w:highlight w:val="none"/>
        </w:rPr>
      </w:pPr>
      <w:r>
        <w:rPr>
          <w:rFonts w:hint="eastAsia"/>
          <w:color w:val="auto"/>
          <w:highlight w:val="none"/>
        </w:rPr>
        <w:t>承包人未经发包人书面同意更换项目经理、项目总工的，课以每人次</w:t>
      </w:r>
      <w:r>
        <w:rPr>
          <w:rFonts w:hint="eastAsia"/>
          <w:color w:val="auto"/>
          <w:highlight w:val="none"/>
          <w:lang w:val="en-US" w:eastAsia="zh-CN"/>
        </w:rPr>
        <w:t>20</w:t>
      </w:r>
      <w:r>
        <w:rPr>
          <w:rFonts w:hint="eastAsia"/>
          <w:color w:val="auto"/>
          <w:highlight w:val="none"/>
        </w:rPr>
        <w:t>万元的违约金，更换合同附件四其他主要管理人员、技术人员课以每人次10万元的违约金</w:t>
      </w:r>
      <w:r>
        <w:rPr>
          <w:rFonts w:hint="eastAsia"/>
          <w:color w:val="auto"/>
          <w:highlight w:val="none"/>
          <w:lang w:eastAsia="zh-CN"/>
        </w:rPr>
        <w:t>，</w:t>
      </w:r>
      <w:r>
        <w:rPr>
          <w:rFonts w:hint="eastAsia"/>
          <w:color w:val="auto"/>
          <w:highlight w:val="none"/>
          <w:lang w:val="en-US" w:eastAsia="zh-CN"/>
        </w:rPr>
        <w:t>且发包人有权单方面解除合同；</w:t>
      </w:r>
      <w:r>
        <w:rPr>
          <w:rFonts w:hint="eastAsia"/>
          <w:color w:val="auto"/>
          <w:highlight w:val="none"/>
        </w:rPr>
        <w:t>承包人经发包人书面同意更换项目经理、项目总工的，课以每人次</w:t>
      </w:r>
      <w:r>
        <w:rPr>
          <w:rFonts w:hint="eastAsia"/>
          <w:color w:val="auto"/>
          <w:highlight w:val="none"/>
          <w:lang w:val="en-US" w:eastAsia="zh-CN"/>
        </w:rPr>
        <w:t>10</w:t>
      </w:r>
      <w:r>
        <w:rPr>
          <w:rFonts w:hint="eastAsia"/>
          <w:color w:val="auto"/>
          <w:highlight w:val="none"/>
        </w:rPr>
        <w:t>万元的违约金，更换合同附件四其他主要管理人员、技术人员课以每人次</w:t>
      </w:r>
      <w:r>
        <w:rPr>
          <w:rFonts w:hint="eastAsia"/>
          <w:color w:val="auto"/>
          <w:highlight w:val="none"/>
          <w:lang w:val="en-US" w:eastAsia="zh-CN"/>
        </w:rPr>
        <w:t>5</w:t>
      </w:r>
      <w:r>
        <w:rPr>
          <w:rFonts w:hint="eastAsia"/>
          <w:color w:val="auto"/>
          <w:highlight w:val="none"/>
        </w:rPr>
        <w:t>万元的违约金</w:t>
      </w:r>
      <w:r>
        <w:rPr>
          <w:rFonts w:hint="eastAsia"/>
          <w:color w:val="auto"/>
          <w:highlight w:val="none"/>
          <w:lang w:eastAsia="zh-CN"/>
        </w:rPr>
        <w:t>，</w:t>
      </w:r>
      <w:r>
        <w:rPr>
          <w:rFonts w:hint="eastAsia"/>
          <w:b/>
          <w:bCs/>
          <w:color w:val="auto"/>
          <w:highlight w:val="none"/>
        </w:rPr>
        <w:t>（符合专用合同条款第4.6.8情形的除外）</w:t>
      </w:r>
    </w:p>
    <w:p>
      <w:pPr>
        <w:spacing w:line="340" w:lineRule="exact"/>
        <w:ind w:firstLine="420" w:firstLineChars="200"/>
        <w:rPr>
          <w:rFonts w:hint="eastAsia" w:ascii="宋体" w:hAnsi="宋体"/>
          <w:color w:val="auto"/>
          <w:highlight w:val="none"/>
        </w:rPr>
      </w:pPr>
      <w:r>
        <w:rPr>
          <w:rFonts w:hint="eastAsia"/>
          <w:color w:val="auto"/>
          <w:highlight w:val="none"/>
        </w:rPr>
        <w:t>注：项目经理、项目总工及合同附件四要求的其他主要管理人员、技术人员应按发包人要求每日进行考勤，漏考或考勤造假均按擅自离开工地处理；如因工作原因未考勤，应由发包人现场管理人员证实并于7 日内提交书面证明材料，否则按擅自离开工地处理；项目经理、项目总工及合同附件四其他主要管理人员、技术人员即使按发包人要求进行了考勤，但在工作时间迟到、早退，仍按擅自离开工地处理。</w:t>
      </w:r>
    </w:p>
    <w:p>
      <w:pPr>
        <w:spacing w:line="340" w:lineRule="exact"/>
        <w:ind w:firstLine="420" w:firstLineChars="200"/>
        <w:rPr>
          <w:rFonts w:hint="eastAsia" w:ascii="宋体" w:hAnsi="宋体"/>
          <w:color w:val="auto"/>
          <w:highlight w:val="none"/>
        </w:rPr>
      </w:pPr>
      <w:r>
        <w:rPr>
          <w:rFonts w:hint="eastAsia" w:ascii="宋体" w:hAnsi="宋体"/>
          <w:color w:val="auto"/>
          <w:highlight w:val="none"/>
        </w:rPr>
        <w:t>l.承包人发生第22.1.1项（13）目情形，在合同实施期间发现承包人在投标时提供了虚假材料的，课以不超过2%签约合同价的违约金。</w:t>
      </w:r>
    </w:p>
    <w:p>
      <w:pPr>
        <w:tabs>
          <w:tab w:val="left" w:pos="2790"/>
        </w:tabs>
        <w:snapToGrid w:val="0"/>
        <w:spacing w:line="400" w:lineRule="exact"/>
        <w:outlineLvl w:val="3"/>
        <w:rPr>
          <w:rFonts w:hint="eastAsia" w:ascii="黑体" w:eastAsia="黑体"/>
          <w:color w:val="auto"/>
          <w:szCs w:val="21"/>
          <w:highlight w:val="none"/>
        </w:rPr>
      </w:pPr>
      <w:bookmarkStart w:id="1495" w:name="_Toc361141050"/>
      <w:bookmarkStart w:id="1496" w:name="_Toc29007"/>
      <w:bookmarkStart w:id="1497" w:name="_Toc292754798"/>
      <w:bookmarkStart w:id="1498" w:name="_Toc262896008"/>
      <w:bookmarkStart w:id="1499" w:name="_Toc245538896"/>
      <w:bookmarkStart w:id="1500" w:name="_Toc271183374"/>
      <w:bookmarkStart w:id="1501" w:name="_Toc266444363"/>
      <w:bookmarkStart w:id="1502" w:name="_Toc399396885"/>
      <w:r>
        <w:rPr>
          <w:rFonts w:hint="eastAsia" w:ascii="黑体" w:eastAsia="黑体"/>
          <w:color w:val="auto"/>
          <w:szCs w:val="21"/>
          <w:highlight w:val="none"/>
        </w:rPr>
        <w:t>22.2发包人违约</w:t>
      </w:r>
      <w:bookmarkEnd w:id="1495"/>
      <w:bookmarkEnd w:id="1496"/>
      <w:bookmarkEnd w:id="1497"/>
      <w:bookmarkEnd w:id="1498"/>
      <w:bookmarkEnd w:id="1499"/>
      <w:bookmarkEnd w:id="1500"/>
      <w:bookmarkEnd w:id="1501"/>
      <w:bookmarkEnd w:id="1502"/>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22.2.1 发包人违约的情形</w:t>
      </w:r>
    </w:p>
    <w:p>
      <w:pPr>
        <w:spacing w:line="360" w:lineRule="exact"/>
        <w:ind w:firstLine="200"/>
        <w:rPr>
          <w:rFonts w:hint="eastAsia" w:ascii="宋体" w:hAnsi="宋体"/>
          <w:b/>
          <w:color w:val="auto"/>
          <w:highlight w:val="none"/>
        </w:rPr>
      </w:pPr>
      <w:r>
        <w:rPr>
          <w:rFonts w:hint="eastAsia" w:ascii="宋体" w:hAnsi="宋体"/>
          <w:b/>
          <w:color w:val="auto"/>
          <w:highlight w:val="none"/>
        </w:rPr>
        <w:t>通用合同条款22.2.1项细化为：</w:t>
      </w:r>
    </w:p>
    <w:p>
      <w:pPr>
        <w:spacing w:line="360" w:lineRule="exact"/>
        <w:ind w:firstLine="198"/>
        <w:rPr>
          <w:rFonts w:hint="eastAsia" w:ascii="宋体" w:hAnsi="宋体"/>
          <w:color w:val="auto"/>
          <w:highlight w:val="none"/>
        </w:rPr>
      </w:pPr>
      <w:r>
        <w:rPr>
          <w:rFonts w:hint="eastAsia" w:ascii="宋体" w:hAnsi="宋体"/>
          <w:color w:val="auto"/>
          <w:highlight w:val="none"/>
        </w:rPr>
        <w:t>在履行合同过程中发生的下列情形，属发包人违约：</w:t>
      </w:r>
    </w:p>
    <w:p>
      <w:pPr>
        <w:spacing w:line="360" w:lineRule="exact"/>
        <w:ind w:firstLine="198"/>
        <w:rPr>
          <w:rFonts w:hint="eastAsia" w:ascii="宋体" w:hAnsi="宋体"/>
          <w:color w:val="auto"/>
          <w:highlight w:val="none"/>
        </w:rPr>
      </w:pPr>
      <w:r>
        <w:rPr>
          <w:rFonts w:hint="eastAsia" w:ascii="宋体" w:hAnsi="宋体"/>
          <w:color w:val="auto"/>
          <w:highlight w:val="none"/>
        </w:rPr>
        <w:t>（1）发包人未能按合同约定支付预付款或合同价款，或拖延、拒绝批准付款申请和支付凭证，导致付款延误的（包括未按照第17.4.2项规定及时退还质量保证金的）；</w:t>
      </w:r>
    </w:p>
    <w:p>
      <w:pPr>
        <w:spacing w:line="360" w:lineRule="exact"/>
        <w:ind w:firstLine="198"/>
        <w:rPr>
          <w:rFonts w:hint="eastAsia" w:ascii="宋体" w:hAnsi="宋体"/>
          <w:color w:val="auto"/>
          <w:highlight w:val="none"/>
        </w:rPr>
      </w:pPr>
      <w:r>
        <w:rPr>
          <w:rFonts w:hint="eastAsia" w:ascii="宋体" w:hAnsi="宋体"/>
          <w:color w:val="auto"/>
          <w:highlight w:val="none"/>
        </w:rPr>
        <w:t>（2）</w:t>
      </w:r>
      <w:r>
        <w:rPr>
          <w:rFonts w:hint="eastAsia" w:ascii="宋体" w:hAnsi="宋体"/>
          <w:color w:val="auto"/>
          <w:spacing w:val="-6"/>
          <w:highlight w:val="none"/>
        </w:rPr>
        <w:t>由于发包人征地拆迁不到位，开工的正常条件不具备，导致承包人无法按合同约定如期开工的；</w:t>
      </w:r>
    </w:p>
    <w:p>
      <w:pPr>
        <w:spacing w:line="360" w:lineRule="exact"/>
        <w:ind w:firstLine="198"/>
        <w:rPr>
          <w:rFonts w:hint="eastAsia" w:ascii="宋体" w:hAnsi="宋体"/>
          <w:color w:val="auto"/>
          <w:highlight w:val="none"/>
        </w:rPr>
      </w:pPr>
      <w:r>
        <w:rPr>
          <w:rFonts w:hint="eastAsia" w:ascii="宋体" w:hAnsi="宋体"/>
          <w:color w:val="auto"/>
          <w:highlight w:val="none"/>
        </w:rPr>
        <w:t>（3）由于发包人下列原因造成停工的：</w:t>
      </w:r>
    </w:p>
    <w:p>
      <w:pPr>
        <w:spacing w:line="360" w:lineRule="exact"/>
        <w:ind w:firstLine="198"/>
        <w:rPr>
          <w:rFonts w:hint="eastAsia" w:ascii="宋体" w:hAnsi="宋体"/>
          <w:color w:val="auto"/>
          <w:highlight w:val="none"/>
        </w:rPr>
      </w:pPr>
      <w:r>
        <w:rPr>
          <w:rFonts w:hint="eastAsia" w:ascii="宋体" w:hAnsi="宋体"/>
          <w:color w:val="auto"/>
          <w:highlight w:val="none"/>
        </w:rPr>
        <w:t>a．合同约定应由发包人提供的材料、设备未能按时交货或质量不符合要求或变更交货地点导致承包人停工的；</w:t>
      </w:r>
    </w:p>
    <w:p>
      <w:pPr>
        <w:spacing w:line="360" w:lineRule="exact"/>
        <w:ind w:firstLine="200"/>
        <w:rPr>
          <w:rFonts w:hint="eastAsia" w:ascii="宋体" w:hAnsi="宋体"/>
          <w:color w:val="auto"/>
          <w:highlight w:val="none"/>
        </w:rPr>
      </w:pPr>
      <w:r>
        <w:rPr>
          <w:rFonts w:hint="eastAsia" w:ascii="宋体" w:hAnsi="宋体"/>
          <w:color w:val="auto"/>
          <w:highlight w:val="none"/>
        </w:rPr>
        <w:t>b．</w:t>
      </w:r>
      <w:r>
        <w:rPr>
          <w:rFonts w:hint="eastAsia" w:ascii="宋体" w:hAnsi="宋体"/>
          <w:color w:val="auto"/>
          <w:spacing w:val="-6"/>
          <w:highlight w:val="none"/>
        </w:rPr>
        <w:t>发包人提供的施工图延误或施工图存在差错影响施工，工程变更通知未及时下达导致承包人停工的；</w:t>
      </w:r>
    </w:p>
    <w:p>
      <w:pPr>
        <w:spacing w:line="360" w:lineRule="exact"/>
        <w:ind w:firstLine="200"/>
        <w:rPr>
          <w:rFonts w:hint="eastAsia" w:ascii="宋体" w:hAnsi="宋体"/>
          <w:color w:val="auto"/>
          <w:highlight w:val="none"/>
        </w:rPr>
      </w:pPr>
      <w:r>
        <w:rPr>
          <w:rFonts w:hint="eastAsia" w:ascii="宋体" w:hAnsi="宋体"/>
          <w:color w:val="auto"/>
          <w:highlight w:val="none"/>
        </w:rPr>
        <w:t>c．非承包人原因发生第三方阻工，而发包人未及时协调处理导致承包人停工的；</w:t>
      </w:r>
    </w:p>
    <w:p>
      <w:pPr>
        <w:spacing w:line="360" w:lineRule="exact"/>
        <w:ind w:firstLine="200"/>
        <w:rPr>
          <w:rFonts w:hint="eastAsia" w:ascii="宋体" w:hAnsi="宋体"/>
          <w:color w:val="auto"/>
          <w:highlight w:val="none"/>
        </w:rPr>
      </w:pPr>
      <w:r>
        <w:rPr>
          <w:rFonts w:hint="eastAsia" w:ascii="宋体" w:hAnsi="宋体"/>
          <w:color w:val="auto"/>
          <w:highlight w:val="none"/>
        </w:rPr>
        <w:t>d. 监理人无正当理由没有在约定期限内发出复工指示，导致承包人无法复工的；</w:t>
      </w:r>
    </w:p>
    <w:p>
      <w:pPr>
        <w:spacing w:line="360" w:lineRule="exact"/>
        <w:ind w:firstLine="200"/>
        <w:rPr>
          <w:rFonts w:hint="eastAsia" w:ascii="宋体" w:hAnsi="宋体"/>
          <w:color w:val="auto"/>
          <w:highlight w:val="none"/>
        </w:rPr>
      </w:pPr>
      <w:r>
        <w:rPr>
          <w:rFonts w:hint="eastAsia" w:ascii="宋体" w:hAnsi="宋体"/>
          <w:color w:val="auto"/>
          <w:highlight w:val="none"/>
        </w:rPr>
        <w:t>（4）发包人无法继续履行或明确表示不履行或实质上已停止履行合同的；</w:t>
      </w:r>
    </w:p>
    <w:p>
      <w:pPr>
        <w:spacing w:line="360" w:lineRule="exact"/>
        <w:ind w:firstLine="200"/>
        <w:rPr>
          <w:rFonts w:hint="eastAsia" w:ascii="宋体" w:hAnsi="宋体"/>
          <w:color w:val="auto"/>
          <w:highlight w:val="none"/>
        </w:rPr>
      </w:pPr>
      <w:r>
        <w:rPr>
          <w:rFonts w:hint="eastAsia" w:ascii="宋体" w:hAnsi="宋体"/>
          <w:color w:val="auto"/>
          <w:highlight w:val="none"/>
        </w:rPr>
        <w:t>（5）发包人不履行合同约定其他义务的。</w:t>
      </w:r>
    </w:p>
    <w:p>
      <w:pPr>
        <w:tabs>
          <w:tab w:val="left" w:pos="2790"/>
        </w:tabs>
        <w:snapToGrid w:val="0"/>
        <w:spacing w:line="400" w:lineRule="exact"/>
        <w:outlineLvl w:val="2"/>
        <w:rPr>
          <w:rFonts w:hint="eastAsia" w:ascii="黑体" w:eastAsia="黑体"/>
          <w:color w:val="auto"/>
          <w:sz w:val="24"/>
          <w:szCs w:val="30"/>
          <w:highlight w:val="none"/>
        </w:rPr>
      </w:pPr>
      <w:r>
        <w:rPr>
          <w:rFonts w:hint="eastAsia" w:ascii="黑体" w:eastAsia="黑体"/>
          <w:color w:val="auto"/>
          <w:sz w:val="24"/>
          <w:szCs w:val="30"/>
          <w:highlight w:val="none"/>
        </w:rPr>
        <w:t>24. 争议的解决</w:t>
      </w:r>
      <w:bookmarkEnd w:id="1485"/>
      <w:bookmarkEnd w:id="1486"/>
      <w:bookmarkEnd w:id="1487"/>
      <w:bookmarkEnd w:id="1488"/>
      <w:bookmarkEnd w:id="1489"/>
      <w:bookmarkEnd w:id="1490"/>
      <w:bookmarkEnd w:id="1491"/>
      <w:bookmarkEnd w:id="1492"/>
      <w:bookmarkEnd w:id="1493"/>
    </w:p>
    <w:p>
      <w:pPr>
        <w:tabs>
          <w:tab w:val="left" w:pos="2790"/>
        </w:tabs>
        <w:snapToGrid w:val="0"/>
        <w:spacing w:line="400" w:lineRule="exact"/>
        <w:outlineLvl w:val="3"/>
        <w:rPr>
          <w:rFonts w:hint="eastAsia" w:ascii="黑体" w:eastAsia="黑体"/>
          <w:color w:val="auto"/>
          <w:szCs w:val="21"/>
          <w:highlight w:val="none"/>
        </w:rPr>
      </w:pPr>
      <w:bookmarkStart w:id="1503" w:name="_Toc256409654"/>
      <w:bookmarkStart w:id="1504" w:name="_Toc466366110"/>
      <w:bookmarkStart w:id="1505" w:name="_Toc262646444"/>
      <w:bookmarkStart w:id="1506" w:name="_Toc399396887"/>
      <w:bookmarkStart w:id="1507" w:name="_Toc361141052"/>
      <w:bookmarkStart w:id="1508" w:name="_Toc7381"/>
      <w:bookmarkStart w:id="1509" w:name="_Toc10336"/>
      <w:bookmarkStart w:id="1510" w:name="_Toc10183"/>
      <w:bookmarkStart w:id="1511" w:name="_Toc292754800"/>
      <w:r>
        <w:rPr>
          <w:rFonts w:hint="eastAsia" w:ascii="黑体" w:eastAsia="黑体"/>
          <w:color w:val="auto"/>
          <w:szCs w:val="21"/>
          <w:highlight w:val="none"/>
        </w:rPr>
        <w:t>24.1争议的解决方式</w:t>
      </w:r>
      <w:bookmarkEnd w:id="1503"/>
      <w:bookmarkEnd w:id="1504"/>
      <w:bookmarkEnd w:id="1505"/>
      <w:bookmarkEnd w:id="1506"/>
      <w:bookmarkEnd w:id="1507"/>
      <w:bookmarkEnd w:id="1508"/>
      <w:bookmarkEnd w:id="1509"/>
      <w:bookmarkEnd w:id="1510"/>
      <w:bookmarkEnd w:id="1511"/>
    </w:p>
    <w:p>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通用合同条款24.1款约定为：</w:t>
      </w:r>
    </w:p>
    <w:p>
      <w:pPr>
        <w:spacing w:line="360" w:lineRule="exact"/>
        <w:ind w:firstLine="420"/>
        <w:rPr>
          <w:rFonts w:hint="eastAsia" w:ascii="宋体" w:hAnsi="宋体"/>
          <w:color w:val="auto"/>
          <w:highlight w:val="none"/>
        </w:rPr>
      </w:pPr>
      <w:r>
        <w:rPr>
          <w:rFonts w:hint="eastAsia" w:ascii="宋体" w:hAnsi="宋体"/>
          <w:color w:val="auto"/>
          <w:szCs w:val="21"/>
          <w:highlight w:val="none"/>
        </w:rPr>
        <w:t>24.1 发包人和承包人在履行合同中发生争议的，可以友好协商解决或者提请争议评审组评审。合同当事人友好协商解决不成、不愿提请争议评审或者不接受争议评审组意见的，可向工程所在地法院上诉。</w:t>
      </w:r>
    </w:p>
    <w:p>
      <w:pPr>
        <w:spacing w:line="400" w:lineRule="exact"/>
        <w:jc w:val="center"/>
        <w:outlineLvl w:val="0"/>
        <w:rPr>
          <w:rFonts w:ascii="宋体" w:hAnsi="宋体"/>
          <w:b/>
          <w:color w:val="auto"/>
          <w:sz w:val="22"/>
          <w:highlight w:val="none"/>
        </w:rPr>
      </w:pPr>
      <w:bookmarkStart w:id="1512" w:name="_Toc20586"/>
      <w:bookmarkStart w:id="1513" w:name="_Toc9510"/>
      <w:bookmarkStart w:id="1514" w:name="_Toc3283"/>
      <w:bookmarkStart w:id="1515" w:name="_Toc8799"/>
      <w:bookmarkStart w:id="1516" w:name="_Toc20927"/>
      <w:r>
        <w:rPr>
          <w:rFonts w:ascii="宋体" w:hAnsi="宋体"/>
          <w:color w:val="auto"/>
          <w:highlight w:val="none"/>
        </w:rPr>
        <w:br w:type="column"/>
      </w:r>
      <w:bookmarkStart w:id="1517" w:name="_Toc466366111"/>
      <w:bookmarkStart w:id="1518" w:name="_Toc239671862"/>
      <w:r>
        <w:rPr>
          <w:rFonts w:hint="eastAsia" w:ascii="宋体" w:hAnsi="宋体"/>
          <w:b/>
          <w:color w:val="auto"/>
          <w:sz w:val="22"/>
          <w:highlight w:val="none"/>
        </w:rPr>
        <w:t>第三节  合同附件格式</w:t>
      </w:r>
      <w:bookmarkEnd w:id="1512"/>
      <w:bookmarkEnd w:id="1513"/>
      <w:bookmarkEnd w:id="1514"/>
      <w:bookmarkEnd w:id="1515"/>
      <w:bookmarkEnd w:id="1516"/>
      <w:bookmarkEnd w:id="1517"/>
      <w:bookmarkEnd w:id="1518"/>
    </w:p>
    <w:p>
      <w:pPr>
        <w:spacing w:line="400" w:lineRule="exact"/>
        <w:outlineLvl w:val="2"/>
        <w:rPr>
          <w:rFonts w:ascii="宋体" w:hAnsi="宋体"/>
          <w:color w:val="auto"/>
          <w:highlight w:val="none"/>
        </w:rPr>
      </w:pPr>
      <w:bookmarkStart w:id="1519" w:name="_Toc466366112"/>
      <w:r>
        <w:rPr>
          <w:rFonts w:hint="eastAsia" w:ascii="宋体" w:hAnsi="宋体"/>
          <w:color w:val="auto"/>
          <w:highlight w:val="none"/>
        </w:rPr>
        <w:t>附件一  合同协议书</w:t>
      </w:r>
      <w:bookmarkEnd w:id="1519"/>
    </w:p>
    <w:p>
      <w:pPr>
        <w:spacing w:line="320" w:lineRule="exact"/>
        <w:jc w:val="center"/>
        <w:rPr>
          <w:rFonts w:ascii="宋体" w:hAnsi="宋体"/>
          <w:color w:val="auto"/>
          <w:highlight w:val="none"/>
        </w:rPr>
      </w:pPr>
      <w:r>
        <w:rPr>
          <w:rFonts w:hint="eastAsia" w:ascii="宋体" w:hAnsi="宋体"/>
          <w:color w:val="auto"/>
          <w:highlight w:val="none"/>
        </w:rPr>
        <w:t xml:space="preserve">    </w:t>
      </w:r>
      <w:r>
        <w:rPr>
          <w:rFonts w:hint="eastAsia" w:ascii="宋体" w:hAnsi="宋体"/>
          <w:b/>
          <w:color w:val="auto"/>
          <w:highlight w:val="none"/>
        </w:rPr>
        <w:t>合同协议书</w:t>
      </w:r>
    </w:p>
    <w:p>
      <w:pPr>
        <w:spacing w:line="320" w:lineRule="exact"/>
        <w:rPr>
          <w:rFonts w:hint="eastAsia" w:ascii="宋体" w:hAnsi="宋体"/>
          <w:color w:val="auto"/>
          <w:highlight w:val="none"/>
        </w:rPr>
      </w:pPr>
      <w:r>
        <w:rPr>
          <w:rFonts w:hint="eastAsia" w:ascii="宋体" w:hAnsi="宋体"/>
          <w:color w:val="auto"/>
          <w:highlight w:val="none"/>
        </w:rPr>
        <w:t xml:space="preserve">    </w:t>
      </w:r>
    </w:p>
    <w:p>
      <w:pPr>
        <w:ind w:firstLine="420" w:firstLineChars="200"/>
        <w:rPr>
          <w:rFonts w:ascii="宋体" w:hAnsi="宋体"/>
          <w:color w:val="auto"/>
          <w:highlight w:val="none"/>
        </w:rPr>
      </w:pPr>
      <w:r>
        <w:rPr>
          <w:rFonts w:hint="eastAsia" w:ascii="宋体" w:hAnsi="宋体"/>
          <w:color w:val="auto"/>
          <w:highlight w:val="none"/>
        </w:rPr>
        <w:t xml:space="preserve"> ________（发包人名称，以下简称“发包人”）为实施___________（项目名称），已接受___________（承包人名称，以下简称“承包人”）对该项目___________标段施工的投标。发包人和承包人共同达成如下协议。</w:t>
      </w:r>
    </w:p>
    <w:p>
      <w:pPr>
        <w:spacing w:line="400" w:lineRule="exact"/>
        <w:ind w:firstLine="420" w:firstLineChars="200"/>
        <w:jc w:val="left"/>
        <w:rPr>
          <w:rFonts w:hint="default"/>
          <w:color w:val="auto"/>
          <w:szCs w:val="22"/>
          <w:highlight w:val="none"/>
          <w:lang w:val="en-US" w:eastAsia="zh-CN"/>
        </w:rPr>
      </w:pPr>
      <w:r>
        <w:rPr>
          <w:rFonts w:hint="eastAsia"/>
          <w:color w:val="auto"/>
          <w:szCs w:val="22"/>
          <w:highlight w:val="none"/>
          <w:lang w:val="en-US" w:eastAsia="zh-CN"/>
        </w:rPr>
        <w:t>1.</w:t>
      </w:r>
      <w:r>
        <w:rPr>
          <w:rFonts w:hint="eastAsia"/>
          <w:color w:val="auto"/>
          <w:szCs w:val="22"/>
          <w:highlight w:val="none"/>
        </w:rPr>
        <w:t>项目概况：</w:t>
      </w:r>
      <w:r>
        <w:rPr>
          <w:rFonts w:hint="eastAsia"/>
          <w:color w:val="auto"/>
          <w:szCs w:val="22"/>
          <w:highlight w:val="none"/>
          <w:lang w:val="en-US" w:eastAsia="zh-CN"/>
        </w:rPr>
        <w:t>本</w:t>
      </w:r>
      <w:r>
        <w:rPr>
          <w:rFonts w:hint="eastAsia"/>
          <w:color w:val="auto"/>
          <w:szCs w:val="22"/>
          <w:highlight w:val="none"/>
        </w:rPr>
        <w:t>工程位于</w:t>
      </w:r>
      <w:r>
        <w:rPr>
          <w:rFonts w:hint="eastAsia"/>
          <w:color w:val="auto"/>
          <w:szCs w:val="22"/>
          <w:highlight w:val="none"/>
          <w:lang w:val="en-US" w:eastAsia="zh-CN"/>
        </w:rPr>
        <w:t>平阳县南麂镇</w:t>
      </w:r>
      <w:r>
        <w:rPr>
          <w:rFonts w:hint="eastAsia"/>
          <w:color w:val="auto"/>
          <w:szCs w:val="22"/>
          <w:highlight w:val="none"/>
        </w:rPr>
        <w:t>，</w:t>
      </w:r>
      <w:r>
        <w:rPr>
          <w:rFonts w:hint="eastAsia" w:ascii="宋体" w:hAnsi="宋体" w:cs="宋体"/>
          <w:color w:val="auto"/>
          <w:sz w:val="21"/>
          <w:szCs w:val="21"/>
          <w:highlight w:val="none"/>
          <w:lang w:val="en-US" w:eastAsia="zh-CN"/>
        </w:rPr>
        <w:t>为南麂镇新码头自然村到国姓岙自然村道路提升工程。道路由K0+000~K1+413，沿线共设置三座桥梁，分别为官宕桥1跨13m预应力空心板桥；K0+510，1号桥，采用1跨20m预应力空心板梁；K1+212号桥，采用3跨13m预应力空心板梁。</w:t>
      </w:r>
    </w:p>
    <w:p>
      <w:pPr>
        <w:spacing w:line="400" w:lineRule="exact"/>
        <w:ind w:firstLine="420" w:firstLineChars="200"/>
        <w:jc w:val="left"/>
        <w:rPr>
          <w:rFonts w:hint="eastAsia" w:ascii="宋体" w:hAnsi="宋体"/>
          <w:color w:val="auto"/>
          <w:highlight w:val="none"/>
        </w:rPr>
      </w:pPr>
      <w:r>
        <w:rPr>
          <w:rFonts w:hint="eastAsia" w:ascii="宋体" w:hAnsi="宋体"/>
          <w:color w:val="auto"/>
          <w:highlight w:val="none"/>
        </w:rPr>
        <w:t>本标段工程</w:t>
      </w:r>
      <w:r>
        <w:rPr>
          <w:rFonts w:hint="eastAsia" w:ascii="宋体" w:hAnsi="宋体"/>
          <w:color w:val="auto"/>
          <w:highlight w:val="none"/>
          <w:lang w:val="en-US" w:eastAsia="zh-CN"/>
        </w:rPr>
        <w:t>总投资</w:t>
      </w:r>
      <w:r>
        <w:rPr>
          <w:rFonts w:hint="eastAsia" w:ascii="宋体" w:hAnsi="宋体"/>
          <w:color w:val="auto"/>
          <w:highlight w:val="none"/>
        </w:rPr>
        <w:t>为</w:t>
      </w:r>
      <w:r>
        <w:rPr>
          <w:rFonts w:hint="eastAsia" w:ascii="宋体" w:hAnsi="宋体"/>
          <w:color w:val="auto"/>
          <w:highlight w:val="none"/>
          <w:lang w:val="en-US" w:eastAsia="zh-CN"/>
        </w:rPr>
        <w:t>942</w:t>
      </w:r>
      <w:r>
        <w:rPr>
          <w:rFonts w:hint="eastAsia" w:ascii="宋体" w:hAnsi="宋体"/>
          <w:color w:val="auto"/>
          <w:highlight w:val="none"/>
        </w:rPr>
        <w:t>万元，其中</w:t>
      </w:r>
      <w:r>
        <w:rPr>
          <w:rFonts w:hint="eastAsia" w:ascii="宋体" w:hAnsi="宋体"/>
          <w:color w:val="auto"/>
          <w:highlight w:val="none"/>
          <w:lang w:val="en-US" w:eastAsia="zh-CN"/>
        </w:rPr>
        <w:t>工程</w:t>
      </w:r>
      <w:r>
        <w:rPr>
          <w:rFonts w:hint="eastAsia" w:ascii="宋体" w:hAnsi="宋体"/>
          <w:color w:val="auto"/>
          <w:highlight w:val="none"/>
        </w:rPr>
        <w:t>费</w:t>
      </w:r>
      <w:r>
        <w:rPr>
          <w:rFonts w:hint="eastAsia" w:ascii="宋体" w:hAnsi="宋体"/>
          <w:color w:val="auto"/>
          <w:highlight w:val="none"/>
          <w:lang w:val="en-US" w:eastAsia="zh-CN"/>
        </w:rPr>
        <w:t>783.9</w:t>
      </w:r>
      <w:r>
        <w:rPr>
          <w:rFonts w:hint="eastAsia" w:ascii="宋体" w:hAnsi="宋体"/>
          <w:color w:val="auto"/>
          <w:highlight w:val="none"/>
        </w:rPr>
        <w:t>万元。计划工期</w:t>
      </w:r>
      <w:r>
        <w:rPr>
          <w:rFonts w:hint="eastAsia" w:ascii="宋体" w:hAnsi="宋体"/>
          <w:color w:val="auto"/>
          <w:highlight w:val="none"/>
          <w:lang w:val="en-US" w:eastAsia="zh-CN"/>
        </w:rPr>
        <w:t>120日历天</w:t>
      </w:r>
      <w:r>
        <w:rPr>
          <w:rFonts w:hint="eastAsia" w:ascii="宋体" w:hAnsi="宋体"/>
          <w:color w:val="auto"/>
          <w:highlight w:val="none"/>
        </w:rPr>
        <w:t>，缺陷责任期 24 个月。工程质量目标：合格。</w:t>
      </w:r>
    </w:p>
    <w:p>
      <w:pPr>
        <w:ind w:firstLine="525" w:firstLineChars="250"/>
        <w:rPr>
          <w:rFonts w:ascii="宋体" w:hAnsi="宋体"/>
          <w:color w:val="auto"/>
          <w:highlight w:val="none"/>
        </w:rPr>
      </w:pPr>
      <w:r>
        <w:rPr>
          <w:rFonts w:hint="eastAsia" w:ascii="宋体" w:hAnsi="宋体"/>
          <w:color w:val="auto"/>
          <w:highlight w:val="none"/>
        </w:rPr>
        <w:t>2.下列文件应视为构成合同文件的组成部分：</w:t>
      </w:r>
    </w:p>
    <w:p>
      <w:pPr>
        <w:ind w:firstLine="420"/>
        <w:rPr>
          <w:rFonts w:ascii="宋体" w:hAnsi="宋体"/>
          <w:color w:val="auto"/>
          <w:spacing w:val="-6"/>
          <w:highlight w:val="none"/>
        </w:rPr>
      </w:pPr>
      <w:r>
        <w:rPr>
          <w:rFonts w:hint="eastAsia" w:ascii="宋体" w:hAnsi="宋体"/>
          <w:color w:val="auto"/>
          <w:highlight w:val="none"/>
        </w:rPr>
        <w:t>（1）本合同协议书及各种合同附件（含廉政合同、安全生产合同、工程资金监管协议、工程质量责任合同及评标期间和合同谈判过程中的澄清文件和补充资料）；</w:t>
      </w:r>
    </w:p>
    <w:p>
      <w:pPr>
        <w:ind w:firstLine="420"/>
        <w:rPr>
          <w:rFonts w:ascii="宋体" w:hAnsi="宋体"/>
          <w:color w:val="auto"/>
          <w:spacing w:val="-6"/>
          <w:highlight w:val="none"/>
        </w:rPr>
      </w:pPr>
      <w:r>
        <w:rPr>
          <w:rFonts w:hint="eastAsia" w:ascii="宋体" w:hAnsi="宋体"/>
          <w:color w:val="auto"/>
          <w:highlight w:val="none"/>
        </w:rPr>
        <w:t>（2）中标通知书；</w:t>
      </w:r>
    </w:p>
    <w:p>
      <w:pPr>
        <w:ind w:firstLine="420"/>
        <w:rPr>
          <w:rFonts w:ascii="宋体" w:hAnsi="宋体"/>
          <w:color w:val="auto"/>
          <w:spacing w:val="-6"/>
          <w:highlight w:val="none"/>
        </w:rPr>
      </w:pPr>
      <w:r>
        <w:rPr>
          <w:rFonts w:hint="eastAsia" w:ascii="宋体" w:hAnsi="宋体"/>
          <w:color w:val="auto"/>
          <w:highlight w:val="none"/>
        </w:rPr>
        <w:t>（3）投标函及投标函附录；</w:t>
      </w:r>
    </w:p>
    <w:p>
      <w:pPr>
        <w:ind w:firstLine="420"/>
        <w:rPr>
          <w:rFonts w:ascii="宋体" w:hAnsi="宋体"/>
          <w:color w:val="auto"/>
          <w:spacing w:val="-6"/>
          <w:highlight w:val="none"/>
        </w:rPr>
      </w:pPr>
      <w:r>
        <w:rPr>
          <w:rFonts w:hint="eastAsia" w:ascii="宋体" w:hAnsi="宋体"/>
          <w:color w:val="auto"/>
          <w:highlight w:val="none"/>
        </w:rPr>
        <w:t>（4）项目专用合同条款（含招标文件补遗书中与此有关的部分）；</w:t>
      </w:r>
    </w:p>
    <w:p>
      <w:pPr>
        <w:ind w:firstLine="420"/>
        <w:rPr>
          <w:rFonts w:ascii="宋体" w:hAnsi="宋体"/>
          <w:color w:val="auto"/>
          <w:spacing w:val="-6"/>
          <w:highlight w:val="none"/>
        </w:rPr>
      </w:pPr>
      <w:r>
        <w:rPr>
          <w:rFonts w:hint="eastAsia" w:ascii="宋体" w:hAnsi="宋体"/>
          <w:color w:val="auto"/>
          <w:highlight w:val="none"/>
        </w:rPr>
        <w:t>（5）公路工程专用合同条款；</w:t>
      </w:r>
    </w:p>
    <w:p>
      <w:pPr>
        <w:ind w:firstLine="420"/>
        <w:rPr>
          <w:rFonts w:ascii="宋体" w:hAnsi="宋体"/>
          <w:color w:val="auto"/>
          <w:spacing w:val="-6"/>
          <w:highlight w:val="none"/>
        </w:rPr>
      </w:pPr>
      <w:r>
        <w:rPr>
          <w:rFonts w:hint="eastAsia" w:ascii="宋体" w:hAnsi="宋体"/>
          <w:color w:val="auto"/>
          <w:highlight w:val="none"/>
        </w:rPr>
        <w:t>（6）通用合同条款</w:t>
      </w:r>
    </w:p>
    <w:p>
      <w:pPr>
        <w:ind w:firstLine="420"/>
        <w:rPr>
          <w:rFonts w:ascii="宋体" w:hAnsi="宋体"/>
          <w:color w:val="auto"/>
          <w:highlight w:val="none"/>
        </w:rPr>
      </w:pPr>
      <w:r>
        <w:rPr>
          <w:rFonts w:hint="eastAsia" w:ascii="宋体" w:hAnsi="宋体"/>
          <w:color w:val="auto"/>
          <w:highlight w:val="none"/>
        </w:rPr>
        <w:t>（7）项目专用技术规范（含招标文件补遗书中与此有关的部分）；</w:t>
      </w:r>
    </w:p>
    <w:p>
      <w:pPr>
        <w:ind w:firstLine="420"/>
        <w:rPr>
          <w:rFonts w:ascii="宋体" w:hAnsi="宋体"/>
          <w:color w:val="auto"/>
          <w:highlight w:val="none"/>
        </w:rPr>
      </w:pPr>
      <w:r>
        <w:rPr>
          <w:rFonts w:hint="eastAsia" w:ascii="宋体" w:hAnsi="宋体"/>
          <w:color w:val="auto"/>
          <w:highlight w:val="none"/>
        </w:rPr>
        <w:t>（8）通用技术规范（《公路工程标准施工招标文件》（下册））；</w:t>
      </w:r>
    </w:p>
    <w:p>
      <w:pPr>
        <w:ind w:firstLine="420"/>
        <w:rPr>
          <w:rFonts w:ascii="宋体" w:hAnsi="宋体"/>
          <w:color w:val="auto"/>
          <w:spacing w:val="-6"/>
          <w:highlight w:val="none"/>
        </w:rPr>
      </w:pPr>
      <w:r>
        <w:rPr>
          <w:rFonts w:hint="eastAsia" w:ascii="宋体" w:hAnsi="宋体"/>
          <w:color w:val="auto"/>
          <w:highlight w:val="none"/>
        </w:rPr>
        <w:t>（9）图纸（含招标文件补遗书中与此有关的部分）；</w:t>
      </w:r>
    </w:p>
    <w:p>
      <w:pPr>
        <w:ind w:firstLine="420"/>
        <w:rPr>
          <w:rFonts w:ascii="宋体" w:hAnsi="宋体"/>
          <w:color w:val="auto"/>
          <w:highlight w:val="none"/>
        </w:rPr>
      </w:pPr>
      <w:r>
        <w:rPr>
          <w:rFonts w:hint="eastAsia" w:ascii="宋体" w:hAnsi="宋体"/>
          <w:color w:val="auto"/>
          <w:highlight w:val="none"/>
        </w:rPr>
        <w:t>（10）已标价的工程量清单（含说明）；</w:t>
      </w:r>
    </w:p>
    <w:p>
      <w:pPr>
        <w:ind w:firstLine="420"/>
        <w:rPr>
          <w:rFonts w:ascii="宋体" w:hAnsi="宋体"/>
          <w:color w:val="auto"/>
          <w:spacing w:val="-6"/>
          <w:highlight w:val="none"/>
        </w:rPr>
      </w:pPr>
      <w:r>
        <w:rPr>
          <w:rFonts w:hint="eastAsia" w:ascii="宋体" w:hAnsi="宋体"/>
          <w:color w:val="auto"/>
          <w:highlight w:val="none"/>
        </w:rPr>
        <w:t>（11）承包人有关人员、设备投入、财务能力的承诺及投标文件中的施工组织设计；</w:t>
      </w:r>
    </w:p>
    <w:p>
      <w:pPr>
        <w:ind w:firstLine="420" w:firstLineChars="200"/>
        <w:rPr>
          <w:rFonts w:ascii="宋体" w:hAnsi="宋体"/>
          <w:color w:val="auto"/>
          <w:highlight w:val="none"/>
        </w:rPr>
      </w:pPr>
      <w:r>
        <w:rPr>
          <w:rFonts w:hint="eastAsia" w:ascii="宋体" w:hAnsi="宋体"/>
          <w:color w:val="auto"/>
          <w:highlight w:val="none"/>
        </w:rPr>
        <w:t>（12）构成本合同组成部分的其它文件。</w:t>
      </w:r>
    </w:p>
    <w:p>
      <w:pPr>
        <w:ind w:firstLine="420"/>
        <w:rPr>
          <w:rFonts w:ascii="宋体" w:hAnsi="宋体"/>
          <w:color w:val="auto"/>
          <w:highlight w:val="none"/>
        </w:rPr>
      </w:pPr>
      <w:r>
        <w:rPr>
          <w:rFonts w:hint="eastAsia" w:ascii="宋体" w:hAnsi="宋体"/>
          <w:color w:val="auto"/>
          <w:highlight w:val="none"/>
        </w:rPr>
        <w:t>3.上述文件互相补充和解释，如有不明确或不一致之处，以合同约定次序在先者为准。</w:t>
      </w:r>
    </w:p>
    <w:p>
      <w:pPr>
        <w:ind w:firstLine="420"/>
        <w:rPr>
          <w:rFonts w:ascii="宋体" w:hAnsi="宋体"/>
          <w:color w:val="auto"/>
          <w:highlight w:val="none"/>
        </w:rPr>
      </w:pPr>
      <w:r>
        <w:rPr>
          <w:rFonts w:hint="eastAsia" w:ascii="宋体" w:hAnsi="宋体"/>
          <w:color w:val="auto"/>
          <w:highlight w:val="none"/>
        </w:rPr>
        <w:t>4.根据工程量清单所列的预计数量和单价或总额价计算的签约合同价：人民币（大写） _____元（￥_____）。</w:t>
      </w:r>
    </w:p>
    <w:p>
      <w:pPr>
        <w:ind w:firstLine="420"/>
        <w:rPr>
          <w:rFonts w:ascii="宋体" w:hAnsi="宋体"/>
          <w:color w:val="auto"/>
          <w:highlight w:val="none"/>
        </w:rPr>
      </w:pPr>
      <w:r>
        <w:rPr>
          <w:rFonts w:hint="eastAsia" w:ascii="宋体" w:hAnsi="宋体"/>
          <w:color w:val="auto"/>
          <w:highlight w:val="none"/>
        </w:rPr>
        <w:t>5.承包人项目经理：_____。承包人项目总工：_____。</w:t>
      </w:r>
    </w:p>
    <w:p>
      <w:pPr>
        <w:ind w:firstLine="420"/>
        <w:rPr>
          <w:rFonts w:ascii="宋体" w:hAnsi="宋体"/>
          <w:color w:val="auto"/>
          <w:highlight w:val="none"/>
        </w:rPr>
      </w:pPr>
      <w:r>
        <w:rPr>
          <w:rFonts w:hint="eastAsia" w:ascii="宋体" w:hAnsi="宋体"/>
          <w:color w:val="auto"/>
          <w:highlight w:val="none"/>
        </w:rPr>
        <w:t>6.工程质量符合_____标准。</w:t>
      </w:r>
    </w:p>
    <w:p>
      <w:pPr>
        <w:ind w:firstLine="420"/>
        <w:rPr>
          <w:rFonts w:ascii="宋体" w:hAnsi="宋体"/>
          <w:color w:val="auto"/>
          <w:highlight w:val="none"/>
        </w:rPr>
      </w:pPr>
      <w:r>
        <w:rPr>
          <w:rFonts w:hint="eastAsia" w:ascii="宋体" w:hAnsi="宋体"/>
          <w:color w:val="auto"/>
          <w:highlight w:val="none"/>
        </w:rPr>
        <w:t>7.承包人承诺按合同约定承担工程的实施、完成缺陷责任期内的缺陷修复和保修期保修。</w:t>
      </w:r>
    </w:p>
    <w:p>
      <w:pPr>
        <w:ind w:firstLine="420"/>
        <w:rPr>
          <w:rFonts w:ascii="宋体" w:hAnsi="宋体"/>
          <w:color w:val="auto"/>
          <w:highlight w:val="none"/>
        </w:rPr>
      </w:pPr>
      <w:r>
        <w:rPr>
          <w:rFonts w:hint="eastAsia" w:ascii="宋体" w:hAnsi="宋体"/>
          <w:color w:val="auto"/>
          <w:highlight w:val="none"/>
        </w:rPr>
        <w:t>8.发包人承诺按合同约定的条件、时间和方式向承包人支付合同价款。</w:t>
      </w:r>
    </w:p>
    <w:p>
      <w:pPr>
        <w:ind w:firstLine="420"/>
        <w:rPr>
          <w:rFonts w:ascii="宋体" w:hAnsi="宋体"/>
          <w:color w:val="auto"/>
          <w:highlight w:val="none"/>
        </w:rPr>
      </w:pPr>
      <w:r>
        <w:rPr>
          <w:rFonts w:hint="eastAsia" w:ascii="宋体" w:hAnsi="宋体"/>
          <w:color w:val="auto"/>
          <w:highlight w:val="none"/>
        </w:rPr>
        <w:t>9.承包人应按照监理人指示开工，工期为</w:t>
      </w:r>
      <w:r>
        <w:rPr>
          <w:rFonts w:hint="eastAsia" w:ascii="宋体" w:hAnsi="宋体"/>
          <w:color w:val="auto"/>
          <w:highlight w:val="none"/>
          <w:u w:val="single"/>
        </w:rPr>
        <w:t xml:space="preserve">    </w:t>
      </w:r>
      <w:r>
        <w:rPr>
          <w:rFonts w:hint="eastAsia" w:ascii="宋体" w:hAnsi="宋体"/>
          <w:color w:val="auto"/>
          <w:highlight w:val="none"/>
        </w:rPr>
        <w:t>月。</w:t>
      </w:r>
    </w:p>
    <w:p>
      <w:pPr>
        <w:ind w:firstLine="420"/>
        <w:rPr>
          <w:rFonts w:ascii="宋体" w:hAnsi="宋体"/>
          <w:color w:val="auto"/>
          <w:highlight w:val="none"/>
        </w:rPr>
      </w:pPr>
      <w:r>
        <w:rPr>
          <w:rFonts w:hint="eastAsia" w:ascii="宋体" w:hAnsi="宋体"/>
          <w:color w:val="auto"/>
          <w:highlight w:val="none"/>
        </w:rPr>
        <w:t>10.本协议书在承包人提供履约担保后，由双方法定代表人或其委托代理人签署并加盖单位章后生效。全部工程完工后经交工验收合格、缺陷责任期满签发缺陷责任终止证书后失效。</w:t>
      </w:r>
    </w:p>
    <w:p>
      <w:pPr>
        <w:ind w:firstLine="435"/>
        <w:rPr>
          <w:rFonts w:ascii="宋体" w:hAnsi="宋体"/>
          <w:color w:val="auto"/>
          <w:highlight w:val="none"/>
        </w:rPr>
      </w:pPr>
      <w:r>
        <w:rPr>
          <w:rFonts w:hint="eastAsia" w:ascii="宋体" w:hAnsi="宋体"/>
          <w:color w:val="auto"/>
          <w:highlight w:val="none"/>
        </w:rPr>
        <w:t>11.本协议书正本二份、副本</w:t>
      </w:r>
      <w:r>
        <w:rPr>
          <w:rFonts w:hint="eastAsia" w:ascii="宋体" w:hAnsi="宋体"/>
          <w:color w:val="auto"/>
          <w:highlight w:val="none"/>
          <w:u w:val="single"/>
        </w:rPr>
        <w:t xml:space="preserve">    </w:t>
      </w:r>
      <w:r>
        <w:rPr>
          <w:rFonts w:hint="eastAsia" w:ascii="宋体" w:hAnsi="宋体"/>
          <w:color w:val="auto"/>
          <w:highlight w:val="none"/>
        </w:rPr>
        <w:t>份，合同双方各执正本一份，副本_____份，当正本与副本的内容不一致时，以正本为准。</w:t>
      </w:r>
    </w:p>
    <w:p>
      <w:pPr>
        <w:ind w:firstLine="435"/>
        <w:rPr>
          <w:rFonts w:ascii="宋体" w:hAnsi="宋体"/>
          <w:color w:val="auto"/>
          <w:highlight w:val="none"/>
        </w:rPr>
      </w:pPr>
      <w:r>
        <w:rPr>
          <w:rFonts w:hint="eastAsia" w:ascii="宋体" w:hAnsi="宋体"/>
          <w:color w:val="auto"/>
          <w:highlight w:val="none"/>
        </w:rPr>
        <w:t>12.合同未尽事宜，双方另行签订补充协议。补充协议是合同的组成部分。</w:t>
      </w:r>
    </w:p>
    <w:p>
      <w:pPr>
        <w:ind w:firstLine="435"/>
        <w:rPr>
          <w:rFonts w:ascii="宋体" w:hAnsi="宋体"/>
          <w:color w:val="auto"/>
          <w:highlight w:val="none"/>
        </w:rPr>
      </w:pPr>
      <w:r>
        <w:rPr>
          <w:rFonts w:hint="eastAsia" w:ascii="宋体" w:hAnsi="宋体"/>
          <w:color w:val="auto"/>
          <w:highlight w:val="none"/>
        </w:rPr>
        <w:t>发包人：__________（盖单位章）           承包人：_________（盖单位章）</w:t>
      </w:r>
    </w:p>
    <w:p>
      <w:pPr>
        <w:ind w:firstLine="435"/>
        <w:rPr>
          <w:rFonts w:ascii="宋体" w:hAnsi="宋体"/>
          <w:color w:val="auto"/>
          <w:highlight w:val="none"/>
        </w:rPr>
      </w:pPr>
      <w:r>
        <w:rPr>
          <w:rFonts w:hint="eastAsia" w:ascii="宋体" w:hAnsi="宋体"/>
          <w:color w:val="auto"/>
          <w:highlight w:val="none"/>
        </w:rPr>
        <w:t>法定代表人或其委托代理人：_____（签字）  法定代表人或其委托代理人：___（签字）</w:t>
      </w:r>
    </w:p>
    <w:p>
      <w:pPr>
        <w:ind w:firstLine="1694" w:firstLineChars="807"/>
        <w:rPr>
          <w:rFonts w:ascii="宋体" w:hAnsi="宋体"/>
          <w:color w:val="auto"/>
          <w:highlight w:val="none"/>
        </w:rPr>
      </w:pPr>
      <w:r>
        <w:rPr>
          <w:rFonts w:hint="eastAsia" w:ascii="宋体" w:hAnsi="宋体"/>
          <w:color w:val="auto"/>
          <w:highlight w:val="none"/>
        </w:rPr>
        <w:t>______年_____月_____日                      ______年_____月_____日</w:t>
      </w:r>
    </w:p>
    <w:p>
      <w:pPr>
        <w:spacing w:line="400" w:lineRule="exact"/>
        <w:outlineLvl w:val="2"/>
        <w:rPr>
          <w:rFonts w:ascii="宋体" w:hAnsi="宋体"/>
          <w:color w:val="auto"/>
          <w:highlight w:val="none"/>
        </w:rPr>
      </w:pPr>
      <w:r>
        <w:rPr>
          <w:rFonts w:hint="eastAsia" w:ascii="宋体" w:hAnsi="宋体"/>
          <w:color w:val="auto"/>
          <w:highlight w:val="none"/>
        </w:rPr>
        <w:br w:type="page"/>
      </w:r>
      <w:bookmarkStart w:id="1520" w:name="_Toc466366113"/>
      <w:r>
        <w:rPr>
          <w:rFonts w:hint="eastAsia" w:ascii="宋体" w:hAnsi="宋体"/>
          <w:color w:val="auto"/>
          <w:highlight w:val="none"/>
        </w:rPr>
        <w:t>附件二  廉政合同</w:t>
      </w:r>
      <w:bookmarkEnd w:id="1520"/>
    </w:p>
    <w:p>
      <w:pPr>
        <w:spacing w:line="400" w:lineRule="exact"/>
        <w:jc w:val="center"/>
        <w:rPr>
          <w:rFonts w:ascii="宋体" w:hAnsi="宋体"/>
          <w:color w:val="auto"/>
          <w:highlight w:val="none"/>
        </w:rPr>
      </w:pPr>
      <w:r>
        <w:rPr>
          <w:rFonts w:hint="eastAsia" w:ascii="宋体" w:hAnsi="宋体"/>
          <w:b/>
          <w:color w:val="auto"/>
          <w:highlight w:val="none"/>
        </w:rPr>
        <w:t>廉政合同</w:t>
      </w:r>
    </w:p>
    <w:p>
      <w:pPr>
        <w:spacing w:line="400" w:lineRule="exact"/>
        <w:ind w:firstLine="420"/>
        <w:rPr>
          <w:rFonts w:ascii="宋体" w:hAnsi="宋体"/>
          <w:color w:val="auto"/>
          <w:highlight w:val="none"/>
        </w:rPr>
      </w:pPr>
      <w:r>
        <w:rPr>
          <w:rFonts w:hint="eastAsia" w:ascii="宋体" w:hAnsi="宋体"/>
          <w:color w:val="auto"/>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___________（项目名称）的项目法人_________（项目法人名称，以下简称“发包人”）与该项目___________标段的施工单位___________（施工单位名称，以下简称“承包人”），特订立如下合同。</w:t>
      </w:r>
    </w:p>
    <w:p>
      <w:pPr>
        <w:spacing w:line="400" w:lineRule="exact"/>
        <w:ind w:firstLine="420"/>
        <w:rPr>
          <w:rFonts w:ascii="宋体" w:hAnsi="宋体"/>
          <w:color w:val="auto"/>
          <w:highlight w:val="none"/>
        </w:rPr>
      </w:pPr>
      <w:r>
        <w:rPr>
          <w:rFonts w:hint="eastAsia" w:ascii="宋体" w:hAnsi="宋体"/>
          <w:color w:val="auto"/>
          <w:highlight w:val="none"/>
        </w:rPr>
        <w:t>1.发包人和承包人双方的权利和义务</w:t>
      </w:r>
    </w:p>
    <w:p>
      <w:pPr>
        <w:spacing w:line="400" w:lineRule="exact"/>
        <w:ind w:firstLine="420"/>
        <w:rPr>
          <w:rFonts w:ascii="宋体" w:hAnsi="宋体"/>
          <w:color w:val="auto"/>
          <w:highlight w:val="none"/>
        </w:rPr>
      </w:pPr>
      <w:r>
        <w:rPr>
          <w:rFonts w:hint="eastAsia" w:ascii="宋体" w:hAnsi="宋体"/>
          <w:color w:val="auto"/>
          <w:highlight w:val="none"/>
        </w:rPr>
        <w:t>（1）严格遵守党的政策规定和国家有关法律法规及交通运输部和浙江省交通运输厅的有关规定。</w:t>
      </w:r>
    </w:p>
    <w:p>
      <w:pPr>
        <w:spacing w:line="400" w:lineRule="exact"/>
        <w:ind w:firstLine="420"/>
        <w:rPr>
          <w:rFonts w:ascii="宋体" w:hAnsi="宋体"/>
          <w:color w:val="auto"/>
          <w:highlight w:val="none"/>
        </w:rPr>
      </w:pPr>
      <w:r>
        <w:rPr>
          <w:rFonts w:hint="eastAsia" w:ascii="宋体" w:hAnsi="宋体"/>
          <w:color w:val="auto"/>
          <w:highlight w:val="none"/>
        </w:rPr>
        <w:t>（2）严格执行</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标段施工合同文件，自觉按合同办事。</w:t>
      </w:r>
    </w:p>
    <w:p>
      <w:pPr>
        <w:spacing w:line="400" w:lineRule="exact"/>
        <w:ind w:firstLine="420"/>
        <w:rPr>
          <w:rFonts w:ascii="宋体" w:hAnsi="宋体"/>
          <w:color w:val="auto"/>
          <w:highlight w:val="none"/>
        </w:rPr>
      </w:pPr>
      <w:r>
        <w:rPr>
          <w:rFonts w:hint="eastAsia" w:ascii="宋体" w:hAnsi="宋体"/>
          <w:color w:val="auto"/>
          <w:highlight w:val="none"/>
        </w:rPr>
        <w:t>（3）双方的业务活动坚持公开、公正、诚信、透明的原则（法律认定的商业秘密和合同文件另有规定除外），不得损害国家和集体利益，不得违反工程建设管理规章制度。</w:t>
      </w:r>
    </w:p>
    <w:p>
      <w:pPr>
        <w:spacing w:line="400" w:lineRule="exact"/>
        <w:ind w:firstLine="420"/>
        <w:rPr>
          <w:rFonts w:ascii="宋体" w:hAnsi="宋体"/>
          <w:color w:val="auto"/>
          <w:highlight w:val="none"/>
        </w:rPr>
      </w:pPr>
      <w:r>
        <w:rPr>
          <w:rFonts w:hint="eastAsia" w:ascii="宋体" w:hAnsi="宋体"/>
          <w:color w:val="auto"/>
          <w:highlight w:val="none"/>
        </w:rPr>
        <w:t>（4）建立健全廉政制度，开展廉政教育，设立廉政告示牌，公布举报电话，监督并认真查处违法违纪行为。</w:t>
      </w:r>
    </w:p>
    <w:p>
      <w:pPr>
        <w:spacing w:line="400" w:lineRule="exact"/>
        <w:ind w:firstLine="420"/>
        <w:rPr>
          <w:rFonts w:ascii="宋体" w:hAnsi="宋体"/>
          <w:color w:val="auto"/>
          <w:highlight w:val="none"/>
        </w:rPr>
      </w:pPr>
      <w:r>
        <w:rPr>
          <w:rFonts w:hint="eastAsia" w:ascii="宋体" w:hAnsi="宋体"/>
          <w:color w:val="auto"/>
          <w:highlight w:val="none"/>
        </w:rPr>
        <w:t>（5）发现对方在业务活动中有违反廉政规定的行为，有及时提醒对方纠正的权利和义务。</w:t>
      </w:r>
    </w:p>
    <w:p>
      <w:pPr>
        <w:spacing w:line="400" w:lineRule="exact"/>
        <w:ind w:firstLine="420"/>
        <w:rPr>
          <w:rFonts w:ascii="宋体" w:hAnsi="宋体"/>
          <w:color w:val="auto"/>
          <w:highlight w:val="none"/>
        </w:rPr>
      </w:pPr>
      <w:r>
        <w:rPr>
          <w:rFonts w:hint="eastAsia" w:ascii="宋体" w:hAnsi="宋体"/>
          <w:color w:val="auto"/>
          <w:highlight w:val="none"/>
        </w:rPr>
        <w:t>（6）发现对方严重违反本合同义务条款的行为，有向其上级有关部门举报、建议给予处理并要求告知处理结果的权利。</w:t>
      </w:r>
    </w:p>
    <w:p>
      <w:pPr>
        <w:spacing w:line="400" w:lineRule="exact"/>
        <w:ind w:firstLine="420"/>
        <w:rPr>
          <w:rFonts w:ascii="宋体" w:hAnsi="宋体"/>
          <w:color w:val="auto"/>
          <w:highlight w:val="none"/>
        </w:rPr>
      </w:pPr>
      <w:r>
        <w:rPr>
          <w:rFonts w:hint="eastAsia" w:ascii="宋体" w:hAnsi="宋体"/>
          <w:color w:val="auto"/>
          <w:highlight w:val="none"/>
        </w:rPr>
        <w:t>2.发包人的义务</w:t>
      </w:r>
    </w:p>
    <w:p>
      <w:pPr>
        <w:spacing w:line="400" w:lineRule="exact"/>
        <w:ind w:firstLine="420"/>
        <w:rPr>
          <w:rFonts w:ascii="宋体" w:hAnsi="宋体"/>
          <w:color w:val="auto"/>
          <w:highlight w:val="none"/>
        </w:rPr>
      </w:pPr>
      <w:r>
        <w:rPr>
          <w:rFonts w:hint="eastAsia" w:ascii="宋体" w:hAnsi="宋体"/>
          <w:color w:val="auto"/>
          <w:highlight w:val="none"/>
        </w:rPr>
        <w:t>（1）发包人及其工作人员不得索要或接受承包人的礼金、有价证券和贵重物品，不得让承包人报销任何应由发包人或发包人工作人员个人支付的费用等。</w:t>
      </w:r>
    </w:p>
    <w:p>
      <w:pPr>
        <w:spacing w:line="400" w:lineRule="exact"/>
        <w:ind w:firstLine="420"/>
        <w:rPr>
          <w:rFonts w:ascii="宋体" w:hAnsi="宋体"/>
          <w:color w:val="auto"/>
          <w:highlight w:val="none"/>
        </w:rPr>
      </w:pPr>
      <w:r>
        <w:rPr>
          <w:rFonts w:hint="eastAsia" w:ascii="宋体" w:hAnsi="宋体"/>
          <w:color w:val="auto"/>
          <w:highlight w:val="none"/>
        </w:rPr>
        <w:t>（2）发包人工作人员不得参加承包人安排的超标准宴请和娱乐活动；不得接受承包人提供的通讯工具、交通工具和高档办公用品等。</w:t>
      </w:r>
    </w:p>
    <w:p>
      <w:pPr>
        <w:spacing w:line="400" w:lineRule="exact"/>
        <w:ind w:firstLine="420"/>
        <w:rPr>
          <w:rFonts w:ascii="宋体" w:hAnsi="宋体"/>
          <w:color w:val="auto"/>
          <w:highlight w:val="none"/>
        </w:rPr>
      </w:pPr>
      <w:r>
        <w:rPr>
          <w:rFonts w:hint="eastAsia" w:ascii="宋体" w:hAnsi="宋体"/>
          <w:color w:val="auto"/>
          <w:highlight w:val="none"/>
        </w:rPr>
        <w:t>（3）发包人及其工作人员不得要求或者接受承包人为其住房装修、婚丧嫁娶活动、配偶子女的工作安排以及出国出境、旅游等提供方便等。</w:t>
      </w:r>
    </w:p>
    <w:p>
      <w:pPr>
        <w:spacing w:line="400" w:lineRule="exact"/>
        <w:ind w:firstLine="420"/>
        <w:rPr>
          <w:rFonts w:ascii="宋体" w:hAnsi="宋体"/>
          <w:color w:val="auto"/>
          <w:highlight w:val="none"/>
        </w:rPr>
      </w:pPr>
      <w:r>
        <w:rPr>
          <w:rFonts w:hint="eastAsia" w:ascii="宋体" w:hAnsi="宋体"/>
          <w:color w:val="auto"/>
          <w:highlight w:val="none"/>
        </w:rPr>
        <w:t>（4）发包人工作人员及其配偶、子女不得从事与发包人工程有关的材料设备供应、工程分包、劳务等经济活动等。</w:t>
      </w:r>
    </w:p>
    <w:p>
      <w:pPr>
        <w:spacing w:line="400" w:lineRule="exact"/>
        <w:ind w:firstLine="420"/>
        <w:rPr>
          <w:rFonts w:ascii="宋体" w:hAnsi="宋体"/>
          <w:color w:val="auto"/>
          <w:highlight w:val="none"/>
        </w:rPr>
      </w:pPr>
      <w:r>
        <w:rPr>
          <w:rFonts w:hint="eastAsia" w:ascii="宋体" w:hAnsi="宋体"/>
          <w:color w:val="auto"/>
          <w:highlight w:val="none"/>
        </w:rPr>
        <w:t>（5）发包人及其工作人员不得以任何理由向承包人推荐分包单位或推销材料，不得要求承包人购买合同规定外的材料和设备。</w:t>
      </w:r>
    </w:p>
    <w:p>
      <w:pPr>
        <w:spacing w:line="400" w:lineRule="exact"/>
        <w:ind w:firstLine="420"/>
        <w:rPr>
          <w:rFonts w:ascii="宋体" w:hAnsi="宋体"/>
          <w:color w:val="auto"/>
          <w:highlight w:val="none"/>
        </w:rPr>
      </w:pPr>
      <w:r>
        <w:rPr>
          <w:rFonts w:hint="eastAsia" w:ascii="宋体" w:hAnsi="宋体"/>
          <w:color w:val="auto"/>
          <w:highlight w:val="none"/>
        </w:rPr>
        <w:t>（6）发包人工作人员要秉公办事，不准营私舞弊，不准利用职权从事各种个人有偿中介活动和安排个人施工队伍。</w:t>
      </w:r>
    </w:p>
    <w:p>
      <w:pPr>
        <w:spacing w:line="400" w:lineRule="exact"/>
        <w:ind w:firstLine="420"/>
        <w:rPr>
          <w:rFonts w:ascii="宋体" w:hAnsi="宋体"/>
          <w:color w:val="auto"/>
          <w:highlight w:val="none"/>
        </w:rPr>
      </w:pPr>
      <w:r>
        <w:rPr>
          <w:rFonts w:hint="eastAsia" w:ascii="宋体" w:hAnsi="宋体"/>
          <w:color w:val="auto"/>
          <w:highlight w:val="none"/>
        </w:rPr>
        <w:t>3.承包人的义务</w:t>
      </w:r>
    </w:p>
    <w:p>
      <w:pPr>
        <w:spacing w:line="400" w:lineRule="exact"/>
        <w:ind w:firstLine="420"/>
        <w:rPr>
          <w:rFonts w:ascii="宋体" w:hAnsi="宋体"/>
          <w:color w:val="auto"/>
          <w:highlight w:val="none"/>
        </w:rPr>
      </w:pPr>
      <w:r>
        <w:rPr>
          <w:rFonts w:hint="eastAsia" w:ascii="宋体" w:hAnsi="宋体"/>
          <w:color w:val="auto"/>
          <w:highlight w:val="none"/>
        </w:rPr>
        <w:t>（1）承包人不得以任何理由向发包人及其工作人员行贿或馈赠礼金、有价证券、贵重礼品。</w:t>
      </w:r>
    </w:p>
    <w:p>
      <w:pPr>
        <w:spacing w:line="400" w:lineRule="exact"/>
        <w:ind w:firstLine="420"/>
        <w:rPr>
          <w:rFonts w:ascii="宋体" w:hAnsi="宋体"/>
          <w:color w:val="auto"/>
          <w:highlight w:val="none"/>
        </w:rPr>
      </w:pPr>
      <w:r>
        <w:rPr>
          <w:rFonts w:hint="eastAsia" w:ascii="宋体" w:hAnsi="宋体"/>
          <w:color w:val="auto"/>
          <w:highlight w:val="none"/>
        </w:rPr>
        <w:t>（2）承包人不得以任何名义为发包人及其工作人员报销应由发包人单位或个人支付的任何费用。</w:t>
      </w:r>
    </w:p>
    <w:p>
      <w:pPr>
        <w:spacing w:line="400" w:lineRule="exact"/>
        <w:ind w:firstLine="420"/>
        <w:rPr>
          <w:rFonts w:ascii="宋体" w:hAnsi="宋体"/>
          <w:color w:val="auto"/>
          <w:highlight w:val="none"/>
        </w:rPr>
      </w:pPr>
      <w:r>
        <w:rPr>
          <w:rFonts w:hint="eastAsia" w:ascii="宋体" w:hAnsi="宋体"/>
          <w:color w:val="auto"/>
          <w:highlight w:val="none"/>
        </w:rPr>
        <w:t>（3）承包人不得以任何理由安排发包人工作人员参加超标准宴请及娱乐活动。</w:t>
      </w:r>
    </w:p>
    <w:p>
      <w:pPr>
        <w:spacing w:line="400" w:lineRule="exact"/>
        <w:ind w:firstLine="420"/>
        <w:rPr>
          <w:rFonts w:ascii="宋体" w:hAnsi="宋体"/>
          <w:color w:val="auto"/>
          <w:highlight w:val="none"/>
        </w:rPr>
      </w:pPr>
      <w:r>
        <w:rPr>
          <w:rFonts w:hint="eastAsia" w:ascii="宋体" w:hAnsi="宋体"/>
          <w:color w:val="auto"/>
          <w:highlight w:val="none"/>
        </w:rPr>
        <w:t>（4）承包人不得为发包人单位和个人购置或提供通讯工具、交通工具和高档办公用品等。</w:t>
      </w:r>
    </w:p>
    <w:p>
      <w:pPr>
        <w:spacing w:line="400" w:lineRule="exact"/>
        <w:ind w:firstLine="420"/>
        <w:rPr>
          <w:rFonts w:ascii="宋体" w:hAnsi="宋体"/>
          <w:color w:val="auto"/>
          <w:highlight w:val="none"/>
        </w:rPr>
      </w:pPr>
      <w:r>
        <w:rPr>
          <w:rFonts w:hint="eastAsia" w:ascii="宋体" w:hAnsi="宋体"/>
          <w:color w:val="auto"/>
          <w:highlight w:val="none"/>
        </w:rPr>
        <w:t>4.违约责任</w:t>
      </w:r>
    </w:p>
    <w:p>
      <w:pPr>
        <w:spacing w:line="400" w:lineRule="exact"/>
        <w:ind w:firstLine="420"/>
        <w:rPr>
          <w:rFonts w:ascii="宋体" w:hAnsi="宋体"/>
          <w:color w:val="auto"/>
          <w:highlight w:val="none"/>
        </w:rPr>
      </w:pPr>
      <w:r>
        <w:rPr>
          <w:rFonts w:hint="eastAsia" w:ascii="宋体" w:hAnsi="宋体"/>
          <w:color w:val="auto"/>
          <w:highlight w:val="none"/>
        </w:rPr>
        <w:t>（1）发包人及其工作人员违反本合同第1、2条，按管理权限，依据有关规定给予党纪、政纪或组织处理；涉嫌犯罪的，移交司法机关追究刑事责任；给承包人单位造成经济损失的，应予以赔偿。</w:t>
      </w:r>
    </w:p>
    <w:p>
      <w:pPr>
        <w:spacing w:line="400" w:lineRule="exact"/>
        <w:ind w:firstLine="420"/>
        <w:rPr>
          <w:rFonts w:ascii="宋体" w:hAnsi="宋体"/>
          <w:color w:val="auto"/>
          <w:highlight w:val="none"/>
        </w:rPr>
      </w:pPr>
      <w:r>
        <w:rPr>
          <w:rFonts w:hint="eastAsia" w:ascii="宋体" w:hAnsi="宋体"/>
          <w:color w:val="auto"/>
          <w:highlight w:val="none"/>
        </w:rPr>
        <w:t>（2）承包人及其工作人员违反本合同第1、3条，按管理权限，依据有关规定给予党纪、政纪或组织处理；给发包人单位造成经济损失的，应予以赔偿；情节严重的，发包人建议交通主管部门给予承包人一至三年内不得进入其主管的公路建设市场的处罚。</w:t>
      </w:r>
    </w:p>
    <w:p>
      <w:pPr>
        <w:spacing w:line="400" w:lineRule="exact"/>
        <w:ind w:firstLine="420"/>
        <w:rPr>
          <w:rFonts w:ascii="宋体" w:hAnsi="宋体"/>
          <w:color w:val="auto"/>
          <w:highlight w:val="none"/>
        </w:rPr>
      </w:pPr>
      <w:r>
        <w:rPr>
          <w:rFonts w:hint="eastAsia" w:ascii="宋体" w:hAnsi="宋体"/>
          <w:color w:val="auto"/>
          <w:highlight w:val="none"/>
        </w:rPr>
        <w:t>5.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pPr>
        <w:spacing w:line="400" w:lineRule="exact"/>
        <w:ind w:firstLine="435"/>
        <w:rPr>
          <w:rFonts w:ascii="宋体" w:hAnsi="宋体"/>
          <w:color w:val="auto"/>
          <w:highlight w:val="none"/>
        </w:rPr>
      </w:pPr>
      <w:r>
        <w:rPr>
          <w:rFonts w:hint="eastAsia" w:ascii="宋体" w:hAnsi="宋体"/>
          <w:color w:val="auto"/>
          <w:highlight w:val="none"/>
        </w:rPr>
        <w:t>6.本合同有效期为发包人和承包人签署之日起至该工程项目竣工验收后止。</w:t>
      </w:r>
    </w:p>
    <w:p>
      <w:pPr>
        <w:spacing w:line="400" w:lineRule="exact"/>
        <w:ind w:firstLine="435"/>
        <w:rPr>
          <w:rFonts w:ascii="宋体" w:hAnsi="宋体"/>
          <w:color w:val="auto"/>
          <w:highlight w:val="none"/>
        </w:rPr>
      </w:pPr>
      <w:r>
        <w:rPr>
          <w:rFonts w:hint="eastAsia" w:ascii="宋体" w:hAnsi="宋体"/>
          <w:color w:val="auto"/>
          <w:highlight w:val="none"/>
        </w:rPr>
        <w:t>7.本合同作为</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标段施工合同的附件，与工程施工合同具有同等的法律效力，经合同双方签署后立即生效。</w:t>
      </w:r>
    </w:p>
    <w:p>
      <w:pPr>
        <w:spacing w:line="400" w:lineRule="exact"/>
        <w:ind w:firstLine="420"/>
        <w:rPr>
          <w:rFonts w:ascii="宋体" w:hAnsi="宋体"/>
          <w:color w:val="auto"/>
          <w:highlight w:val="none"/>
        </w:rPr>
      </w:pPr>
      <w:r>
        <w:rPr>
          <w:rFonts w:hint="eastAsia" w:ascii="宋体" w:hAnsi="宋体"/>
          <w:color w:val="auto"/>
          <w:highlight w:val="none"/>
        </w:rPr>
        <w:t>8.本合同一式四份，由发包人和承包人各执一份，送交发包人和承包人的监督单位各一份。</w:t>
      </w:r>
    </w:p>
    <w:p>
      <w:pPr>
        <w:spacing w:line="400" w:lineRule="exact"/>
        <w:rPr>
          <w:rFonts w:hint="eastAsia" w:ascii="宋体" w:hAnsi="宋体"/>
          <w:color w:val="auto"/>
          <w:highlight w:val="none"/>
        </w:rPr>
      </w:pPr>
    </w:p>
    <w:p>
      <w:pPr>
        <w:spacing w:line="400" w:lineRule="exact"/>
        <w:rPr>
          <w:rFonts w:hint="eastAsia" w:ascii="宋体" w:hAnsi="宋体"/>
          <w:color w:val="auto"/>
          <w:highlight w:val="none"/>
        </w:rPr>
      </w:pPr>
    </w:p>
    <w:p>
      <w:pPr>
        <w:spacing w:line="400" w:lineRule="exact"/>
        <w:rPr>
          <w:rFonts w:ascii="宋体" w:hAnsi="宋体"/>
          <w:color w:val="auto"/>
          <w:highlight w:val="none"/>
        </w:rPr>
      </w:pPr>
      <w:r>
        <w:rPr>
          <w:rFonts w:hint="eastAsia" w:ascii="宋体" w:hAnsi="宋体"/>
          <w:color w:val="auto"/>
          <w:highlight w:val="none"/>
        </w:rPr>
        <w:t>发包人：</w:t>
      </w:r>
      <w:r>
        <w:rPr>
          <w:rFonts w:hint="eastAsia" w:ascii="宋体" w:hAnsi="宋体"/>
          <w:color w:val="auto"/>
          <w:highlight w:val="none"/>
          <w:u w:val="single"/>
        </w:rPr>
        <w:t xml:space="preserve">                          </w:t>
      </w:r>
      <w:r>
        <w:rPr>
          <w:rFonts w:hint="eastAsia" w:ascii="宋体" w:hAnsi="宋体"/>
          <w:color w:val="auto"/>
          <w:highlight w:val="none"/>
        </w:rPr>
        <w:t>（盖单位章）  承包人：</w:t>
      </w:r>
      <w:r>
        <w:rPr>
          <w:rFonts w:hint="eastAsia" w:ascii="宋体" w:hAnsi="宋体"/>
          <w:color w:val="auto"/>
          <w:highlight w:val="none"/>
          <w:u w:val="single"/>
        </w:rPr>
        <w:t xml:space="preserve">                    </w:t>
      </w:r>
      <w:r>
        <w:rPr>
          <w:rFonts w:hint="eastAsia" w:ascii="宋体" w:hAnsi="宋体"/>
          <w:color w:val="auto"/>
          <w:highlight w:val="none"/>
        </w:rPr>
        <w:t>（盖单位章）</w:t>
      </w:r>
    </w:p>
    <w:p>
      <w:pPr>
        <w:spacing w:line="400" w:lineRule="exact"/>
        <w:rPr>
          <w:rFonts w:ascii="宋体" w:hAnsi="宋体"/>
          <w:color w:val="auto"/>
          <w:highlight w:val="none"/>
        </w:rPr>
      </w:pPr>
      <w:r>
        <w:rPr>
          <w:rFonts w:hint="eastAsia" w:ascii="宋体" w:hAnsi="宋体"/>
          <w:color w:val="auto"/>
          <w:highlight w:val="none"/>
        </w:rPr>
        <w:t>法定代表人或其委托代理人：</w:t>
      </w:r>
      <w:r>
        <w:rPr>
          <w:rFonts w:hint="eastAsia" w:ascii="宋体" w:hAnsi="宋体"/>
          <w:color w:val="auto"/>
          <w:highlight w:val="none"/>
          <w:u w:val="single"/>
        </w:rPr>
        <w:t xml:space="preserve">          </w:t>
      </w:r>
      <w:r>
        <w:rPr>
          <w:rFonts w:hint="eastAsia" w:ascii="宋体" w:hAnsi="宋体"/>
          <w:color w:val="auto"/>
          <w:highlight w:val="none"/>
        </w:rPr>
        <w:t>（签字）     法定代表人或其委托代理人：_____（签字）    _________年____月_____日                          _________年____月_____日</w:t>
      </w:r>
    </w:p>
    <w:p>
      <w:pPr>
        <w:spacing w:line="400" w:lineRule="exact"/>
        <w:rPr>
          <w:rFonts w:ascii="宋体" w:hAnsi="宋体"/>
          <w:color w:val="auto"/>
          <w:highlight w:val="none"/>
        </w:rPr>
      </w:pPr>
      <w:r>
        <w:rPr>
          <w:rFonts w:hint="eastAsia" w:ascii="宋体" w:hAnsi="宋体"/>
          <w:color w:val="auto"/>
          <w:highlight w:val="none"/>
        </w:rPr>
        <w:t>发包人监督单位：</w:t>
      </w:r>
      <w:r>
        <w:rPr>
          <w:rFonts w:hint="eastAsia" w:ascii="宋体" w:hAnsi="宋体"/>
          <w:color w:val="auto"/>
          <w:highlight w:val="none"/>
          <w:u w:val="single"/>
        </w:rPr>
        <w:t xml:space="preserve">（全称）   （盖单位章） </w:t>
      </w:r>
      <w:r>
        <w:rPr>
          <w:rFonts w:hint="eastAsia" w:ascii="宋体" w:hAnsi="宋体"/>
          <w:color w:val="auto"/>
          <w:highlight w:val="none"/>
        </w:rPr>
        <w:t xml:space="preserve">        承包人监督单位：</w:t>
      </w:r>
      <w:r>
        <w:rPr>
          <w:rFonts w:hint="eastAsia" w:ascii="宋体" w:hAnsi="宋体"/>
          <w:color w:val="auto"/>
          <w:highlight w:val="none"/>
          <w:u w:val="single"/>
        </w:rPr>
        <w:t>（全称）     （盖单位章）</w:t>
      </w: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outlineLvl w:val="2"/>
        <w:rPr>
          <w:rFonts w:ascii="宋体" w:hAnsi="宋体"/>
          <w:color w:val="auto"/>
          <w:highlight w:val="none"/>
        </w:rPr>
      </w:pPr>
      <w:r>
        <w:rPr>
          <w:rFonts w:hint="eastAsia" w:ascii="宋体" w:hAnsi="宋体"/>
          <w:color w:val="auto"/>
          <w:highlight w:val="none"/>
        </w:rPr>
        <w:br w:type="column"/>
      </w:r>
      <w:bookmarkStart w:id="1521" w:name="_Toc466366114"/>
      <w:r>
        <w:rPr>
          <w:rFonts w:hint="eastAsia" w:ascii="宋体" w:hAnsi="宋体"/>
          <w:color w:val="auto"/>
          <w:highlight w:val="none"/>
        </w:rPr>
        <w:t>附件三  安全生产合同</w:t>
      </w:r>
      <w:bookmarkEnd w:id="1521"/>
    </w:p>
    <w:p>
      <w:pPr>
        <w:spacing w:line="400" w:lineRule="exact"/>
        <w:ind w:firstLine="420"/>
        <w:jc w:val="center"/>
        <w:rPr>
          <w:rFonts w:ascii="宋体" w:hAnsi="宋体"/>
          <w:color w:val="auto"/>
          <w:highlight w:val="none"/>
        </w:rPr>
      </w:pPr>
      <w:r>
        <w:rPr>
          <w:rFonts w:hint="eastAsia" w:ascii="宋体" w:hAnsi="宋体"/>
          <w:b/>
          <w:color w:val="auto"/>
          <w:highlight w:val="none"/>
        </w:rPr>
        <w:t>安全生产合同</w:t>
      </w:r>
    </w:p>
    <w:p>
      <w:pPr>
        <w:spacing w:line="400" w:lineRule="exact"/>
        <w:ind w:firstLine="420" w:firstLineChars="200"/>
        <w:rPr>
          <w:rFonts w:ascii="宋体" w:hAnsi="宋体"/>
          <w:color w:val="auto"/>
          <w:highlight w:val="none"/>
        </w:rPr>
      </w:pPr>
      <w:r>
        <w:rPr>
          <w:rFonts w:hint="eastAsia" w:ascii="宋体" w:hAnsi="宋体"/>
          <w:color w:val="auto"/>
          <w:highlight w:val="none"/>
        </w:rPr>
        <w:t xml:space="preserve">  为在</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（标段）施工合同的实施过程中创造安全、高效的施工环境，切实搞好本项目的安全管理工作，本项目发包人</w:t>
      </w:r>
      <w:r>
        <w:rPr>
          <w:rFonts w:hint="eastAsia" w:ascii="宋体" w:hAnsi="宋体"/>
          <w:color w:val="auto"/>
          <w:highlight w:val="none"/>
          <w:u w:val="single"/>
        </w:rPr>
        <w:t xml:space="preserve">    </w:t>
      </w:r>
      <w:r>
        <w:rPr>
          <w:rFonts w:hint="eastAsia" w:ascii="宋体" w:hAnsi="宋体"/>
          <w:color w:val="auto"/>
          <w:highlight w:val="none"/>
        </w:rPr>
        <w:t>（发包人名称，以下简称“发包人”）与承包人</w:t>
      </w:r>
      <w:r>
        <w:rPr>
          <w:rFonts w:hint="eastAsia" w:ascii="宋体" w:hAnsi="宋体"/>
          <w:color w:val="auto"/>
          <w:highlight w:val="none"/>
          <w:u w:val="single"/>
        </w:rPr>
        <w:t xml:space="preserve">    </w:t>
      </w:r>
      <w:r>
        <w:rPr>
          <w:rFonts w:hint="eastAsia" w:ascii="宋体" w:hAnsi="宋体"/>
          <w:color w:val="auto"/>
          <w:highlight w:val="none"/>
        </w:rPr>
        <w:t>（承包人名称，以下简称“承包人”）特此签订安全生产合同：</w:t>
      </w:r>
    </w:p>
    <w:p>
      <w:pPr>
        <w:spacing w:line="400" w:lineRule="exact"/>
        <w:ind w:firstLine="420" w:firstLineChars="200"/>
        <w:rPr>
          <w:rFonts w:ascii="宋体" w:hAnsi="宋体"/>
          <w:color w:val="auto"/>
          <w:highlight w:val="none"/>
        </w:rPr>
      </w:pPr>
      <w:r>
        <w:rPr>
          <w:rFonts w:hint="eastAsia" w:ascii="宋体" w:hAnsi="宋体"/>
          <w:color w:val="auto"/>
          <w:highlight w:val="none"/>
        </w:rPr>
        <w:t>1.发包人职责</w:t>
      </w:r>
    </w:p>
    <w:p>
      <w:pPr>
        <w:spacing w:line="400" w:lineRule="exact"/>
        <w:ind w:firstLine="420" w:firstLineChars="200"/>
        <w:rPr>
          <w:rFonts w:ascii="宋体" w:hAnsi="宋体"/>
          <w:color w:val="auto"/>
          <w:highlight w:val="none"/>
        </w:rPr>
      </w:pPr>
      <w:r>
        <w:rPr>
          <w:rFonts w:hint="eastAsia" w:ascii="宋体" w:hAnsi="宋体"/>
          <w:color w:val="auto"/>
          <w:highlight w:val="none"/>
        </w:rPr>
        <w:t>（1）严格遵守国家有关安全生产的法律法规，认真执行工程承包合同中的有关安全要求。</w:t>
      </w:r>
    </w:p>
    <w:p>
      <w:pPr>
        <w:spacing w:line="400" w:lineRule="exact"/>
        <w:ind w:firstLine="420" w:firstLineChars="200"/>
        <w:rPr>
          <w:rFonts w:ascii="宋体" w:hAnsi="宋体"/>
          <w:color w:val="auto"/>
          <w:highlight w:val="none"/>
        </w:rPr>
      </w:pPr>
      <w:r>
        <w:rPr>
          <w:rFonts w:hint="eastAsia" w:ascii="宋体" w:hAnsi="宋体"/>
          <w:color w:val="auto"/>
          <w:highlight w:val="none"/>
        </w:rPr>
        <w:t>（2）按照“安全第一、预防为主、综合治理”和坚持“管生产必须管安全”的原则进行安全生产管理，做到生产与安全工作同时计划、布置、检查、总结和评比。</w:t>
      </w:r>
    </w:p>
    <w:p>
      <w:pPr>
        <w:spacing w:line="400" w:lineRule="exact"/>
        <w:ind w:firstLine="420" w:firstLineChars="200"/>
        <w:rPr>
          <w:rFonts w:ascii="宋体" w:hAnsi="宋体"/>
          <w:color w:val="auto"/>
          <w:highlight w:val="none"/>
        </w:rPr>
      </w:pPr>
      <w:r>
        <w:rPr>
          <w:rFonts w:hint="eastAsia" w:ascii="宋体" w:hAnsi="宋体"/>
          <w:color w:val="auto"/>
          <w:highlight w:val="none"/>
        </w:rPr>
        <w:t>（3）重要的安全设施必须坚持与主体工程“三同时”的原则，即：同时设计、审批，同时施工，同时验收，投入使用。</w:t>
      </w:r>
    </w:p>
    <w:p>
      <w:pPr>
        <w:spacing w:line="400" w:lineRule="exact"/>
        <w:ind w:firstLine="420" w:firstLineChars="200"/>
        <w:rPr>
          <w:rFonts w:ascii="宋体" w:hAnsi="宋体"/>
          <w:color w:val="auto"/>
          <w:highlight w:val="none"/>
        </w:rPr>
      </w:pPr>
      <w:r>
        <w:rPr>
          <w:rFonts w:hint="eastAsia" w:ascii="宋体" w:hAnsi="宋体"/>
          <w:color w:val="auto"/>
          <w:highlight w:val="none"/>
        </w:rPr>
        <w:t>（4）定期召开安全生产调度会，及时传达中央及地方有关安全生产的精神。</w:t>
      </w:r>
    </w:p>
    <w:p>
      <w:pPr>
        <w:spacing w:line="400" w:lineRule="exact"/>
        <w:ind w:firstLine="420" w:firstLineChars="200"/>
        <w:rPr>
          <w:rFonts w:ascii="宋体" w:hAnsi="宋体"/>
          <w:color w:val="auto"/>
          <w:highlight w:val="none"/>
        </w:rPr>
      </w:pPr>
      <w:r>
        <w:rPr>
          <w:rFonts w:hint="eastAsia" w:ascii="宋体" w:hAnsi="宋体"/>
          <w:color w:val="auto"/>
          <w:highlight w:val="none"/>
        </w:rPr>
        <w:t>（5）组织对承包人施工现场安全生产检查，监督承包人及时处理发现的各种安全隐患。</w:t>
      </w:r>
    </w:p>
    <w:p>
      <w:pPr>
        <w:spacing w:line="400" w:lineRule="exact"/>
        <w:ind w:firstLine="420" w:firstLineChars="200"/>
        <w:rPr>
          <w:rFonts w:ascii="宋体" w:hAnsi="宋体"/>
          <w:color w:val="auto"/>
          <w:highlight w:val="none"/>
        </w:rPr>
      </w:pPr>
      <w:r>
        <w:rPr>
          <w:rFonts w:hint="eastAsia" w:ascii="宋体" w:hAnsi="宋体"/>
          <w:color w:val="auto"/>
          <w:highlight w:val="none"/>
        </w:rPr>
        <w:t>2.承包人职责</w:t>
      </w:r>
    </w:p>
    <w:p>
      <w:pPr>
        <w:spacing w:line="400" w:lineRule="exact"/>
        <w:ind w:firstLine="420" w:firstLineChars="200"/>
        <w:rPr>
          <w:rFonts w:ascii="宋体" w:hAnsi="宋体"/>
          <w:color w:val="auto"/>
          <w:highlight w:val="none"/>
        </w:rPr>
      </w:pPr>
      <w:r>
        <w:rPr>
          <w:rFonts w:hint="eastAsia" w:ascii="宋体" w:hAnsi="宋体"/>
          <w:color w:val="auto"/>
          <w:highlight w:val="none"/>
        </w:rPr>
        <w:t>（1）严格遵守《中华人民共和国安全生产法》、《建设工程安全生产管理条例》等国家有关安全生产的法律法规、《公路水运工程安全生产监督管理办法》、《公路工程施工安全技术规程》和《公路筑养路机械操作规程》等有关安全生产的规定。认真执行工程承包合同中的有关安全要求。</w:t>
      </w:r>
    </w:p>
    <w:p>
      <w:pPr>
        <w:spacing w:line="400" w:lineRule="exact"/>
        <w:ind w:firstLine="420" w:firstLineChars="200"/>
        <w:rPr>
          <w:rFonts w:ascii="宋体" w:hAnsi="宋体"/>
          <w:color w:val="auto"/>
          <w:highlight w:val="none"/>
        </w:rPr>
      </w:pPr>
      <w:r>
        <w:rPr>
          <w:rFonts w:hint="eastAsia" w:ascii="宋体" w:hAnsi="宋体"/>
          <w:color w:val="auto"/>
          <w:highlight w:val="none"/>
        </w:rPr>
        <w:t>（2）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pPr>
        <w:spacing w:line="400" w:lineRule="exact"/>
        <w:ind w:firstLine="420" w:firstLineChars="200"/>
        <w:rPr>
          <w:rFonts w:ascii="宋体" w:hAnsi="宋体"/>
          <w:color w:val="auto"/>
          <w:highlight w:val="none"/>
        </w:rPr>
      </w:pPr>
      <w:r>
        <w:rPr>
          <w:rFonts w:hint="eastAsia" w:ascii="宋体" w:hAnsi="宋体"/>
          <w:color w:val="auto"/>
          <w:highlight w:val="none"/>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pPr>
        <w:spacing w:line="400" w:lineRule="exact"/>
        <w:ind w:firstLine="420" w:firstLineChars="200"/>
        <w:rPr>
          <w:rFonts w:ascii="宋体" w:hAnsi="宋体"/>
          <w:color w:val="auto"/>
          <w:highlight w:val="none"/>
        </w:rPr>
      </w:pPr>
      <w:r>
        <w:rPr>
          <w:rFonts w:hint="eastAsia" w:ascii="宋体" w:hAnsi="宋体"/>
          <w:color w:val="auto"/>
          <w:highlight w:val="none"/>
        </w:rPr>
        <w:t>（4）承包人在任何时候都应采取各种合理的预防措施，防止其员工发生任何违法、违禁、暴力或妨碍治安的行为。</w:t>
      </w:r>
    </w:p>
    <w:p>
      <w:pPr>
        <w:spacing w:line="400" w:lineRule="exact"/>
        <w:ind w:firstLine="420" w:firstLineChars="200"/>
        <w:rPr>
          <w:rFonts w:ascii="宋体" w:hAnsi="宋体"/>
          <w:color w:val="auto"/>
          <w:highlight w:val="none"/>
        </w:rPr>
      </w:pPr>
      <w:r>
        <w:rPr>
          <w:rFonts w:hint="eastAsia" w:ascii="宋体" w:hAnsi="宋体"/>
          <w:color w:val="auto"/>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pPr>
        <w:spacing w:line="400" w:lineRule="exact"/>
        <w:ind w:firstLine="420" w:firstLineChars="200"/>
        <w:rPr>
          <w:rFonts w:ascii="宋体" w:hAnsi="宋体"/>
          <w:color w:val="auto"/>
          <w:highlight w:val="none"/>
        </w:rPr>
      </w:pPr>
      <w:r>
        <w:rPr>
          <w:rFonts w:hint="eastAsia" w:ascii="宋体" w:hAnsi="宋体"/>
          <w:color w:val="auto"/>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pPr>
        <w:spacing w:line="400" w:lineRule="exact"/>
        <w:ind w:firstLine="420" w:firstLineChars="200"/>
        <w:rPr>
          <w:rFonts w:ascii="宋体" w:hAnsi="宋体"/>
          <w:color w:val="auto"/>
          <w:highlight w:val="none"/>
        </w:rPr>
      </w:pPr>
      <w:r>
        <w:rPr>
          <w:rFonts w:hint="eastAsia" w:ascii="宋体" w:hAnsi="宋体"/>
          <w:color w:val="auto"/>
          <w:highlight w:val="none"/>
        </w:rPr>
        <w:t>（7）操作人员上岗，必须按规定穿戴防护用品。施工负责人和安全检查员应随时检查劳动防护用品的穿戴情况，不按规定穿戴防护用品的人员不得上岗。</w:t>
      </w:r>
    </w:p>
    <w:p>
      <w:pPr>
        <w:spacing w:line="400" w:lineRule="exact"/>
        <w:ind w:firstLine="420" w:firstLineChars="200"/>
        <w:rPr>
          <w:rFonts w:ascii="宋体" w:hAnsi="宋体"/>
          <w:color w:val="auto"/>
          <w:highlight w:val="none"/>
        </w:rPr>
      </w:pPr>
      <w:r>
        <w:rPr>
          <w:rFonts w:hint="eastAsia" w:ascii="宋体" w:hAnsi="宋体"/>
          <w:color w:val="auto"/>
          <w:highlight w:val="none"/>
        </w:rPr>
        <w:t>（8）所有施工机具设备和高空作业的设备均应定期检查，并有安全员的签字记录，保证其经常处于完好状态；不合格的机具、设备和劳动保护用品严禁使用：</w:t>
      </w:r>
    </w:p>
    <w:p>
      <w:pPr>
        <w:spacing w:line="400" w:lineRule="exact"/>
        <w:ind w:firstLine="420" w:firstLineChars="200"/>
        <w:rPr>
          <w:rFonts w:ascii="宋体" w:hAnsi="宋体"/>
          <w:color w:val="auto"/>
          <w:highlight w:val="none"/>
        </w:rPr>
      </w:pPr>
      <w:r>
        <w:rPr>
          <w:rFonts w:hint="eastAsia" w:ascii="宋体" w:hAnsi="宋体"/>
          <w:color w:val="auto"/>
          <w:highlight w:val="none"/>
        </w:rPr>
        <w:t>（9）施工中采用新技术、新工艺、新设备、新材料时，必须制定相应的安全技术措施，施工现场必须具有相关的安全标志牌。</w:t>
      </w:r>
    </w:p>
    <w:p>
      <w:pPr>
        <w:spacing w:line="400" w:lineRule="exact"/>
        <w:ind w:firstLine="420" w:firstLineChars="200"/>
        <w:rPr>
          <w:rFonts w:ascii="宋体" w:hAnsi="宋体"/>
          <w:color w:val="auto"/>
          <w:highlight w:val="none"/>
        </w:rPr>
      </w:pPr>
      <w:r>
        <w:rPr>
          <w:rFonts w:hint="eastAsia" w:ascii="宋体" w:hAnsi="宋体"/>
          <w:color w:val="auto"/>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（11）安全生产费用按照</w:t>
      </w:r>
      <w:r>
        <w:rPr>
          <w:rFonts w:hint="eastAsia" w:ascii="宋体" w:hAnsi="宋体"/>
          <w:b/>
          <w:color w:val="auto"/>
          <w:szCs w:val="21"/>
          <w:highlight w:val="none"/>
        </w:rPr>
        <w:t>浙江省交通运输厅关于印发《浙江省交通建设工程安全生产费用管理办法》的通知》（浙交〔2021〕12 号）</w:t>
      </w:r>
      <w:r>
        <w:rPr>
          <w:rFonts w:hint="eastAsia" w:ascii="宋体" w:hAnsi="宋体"/>
          <w:color w:val="auto"/>
          <w:highlight w:val="none"/>
        </w:rPr>
        <w:t>的相关规定使用和管理。</w:t>
      </w:r>
    </w:p>
    <w:p>
      <w:pPr>
        <w:spacing w:line="400" w:lineRule="exact"/>
        <w:ind w:firstLine="420" w:firstLineChars="200"/>
        <w:rPr>
          <w:rFonts w:ascii="宋体" w:hAnsi="宋体"/>
          <w:color w:val="auto"/>
          <w:highlight w:val="none"/>
        </w:rPr>
      </w:pPr>
      <w:r>
        <w:rPr>
          <w:rFonts w:hint="eastAsia" w:ascii="宋体" w:hAnsi="宋体"/>
          <w:color w:val="auto"/>
          <w:highlight w:val="none"/>
        </w:rPr>
        <w:t>3.违约责任</w:t>
      </w:r>
    </w:p>
    <w:p>
      <w:pPr>
        <w:spacing w:line="400" w:lineRule="exact"/>
        <w:ind w:firstLine="420" w:firstLineChars="200"/>
        <w:rPr>
          <w:rFonts w:ascii="宋体" w:hAnsi="宋体"/>
          <w:color w:val="auto"/>
          <w:highlight w:val="none"/>
        </w:rPr>
      </w:pPr>
      <w:r>
        <w:rPr>
          <w:rFonts w:hint="eastAsia" w:ascii="宋体" w:hAnsi="宋体"/>
          <w:color w:val="auto"/>
          <w:highlight w:val="none"/>
        </w:rPr>
        <w:t>如因发包人或承包人违约造成安全事故，将依法追究责任。</w:t>
      </w:r>
    </w:p>
    <w:p>
      <w:pPr>
        <w:spacing w:line="400" w:lineRule="exact"/>
        <w:ind w:firstLine="420" w:firstLineChars="200"/>
        <w:rPr>
          <w:rFonts w:ascii="宋体" w:hAnsi="宋体"/>
          <w:color w:val="auto"/>
          <w:highlight w:val="none"/>
        </w:rPr>
      </w:pPr>
      <w:r>
        <w:rPr>
          <w:rFonts w:hint="eastAsia" w:ascii="宋体" w:hAnsi="宋体"/>
          <w:color w:val="auto"/>
          <w:highlight w:val="none"/>
        </w:rPr>
        <w:t>4.本合同由双方法定代表人或其授权的代理人签署并加盖单位章后生效，全部工程竣工验收后失效。</w:t>
      </w:r>
    </w:p>
    <w:p>
      <w:pPr>
        <w:spacing w:line="400" w:lineRule="exact"/>
        <w:ind w:firstLine="420" w:firstLineChars="200"/>
        <w:rPr>
          <w:rFonts w:ascii="宋体" w:hAnsi="宋体"/>
          <w:color w:val="auto"/>
          <w:highlight w:val="none"/>
        </w:rPr>
      </w:pPr>
      <w:r>
        <w:rPr>
          <w:rFonts w:hint="eastAsia" w:ascii="宋体" w:hAnsi="宋体"/>
          <w:color w:val="auto"/>
          <w:highlight w:val="none"/>
        </w:rPr>
        <w:t>5.本合同正本—式二份，副本</w:t>
      </w:r>
      <w:r>
        <w:rPr>
          <w:rFonts w:hint="eastAsia" w:ascii="宋体" w:hAnsi="宋体"/>
          <w:color w:val="auto"/>
          <w:highlight w:val="none"/>
          <w:u w:val="single"/>
        </w:rPr>
        <w:t xml:space="preserve">  </w:t>
      </w:r>
      <w:r>
        <w:rPr>
          <w:rFonts w:hint="eastAsia" w:ascii="宋体" w:hAnsi="宋体"/>
          <w:color w:val="auto"/>
          <w:highlight w:val="none"/>
        </w:rPr>
        <w:t>份，合同双方各执正本—份，副本</w:t>
      </w:r>
      <w:r>
        <w:rPr>
          <w:rFonts w:hint="eastAsia" w:ascii="宋体" w:hAnsi="宋体"/>
          <w:color w:val="auto"/>
          <w:highlight w:val="none"/>
          <w:u w:val="single"/>
        </w:rPr>
        <w:t xml:space="preserve">  </w:t>
      </w:r>
      <w:r>
        <w:rPr>
          <w:rFonts w:hint="eastAsia" w:ascii="宋体" w:hAnsi="宋体"/>
          <w:color w:val="auto"/>
          <w:highlight w:val="none"/>
        </w:rPr>
        <w:t>份，当正本与副本的内容不一致时，以正本为准。</w:t>
      </w:r>
    </w:p>
    <w:p>
      <w:pPr>
        <w:rPr>
          <w:rFonts w:ascii="宋体" w:hAnsi="宋体"/>
          <w:color w:val="auto"/>
          <w:highlight w:val="none"/>
        </w:rPr>
      </w:pPr>
    </w:p>
    <w:p>
      <w:pPr>
        <w:spacing w:line="400" w:lineRule="exact"/>
        <w:rPr>
          <w:rFonts w:ascii="宋体" w:hAnsi="宋体"/>
          <w:color w:val="auto"/>
          <w:highlight w:val="none"/>
        </w:rPr>
      </w:pPr>
      <w:r>
        <w:rPr>
          <w:rFonts w:ascii="宋体" w:hAnsi="宋体"/>
          <w:color w:val="auto"/>
          <w:highlight w:val="none"/>
        </w:rPr>
        <w:t>发包人：</w:t>
      </w:r>
      <w:r>
        <w:rPr>
          <w:rFonts w:hint="eastAsia" w:ascii="宋体" w:hAnsi="宋体"/>
          <w:color w:val="auto"/>
          <w:highlight w:val="none"/>
          <w:u w:val="single"/>
        </w:rPr>
        <w:t xml:space="preserve">                </w:t>
      </w:r>
      <w:r>
        <w:rPr>
          <w:rFonts w:ascii="宋体" w:hAnsi="宋体"/>
          <w:color w:val="auto"/>
          <w:highlight w:val="none"/>
        </w:rPr>
        <w:t>（盖单位章）</w:t>
      </w:r>
      <w:r>
        <w:rPr>
          <w:rFonts w:hint="eastAsia" w:ascii="宋体" w:hAnsi="宋体"/>
          <w:color w:val="auto"/>
          <w:highlight w:val="none"/>
        </w:rPr>
        <w:t xml:space="preserve">  </w:t>
      </w:r>
      <w:r>
        <w:rPr>
          <w:rFonts w:ascii="宋体" w:hAnsi="宋体"/>
          <w:color w:val="auto"/>
          <w:highlight w:val="none"/>
        </w:rPr>
        <w:t>承包人：</w:t>
      </w:r>
      <w:r>
        <w:rPr>
          <w:rFonts w:hint="eastAsia" w:ascii="宋体" w:hAnsi="宋体"/>
          <w:color w:val="auto"/>
          <w:highlight w:val="none"/>
          <w:u w:val="single"/>
        </w:rPr>
        <w:t xml:space="preserve">                </w:t>
      </w:r>
      <w:r>
        <w:rPr>
          <w:rFonts w:ascii="宋体" w:hAnsi="宋体"/>
          <w:color w:val="auto"/>
          <w:highlight w:val="none"/>
        </w:rPr>
        <w:t xml:space="preserve">（盖单位章） </w:t>
      </w:r>
    </w:p>
    <w:p>
      <w:pPr>
        <w:spacing w:line="400" w:lineRule="exact"/>
        <w:rPr>
          <w:rFonts w:ascii="宋体" w:hAnsi="宋体"/>
          <w:color w:val="auto"/>
          <w:highlight w:val="none"/>
        </w:rPr>
      </w:pPr>
      <w:r>
        <w:rPr>
          <w:rFonts w:ascii="宋体" w:hAnsi="宋体"/>
          <w:color w:val="auto"/>
          <w:highlight w:val="none"/>
        </w:rPr>
        <w:t>法定代表人或其委托代理人：</w:t>
      </w:r>
      <w:r>
        <w:rPr>
          <w:rFonts w:hint="eastAsia" w:ascii="宋体" w:hAnsi="宋体"/>
          <w:color w:val="auto"/>
          <w:highlight w:val="none"/>
          <w:u w:val="single"/>
        </w:rPr>
        <w:t xml:space="preserve">   </w:t>
      </w:r>
      <w:r>
        <w:rPr>
          <w:rFonts w:hint="eastAsia" w:ascii="宋体" w:hAnsi="宋体"/>
          <w:color w:val="auto"/>
          <w:highlight w:val="none"/>
        </w:rPr>
        <w:t>（</w:t>
      </w:r>
      <w:r>
        <w:rPr>
          <w:rFonts w:ascii="宋体" w:hAnsi="宋体"/>
          <w:color w:val="auto"/>
          <w:highlight w:val="none"/>
        </w:rPr>
        <w:t>签字）</w:t>
      </w:r>
      <w:r>
        <w:rPr>
          <w:rFonts w:hint="eastAsia" w:ascii="宋体" w:hAnsi="宋体"/>
          <w:color w:val="auto"/>
          <w:highlight w:val="none"/>
        </w:rPr>
        <w:t xml:space="preserve">  </w:t>
      </w:r>
      <w:r>
        <w:rPr>
          <w:rFonts w:ascii="宋体" w:hAnsi="宋体"/>
          <w:color w:val="auto"/>
          <w:highlight w:val="none"/>
        </w:rPr>
        <w:t>法定代表人或其委托代理人：</w:t>
      </w:r>
      <w:r>
        <w:rPr>
          <w:rFonts w:hint="eastAsia" w:ascii="宋体" w:hAnsi="宋体"/>
          <w:color w:val="auto"/>
          <w:highlight w:val="none"/>
          <w:u w:val="single"/>
        </w:rPr>
        <w:t xml:space="preserve">    </w:t>
      </w:r>
      <w:r>
        <w:rPr>
          <w:rFonts w:ascii="宋体" w:hAnsi="宋体"/>
          <w:color w:val="auto"/>
          <w:highlight w:val="none"/>
        </w:rPr>
        <w:t>（签字）</w:t>
      </w:r>
    </w:p>
    <w:p>
      <w:pPr>
        <w:spacing w:line="400" w:lineRule="exact"/>
        <w:ind w:firstLine="435"/>
        <w:rPr>
          <w:rFonts w:ascii="宋体" w:hAnsi="宋体"/>
          <w:color w:val="auto"/>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ascii="宋体" w:hAnsi="宋体"/>
          <w:color w:val="auto"/>
          <w:highlight w:val="none"/>
        </w:rPr>
        <w:t>年</w:t>
      </w:r>
      <w:r>
        <w:rPr>
          <w:rFonts w:hint="eastAsia" w:ascii="宋体" w:hAnsi="宋体"/>
          <w:color w:val="auto"/>
          <w:highlight w:val="none"/>
          <w:u w:val="single"/>
        </w:rPr>
        <w:t xml:space="preserve">    </w:t>
      </w:r>
      <w:r>
        <w:rPr>
          <w:rFonts w:ascii="宋体" w:hAnsi="宋体"/>
          <w:color w:val="auto"/>
          <w:highlight w:val="none"/>
        </w:rPr>
        <w:t>月</w:t>
      </w:r>
      <w:r>
        <w:rPr>
          <w:rFonts w:hint="eastAsia" w:ascii="宋体" w:hAnsi="宋体"/>
          <w:color w:val="auto"/>
          <w:highlight w:val="none"/>
          <w:u w:val="single"/>
        </w:rPr>
        <w:t xml:space="preserve">    </w:t>
      </w:r>
      <w:r>
        <w:rPr>
          <w:rFonts w:ascii="宋体" w:hAnsi="宋体"/>
          <w:color w:val="auto"/>
          <w:highlight w:val="none"/>
        </w:rPr>
        <w:t>日</w:t>
      </w:r>
      <w:r>
        <w:rPr>
          <w:rFonts w:hint="eastAsia" w:ascii="宋体" w:hAnsi="宋体"/>
          <w:color w:val="auto"/>
          <w:highlight w:val="none"/>
        </w:rPr>
        <w:t xml:space="preserve">                       </w:t>
      </w:r>
      <w:r>
        <w:rPr>
          <w:rFonts w:hint="eastAsia" w:ascii="宋体" w:hAnsi="宋体"/>
          <w:color w:val="auto"/>
          <w:highlight w:val="none"/>
          <w:u w:val="single"/>
        </w:rPr>
        <w:t xml:space="preserve">      </w:t>
      </w:r>
      <w:r>
        <w:rPr>
          <w:rFonts w:ascii="宋体" w:hAnsi="宋体"/>
          <w:color w:val="auto"/>
          <w:highlight w:val="none"/>
        </w:rPr>
        <w:t>年</w:t>
      </w:r>
      <w:r>
        <w:rPr>
          <w:rFonts w:hint="eastAsia" w:ascii="宋体" w:hAnsi="宋体"/>
          <w:color w:val="auto"/>
          <w:highlight w:val="none"/>
          <w:u w:val="single"/>
        </w:rPr>
        <w:t xml:space="preserve">    </w:t>
      </w:r>
      <w:r>
        <w:rPr>
          <w:rFonts w:ascii="宋体" w:hAnsi="宋体"/>
          <w:color w:val="auto"/>
          <w:highlight w:val="none"/>
        </w:rPr>
        <w:t>月</w:t>
      </w:r>
      <w:r>
        <w:rPr>
          <w:rFonts w:hint="eastAsia" w:ascii="宋体" w:hAnsi="宋体"/>
          <w:color w:val="auto"/>
          <w:highlight w:val="none"/>
          <w:u w:val="single"/>
        </w:rPr>
        <w:t xml:space="preserve">    </w:t>
      </w:r>
      <w:r>
        <w:rPr>
          <w:rFonts w:ascii="宋体" w:hAnsi="宋体"/>
          <w:color w:val="auto"/>
          <w:highlight w:val="none"/>
        </w:rPr>
        <w:t>日</w:t>
      </w: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hint="eastAsia" w:ascii="宋体" w:hAnsi="宋体"/>
          <w:color w:val="auto"/>
          <w:highlight w:val="none"/>
        </w:rPr>
      </w:pPr>
    </w:p>
    <w:p>
      <w:pPr>
        <w:spacing w:line="400" w:lineRule="exact"/>
        <w:rPr>
          <w:rFonts w:hint="eastAsia" w:ascii="宋体" w:hAnsi="宋体"/>
          <w:color w:val="auto"/>
          <w:highlight w:val="none"/>
        </w:rPr>
      </w:pPr>
    </w:p>
    <w:p>
      <w:pPr>
        <w:spacing w:line="400" w:lineRule="exact"/>
        <w:rPr>
          <w:rFonts w:hint="eastAsia" w:ascii="宋体" w:hAnsi="宋体"/>
          <w:color w:val="auto"/>
          <w:highlight w:val="none"/>
        </w:rPr>
      </w:pPr>
    </w:p>
    <w:p>
      <w:pPr>
        <w:spacing w:line="400" w:lineRule="exact"/>
        <w:outlineLvl w:val="2"/>
        <w:rPr>
          <w:rFonts w:hint="eastAsia" w:ascii="宋体" w:hAnsi="宋体"/>
          <w:color w:val="auto"/>
          <w:highlight w:val="none"/>
        </w:rPr>
      </w:pPr>
      <w:r>
        <w:rPr>
          <w:rFonts w:hint="eastAsia" w:ascii="宋体" w:hAnsi="宋体"/>
          <w:color w:val="auto"/>
          <w:highlight w:val="none"/>
        </w:rPr>
        <w:br w:type="page"/>
      </w:r>
      <w:bookmarkStart w:id="1522" w:name="_Toc466366115"/>
      <w:r>
        <w:rPr>
          <w:rFonts w:hint="eastAsia" w:ascii="宋体" w:hAnsi="宋体"/>
          <w:color w:val="auto"/>
          <w:highlight w:val="none"/>
        </w:rPr>
        <w:t>附件四  其他主要管理人员和技术人员最低要求</w:t>
      </w:r>
      <w:bookmarkEnd w:id="1522"/>
    </w:p>
    <w:p>
      <w:pPr>
        <w:spacing w:line="400" w:lineRule="exact"/>
        <w:jc w:val="center"/>
        <w:rPr>
          <w:rFonts w:hint="eastAsia" w:ascii="宋体" w:hAnsi="宋体"/>
          <w:b/>
          <w:color w:val="auto"/>
          <w:highlight w:val="none"/>
        </w:rPr>
      </w:pPr>
      <w:r>
        <w:rPr>
          <w:rFonts w:hint="eastAsia" w:ascii="宋体" w:hAnsi="宋体"/>
          <w:b/>
          <w:color w:val="auto"/>
          <w:highlight w:val="none"/>
        </w:rPr>
        <w:t>其他主要管理人员和技术人员最低要求</w:t>
      </w:r>
    </w:p>
    <w:p>
      <w:pPr>
        <w:spacing w:line="400" w:lineRule="exact"/>
        <w:rPr>
          <w:rFonts w:hint="eastAsia" w:ascii="宋体" w:hAnsi="宋体"/>
          <w:color w:val="auto"/>
          <w:sz w:val="18"/>
          <w:szCs w:val="18"/>
          <w:highlight w:val="none"/>
        </w:rPr>
      </w:pPr>
    </w:p>
    <w:tbl>
      <w:tblPr>
        <w:tblStyle w:val="17"/>
        <w:tblW w:w="0" w:type="auto"/>
        <w:tblInd w:w="17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42" w:type="dxa"/>
          <w:left w:w="28" w:type="dxa"/>
          <w:bottom w:w="142" w:type="dxa"/>
          <w:right w:w="28" w:type="dxa"/>
        </w:tblCellMar>
      </w:tblPr>
      <w:tblGrid>
        <w:gridCol w:w="1917"/>
        <w:gridCol w:w="713"/>
        <w:gridCol w:w="63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42" w:type="dxa"/>
            <w:left w:w="28" w:type="dxa"/>
            <w:bottom w:w="142" w:type="dxa"/>
            <w:right w:w="28" w:type="dxa"/>
          </w:tblCellMar>
        </w:tblPrEx>
        <w:trPr>
          <w:trHeight w:val="509" w:hRule="atLeast"/>
          <w:tblHeader/>
        </w:trPr>
        <w:tc>
          <w:tcPr>
            <w:tcW w:w="1917" w:type="dxa"/>
            <w:noWrap w:val="0"/>
            <w:vAlign w:val="center"/>
          </w:tcPr>
          <w:p>
            <w:pPr>
              <w:jc w:val="center"/>
              <w:rPr>
                <w:rFonts w:hint="eastAsia" w:ascii="宋体" w:hAnsi="宋体"/>
                <w:color w:val="auto"/>
                <w:highlight w:val="none"/>
              </w:rPr>
            </w:pPr>
            <w:r>
              <w:rPr>
                <w:rFonts w:hint="eastAsia" w:ascii="宋体" w:hAnsi="宋体"/>
                <w:color w:val="auto"/>
                <w:highlight w:val="none"/>
              </w:rPr>
              <w:t>人  员</w:t>
            </w:r>
          </w:p>
        </w:tc>
        <w:tc>
          <w:tcPr>
            <w:tcW w:w="713" w:type="dxa"/>
            <w:noWrap w:val="0"/>
            <w:vAlign w:val="center"/>
          </w:tcPr>
          <w:p>
            <w:pPr>
              <w:jc w:val="center"/>
              <w:rPr>
                <w:rFonts w:hint="eastAsia" w:ascii="宋体" w:hAnsi="宋体"/>
                <w:color w:val="auto"/>
                <w:highlight w:val="none"/>
              </w:rPr>
            </w:pPr>
            <w:r>
              <w:rPr>
                <w:rFonts w:hint="eastAsia" w:ascii="宋体" w:hAnsi="宋体"/>
                <w:color w:val="auto"/>
                <w:highlight w:val="none"/>
              </w:rPr>
              <w:t>数量</w:t>
            </w:r>
          </w:p>
        </w:tc>
        <w:tc>
          <w:tcPr>
            <w:tcW w:w="6301" w:type="dxa"/>
            <w:noWrap w:val="0"/>
            <w:vAlign w:val="center"/>
          </w:tcPr>
          <w:p>
            <w:pPr>
              <w:jc w:val="center"/>
              <w:rPr>
                <w:rFonts w:hint="eastAsia" w:ascii="宋体" w:hAnsi="宋体"/>
                <w:color w:val="auto"/>
                <w:highlight w:val="none"/>
              </w:rPr>
            </w:pPr>
            <w:r>
              <w:rPr>
                <w:rFonts w:hint="eastAsia" w:ascii="宋体" w:hAnsi="宋体"/>
                <w:color w:val="auto"/>
                <w:highlight w:val="none"/>
              </w:rPr>
              <w:t>资  格  要  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42" w:type="dxa"/>
            <w:left w:w="28" w:type="dxa"/>
            <w:bottom w:w="142" w:type="dxa"/>
            <w:right w:w="28" w:type="dxa"/>
          </w:tblCellMar>
        </w:tblPrEx>
        <w:trPr>
          <w:trHeight w:val="509" w:hRule="atLeast"/>
          <w:tblHeader/>
        </w:trPr>
        <w:tc>
          <w:tcPr>
            <w:tcW w:w="1917" w:type="dxa"/>
            <w:noWrap w:val="0"/>
            <w:vAlign w:val="center"/>
          </w:tcPr>
          <w:p>
            <w:pPr>
              <w:tabs>
                <w:tab w:val="left" w:pos="2790"/>
              </w:tabs>
              <w:spacing w:line="320" w:lineRule="exact"/>
              <w:jc w:val="center"/>
              <w:rPr>
                <w:rFonts w:hint="eastAsia" w:ascii="宋体" w:hAnsi="宋体"/>
                <w:color w:val="auto"/>
                <w:highlight w:val="none"/>
              </w:rPr>
            </w:pPr>
            <w:r>
              <w:rPr>
                <w:color w:val="auto"/>
                <w:szCs w:val="21"/>
                <w:highlight w:val="none"/>
              </w:rPr>
              <w:t>路基</w:t>
            </w:r>
            <w:r>
              <w:rPr>
                <w:rFonts w:hint="eastAsia"/>
                <w:color w:val="auto"/>
                <w:szCs w:val="21"/>
                <w:highlight w:val="none"/>
              </w:rPr>
              <w:t>、路面</w:t>
            </w:r>
            <w:r>
              <w:rPr>
                <w:color w:val="auto"/>
                <w:szCs w:val="21"/>
                <w:highlight w:val="none"/>
              </w:rPr>
              <w:t>施工负责人</w:t>
            </w:r>
          </w:p>
        </w:tc>
        <w:tc>
          <w:tcPr>
            <w:tcW w:w="713" w:type="dxa"/>
            <w:noWrap w:val="0"/>
            <w:vAlign w:val="center"/>
          </w:tcPr>
          <w:p>
            <w:pPr>
              <w:jc w:val="center"/>
              <w:rPr>
                <w:rFonts w:hint="eastAsia" w:ascii="宋体" w:hAnsi="宋体"/>
                <w:color w:val="auto"/>
                <w:highlight w:val="none"/>
              </w:rPr>
            </w:pPr>
            <w:r>
              <w:rPr>
                <w:b/>
                <w:color w:val="auto"/>
                <w:szCs w:val="21"/>
                <w:highlight w:val="none"/>
              </w:rPr>
              <w:t>1</w:t>
            </w:r>
          </w:p>
        </w:tc>
        <w:tc>
          <w:tcPr>
            <w:tcW w:w="6301" w:type="dxa"/>
            <w:noWrap w:val="0"/>
            <w:vAlign w:val="center"/>
          </w:tcPr>
          <w:p>
            <w:pPr>
              <w:tabs>
                <w:tab w:val="left" w:pos="2790"/>
              </w:tabs>
              <w:spacing w:line="320" w:lineRule="exact"/>
              <w:rPr>
                <w:rFonts w:hint="eastAsia" w:ascii="宋体" w:hAnsi="宋体"/>
                <w:color w:val="auto"/>
                <w:highlight w:val="none"/>
              </w:rPr>
            </w:pPr>
            <w:r>
              <w:rPr>
                <w:color w:val="auto"/>
                <w:szCs w:val="21"/>
                <w:highlight w:val="none"/>
              </w:rPr>
              <w:t>中级及以上技术职称，具有</w:t>
            </w:r>
            <w:r>
              <w:rPr>
                <w:rFonts w:hint="eastAsia"/>
                <w:color w:val="auto"/>
                <w:szCs w:val="21"/>
                <w:highlight w:val="none"/>
              </w:rPr>
              <w:t>5</w:t>
            </w:r>
            <w:r>
              <w:rPr>
                <w:color w:val="auto"/>
                <w:szCs w:val="21"/>
                <w:highlight w:val="none"/>
              </w:rPr>
              <w:t>年及以上</w:t>
            </w:r>
            <w:r>
              <w:rPr>
                <w:rFonts w:hint="eastAsia"/>
                <w:color w:val="auto"/>
                <w:szCs w:val="21"/>
                <w:highlight w:val="none"/>
              </w:rPr>
              <w:t>公路</w:t>
            </w:r>
            <w:r>
              <w:rPr>
                <w:color w:val="auto"/>
                <w:szCs w:val="21"/>
                <w:highlight w:val="none"/>
              </w:rPr>
              <w:t>路基</w:t>
            </w:r>
            <w:r>
              <w:rPr>
                <w:rFonts w:hint="eastAsia"/>
                <w:color w:val="auto"/>
                <w:szCs w:val="21"/>
                <w:highlight w:val="none"/>
              </w:rPr>
              <w:t>、路面</w:t>
            </w:r>
            <w:r>
              <w:rPr>
                <w:color w:val="auto"/>
                <w:szCs w:val="21"/>
                <w:highlight w:val="none"/>
              </w:rPr>
              <w:t>施工经验。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42" w:type="dxa"/>
            <w:left w:w="28" w:type="dxa"/>
            <w:bottom w:w="142" w:type="dxa"/>
            <w:right w:w="28" w:type="dxa"/>
          </w:tblCellMar>
        </w:tblPrEx>
        <w:trPr>
          <w:trHeight w:val="509" w:hRule="atLeast"/>
          <w:tblHeader/>
        </w:trPr>
        <w:tc>
          <w:tcPr>
            <w:tcW w:w="1917" w:type="dxa"/>
            <w:noWrap w:val="0"/>
            <w:vAlign w:val="center"/>
          </w:tcPr>
          <w:p>
            <w:pPr>
              <w:jc w:val="center"/>
              <w:rPr>
                <w:rFonts w:hint="eastAsia" w:ascii="宋体" w:hAnsi="宋体"/>
                <w:color w:val="auto"/>
                <w:highlight w:val="none"/>
              </w:rPr>
            </w:pPr>
            <w:r>
              <w:rPr>
                <w:rFonts w:hint="eastAsia" w:ascii="宋体" w:hAnsi="宋体"/>
                <w:color w:val="auto"/>
                <w:highlight w:val="none"/>
              </w:rPr>
              <w:t>质量检验</w:t>
            </w:r>
          </w:p>
          <w:p>
            <w:pPr>
              <w:jc w:val="center"/>
              <w:rPr>
                <w:rFonts w:hint="eastAsia" w:ascii="宋体" w:hAnsi="宋体"/>
                <w:color w:val="auto"/>
                <w:highlight w:val="none"/>
              </w:rPr>
            </w:pPr>
            <w:r>
              <w:rPr>
                <w:rFonts w:hint="eastAsia" w:ascii="宋体" w:hAnsi="宋体"/>
                <w:color w:val="auto"/>
                <w:highlight w:val="none"/>
              </w:rPr>
              <w:t>负责人</w:t>
            </w:r>
          </w:p>
        </w:tc>
        <w:tc>
          <w:tcPr>
            <w:tcW w:w="713" w:type="dxa"/>
            <w:noWrap w:val="0"/>
            <w:vAlign w:val="center"/>
          </w:tcPr>
          <w:p>
            <w:pPr>
              <w:jc w:val="center"/>
              <w:rPr>
                <w:rFonts w:hint="eastAsia" w:ascii="宋体" w:hAnsi="宋体"/>
                <w:color w:val="auto"/>
                <w:highlight w:val="none"/>
              </w:rPr>
            </w:pPr>
            <w:r>
              <w:rPr>
                <w:rFonts w:hint="eastAsia" w:ascii="宋体" w:hAnsi="宋体"/>
                <w:color w:val="auto"/>
                <w:highlight w:val="none"/>
              </w:rPr>
              <w:t>1</w:t>
            </w:r>
          </w:p>
        </w:tc>
        <w:tc>
          <w:tcPr>
            <w:tcW w:w="6301" w:type="dxa"/>
            <w:noWrap w:val="0"/>
            <w:vAlign w:val="center"/>
          </w:tcPr>
          <w:p>
            <w:pPr>
              <w:ind w:firstLine="420" w:firstLineChars="200"/>
              <w:rPr>
                <w:rFonts w:hint="eastAsia" w:ascii="宋体" w:hAnsi="宋体"/>
                <w:color w:val="auto"/>
                <w:highlight w:val="none"/>
              </w:rPr>
            </w:pPr>
            <w:r>
              <w:rPr>
                <w:rFonts w:hint="eastAsia" w:ascii="宋体" w:hAnsi="宋体"/>
                <w:color w:val="auto"/>
                <w:highlight w:val="none"/>
              </w:rPr>
              <w:t>5年及以上施工经验，从事公路质检工作3年及以上，有工程师及以上技术职称，并有省级及以上部门核发的质检岗位证书或培训证书，年龄60周岁及以下。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42" w:type="dxa"/>
            <w:left w:w="28" w:type="dxa"/>
            <w:bottom w:w="142" w:type="dxa"/>
            <w:right w:w="28" w:type="dxa"/>
          </w:tblCellMar>
        </w:tblPrEx>
        <w:trPr>
          <w:trHeight w:val="629" w:hRule="atLeast"/>
        </w:trPr>
        <w:tc>
          <w:tcPr>
            <w:tcW w:w="1917" w:type="dxa"/>
            <w:noWrap w:val="0"/>
            <w:vAlign w:val="center"/>
          </w:tcPr>
          <w:p>
            <w:pPr>
              <w:jc w:val="center"/>
              <w:rPr>
                <w:rFonts w:hint="eastAsia" w:ascii="宋体" w:hAnsi="宋体"/>
                <w:color w:val="auto"/>
                <w:highlight w:val="none"/>
              </w:rPr>
            </w:pPr>
            <w:r>
              <w:rPr>
                <w:rFonts w:hint="eastAsia" w:ascii="宋体" w:hAnsi="宋体"/>
                <w:color w:val="auto"/>
                <w:highlight w:val="none"/>
              </w:rPr>
              <w:t>试验</w:t>
            </w:r>
          </w:p>
          <w:p>
            <w:pPr>
              <w:jc w:val="center"/>
              <w:rPr>
                <w:rFonts w:hint="eastAsia" w:ascii="宋体" w:hAnsi="宋体"/>
                <w:color w:val="auto"/>
                <w:highlight w:val="none"/>
              </w:rPr>
            </w:pPr>
            <w:r>
              <w:rPr>
                <w:rFonts w:hint="eastAsia" w:ascii="宋体" w:hAnsi="宋体"/>
                <w:color w:val="auto"/>
                <w:highlight w:val="none"/>
              </w:rPr>
              <w:t>负责人</w:t>
            </w:r>
          </w:p>
        </w:tc>
        <w:tc>
          <w:tcPr>
            <w:tcW w:w="713" w:type="dxa"/>
            <w:noWrap w:val="0"/>
            <w:vAlign w:val="center"/>
          </w:tcPr>
          <w:p>
            <w:pPr>
              <w:jc w:val="center"/>
              <w:rPr>
                <w:rFonts w:hint="eastAsia" w:ascii="宋体" w:hAnsi="宋体"/>
                <w:color w:val="auto"/>
                <w:highlight w:val="none"/>
              </w:rPr>
            </w:pPr>
            <w:r>
              <w:rPr>
                <w:rFonts w:hint="eastAsia" w:ascii="宋体" w:hAnsi="宋体"/>
                <w:color w:val="auto"/>
                <w:highlight w:val="none"/>
              </w:rPr>
              <w:t>1</w:t>
            </w:r>
          </w:p>
        </w:tc>
        <w:tc>
          <w:tcPr>
            <w:tcW w:w="6301" w:type="dxa"/>
            <w:noWrap w:val="0"/>
            <w:vAlign w:val="center"/>
          </w:tcPr>
          <w:p>
            <w:pPr>
              <w:ind w:firstLine="420" w:firstLineChars="200"/>
              <w:rPr>
                <w:rFonts w:hint="eastAsia" w:ascii="宋体" w:hAnsi="宋体"/>
                <w:color w:val="auto"/>
                <w:highlight w:val="none"/>
              </w:rPr>
            </w:pPr>
            <w:r>
              <w:rPr>
                <w:rFonts w:hint="eastAsia" w:ascii="宋体" w:hAnsi="宋体"/>
                <w:color w:val="auto"/>
                <w:highlight w:val="none"/>
              </w:rPr>
              <w:t>公路工程试验工作5年及以上，有工程师及以上技术职称，并持 有交通运输部颁发的公路工程试验检测工程师证书，年龄60周岁及 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42" w:type="dxa"/>
            <w:left w:w="28" w:type="dxa"/>
            <w:bottom w:w="142" w:type="dxa"/>
            <w:right w:w="28" w:type="dxa"/>
          </w:tblCellMar>
        </w:tblPrEx>
        <w:trPr>
          <w:trHeight w:val="629" w:hRule="atLeast"/>
        </w:trPr>
        <w:tc>
          <w:tcPr>
            <w:tcW w:w="1917" w:type="dxa"/>
            <w:noWrap w:val="0"/>
            <w:vAlign w:val="center"/>
          </w:tcPr>
          <w:p>
            <w:pPr>
              <w:jc w:val="center"/>
              <w:rPr>
                <w:rFonts w:hint="eastAsia" w:ascii="宋体" w:hAnsi="宋体"/>
                <w:color w:val="auto"/>
                <w:spacing w:val="-4"/>
                <w:highlight w:val="none"/>
              </w:rPr>
            </w:pPr>
            <w:r>
              <w:rPr>
                <w:rFonts w:hint="eastAsia" w:ascii="宋体" w:hAnsi="宋体"/>
                <w:color w:val="auto"/>
                <w:highlight w:val="none"/>
              </w:rPr>
              <w:t>安全生产负责人</w:t>
            </w:r>
          </w:p>
        </w:tc>
        <w:tc>
          <w:tcPr>
            <w:tcW w:w="713" w:type="dxa"/>
            <w:noWrap w:val="0"/>
            <w:vAlign w:val="center"/>
          </w:tcPr>
          <w:p>
            <w:pPr>
              <w:jc w:val="center"/>
              <w:rPr>
                <w:rFonts w:hint="eastAsia" w:ascii="宋体" w:hAnsi="宋体"/>
                <w:color w:val="auto"/>
                <w:highlight w:val="none"/>
              </w:rPr>
            </w:pPr>
            <w:r>
              <w:rPr>
                <w:rFonts w:hint="eastAsia" w:ascii="宋体" w:hAnsi="宋体"/>
                <w:color w:val="auto"/>
                <w:highlight w:val="none"/>
              </w:rPr>
              <w:t>1</w:t>
            </w:r>
          </w:p>
        </w:tc>
        <w:tc>
          <w:tcPr>
            <w:tcW w:w="6301" w:type="dxa"/>
            <w:noWrap w:val="0"/>
            <w:vAlign w:val="center"/>
          </w:tcPr>
          <w:p>
            <w:pPr>
              <w:ind w:firstLine="420" w:firstLineChars="200"/>
              <w:rPr>
                <w:rFonts w:hint="eastAsia" w:ascii="宋体" w:hAnsi="宋体"/>
                <w:color w:val="auto"/>
                <w:highlight w:val="none"/>
              </w:rPr>
            </w:pPr>
            <w:r>
              <w:rPr>
                <w:rFonts w:hint="eastAsia" w:ascii="宋体" w:hAnsi="宋体"/>
                <w:color w:val="auto"/>
                <w:highlight w:val="none"/>
              </w:rPr>
              <w:t>公路工程施工安全管理工作5年及以上，具有施工企业专职安全生产管理人员安全生产考核合格证书（C 类），中级及以上技术职称，年龄60周岁及以下</w:t>
            </w:r>
          </w:p>
        </w:tc>
      </w:tr>
    </w:tbl>
    <w:p>
      <w:pPr>
        <w:spacing w:line="400" w:lineRule="exact"/>
        <w:rPr>
          <w:rFonts w:hint="eastAsia" w:ascii="宋体" w:hAnsi="宋体"/>
          <w:color w:val="auto"/>
          <w:highlight w:val="none"/>
        </w:rPr>
      </w:pPr>
      <w:r>
        <w:rPr>
          <w:rFonts w:hint="eastAsia" w:ascii="宋体" w:hAnsi="宋体"/>
          <w:color w:val="auto"/>
          <w:highlight w:val="none"/>
        </w:rPr>
        <w:t>注：招标人将在发出中标通知书之前要求中标人按照本表的最低要求填报派驻本标段的其他主要管理人员和技术人员，在经招标人审批后作为派驻本标段的项目管理机构主要人员且不允许更换。</w:t>
      </w:r>
    </w:p>
    <w:p>
      <w:pPr>
        <w:spacing w:line="400" w:lineRule="exact"/>
        <w:ind w:firstLine="211" w:firstLineChars="100"/>
        <w:outlineLvl w:val="2"/>
        <w:rPr>
          <w:rFonts w:hint="eastAsia" w:ascii="宋体" w:hAnsi="宋体"/>
          <w:b/>
          <w:color w:val="auto"/>
          <w:highlight w:val="none"/>
        </w:rPr>
      </w:pPr>
      <w:r>
        <w:rPr>
          <w:rFonts w:ascii="宋体" w:hAnsi="宋体"/>
          <w:b/>
          <w:color w:val="auto"/>
          <w:highlight w:val="none"/>
        </w:rPr>
        <w:br w:type="page"/>
      </w:r>
      <w:bookmarkStart w:id="1523" w:name="_Toc234382948"/>
      <w:bookmarkStart w:id="1524" w:name="_Toc466366116"/>
      <w:r>
        <w:rPr>
          <w:rFonts w:hint="eastAsia" w:ascii="宋体" w:hAnsi="宋体"/>
          <w:color w:val="auto"/>
          <w:highlight w:val="none"/>
        </w:rPr>
        <w:t>附件五  主要机械设备和试验检测设备最低要求</w:t>
      </w:r>
      <w:bookmarkEnd w:id="1523"/>
      <w:bookmarkEnd w:id="1524"/>
    </w:p>
    <w:p>
      <w:pPr>
        <w:spacing w:line="400" w:lineRule="exact"/>
        <w:jc w:val="center"/>
        <w:rPr>
          <w:rFonts w:hint="eastAsia" w:ascii="宋体" w:hAnsi="宋体"/>
          <w:color w:val="auto"/>
          <w:highlight w:val="none"/>
        </w:rPr>
      </w:pPr>
      <w:r>
        <w:rPr>
          <w:rFonts w:hint="eastAsia" w:ascii="宋体" w:hAnsi="宋体"/>
          <w:b/>
          <w:color w:val="auto"/>
          <w:highlight w:val="none"/>
        </w:rPr>
        <w:t>主要机械设备和试验检测设备最低要求</w:t>
      </w:r>
    </w:p>
    <w:tbl>
      <w:tblPr>
        <w:tblStyle w:val="17"/>
        <w:tblW w:w="930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802"/>
        <w:gridCol w:w="3118"/>
        <w:gridCol w:w="1056"/>
        <w:gridCol w:w="23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5" w:hRule="atLeast"/>
        </w:trPr>
        <w:tc>
          <w:tcPr>
            <w:tcW w:w="280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设备名称</w:t>
            </w:r>
          </w:p>
        </w:tc>
        <w:tc>
          <w:tcPr>
            <w:tcW w:w="3118"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规格、功率及容量</w:t>
            </w:r>
          </w:p>
        </w:tc>
        <w:tc>
          <w:tcPr>
            <w:tcW w:w="1056"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单位</w:t>
            </w:r>
          </w:p>
        </w:tc>
        <w:tc>
          <w:tcPr>
            <w:tcW w:w="2326" w:type="dxa"/>
            <w:noWrap w:val="0"/>
            <w:vAlign w:val="center"/>
          </w:tcPr>
          <w:p>
            <w:pPr>
              <w:widowControl/>
              <w:jc w:val="center"/>
              <w:rPr>
                <w:rFonts w:hint="eastAsia" w:ascii="宋体" w:hAnsi="宋体"/>
                <w:color w:val="auto"/>
                <w:szCs w:val="21"/>
                <w:highlight w:val="none"/>
              </w:rPr>
            </w:pPr>
            <w:r>
              <w:rPr>
                <w:rFonts w:hint="eastAsia" w:ascii="宋体" w:hAnsi="宋体"/>
                <w:color w:val="auto"/>
                <w:szCs w:val="21"/>
                <w:highlight w:val="none"/>
              </w:rPr>
              <w:t>最低数量要求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2802" w:type="dxa"/>
            <w:noWrap w:val="0"/>
            <w:vAlign w:val="center"/>
          </w:tcPr>
          <w:p>
            <w:pPr>
              <w:jc w:val="center"/>
              <w:rPr>
                <w:rFonts w:hint="eastAsia" w:ascii="宋体" w:cs="宋体"/>
                <w:color w:val="auto"/>
                <w:kern w:val="0"/>
                <w:szCs w:val="21"/>
                <w:highlight w:val="none"/>
              </w:rPr>
            </w:pPr>
            <w:r>
              <w:rPr>
                <w:rFonts w:hint="eastAsia" w:ascii="宋体" w:cs="宋体"/>
                <w:color w:val="auto"/>
                <w:kern w:val="0"/>
                <w:szCs w:val="21"/>
                <w:highlight w:val="none"/>
              </w:rPr>
              <w:t>履带式液压单斗挖掘机</w:t>
            </w:r>
          </w:p>
        </w:tc>
        <w:tc>
          <w:tcPr>
            <w:tcW w:w="3118" w:type="dxa"/>
            <w:noWrap w:val="0"/>
            <w:vAlign w:val="center"/>
          </w:tcPr>
          <w:p>
            <w:pPr>
              <w:autoSpaceDE w:val="0"/>
              <w:autoSpaceDN w:val="0"/>
              <w:adjustRightInd w:val="0"/>
              <w:jc w:val="center"/>
              <w:rPr>
                <w:rFonts w:hint="eastAsia" w:ascii="宋体" w:cs="宋体"/>
                <w:color w:val="auto"/>
                <w:kern w:val="0"/>
                <w:szCs w:val="21"/>
                <w:highlight w:val="none"/>
              </w:rPr>
            </w:pPr>
            <w:r>
              <w:rPr>
                <w:rFonts w:hint="eastAsia" w:ascii="宋体" w:cs="宋体"/>
                <w:color w:val="auto"/>
                <w:kern w:val="0"/>
                <w:szCs w:val="21"/>
                <w:highlight w:val="none"/>
              </w:rPr>
              <w:t>1.0m3</w:t>
            </w:r>
          </w:p>
        </w:tc>
        <w:tc>
          <w:tcPr>
            <w:tcW w:w="1056"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台</w:t>
            </w:r>
          </w:p>
        </w:tc>
        <w:tc>
          <w:tcPr>
            <w:tcW w:w="2326" w:type="dxa"/>
            <w:noWrap w:val="0"/>
            <w:vAlign w:val="center"/>
          </w:tcPr>
          <w:p>
            <w:pPr>
              <w:jc w:val="center"/>
              <w:rPr>
                <w:rFonts w:ascii="宋体" w:hAnsi="宋体"/>
                <w:color w:val="auto"/>
                <w:szCs w:val="21"/>
                <w:highlight w:val="none"/>
              </w:rPr>
            </w:pPr>
            <w:r>
              <w:rPr>
                <w:rFonts w:hint="eastAsia" w:ascii="宋体" w:hAnsi="宋体"/>
                <w:color w:val="auto"/>
                <w:szCs w:val="21"/>
                <w:highlight w:val="none"/>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280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蛙式夯土机</w:t>
            </w:r>
          </w:p>
        </w:tc>
        <w:tc>
          <w:tcPr>
            <w:tcW w:w="3118"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HW-280</w:t>
            </w:r>
          </w:p>
        </w:tc>
        <w:tc>
          <w:tcPr>
            <w:tcW w:w="1056"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台</w:t>
            </w:r>
          </w:p>
        </w:tc>
        <w:tc>
          <w:tcPr>
            <w:tcW w:w="2326"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2802" w:type="dxa"/>
            <w:noWrap w:val="0"/>
            <w:vAlign w:val="center"/>
          </w:tcPr>
          <w:p>
            <w:pPr>
              <w:autoSpaceDE w:val="0"/>
              <w:autoSpaceDN w:val="0"/>
              <w:adjustRightInd w:val="0"/>
              <w:jc w:val="center"/>
              <w:rPr>
                <w:rFonts w:hint="eastAsia" w:ascii="宋体" w:cs="宋体"/>
                <w:color w:val="auto"/>
                <w:kern w:val="0"/>
                <w:szCs w:val="21"/>
                <w:highlight w:val="none"/>
              </w:rPr>
            </w:pPr>
            <w:r>
              <w:rPr>
                <w:rFonts w:hint="eastAsia" w:ascii="宋体" w:cs="宋体"/>
                <w:color w:val="auto"/>
                <w:kern w:val="0"/>
                <w:szCs w:val="21"/>
                <w:highlight w:val="none"/>
              </w:rPr>
              <w:t>自卸汽车</w:t>
            </w:r>
          </w:p>
        </w:tc>
        <w:tc>
          <w:tcPr>
            <w:tcW w:w="3118" w:type="dxa"/>
            <w:noWrap w:val="0"/>
            <w:vAlign w:val="center"/>
          </w:tcPr>
          <w:p>
            <w:pPr>
              <w:autoSpaceDE w:val="0"/>
              <w:autoSpaceDN w:val="0"/>
              <w:adjustRightInd w:val="0"/>
              <w:jc w:val="center"/>
              <w:rPr>
                <w:rFonts w:hint="eastAsia" w:ascii="宋体" w:cs="宋体"/>
                <w:color w:val="auto"/>
                <w:kern w:val="0"/>
                <w:szCs w:val="21"/>
                <w:highlight w:val="none"/>
              </w:rPr>
            </w:pPr>
          </w:p>
        </w:tc>
        <w:tc>
          <w:tcPr>
            <w:tcW w:w="1056" w:type="dxa"/>
            <w:noWrap w:val="0"/>
            <w:vAlign w:val="center"/>
          </w:tcPr>
          <w:p>
            <w:pPr>
              <w:autoSpaceDE w:val="0"/>
              <w:autoSpaceDN w:val="0"/>
              <w:adjustRightInd w:val="0"/>
              <w:jc w:val="center"/>
              <w:rPr>
                <w:rFonts w:hint="eastAsia" w:ascii="宋体" w:cs="宋体"/>
                <w:color w:val="auto"/>
                <w:kern w:val="0"/>
                <w:szCs w:val="21"/>
                <w:highlight w:val="none"/>
              </w:rPr>
            </w:pPr>
            <w:r>
              <w:rPr>
                <w:rFonts w:hint="eastAsia" w:ascii="宋体" w:cs="宋体"/>
                <w:color w:val="auto"/>
                <w:kern w:val="0"/>
                <w:szCs w:val="21"/>
                <w:highlight w:val="none"/>
              </w:rPr>
              <w:t>辆</w:t>
            </w:r>
          </w:p>
        </w:tc>
        <w:tc>
          <w:tcPr>
            <w:tcW w:w="2326" w:type="dxa"/>
            <w:noWrap w:val="0"/>
            <w:vAlign w:val="center"/>
          </w:tcPr>
          <w:p>
            <w:pPr>
              <w:autoSpaceDE w:val="0"/>
              <w:autoSpaceDN w:val="0"/>
              <w:adjustRightInd w:val="0"/>
              <w:jc w:val="center"/>
              <w:rPr>
                <w:rFonts w:hint="eastAsia" w:ascii="宋体" w:eastAsia="宋体" w:cs="宋体"/>
                <w:color w:val="auto"/>
                <w:kern w:val="0"/>
                <w:szCs w:val="21"/>
                <w:highlight w:val="none"/>
                <w:lang w:eastAsia="zh-CN"/>
              </w:rPr>
            </w:pPr>
            <w:r>
              <w:rPr>
                <w:rFonts w:hint="eastAsia" w:ascii="宋体" w:cs="宋体"/>
                <w:color w:val="auto"/>
                <w:kern w:val="0"/>
                <w:szCs w:val="21"/>
                <w:highlight w:val="none"/>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2802" w:type="dxa"/>
            <w:noWrap w:val="0"/>
            <w:vAlign w:val="center"/>
          </w:tcPr>
          <w:p>
            <w:pPr>
              <w:autoSpaceDE w:val="0"/>
              <w:autoSpaceDN w:val="0"/>
              <w:adjustRightInd w:val="0"/>
              <w:jc w:val="center"/>
              <w:rPr>
                <w:rFonts w:hint="eastAsia" w:ascii="宋体" w:cs="宋体"/>
                <w:color w:val="auto"/>
                <w:kern w:val="0"/>
                <w:szCs w:val="21"/>
                <w:highlight w:val="none"/>
              </w:rPr>
            </w:pPr>
            <w:r>
              <w:rPr>
                <w:rFonts w:hint="eastAsia" w:ascii="宋体" w:cs="宋体"/>
                <w:color w:val="auto"/>
                <w:kern w:val="0"/>
                <w:szCs w:val="21"/>
                <w:highlight w:val="none"/>
              </w:rPr>
              <w:t>洒水汽车</w:t>
            </w:r>
          </w:p>
        </w:tc>
        <w:tc>
          <w:tcPr>
            <w:tcW w:w="3118" w:type="dxa"/>
            <w:noWrap w:val="0"/>
            <w:vAlign w:val="center"/>
          </w:tcPr>
          <w:p>
            <w:pPr>
              <w:autoSpaceDE w:val="0"/>
              <w:autoSpaceDN w:val="0"/>
              <w:adjustRightInd w:val="0"/>
              <w:jc w:val="center"/>
              <w:rPr>
                <w:rFonts w:hint="eastAsia" w:ascii="宋体" w:eastAsia="宋体" w:cs="宋体"/>
                <w:color w:val="auto"/>
                <w:kern w:val="0"/>
                <w:szCs w:val="21"/>
                <w:highlight w:val="none"/>
                <w:lang w:eastAsia="zh-CN"/>
              </w:rPr>
            </w:pPr>
            <w:r>
              <w:rPr>
                <w:rFonts w:hint="eastAsia" w:ascii="宋体" w:hAnsi="宋体"/>
                <w:color w:val="auto"/>
                <w:szCs w:val="21"/>
                <w:highlight w:val="none"/>
              </w:rPr>
              <w:t>4t</w:t>
            </w:r>
            <w:r>
              <w:rPr>
                <w:rFonts w:hint="eastAsia" w:ascii="宋体" w:hAnsi="宋体"/>
                <w:color w:val="auto"/>
                <w:szCs w:val="21"/>
                <w:highlight w:val="none"/>
                <w:lang w:val="en-US" w:eastAsia="zh-CN"/>
              </w:rPr>
              <w:t>以下</w:t>
            </w:r>
          </w:p>
        </w:tc>
        <w:tc>
          <w:tcPr>
            <w:tcW w:w="1056" w:type="dxa"/>
            <w:noWrap w:val="0"/>
            <w:vAlign w:val="center"/>
          </w:tcPr>
          <w:p>
            <w:pPr>
              <w:autoSpaceDE w:val="0"/>
              <w:autoSpaceDN w:val="0"/>
              <w:adjustRightInd w:val="0"/>
              <w:jc w:val="center"/>
              <w:rPr>
                <w:rFonts w:hint="eastAsia" w:ascii="宋体" w:cs="宋体"/>
                <w:color w:val="auto"/>
                <w:kern w:val="0"/>
                <w:szCs w:val="21"/>
                <w:highlight w:val="none"/>
              </w:rPr>
            </w:pPr>
            <w:r>
              <w:rPr>
                <w:rFonts w:hint="eastAsia" w:ascii="宋体" w:cs="宋体"/>
                <w:color w:val="auto"/>
                <w:kern w:val="0"/>
                <w:szCs w:val="21"/>
                <w:highlight w:val="none"/>
              </w:rPr>
              <w:t>辆</w:t>
            </w:r>
          </w:p>
        </w:tc>
        <w:tc>
          <w:tcPr>
            <w:tcW w:w="2326" w:type="dxa"/>
            <w:noWrap w:val="0"/>
            <w:vAlign w:val="center"/>
          </w:tcPr>
          <w:p>
            <w:pPr>
              <w:autoSpaceDE w:val="0"/>
              <w:autoSpaceDN w:val="0"/>
              <w:adjustRightInd w:val="0"/>
              <w:jc w:val="center"/>
              <w:rPr>
                <w:rFonts w:hint="eastAsia" w:ascii="宋体" w:cs="宋体"/>
                <w:color w:val="auto"/>
                <w:kern w:val="0"/>
                <w:szCs w:val="21"/>
                <w:highlight w:val="none"/>
              </w:rPr>
            </w:pPr>
            <w:r>
              <w:rPr>
                <w:rFonts w:hint="eastAsia" w:ascii="宋体" w:cs="宋体"/>
                <w:color w:val="auto"/>
                <w:kern w:val="0"/>
                <w:szCs w:val="21"/>
                <w:highlight w:val="none"/>
              </w:rPr>
              <w:t>1</w:t>
            </w:r>
          </w:p>
        </w:tc>
      </w:tr>
    </w:tbl>
    <w:p>
      <w:pPr>
        <w:spacing w:line="400" w:lineRule="exact"/>
        <w:rPr>
          <w:rFonts w:hint="eastAsia" w:ascii="宋体" w:hAnsi="宋体"/>
          <w:color w:val="auto"/>
          <w:highlight w:val="none"/>
        </w:rPr>
      </w:pPr>
    </w:p>
    <w:p>
      <w:pPr>
        <w:spacing w:line="400" w:lineRule="exact"/>
        <w:rPr>
          <w:rFonts w:hint="eastAsia" w:ascii="宋体" w:hAnsi="宋体"/>
          <w:color w:val="auto"/>
          <w:highlight w:val="none"/>
        </w:rPr>
      </w:pPr>
      <w:r>
        <w:rPr>
          <w:rFonts w:hint="eastAsia" w:ascii="宋体" w:hAnsi="宋体"/>
          <w:color w:val="auto"/>
          <w:highlight w:val="none"/>
        </w:rPr>
        <w:t>注：招标人将在发出中标通知书之前要求中标人按照本表的最低要求填报为本标段配备的主要设备，在经招标人审批后作为投入本标段的主要设备且未经招标人同意不允许更换。</w:t>
      </w:r>
    </w:p>
    <w:p>
      <w:pPr>
        <w:spacing w:line="400" w:lineRule="exact"/>
        <w:rPr>
          <w:rFonts w:hint="eastAsia" w:ascii="宋体" w:hAnsi="宋体"/>
          <w:color w:val="auto"/>
          <w:highlight w:val="none"/>
        </w:rPr>
      </w:pPr>
    </w:p>
    <w:p>
      <w:pPr>
        <w:spacing w:line="400" w:lineRule="exact"/>
        <w:rPr>
          <w:rFonts w:ascii="宋体" w:hAnsi="宋体"/>
          <w:color w:val="auto"/>
          <w:highlight w:val="none"/>
        </w:rPr>
      </w:pPr>
      <w:r>
        <w:rPr>
          <w:rFonts w:hint="eastAsia" w:ascii="宋体" w:hAnsi="宋体"/>
          <w:color w:val="auto"/>
          <w:highlight w:val="none"/>
        </w:rPr>
        <w:br w:type="page"/>
      </w:r>
      <w:bookmarkStart w:id="1525" w:name="_Toc466366117"/>
      <w:r>
        <w:rPr>
          <w:rFonts w:hint="eastAsia" w:ascii="宋体" w:hAnsi="宋体"/>
          <w:color w:val="auto"/>
          <w:highlight w:val="none"/>
        </w:rPr>
        <w:t>附件六  项目经理委任书</w:t>
      </w:r>
      <w:bookmarkEnd w:id="1525"/>
    </w:p>
    <w:p>
      <w:pPr>
        <w:spacing w:line="400" w:lineRule="exact"/>
        <w:jc w:val="center"/>
        <w:rPr>
          <w:rFonts w:ascii="宋体" w:hAnsi="宋体"/>
          <w:b/>
          <w:color w:val="auto"/>
          <w:highlight w:val="none"/>
          <w:u w:val="single"/>
        </w:rPr>
      </w:pPr>
      <w:r>
        <w:rPr>
          <w:rFonts w:hint="eastAsia" w:ascii="宋体" w:hAnsi="宋体"/>
          <w:b/>
          <w:color w:val="auto"/>
          <w:highlight w:val="none"/>
          <w:u w:val="single"/>
        </w:rPr>
        <w:t>（承包人全称）</w:t>
      </w:r>
    </w:p>
    <w:p>
      <w:pPr>
        <w:spacing w:line="400" w:lineRule="exact"/>
        <w:jc w:val="center"/>
        <w:rPr>
          <w:rFonts w:ascii="宋体" w:hAnsi="宋体"/>
          <w:b/>
          <w:color w:val="auto"/>
          <w:highlight w:val="none"/>
        </w:rPr>
      </w:pPr>
      <w:r>
        <w:rPr>
          <w:rFonts w:hint="eastAsia" w:ascii="宋体" w:hAnsi="宋体"/>
          <w:b/>
          <w:color w:val="auto"/>
          <w:highlight w:val="none"/>
          <w:u w:val="single"/>
        </w:rPr>
        <w:t>（合同工程名称）</w:t>
      </w:r>
      <w:r>
        <w:rPr>
          <w:rFonts w:hint="eastAsia" w:ascii="宋体" w:hAnsi="宋体"/>
          <w:b/>
          <w:color w:val="auto"/>
          <w:highlight w:val="none"/>
        </w:rPr>
        <w:t>项目经理委任书</w:t>
      </w:r>
    </w:p>
    <w:p>
      <w:pPr>
        <w:spacing w:line="400" w:lineRule="exact"/>
        <w:rPr>
          <w:rFonts w:ascii="宋体" w:hAnsi="宋体"/>
          <w:color w:val="auto"/>
          <w:highlight w:val="none"/>
        </w:rPr>
      </w:pPr>
      <w:r>
        <w:rPr>
          <w:rFonts w:hint="eastAsia" w:ascii="宋体" w:hAnsi="宋体"/>
          <w:color w:val="auto"/>
          <w:highlight w:val="none"/>
        </w:rPr>
        <w:t>致：</w:t>
      </w:r>
      <w:r>
        <w:rPr>
          <w:rFonts w:hint="eastAsia" w:ascii="宋体" w:hAnsi="宋体"/>
          <w:color w:val="auto"/>
          <w:highlight w:val="none"/>
          <w:u w:val="single"/>
        </w:rPr>
        <w:t>（发包人全称）</w:t>
      </w:r>
    </w:p>
    <w:p>
      <w:pPr>
        <w:spacing w:line="400" w:lineRule="exact"/>
        <w:ind w:firstLine="420" w:firstLineChars="200"/>
        <w:rPr>
          <w:rFonts w:ascii="宋体" w:hAnsi="宋体"/>
          <w:color w:val="auto"/>
          <w:highlight w:val="none"/>
        </w:rPr>
      </w:pPr>
      <w:r>
        <w:rPr>
          <w:rFonts w:hint="eastAsia" w:ascii="宋体" w:hAnsi="宋体"/>
          <w:color w:val="auto"/>
          <w:highlight w:val="none"/>
          <w:u w:val="single"/>
        </w:rPr>
        <w:t>（承包人全称）</w:t>
      </w:r>
      <w:r>
        <w:rPr>
          <w:rFonts w:hint="eastAsia" w:ascii="宋体" w:hAnsi="宋体"/>
          <w:color w:val="auto"/>
          <w:highlight w:val="none"/>
        </w:rPr>
        <w:t>法定代表人</w:t>
      </w:r>
      <w:r>
        <w:rPr>
          <w:rFonts w:hint="eastAsia" w:ascii="宋体" w:hAnsi="宋体"/>
          <w:color w:val="auto"/>
          <w:highlight w:val="none"/>
          <w:u w:val="single"/>
        </w:rPr>
        <w:t>（职务、姓名）</w:t>
      </w:r>
      <w:r>
        <w:rPr>
          <w:rFonts w:hint="eastAsia" w:ascii="宋体" w:hAnsi="宋体"/>
          <w:color w:val="auto"/>
          <w:highlight w:val="none"/>
        </w:rPr>
        <w:t>代表本单位委任</w:t>
      </w:r>
      <w:r>
        <w:rPr>
          <w:rFonts w:hint="eastAsia" w:ascii="宋体" w:hAnsi="宋体"/>
          <w:color w:val="auto"/>
          <w:highlight w:val="none"/>
          <w:u w:val="single"/>
        </w:rPr>
        <w:t>（职务、姓名）</w:t>
      </w:r>
      <w:r>
        <w:rPr>
          <w:rFonts w:hint="eastAsia" w:ascii="宋体" w:hAnsi="宋体"/>
          <w:color w:val="auto"/>
          <w:highlight w:val="none"/>
        </w:rPr>
        <w:t>为</w:t>
      </w:r>
      <w:r>
        <w:rPr>
          <w:rFonts w:hint="eastAsia" w:ascii="宋体" w:hAnsi="宋体"/>
          <w:color w:val="auto"/>
          <w:highlight w:val="none"/>
          <w:u w:val="single"/>
        </w:rPr>
        <w:t>（合同工程名称）</w:t>
      </w:r>
      <w:r>
        <w:rPr>
          <w:rFonts w:hint="eastAsia" w:ascii="宋体" w:hAnsi="宋体"/>
          <w:color w:val="auto"/>
          <w:highlight w:val="none"/>
        </w:rPr>
        <w:t>的项目经理。凡本合同执行中的有关技术、工程进度、现场管理、质量检验、结算与支付等方面工作，由</w:t>
      </w:r>
      <w:r>
        <w:rPr>
          <w:rFonts w:hint="eastAsia" w:ascii="宋体" w:hAnsi="宋体"/>
          <w:color w:val="auto"/>
          <w:highlight w:val="none"/>
          <w:u w:val="single"/>
        </w:rPr>
        <w:t>（姓名）</w:t>
      </w:r>
      <w:r>
        <w:rPr>
          <w:rFonts w:hint="eastAsia" w:ascii="宋体" w:hAnsi="宋体"/>
          <w:color w:val="auto"/>
          <w:highlight w:val="none"/>
        </w:rPr>
        <w:t>代表本单位全面负责。</w:t>
      </w: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jc w:val="right"/>
        <w:rPr>
          <w:rFonts w:ascii="宋体" w:hAnsi="宋体"/>
          <w:color w:val="auto"/>
          <w:highlight w:val="none"/>
        </w:rPr>
      </w:pPr>
      <w:r>
        <w:rPr>
          <w:rFonts w:hint="eastAsia" w:ascii="宋体" w:hAnsi="宋体"/>
          <w:color w:val="auto"/>
          <w:highlight w:val="none"/>
        </w:rPr>
        <w:t>承包人：________（盖单位章）</w:t>
      </w:r>
    </w:p>
    <w:p>
      <w:pPr>
        <w:wordWrap w:val="0"/>
        <w:spacing w:line="400" w:lineRule="exact"/>
        <w:jc w:val="right"/>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（职务）      </w:t>
      </w:r>
    </w:p>
    <w:p>
      <w:pPr>
        <w:spacing w:line="400" w:lineRule="exact"/>
        <w:ind w:right="-23" w:firstLine="7081" w:firstLineChars="3372"/>
        <w:rPr>
          <w:rFonts w:ascii="宋体" w:hAnsi="宋体"/>
          <w:color w:val="auto"/>
          <w:highlight w:val="none"/>
        </w:rPr>
      </w:pPr>
      <w:r>
        <w:rPr>
          <w:rFonts w:hint="eastAsia" w:ascii="宋体" w:hAnsi="宋体"/>
          <w:color w:val="auto"/>
          <w:highlight w:val="none"/>
          <w:u w:val="single"/>
        </w:rPr>
        <w:t xml:space="preserve">      （姓名）     </w:t>
      </w:r>
    </w:p>
    <w:p>
      <w:pPr>
        <w:spacing w:line="400" w:lineRule="exact"/>
        <w:ind w:right="-23" w:firstLine="7081" w:firstLineChars="3372"/>
        <w:rPr>
          <w:rFonts w:ascii="宋体" w:hAnsi="宋体"/>
          <w:color w:val="auto"/>
          <w:highlight w:val="none"/>
        </w:rPr>
      </w:pPr>
      <w:r>
        <w:rPr>
          <w:rFonts w:hint="eastAsia" w:ascii="宋体" w:hAnsi="宋体"/>
          <w:color w:val="auto"/>
          <w:highlight w:val="none"/>
          <w:u w:val="single"/>
        </w:rPr>
        <w:t xml:space="preserve">      （签字）     </w:t>
      </w:r>
    </w:p>
    <w:p>
      <w:pPr>
        <w:spacing w:line="400" w:lineRule="exact"/>
        <w:ind w:firstLine="105" w:firstLineChars="50"/>
        <w:jc w:val="right"/>
        <w:rPr>
          <w:rFonts w:ascii="宋体" w:hAnsi="宋体"/>
          <w:color w:val="auto"/>
          <w:highlight w:val="none"/>
        </w:rPr>
      </w:pPr>
      <w:r>
        <w:rPr>
          <w:rFonts w:hint="eastAsia" w:ascii="宋体" w:hAnsi="宋体"/>
          <w:color w:val="auto"/>
          <w:highlight w:val="none"/>
        </w:rPr>
        <w:t>_____年_____月______日</w:t>
      </w:r>
    </w:p>
    <w:p>
      <w:pPr>
        <w:spacing w:line="400" w:lineRule="exact"/>
        <w:rPr>
          <w:rFonts w:ascii="宋体" w:hAnsi="宋体"/>
          <w:color w:val="auto"/>
          <w:highlight w:val="none"/>
        </w:rPr>
      </w:pPr>
      <w:r>
        <w:rPr>
          <w:rFonts w:hint="eastAsia" w:ascii="宋体" w:hAnsi="宋体"/>
          <w:color w:val="auto"/>
          <w:highlight w:val="none"/>
        </w:rPr>
        <w:t>抄送：</w:t>
      </w:r>
      <w:r>
        <w:rPr>
          <w:rFonts w:hint="eastAsia" w:ascii="宋体" w:hAnsi="宋体"/>
          <w:color w:val="auto"/>
          <w:highlight w:val="none"/>
          <w:u w:val="single"/>
        </w:rPr>
        <w:t>（监理人）</w:t>
      </w: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outlineLvl w:val="2"/>
        <w:rPr>
          <w:rFonts w:ascii="宋体" w:hAnsi="宋体"/>
          <w:color w:val="auto"/>
          <w:highlight w:val="none"/>
        </w:rPr>
      </w:pPr>
      <w:r>
        <w:rPr>
          <w:rFonts w:hint="eastAsia" w:ascii="宋体" w:hAnsi="宋体"/>
          <w:color w:val="auto"/>
          <w:highlight w:val="none"/>
        </w:rPr>
        <w:br w:type="page"/>
      </w:r>
      <w:bookmarkStart w:id="1526" w:name="_Toc466366118"/>
      <w:r>
        <w:rPr>
          <w:rFonts w:hint="eastAsia" w:ascii="宋体" w:hAnsi="宋体"/>
          <w:color w:val="auto"/>
          <w:highlight w:val="none"/>
        </w:rPr>
        <w:t>附件七  履约担保格式</w:t>
      </w:r>
      <w:bookmarkEnd w:id="1526"/>
    </w:p>
    <w:p>
      <w:pPr>
        <w:spacing w:line="400" w:lineRule="exact"/>
        <w:jc w:val="center"/>
        <w:rPr>
          <w:rFonts w:ascii="宋体" w:hAnsi="宋体"/>
          <w:color w:val="auto"/>
          <w:highlight w:val="none"/>
        </w:rPr>
      </w:pPr>
      <w:r>
        <w:rPr>
          <w:rFonts w:hint="eastAsia" w:ascii="宋体" w:hAnsi="宋体"/>
          <w:color w:val="auto"/>
          <w:highlight w:val="none"/>
        </w:rPr>
        <w:t xml:space="preserve">    </w:t>
      </w:r>
      <w:r>
        <w:rPr>
          <w:rFonts w:hint="eastAsia" w:ascii="宋体" w:hAnsi="宋体"/>
          <w:b/>
          <w:color w:val="auto"/>
          <w:highlight w:val="none"/>
        </w:rPr>
        <w:t>履约担保</w:t>
      </w:r>
    </w:p>
    <w:p>
      <w:pPr>
        <w:spacing w:line="400" w:lineRule="exact"/>
        <w:rPr>
          <w:rFonts w:ascii="宋体" w:hAnsi="宋体"/>
          <w:color w:val="auto"/>
          <w:highlight w:val="none"/>
        </w:rPr>
      </w:pPr>
      <w:r>
        <w:rPr>
          <w:rFonts w:hint="eastAsia" w:ascii="宋体" w:hAnsi="宋体"/>
          <w:color w:val="auto"/>
          <w:highlight w:val="none"/>
        </w:rPr>
        <w:t>_______（发包人名称）：</w:t>
      </w:r>
    </w:p>
    <w:p>
      <w:pPr>
        <w:spacing w:line="400" w:lineRule="exact"/>
        <w:rPr>
          <w:rFonts w:ascii="宋体" w:hAnsi="宋体"/>
          <w:color w:val="auto"/>
          <w:highlight w:val="none"/>
        </w:rPr>
      </w:pPr>
      <w:r>
        <w:rPr>
          <w:rFonts w:hint="eastAsia" w:ascii="宋体" w:hAnsi="宋体"/>
          <w:color w:val="auto"/>
          <w:highlight w:val="none"/>
        </w:rPr>
        <w:t xml:space="preserve">    鉴于______（发包人名称，以下简称“发包人”）接受__________ （承包人名称）（以下称“承包人”）于______年____月____日参加______（项目名称）_________标段施工的投标。我方愿意无条件地、不可撤销地就承包人履行与你方订立的合同，向你方提供担保。</w:t>
      </w:r>
    </w:p>
    <w:p>
      <w:pPr>
        <w:spacing w:line="400" w:lineRule="exact"/>
        <w:rPr>
          <w:rFonts w:ascii="宋体" w:hAnsi="宋体"/>
          <w:color w:val="auto"/>
          <w:highlight w:val="none"/>
        </w:rPr>
      </w:pPr>
      <w:r>
        <w:rPr>
          <w:rFonts w:hint="eastAsia" w:ascii="宋体" w:hAnsi="宋体"/>
          <w:color w:val="auto"/>
          <w:highlight w:val="none"/>
        </w:rPr>
        <w:t xml:space="preserve">    1.担保金额人民币（大写）____元（￥_____）。</w:t>
      </w:r>
    </w:p>
    <w:p>
      <w:pPr>
        <w:spacing w:line="400" w:lineRule="exact"/>
        <w:rPr>
          <w:rFonts w:ascii="宋体" w:hAnsi="宋体"/>
          <w:color w:val="auto"/>
          <w:highlight w:val="none"/>
        </w:rPr>
      </w:pPr>
      <w:r>
        <w:rPr>
          <w:rFonts w:hint="eastAsia" w:ascii="宋体" w:hAnsi="宋体"/>
          <w:color w:val="auto"/>
          <w:highlight w:val="none"/>
        </w:rPr>
        <w:t xml:space="preserve">    2.担保有效期自发包人与承包人签订的合同生效之日起至发包人签发交工验收证书之日止。</w:t>
      </w:r>
    </w:p>
    <w:p>
      <w:pPr>
        <w:spacing w:line="400" w:lineRule="exact"/>
        <w:rPr>
          <w:rFonts w:ascii="宋体" w:hAnsi="宋体"/>
          <w:color w:val="auto"/>
          <w:highlight w:val="none"/>
        </w:rPr>
      </w:pPr>
      <w:r>
        <w:rPr>
          <w:rFonts w:hint="eastAsia" w:ascii="宋体" w:hAnsi="宋体"/>
          <w:color w:val="auto"/>
          <w:highlight w:val="none"/>
        </w:rPr>
        <w:t xml:space="preserve">    3.在本担保有效期内，因承包人违反合同约定的义务给你方造成经济损失时，我方在收到你方以书面形式提出的在担保金额内的赔偿要求后，在7天内无条件支付，无须你方出具证明或陈述理由。</w:t>
      </w:r>
    </w:p>
    <w:p>
      <w:pPr>
        <w:spacing w:line="400" w:lineRule="exact"/>
        <w:rPr>
          <w:rFonts w:ascii="宋体" w:hAnsi="宋体"/>
          <w:color w:val="auto"/>
          <w:highlight w:val="none"/>
        </w:rPr>
      </w:pPr>
      <w:r>
        <w:rPr>
          <w:rFonts w:hint="eastAsia" w:ascii="宋体" w:hAnsi="宋体"/>
          <w:color w:val="auto"/>
          <w:highlight w:val="none"/>
        </w:rPr>
        <w:t xml:space="preserve">    4.发包人和承包人按合同条款第15条变更合同时，我方承担本担保规定的义务不变。</w:t>
      </w:r>
    </w:p>
    <w:p>
      <w:pPr>
        <w:spacing w:line="400" w:lineRule="exact"/>
        <w:rPr>
          <w:rFonts w:ascii="宋体" w:hAnsi="宋体"/>
          <w:color w:val="auto"/>
          <w:highlight w:val="none"/>
        </w:rPr>
      </w:pPr>
      <w:r>
        <w:rPr>
          <w:rFonts w:hint="eastAsia" w:ascii="宋体" w:hAnsi="宋体"/>
          <w:color w:val="auto"/>
          <w:highlight w:val="none"/>
        </w:rPr>
        <w:t xml:space="preserve">    </w:t>
      </w: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20" w:lineRule="exact"/>
        <w:ind w:firstLine="3418" w:firstLineChars="1628"/>
        <w:rPr>
          <w:color w:val="auto"/>
          <w:szCs w:val="21"/>
          <w:highlight w:val="none"/>
        </w:rPr>
      </w:pPr>
      <w:r>
        <w:rPr>
          <w:rFonts w:hint="eastAsia"/>
          <w:color w:val="auto"/>
          <w:szCs w:val="21"/>
          <w:highlight w:val="none"/>
        </w:rPr>
        <w:t>担 保</w:t>
      </w:r>
      <w:r>
        <w:rPr>
          <w:color w:val="auto"/>
          <w:szCs w:val="21"/>
          <w:highlight w:val="none"/>
        </w:rPr>
        <w:t xml:space="preserve"> 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（盖单位章）</w:t>
      </w:r>
    </w:p>
    <w:p>
      <w:pPr>
        <w:spacing w:line="420" w:lineRule="exact"/>
        <w:ind w:firstLine="3418" w:firstLineChars="1628"/>
        <w:rPr>
          <w:color w:val="auto"/>
          <w:szCs w:val="21"/>
          <w:highlight w:val="none"/>
        </w:rPr>
      </w:pPr>
      <w:r>
        <w:rPr>
          <w:rFonts w:hint="eastAsia"/>
          <w:color w:val="auto"/>
          <w:szCs w:val="21"/>
          <w:highlight w:val="none"/>
        </w:rPr>
        <w:t>负责</w:t>
      </w:r>
      <w:r>
        <w:rPr>
          <w:color w:val="auto"/>
          <w:szCs w:val="21"/>
          <w:highlight w:val="none"/>
        </w:rPr>
        <w:t>人或其委托代理人：</w:t>
      </w:r>
      <w:r>
        <w:rPr>
          <w:color w:val="auto"/>
          <w:szCs w:val="21"/>
          <w:highlight w:val="none"/>
          <w:u w:val="single"/>
        </w:rPr>
        <w:t xml:space="preserve">            </w:t>
      </w:r>
      <w:r>
        <w:rPr>
          <w:color w:val="auto"/>
          <w:szCs w:val="21"/>
          <w:highlight w:val="none"/>
        </w:rPr>
        <w:t>（签字）</w:t>
      </w:r>
    </w:p>
    <w:p>
      <w:pPr>
        <w:spacing w:line="420" w:lineRule="exact"/>
        <w:ind w:firstLine="3418" w:firstLineChars="1628"/>
        <w:rPr>
          <w:color w:val="auto"/>
          <w:szCs w:val="21"/>
          <w:highlight w:val="none"/>
        </w:rPr>
      </w:pPr>
      <w:r>
        <w:rPr>
          <w:color w:val="auto"/>
          <w:szCs w:val="21"/>
          <w:highlight w:val="none"/>
        </w:rPr>
        <w:t>地    址：</w:t>
      </w:r>
      <w:r>
        <w:rPr>
          <w:color w:val="auto"/>
          <w:szCs w:val="21"/>
          <w:highlight w:val="none"/>
          <w:u w:val="single"/>
        </w:rPr>
        <w:t xml:space="preserve">                                    </w:t>
      </w:r>
    </w:p>
    <w:p>
      <w:pPr>
        <w:spacing w:line="420" w:lineRule="exact"/>
        <w:ind w:firstLine="3418" w:firstLineChars="1628"/>
        <w:rPr>
          <w:rFonts w:hint="eastAsia"/>
          <w:color w:val="auto"/>
          <w:szCs w:val="21"/>
          <w:highlight w:val="none"/>
        </w:rPr>
      </w:pPr>
      <w:r>
        <w:rPr>
          <w:color w:val="auto"/>
          <w:szCs w:val="21"/>
          <w:highlight w:val="none"/>
        </w:rPr>
        <w:t>邮政编码：</w:t>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u w:val="single"/>
        </w:rPr>
        <w:tab/>
      </w:r>
      <w:r>
        <w:rPr>
          <w:color w:val="auto"/>
          <w:szCs w:val="21"/>
          <w:highlight w:val="none"/>
          <w:u w:val="single"/>
        </w:rPr>
        <w:tab/>
      </w:r>
      <w:r>
        <w:rPr>
          <w:rFonts w:hint="eastAsia"/>
          <w:color w:val="auto"/>
          <w:szCs w:val="21"/>
          <w:highlight w:val="none"/>
          <w:u w:val="single"/>
        </w:rPr>
        <w:t xml:space="preserve">  </w:t>
      </w:r>
    </w:p>
    <w:p>
      <w:pPr>
        <w:spacing w:line="420" w:lineRule="exact"/>
        <w:ind w:firstLine="3418" w:firstLineChars="1628"/>
        <w:rPr>
          <w:rFonts w:hint="eastAsia"/>
          <w:color w:val="auto"/>
          <w:szCs w:val="21"/>
          <w:highlight w:val="none"/>
          <w:u w:val="single"/>
        </w:rPr>
      </w:pPr>
      <w:r>
        <w:rPr>
          <w:color w:val="auto"/>
          <w:szCs w:val="21"/>
          <w:highlight w:val="none"/>
        </w:rPr>
        <w:t>电    话：</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p>
    <w:p>
      <w:pPr>
        <w:spacing w:line="420" w:lineRule="exact"/>
        <w:ind w:firstLine="3418" w:firstLineChars="1628"/>
        <w:rPr>
          <w:rFonts w:hint="eastAsia"/>
          <w:color w:val="auto"/>
          <w:szCs w:val="21"/>
          <w:highlight w:val="none"/>
          <w:u w:val="single"/>
        </w:rPr>
      </w:pPr>
      <w:r>
        <w:rPr>
          <w:rFonts w:hint="eastAsia"/>
          <w:color w:val="auto"/>
          <w:szCs w:val="21"/>
          <w:highlight w:val="none"/>
        </w:rPr>
        <w:t>传    真：</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p>
    <w:p>
      <w:pPr>
        <w:spacing w:line="420" w:lineRule="exact"/>
        <w:ind w:firstLine="3418" w:firstLineChars="1628"/>
        <w:rPr>
          <w:rFonts w:hint="eastAsia"/>
          <w:color w:val="auto"/>
          <w:szCs w:val="21"/>
          <w:highlight w:val="none"/>
          <w:u w:val="single"/>
        </w:rPr>
      </w:pPr>
      <w:r>
        <w:rPr>
          <w:rFonts w:hint="eastAsia"/>
          <w:color w:val="auto"/>
          <w:szCs w:val="21"/>
          <w:highlight w:val="none"/>
        </w:rPr>
        <w:t>银行经办人</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p>
    <w:p>
      <w:pPr>
        <w:spacing w:line="420" w:lineRule="exact"/>
        <w:ind w:firstLine="3418" w:firstLineChars="1628"/>
        <w:rPr>
          <w:rFonts w:ascii="宋体" w:hAnsi="宋体"/>
          <w:color w:val="auto"/>
          <w:highlight w:val="none"/>
        </w:rPr>
      </w:pPr>
      <w:r>
        <w:rPr>
          <w:rFonts w:hint="eastAsia"/>
          <w:color w:val="auto"/>
          <w:szCs w:val="21"/>
          <w:highlight w:val="none"/>
        </w:rPr>
        <w:t>联系电话：</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p>
    <w:p>
      <w:pPr>
        <w:spacing w:line="400" w:lineRule="exact"/>
        <w:ind w:firstLine="4678" w:firstLineChars="2228"/>
        <w:jc w:val="right"/>
        <w:rPr>
          <w:rFonts w:ascii="宋体" w:hAnsi="宋体"/>
          <w:color w:val="auto"/>
          <w:highlight w:val="none"/>
        </w:rPr>
      </w:pPr>
      <w:r>
        <w:rPr>
          <w:rFonts w:hint="eastAsia" w:ascii="宋体" w:hAnsi="宋体"/>
          <w:color w:val="auto"/>
          <w:highlight w:val="none"/>
        </w:rPr>
        <w:t>______年 _____月_____日</w:t>
      </w:r>
    </w:p>
    <w:p>
      <w:pPr>
        <w:spacing w:line="400" w:lineRule="exact"/>
        <w:outlineLvl w:val="2"/>
        <w:rPr>
          <w:rFonts w:ascii="宋体" w:hAnsi="宋体"/>
          <w:color w:val="auto"/>
          <w:highlight w:val="none"/>
        </w:rPr>
      </w:pPr>
      <w:r>
        <w:rPr>
          <w:rFonts w:hint="eastAsia" w:ascii="宋体" w:hAnsi="宋体"/>
          <w:color w:val="auto"/>
          <w:highlight w:val="none"/>
        </w:rPr>
        <w:br w:type="page"/>
      </w:r>
      <w:bookmarkStart w:id="1527" w:name="_Toc466366119"/>
      <w:r>
        <w:rPr>
          <w:rFonts w:hint="eastAsia" w:ascii="宋体" w:hAnsi="宋体"/>
          <w:color w:val="auto"/>
          <w:highlight w:val="none"/>
        </w:rPr>
        <w:t>附件八  预付款担保格式</w:t>
      </w:r>
      <w:bookmarkEnd w:id="1527"/>
    </w:p>
    <w:p>
      <w:pPr>
        <w:spacing w:line="400" w:lineRule="exact"/>
        <w:jc w:val="center"/>
        <w:rPr>
          <w:rFonts w:ascii="宋体" w:hAnsi="宋体"/>
          <w:color w:val="auto"/>
          <w:highlight w:val="none"/>
        </w:rPr>
      </w:pPr>
      <w:r>
        <w:rPr>
          <w:rFonts w:hint="eastAsia" w:ascii="宋体" w:hAnsi="宋体"/>
          <w:color w:val="auto"/>
          <w:highlight w:val="none"/>
        </w:rPr>
        <w:t xml:space="preserve">    </w:t>
      </w:r>
      <w:r>
        <w:rPr>
          <w:rFonts w:hint="eastAsia" w:ascii="宋体" w:hAnsi="宋体"/>
          <w:b/>
          <w:color w:val="auto"/>
          <w:highlight w:val="none"/>
        </w:rPr>
        <w:t>预付款担保（本项目不适用）</w:t>
      </w:r>
    </w:p>
    <w:p>
      <w:pPr>
        <w:spacing w:line="400" w:lineRule="exact"/>
        <w:rPr>
          <w:rFonts w:ascii="宋体" w:hAnsi="宋体"/>
          <w:color w:val="auto"/>
          <w:highlight w:val="none"/>
        </w:rPr>
      </w:pPr>
      <w:r>
        <w:rPr>
          <w:rFonts w:hint="eastAsia" w:ascii="宋体" w:hAnsi="宋体"/>
          <w:color w:val="auto"/>
          <w:highlight w:val="none"/>
        </w:rPr>
        <w:t>__________（发包人名称）：</w:t>
      </w:r>
    </w:p>
    <w:p>
      <w:pPr>
        <w:spacing w:line="400" w:lineRule="exact"/>
        <w:rPr>
          <w:rFonts w:ascii="宋体" w:hAnsi="宋体"/>
          <w:color w:val="auto"/>
          <w:highlight w:val="none"/>
        </w:rPr>
      </w:pPr>
      <w:r>
        <w:rPr>
          <w:rFonts w:hint="eastAsia" w:ascii="宋体" w:hAnsi="宋体"/>
          <w:color w:val="auto"/>
          <w:highlight w:val="none"/>
        </w:rPr>
        <w:t xml:space="preserve">    根据</w:t>
      </w:r>
      <w:r>
        <w:rPr>
          <w:rFonts w:hint="eastAsia" w:ascii="宋体" w:hAnsi="宋体"/>
          <w:color w:val="auto"/>
          <w:highlight w:val="none"/>
          <w:u w:val="single"/>
        </w:rPr>
        <w:t xml:space="preserve">       </w:t>
      </w:r>
      <w:r>
        <w:rPr>
          <w:rFonts w:hint="eastAsia" w:ascii="宋体" w:hAnsi="宋体"/>
          <w:color w:val="auto"/>
          <w:highlight w:val="none"/>
        </w:rPr>
        <w:t>（承包人名称）（以下称“承包人”）与_____（发包人名称）（以下简称“发包人”）于______年_________月______日签订的________（项目名称）_______标段施工承包合同，承包人按约定的金额向发包人提交一份预付款担保，即有权得到发包人支付相等金额的预付款。我方愿意就你方提供给承包人的预付款提供担保。</w:t>
      </w:r>
    </w:p>
    <w:p>
      <w:pPr>
        <w:spacing w:line="400" w:lineRule="exact"/>
        <w:rPr>
          <w:rFonts w:ascii="宋体" w:hAnsi="宋体"/>
          <w:color w:val="auto"/>
          <w:highlight w:val="none"/>
        </w:rPr>
      </w:pPr>
      <w:r>
        <w:rPr>
          <w:rFonts w:hint="eastAsia" w:ascii="宋体" w:hAnsi="宋体"/>
          <w:color w:val="auto"/>
          <w:highlight w:val="none"/>
        </w:rPr>
        <w:t xml:space="preserve">    1.担保金额人民币（大写）______元（￥______）。</w:t>
      </w:r>
    </w:p>
    <w:p>
      <w:pPr>
        <w:spacing w:line="400" w:lineRule="exact"/>
        <w:rPr>
          <w:rFonts w:ascii="宋体" w:hAnsi="宋体"/>
          <w:color w:val="auto"/>
          <w:highlight w:val="none"/>
        </w:rPr>
      </w:pPr>
      <w:r>
        <w:rPr>
          <w:rFonts w:hint="eastAsia" w:ascii="宋体" w:hAnsi="宋体"/>
          <w:color w:val="auto"/>
          <w:highlight w:val="none"/>
        </w:rPr>
        <w:t xml:space="preserve">    2.担保有效期自预付款支付给承包人起生效，至发包人签发的进度付款证书说明已完全扣清止。</w:t>
      </w:r>
    </w:p>
    <w:p>
      <w:pPr>
        <w:spacing w:line="400" w:lineRule="exact"/>
        <w:rPr>
          <w:rFonts w:ascii="宋体" w:hAnsi="宋体"/>
          <w:color w:val="auto"/>
          <w:highlight w:val="none"/>
        </w:rPr>
      </w:pPr>
      <w:r>
        <w:rPr>
          <w:rFonts w:hint="eastAsia" w:ascii="宋体" w:hAnsi="宋体"/>
          <w:color w:val="auto"/>
          <w:highlight w:val="none"/>
        </w:rPr>
        <w:t xml:space="preserve">    3.在本保函有效期内，因承包人违反合同约定的义务而要求收回预付款时，我方在收到你方的书面通知后，在7天内无条件支付，无须你方出具证明或陈述理由。但本保函的担保金额，在任何时候不应超过预付款金额减去发包人按合同约定在向承包人签发的进度付款证书中扣除的金额。</w:t>
      </w:r>
    </w:p>
    <w:p>
      <w:pPr>
        <w:spacing w:line="400" w:lineRule="exact"/>
        <w:rPr>
          <w:rFonts w:ascii="宋体" w:hAnsi="宋体"/>
          <w:color w:val="auto"/>
          <w:highlight w:val="none"/>
        </w:rPr>
      </w:pPr>
      <w:r>
        <w:rPr>
          <w:rFonts w:hint="eastAsia" w:ascii="宋体" w:hAnsi="宋体"/>
          <w:color w:val="auto"/>
          <w:highlight w:val="none"/>
        </w:rPr>
        <w:t xml:space="preserve">    4.发包人和承包人按合同条款第15条变更合同时，我方承担本保函规定的义务不变。</w:t>
      </w:r>
    </w:p>
    <w:p>
      <w:pPr>
        <w:spacing w:line="400" w:lineRule="exact"/>
        <w:rPr>
          <w:rFonts w:ascii="宋体" w:hAnsi="宋体"/>
          <w:color w:val="auto"/>
          <w:highlight w:val="none"/>
        </w:rPr>
      </w:pPr>
      <w:r>
        <w:rPr>
          <w:rFonts w:hint="eastAsia" w:ascii="宋体" w:hAnsi="宋体"/>
          <w:color w:val="auto"/>
          <w:highlight w:val="none"/>
        </w:rPr>
        <w:t xml:space="preserve">   </w:t>
      </w: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20" w:lineRule="exact"/>
        <w:ind w:firstLine="3418" w:firstLineChars="1628"/>
        <w:rPr>
          <w:color w:val="auto"/>
          <w:szCs w:val="21"/>
          <w:highlight w:val="none"/>
        </w:rPr>
      </w:pPr>
      <w:r>
        <w:rPr>
          <w:rFonts w:hint="eastAsia"/>
          <w:color w:val="auto"/>
          <w:szCs w:val="21"/>
          <w:highlight w:val="none"/>
        </w:rPr>
        <w:t>担 保</w:t>
      </w:r>
      <w:r>
        <w:rPr>
          <w:color w:val="auto"/>
          <w:szCs w:val="21"/>
          <w:highlight w:val="none"/>
        </w:rPr>
        <w:t xml:space="preserve"> 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（盖单位章）</w:t>
      </w:r>
    </w:p>
    <w:p>
      <w:pPr>
        <w:spacing w:line="420" w:lineRule="exact"/>
        <w:ind w:firstLine="3418" w:firstLineChars="1628"/>
        <w:rPr>
          <w:color w:val="auto"/>
          <w:szCs w:val="21"/>
          <w:highlight w:val="none"/>
        </w:rPr>
      </w:pPr>
      <w:r>
        <w:rPr>
          <w:rFonts w:hint="eastAsia"/>
          <w:color w:val="auto"/>
          <w:szCs w:val="21"/>
          <w:highlight w:val="none"/>
        </w:rPr>
        <w:t>负责</w:t>
      </w:r>
      <w:r>
        <w:rPr>
          <w:color w:val="auto"/>
          <w:szCs w:val="21"/>
          <w:highlight w:val="none"/>
        </w:rPr>
        <w:t>人或其委托代理人：</w:t>
      </w:r>
      <w:r>
        <w:rPr>
          <w:color w:val="auto"/>
          <w:szCs w:val="21"/>
          <w:highlight w:val="none"/>
          <w:u w:val="single"/>
        </w:rPr>
        <w:t xml:space="preserve">            </w:t>
      </w:r>
      <w:r>
        <w:rPr>
          <w:color w:val="auto"/>
          <w:szCs w:val="21"/>
          <w:highlight w:val="none"/>
        </w:rPr>
        <w:t>（签字）</w:t>
      </w:r>
    </w:p>
    <w:p>
      <w:pPr>
        <w:spacing w:line="420" w:lineRule="exact"/>
        <w:ind w:firstLine="3418" w:firstLineChars="1628"/>
        <w:rPr>
          <w:color w:val="auto"/>
          <w:szCs w:val="21"/>
          <w:highlight w:val="none"/>
        </w:rPr>
      </w:pPr>
      <w:r>
        <w:rPr>
          <w:color w:val="auto"/>
          <w:szCs w:val="21"/>
          <w:highlight w:val="none"/>
        </w:rPr>
        <w:t>地    址：</w:t>
      </w:r>
      <w:r>
        <w:rPr>
          <w:color w:val="auto"/>
          <w:szCs w:val="21"/>
          <w:highlight w:val="none"/>
          <w:u w:val="single"/>
        </w:rPr>
        <w:t xml:space="preserve">                                    </w:t>
      </w:r>
    </w:p>
    <w:p>
      <w:pPr>
        <w:spacing w:line="420" w:lineRule="exact"/>
        <w:ind w:firstLine="3418" w:firstLineChars="1628"/>
        <w:rPr>
          <w:rFonts w:hint="eastAsia"/>
          <w:color w:val="auto"/>
          <w:szCs w:val="21"/>
          <w:highlight w:val="none"/>
        </w:rPr>
      </w:pPr>
      <w:r>
        <w:rPr>
          <w:color w:val="auto"/>
          <w:szCs w:val="21"/>
          <w:highlight w:val="none"/>
        </w:rPr>
        <w:t>邮政编码：</w:t>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ab/>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u w:val="single"/>
        </w:rPr>
        <w:tab/>
      </w:r>
      <w:r>
        <w:rPr>
          <w:color w:val="auto"/>
          <w:szCs w:val="21"/>
          <w:highlight w:val="none"/>
          <w:u w:val="single"/>
        </w:rPr>
        <w:tab/>
      </w:r>
      <w:r>
        <w:rPr>
          <w:rFonts w:hint="eastAsia"/>
          <w:color w:val="auto"/>
          <w:szCs w:val="21"/>
          <w:highlight w:val="none"/>
          <w:u w:val="single"/>
        </w:rPr>
        <w:t xml:space="preserve">  </w:t>
      </w:r>
    </w:p>
    <w:p>
      <w:pPr>
        <w:spacing w:line="420" w:lineRule="exact"/>
        <w:ind w:firstLine="3418" w:firstLineChars="1628"/>
        <w:rPr>
          <w:rFonts w:hint="eastAsia"/>
          <w:color w:val="auto"/>
          <w:szCs w:val="21"/>
          <w:highlight w:val="none"/>
          <w:u w:val="single"/>
        </w:rPr>
      </w:pPr>
      <w:r>
        <w:rPr>
          <w:color w:val="auto"/>
          <w:szCs w:val="21"/>
          <w:highlight w:val="none"/>
        </w:rPr>
        <w:t>电    话：</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p>
    <w:p>
      <w:pPr>
        <w:spacing w:line="420" w:lineRule="exact"/>
        <w:ind w:firstLine="3418" w:firstLineChars="1628"/>
        <w:rPr>
          <w:rFonts w:hint="eastAsia"/>
          <w:color w:val="auto"/>
          <w:szCs w:val="21"/>
          <w:highlight w:val="none"/>
          <w:u w:val="single"/>
        </w:rPr>
      </w:pPr>
      <w:r>
        <w:rPr>
          <w:rFonts w:hint="eastAsia"/>
          <w:color w:val="auto"/>
          <w:szCs w:val="21"/>
          <w:highlight w:val="none"/>
        </w:rPr>
        <w:t>传    真：</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p>
    <w:p>
      <w:pPr>
        <w:spacing w:line="420" w:lineRule="exact"/>
        <w:ind w:firstLine="3418" w:firstLineChars="1628"/>
        <w:rPr>
          <w:rFonts w:hint="eastAsia"/>
          <w:color w:val="auto"/>
          <w:szCs w:val="21"/>
          <w:highlight w:val="none"/>
          <w:u w:val="single"/>
        </w:rPr>
      </w:pPr>
      <w:r>
        <w:rPr>
          <w:rFonts w:hint="eastAsia"/>
          <w:color w:val="auto"/>
          <w:szCs w:val="21"/>
          <w:highlight w:val="none"/>
        </w:rPr>
        <w:t>银行经办人</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p>
    <w:p>
      <w:pPr>
        <w:spacing w:line="420" w:lineRule="exact"/>
        <w:ind w:firstLine="3418" w:firstLineChars="1628"/>
        <w:rPr>
          <w:rFonts w:ascii="宋体" w:hAnsi="宋体"/>
          <w:color w:val="auto"/>
          <w:highlight w:val="none"/>
        </w:rPr>
      </w:pPr>
      <w:r>
        <w:rPr>
          <w:rFonts w:hint="eastAsia"/>
          <w:color w:val="auto"/>
          <w:szCs w:val="21"/>
          <w:highlight w:val="none"/>
        </w:rPr>
        <w:t>联系电话：</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p>
    <w:p>
      <w:pPr>
        <w:spacing w:line="400" w:lineRule="exact"/>
        <w:ind w:firstLine="4498" w:firstLineChars="2142"/>
        <w:jc w:val="right"/>
        <w:rPr>
          <w:rFonts w:ascii="宋体" w:hAnsi="宋体"/>
          <w:color w:val="auto"/>
          <w:highlight w:val="none"/>
        </w:rPr>
      </w:pPr>
      <w:r>
        <w:rPr>
          <w:rFonts w:hint="eastAsia" w:ascii="宋体" w:hAnsi="宋体"/>
          <w:color w:val="auto"/>
          <w:highlight w:val="none"/>
        </w:rPr>
        <w:t>__________年_____月_____日</w:t>
      </w: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outlineLvl w:val="2"/>
        <w:rPr>
          <w:rFonts w:ascii="宋体" w:hAnsi="宋体"/>
          <w:color w:val="auto"/>
          <w:highlight w:val="none"/>
        </w:rPr>
      </w:pPr>
      <w:r>
        <w:rPr>
          <w:rFonts w:hint="eastAsia" w:ascii="宋体" w:hAnsi="宋体"/>
          <w:color w:val="auto"/>
          <w:highlight w:val="none"/>
        </w:rPr>
        <w:br w:type="page"/>
      </w:r>
      <w:bookmarkStart w:id="1528" w:name="_Toc245477462"/>
      <w:bookmarkStart w:id="1529" w:name="_Toc466366120"/>
      <w:bookmarkStart w:id="1530" w:name="_Toc263889345"/>
      <w:bookmarkStart w:id="1531" w:name="_Toc262896018"/>
      <w:r>
        <w:rPr>
          <w:rFonts w:hint="eastAsia" w:ascii="宋体" w:hAnsi="宋体"/>
          <w:color w:val="auto"/>
          <w:highlight w:val="none"/>
        </w:rPr>
        <w:t>附件九  工程资金监管协议格式</w:t>
      </w:r>
      <w:bookmarkEnd w:id="1528"/>
      <w:bookmarkEnd w:id="1529"/>
      <w:bookmarkEnd w:id="1530"/>
      <w:bookmarkEnd w:id="1531"/>
    </w:p>
    <w:p>
      <w:pPr>
        <w:spacing w:line="400" w:lineRule="exact"/>
        <w:rPr>
          <w:rFonts w:ascii="宋体" w:hAnsi="宋体"/>
          <w:color w:val="auto"/>
          <w:highlight w:val="none"/>
        </w:rPr>
      </w:pPr>
      <w:r>
        <w:rPr>
          <w:rFonts w:hint="eastAsia" w:ascii="宋体" w:hAnsi="宋体"/>
          <w:color w:val="auto"/>
          <w:highlight w:val="none"/>
        </w:rPr>
        <w:t xml:space="preserve">    （发包人与承包人签订合同协议书时应与发包人指定的银行签署工程资金监管协议，工程资金监管协议内容在保证本项目资金有效监管的前提下由三方共同商定）</w:t>
      </w:r>
    </w:p>
    <w:p>
      <w:pPr>
        <w:spacing w:line="400" w:lineRule="exact"/>
        <w:jc w:val="center"/>
        <w:rPr>
          <w:rFonts w:ascii="宋体" w:hAnsi="宋体"/>
          <w:b/>
          <w:color w:val="auto"/>
          <w:highlight w:val="none"/>
        </w:rPr>
      </w:pPr>
      <w:r>
        <w:rPr>
          <w:rFonts w:hint="eastAsia" w:ascii="宋体" w:hAnsi="宋体"/>
          <w:b/>
          <w:color w:val="auto"/>
          <w:highlight w:val="none"/>
        </w:rPr>
        <w:t>工程资金监管协议</w:t>
      </w:r>
    </w:p>
    <w:p>
      <w:pPr>
        <w:rPr>
          <w:rFonts w:ascii="宋体" w:hAnsi="宋体"/>
          <w:color w:val="auto"/>
          <w:highlight w:val="none"/>
        </w:rPr>
      </w:pPr>
    </w:p>
    <w:p>
      <w:pPr>
        <w:rPr>
          <w:rFonts w:ascii="宋体" w:hAnsi="宋体"/>
          <w:color w:val="auto"/>
          <w:highlight w:val="none"/>
        </w:rPr>
      </w:pPr>
      <w:r>
        <w:rPr>
          <w:rFonts w:hint="eastAsia" w:ascii="宋体" w:hAnsi="宋体"/>
          <w:color w:val="auto"/>
          <w:highlight w:val="none"/>
        </w:rPr>
        <w:t>发 包 人：</w:t>
      </w:r>
      <w:r>
        <w:rPr>
          <w:rFonts w:hint="eastAsia" w:ascii="宋体" w:hAnsi="宋体"/>
          <w:color w:val="auto"/>
          <w:highlight w:val="none"/>
          <w:u w:val="single"/>
        </w:rPr>
        <w:t xml:space="preserve">              </w:t>
      </w:r>
      <w:r>
        <w:rPr>
          <w:rFonts w:hint="eastAsia" w:ascii="宋体" w:hAnsi="宋体"/>
          <w:color w:val="auto"/>
          <w:highlight w:val="none"/>
        </w:rPr>
        <w:t>（以下简称“甲方”）</w:t>
      </w:r>
    </w:p>
    <w:p>
      <w:pPr>
        <w:rPr>
          <w:rFonts w:ascii="宋体" w:hAnsi="宋体"/>
          <w:color w:val="auto"/>
          <w:highlight w:val="none"/>
        </w:rPr>
      </w:pPr>
      <w:r>
        <w:rPr>
          <w:rFonts w:hint="eastAsia" w:ascii="宋体" w:hAnsi="宋体"/>
          <w:color w:val="auto"/>
          <w:highlight w:val="none"/>
        </w:rPr>
        <w:t>承 包 人：</w:t>
      </w:r>
      <w:r>
        <w:rPr>
          <w:rFonts w:hint="eastAsia" w:ascii="宋体" w:hAnsi="宋体"/>
          <w:color w:val="auto"/>
          <w:highlight w:val="none"/>
          <w:u w:val="single"/>
        </w:rPr>
        <w:t xml:space="preserve">              </w:t>
      </w:r>
      <w:r>
        <w:rPr>
          <w:rFonts w:hint="eastAsia" w:ascii="宋体" w:hAnsi="宋体"/>
          <w:color w:val="auto"/>
          <w:highlight w:val="none"/>
        </w:rPr>
        <w:t>（以下简称“乙方”）</w:t>
      </w:r>
    </w:p>
    <w:p>
      <w:pPr>
        <w:rPr>
          <w:rFonts w:ascii="宋体" w:hAnsi="宋体"/>
          <w:color w:val="auto"/>
          <w:highlight w:val="none"/>
        </w:rPr>
      </w:pPr>
      <w:r>
        <w:rPr>
          <w:rFonts w:hint="eastAsia" w:ascii="宋体" w:hAnsi="宋体"/>
          <w:color w:val="auto"/>
          <w:highlight w:val="none"/>
        </w:rPr>
        <w:t>经办银行：</w:t>
      </w:r>
      <w:r>
        <w:rPr>
          <w:rFonts w:hint="eastAsia" w:ascii="宋体" w:hAnsi="宋体"/>
          <w:color w:val="auto"/>
          <w:highlight w:val="none"/>
          <w:u w:val="single"/>
        </w:rPr>
        <w:t xml:space="preserve">              </w:t>
      </w:r>
      <w:r>
        <w:rPr>
          <w:rFonts w:hint="eastAsia" w:ascii="宋体" w:hAnsi="宋体"/>
          <w:color w:val="auto"/>
          <w:highlight w:val="none"/>
        </w:rPr>
        <w:t>（以下简称“丙方”）</w:t>
      </w:r>
    </w:p>
    <w:p>
      <w:pPr>
        <w:rPr>
          <w:rFonts w:ascii="宋体" w:hAnsi="宋体"/>
          <w:color w:val="auto"/>
          <w:highlight w:val="none"/>
        </w:rPr>
      </w:pPr>
    </w:p>
    <w:p>
      <w:pPr>
        <w:spacing w:line="400" w:lineRule="exact"/>
        <w:ind w:firstLine="420" w:firstLineChars="200"/>
        <w:rPr>
          <w:rFonts w:ascii="宋体" w:hAnsi="宋体"/>
          <w:color w:val="auto"/>
          <w:highlight w:val="none"/>
        </w:rPr>
      </w:pPr>
      <w:r>
        <w:rPr>
          <w:rFonts w:hint="eastAsia" w:ascii="宋体" w:hAnsi="宋体"/>
          <w:color w:val="auto"/>
          <w:highlight w:val="none"/>
        </w:rPr>
        <w:t>为了促进</w:t>
      </w:r>
      <w:r>
        <w:rPr>
          <w:rFonts w:hint="eastAsia" w:ascii="宋体" w:hAnsi="宋体"/>
          <w:color w:val="auto"/>
          <w:highlight w:val="none"/>
          <w:u w:val="single"/>
        </w:rPr>
        <w:t xml:space="preserve">        </w:t>
      </w:r>
      <w:r>
        <w:rPr>
          <w:rFonts w:hint="eastAsia" w:ascii="宋体" w:hAnsi="宋体"/>
          <w:color w:val="auto"/>
          <w:highlight w:val="none"/>
        </w:rPr>
        <w:t>（项目名称）的顺利实施，管好用好建设资金，确保工程资金专款专用，同时为承包人提供便捷有效的银行业务服务，根据</w:t>
      </w:r>
      <w:r>
        <w:rPr>
          <w:rFonts w:hint="eastAsia" w:ascii="宋体" w:hAnsi="宋体"/>
          <w:color w:val="auto"/>
          <w:highlight w:val="none"/>
          <w:u w:val="single"/>
        </w:rPr>
        <w:t xml:space="preserve">     </w:t>
      </w:r>
      <w:r>
        <w:rPr>
          <w:rFonts w:hint="eastAsia" w:ascii="宋体" w:hAnsi="宋体"/>
          <w:color w:val="auto"/>
          <w:highlight w:val="none"/>
        </w:rPr>
        <w:t>（项目名称）合同条款有关规定，经甲、乙、丙三方协商，达成协议如下：</w:t>
      </w:r>
    </w:p>
    <w:p>
      <w:pPr>
        <w:spacing w:line="400" w:lineRule="exact"/>
        <w:ind w:firstLine="420" w:firstLineChars="200"/>
        <w:rPr>
          <w:rFonts w:ascii="宋体" w:hAnsi="宋体"/>
          <w:color w:val="auto"/>
          <w:highlight w:val="none"/>
        </w:rPr>
      </w:pPr>
      <w:r>
        <w:rPr>
          <w:rFonts w:ascii="宋体" w:hAnsi="宋体"/>
          <w:color w:val="auto"/>
          <w:highlight w:val="none"/>
        </w:rPr>
        <w:t>1.</w:t>
      </w:r>
      <w:r>
        <w:rPr>
          <w:rFonts w:hint="eastAsia" w:ascii="宋体" w:hAnsi="宋体"/>
          <w:color w:val="auto"/>
          <w:highlight w:val="none"/>
        </w:rPr>
        <w:t>资金管理的内容</w:t>
      </w:r>
    </w:p>
    <w:p>
      <w:pPr>
        <w:spacing w:line="400" w:lineRule="exact"/>
        <w:ind w:firstLine="420" w:firstLineChars="200"/>
        <w:rPr>
          <w:rFonts w:ascii="宋体" w:hAnsi="宋体"/>
          <w:color w:val="auto"/>
          <w:highlight w:val="none"/>
        </w:rPr>
      </w:pPr>
      <w:r>
        <w:rPr>
          <w:rFonts w:hint="eastAsia" w:ascii="宋体" w:hAnsi="宋体"/>
          <w:color w:val="auto"/>
          <w:highlight w:val="none"/>
        </w:rPr>
        <w:t>（1）乙方为完成</w:t>
      </w:r>
      <w:r>
        <w:rPr>
          <w:rFonts w:hint="eastAsia" w:ascii="宋体" w:hAnsi="宋体"/>
          <w:color w:val="auto"/>
          <w:highlight w:val="none"/>
          <w:u w:val="single"/>
        </w:rPr>
        <w:t xml:space="preserve">       </w:t>
      </w:r>
      <w:r>
        <w:rPr>
          <w:rFonts w:hint="eastAsia" w:ascii="宋体" w:hAnsi="宋体"/>
          <w:color w:val="auto"/>
          <w:highlight w:val="none"/>
        </w:rPr>
        <w:t>（项目名称）工程成立的项目经理部在丙方开设基本结算户；</w:t>
      </w:r>
    </w:p>
    <w:p>
      <w:pPr>
        <w:spacing w:line="400" w:lineRule="exact"/>
        <w:ind w:firstLine="420" w:firstLineChars="200"/>
        <w:rPr>
          <w:rFonts w:ascii="宋体" w:hAnsi="宋体"/>
          <w:color w:val="auto"/>
          <w:highlight w:val="none"/>
        </w:rPr>
      </w:pPr>
      <w:r>
        <w:rPr>
          <w:rFonts w:hint="eastAsia" w:ascii="宋体" w:hAnsi="宋体"/>
          <w:color w:val="auto"/>
          <w:highlight w:val="none"/>
        </w:rPr>
        <w:t>（2）甲方应将按合同规定将工程款（质量保证金除外）汇入乙方在丙方开设的账户；</w:t>
      </w:r>
    </w:p>
    <w:p>
      <w:pPr>
        <w:spacing w:line="400" w:lineRule="exact"/>
        <w:ind w:firstLine="420" w:firstLineChars="200"/>
        <w:rPr>
          <w:rFonts w:ascii="宋体" w:hAnsi="宋体"/>
          <w:color w:val="auto"/>
          <w:highlight w:val="none"/>
        </w:rPr>
      </w:pPr>
      <w:r>
        <w:rPr>
          <w:rFonts w:hint="eastAsia" w:ascii="宋体" w:hAnsi="宋体"/>
          <w:color w:val="auto"/>
          <w:highlight w:val="none"/>
        </w:rPr>
        <w:t>（3）乙方应将流动资金及甲方所拨付资金专项用于</w:t>
      </w:r>
      <w:r>
        <w:rPr>
          <w:rFonts w:hint="eastAsia" w:ascii="宋体" w:hAnsi="宋体"/>
          <w:color w:val="auto"/>
          <w:highlight w:val="none"/>
          <w:u w:val="single"/>
        </w:rPr>
        <w:t xml:space="preserve">       </w:t>
      </w:r>
      <w:r>
        <w:rPr>
          <w:rFonts w:hint="eastAsia" w:ascii="宋体" w:hAnsi="宋体"/>
          <w:color w:val="auto"/>
          <w:highlight w:val="none"/>
        </w:rPr>
        <w:t>（项目名称）；</w:t>
      </w:r>
    </w:p>
    <w:p>
      <w:pPr>
        <w:spacing w:line="400" w:lineRule="exact"/>
        <w:ind w:firstLine="420" w:firstLineChars="200"/>
        <w:rPr>
          <w:rFonts w:ascii="宋体" w:hAnsi="宋体"/>
          <w:color w:val="auto"/>
          <w:highlight w:val="none"/>
        </w:rPr>
      </w:pPr>
      <w:r>
        <w:rPr>
          <w:rFonts w:hint="eastAsia" w:ascii="宋体" w:hAnsi="宋体"/>
          <w:color w:val="auto"/>
          <w:highlight w:val="none"/>
        </w:rPr>
        <w:t>（4）丙方应为乙方提供便捷有效的银行业务服务，并接受甲方委托对乙方在丙方开设的基本结算户资金使用情况进行监督。</w:t>
      </w:r>
    </w:p>
    <w:p>
      <w:pPr>
        <w:spacing w:line="400" w:lineRule="exact"/>
        <w:ind w:firstLine="420" w:firstLineChars="200"/>
        <w:rPr>
          <w:rFonts w:ascii="宋体" w:hAnsi="宋体"/>
          <w:color w:val="auto"/>
          <w:highlight w:val="none"/>
        </w:rPr>
      </w:pPr>
      <w:r>
        <w:rPr>
          <w:rFonts w:hint="eastAsia" w:ascii="宋体" w:hAnsi="宋体"/>
          <w:color w:val="auto"/>
          <w:highlight w:val="none"/>
        </w:rPr>
        <w:t>2.甲方的权责</w:t>
      </w:r>
    </w:p>
    <w:p>
      <w:pPr>
        <w:spacing w:line="400" w:lineRule="exact"/>
        <w:ind w:firstLine="420" w:firstLineChars="200"/>
        <w:rPr>
          <w:rFonts w:ascii="宋体" w:hAnsi="宋体"/>
          <w:color w:val="auto"/>
          <w:highlight w:val="none"/>
        </w:rPr>
      </w:pPr>
      <w:r>
        <w:rPr>
          <w:rFonts w:hint="eastAsia" w:ascii="宋体" w:hAnsi="宋体"/>
          <w:color w:val="auto"/>
          <w:highlight w:val="none"/>
        </w:rPr>
        <w:t>（1）按照</w:t>
      </w:r>
      <w:r>
        <w:rPr>
          <w:rFonts w:hint="eastAsia" w:ascii="宋体" w:hAnsi="宋体"/>
          <w:color w:val="auto"/>
          <w:highlight w:val="none"/>
          <w:u w:val="single"/>
        </w:rPr>
        <w:t xml:space="preserve">       </w:t>
      </w:r>
      <w:r>
        <w:rPr>
          <w:rFonts w:hint="eastAsia" w:ascii="宋体" w:hAnsi="宋体"/>
          <w:color w:val="auto"/>
          <w:highlight w:val="none"/>
        </w:rPr>
        <w:t>（项目名称）合同有关条款规定的时间和方式，向乙方支付工程款；</w:t>
      </w:r>
    </w:p>
    <w:p>
      <w:pPr>
        <w:spacing w:line="400" w:lineRule="exact"/>
        <w:ind w:firstLine="420" w:firstLineChars="200"/>
        <w:rPr>
          <w:rFonts w:ascii="宋体" w:hAnsi="宋体"/>
          <w:color w:val="auto"/>
          <w:highlight w:val="none"/>
        </w:rPr>
      </w:pPr>
      <w:r>
        <w:rPr>
          <w:rFonts w:hint="eastAsia" w:ascii="宋体" w:hAnsi="宋体"/>
          <w:color w:val="auto"/>
          <w:highlight w:val="none"/>
        </w:rPr>
        <w:t>（2）在发现乙方将本项目资金挪用、转移时，甲方有权中止工程支付，直至乙方改正为止；</w:t>
      </w:r>
    </w:p>
    <w:p>
      <w:pPr>
        <w:spacing w:line="400" w:lineRule="exact"/>
        <w:ind w:firstLine="420" w:firstLineChars="200"/>
        <w:rPr>
          <w:rFonts w:ascii="宋体" w:hAnsi="宋体"/>
          <w:color w:val="auto"/>
          <w:highlight w:val="none"/>
        </w:rPr>
      </w:pPr>
      <w:r>
        <w:rPr>
          <w:rFonts w:hint="eastAsia" w:ascii="宋体" w:hAnsi="宋体"/>
          <w:color w:val="auto"/>
          <w:highlight w:val="none"/>
        </w:rPr>
        <w:t>（3）不定期审查丙方对乙方的资金使用监督情况，如丙方不能履行其责任，甲方有权随时终止本协议；</w:t>
      </w:r>
    </w:p>
    <w:p>
      <w:pPr>
        <w:spacing w:line="400" w:lineRule="exact"/>
        <w:ind w:firstLine="420" w:firstLineChars="200"/>
        <w:rPr>
          <w:rFonts w:ascii="宋体" w:hAnsi="宋体"/>
          <w:color w:val="auto"/>
          <w:highlight w:val="none"/>
        </w:rPr>
      </w:pPr>
      <w:r>
        <w:rPr>
          <w:rFonts w:hint="eastAsia" w:ascii="宋体" w:hAnsi="宋体"/>
          <w:color w:val="auto"/>
          <w:highlight w:val="none"/>
        </w:rPr>
        <w:t>（4）在乙、丙双方发生争议时，甲方应负责协调、解决。</w:t>
      </w:r>
    </w:p>
    <w:p>
      <w:pPr>
        <w:spacing w:line="400" w:lineRule="exact"/>
        <w:ind w:firstLine="420" w:firstLineChars="200"/>
        <w:rPr>
          <w:rFonts w:ascii="宋体" w:hAnsi="宋体"/>
          <w:color w:val="auto"/>
          <w:highlight w:val="none"/>
        </w:rPr>
      </w:pPr>
      <w:r>
        <w:rPr>
          <w:rFonts w:hint="eastAsia" w:ascii="宋体" w:hAnsi="宋体"/>
          <w:color w:val="auto"/>
          <w:highlight w:val="none"/>
        </w:rPr>
        <w:t>3.乙方的权责</w:t>
      </w:r>
    </w:p>
    <w:p>
      <w:pPr>
        <w:spacing w:line="400" w:lineRule="exact"/>
        <w:ind w:firstLine="420" w:firstLineChars="200"/>
        <w:rPr>
          <w:rFonts w:ascii="宋体" w:hAnsi="宋体"/>
          <w:color w:val="auto"/>
          <w:highlight w:val="none"/>
        </w:rPr>
      </w:pPr>
      <w:r>
        <w:rPr>
          <w:rFonts w:hint="eastAsia" w:ascii="宋体" w:hAnsi="宋体"/>
          <w:color w:val="auto"/>
          <w:highlight w:val="none"/>
        </w:rPr>
        <w:t>（1）项目经理部成立以后，乙方应尽快在丙方开设基本结算户；</w:t>
      </w:r>
    </w:p>
    <w:p>
      <w:pPr>
        <w:spacing w:line="400" w:lineRule="exact"/>
        <w:ind w:firstLine="420" w:firstLineChars="200"/>
        <w:rPr>
          <w:rFonts w:ascii="宋体" w:hAnsi="宋体"/>
          <w:color w:val="auto"/>
          <w:highlight w:val="none"/>
        </w:rPr>
      </w:pPr>
      <w:r>
        <w:rPr>
          <w:rFonts w:hint="eastAsia" w:ascii="宋体" w:hAnsi="宋体"/>
          <w:color w:val="auto"/>
          <w:highlight w:val="none"/>
        </w:rPr>
        <w:t>（2）确保本项目资金专款专用，不发生挪用、转移资金的现象；保证不通过权益转让、抵押、担保承担债务等任何其他方式使用基本结算户的资金，在项目建设期间，承包人及其下属任何部门不得向项目经理部收取管理费；</w:t>
      </w:r>
    </w:p>
    <w:p>
      <w:pPr>
        <w:spacing w:line="400" w:lineRule="exact"/>
        <w:ind w:firstLine="420" w:firstLineChars="200"/>
        <w:rPr>
          <w:rFonts w:ascii="宋体" w:hAnsi="宋体"/>
          <w:color w:val="auto"/>
          <w:highlight w:val="none"/>
        </w:rPr>
      </w:pPr>
      <w:r>
        <w:rPr>
          <w:rFonts w:hint="eastAsia" w:ascii="宋体" w:hAnsi="宋体"/>
          <w:color w:val="auto"/>
          <w:highlight w:val="none"/>
        </w:rPr>
        <w:t>（3）办理材料、设备等采购业务金额在</w:t>
      </w:r>
      <w:r>
        <w:rPr>
          <w:rFonts w:hint="eastAsia" w:ascii="宋体" w:hAnsi="宋体"/>
          <w:color w:val="auto"/>
          <w:highlight w:val="none"/>
          <w:u w:val="single"/>
        </w:rPr>
        <w:t xml:space="preserve">    </w:t>
      </w:r>
      <w:r>
        <w:rPr>
          <w:rFonts w:hint="eastAsia" w:ascii="宋体" w:hAnsi="宋体"/>
          <w:color w:val="auto"/>
          <w:highlight w:val="none"/>
        </w:rPr>
        <w:t>万元以上的，应出示购货合同、协议和发票；在办理总额超过</w:t>
      </w:r>
      <w:r>
        <w:rPr>
          <w:rFonts w:hint="eastAsia" w:ascii="宋体" w:hAnsi="宋体"/>
          <w:color w:val="auto"/>
          <w:highlight w:val="none"/>
          <w:u w:val="single"/>
        </w:rPr>
        <w:t xml:space="preserve">    </w:t>
      </w:r>
      <w:r>
        <w:rPr>
          <w:rFonts w:hint="eastAsia" w:ascii="宋体" w:hAnsi="宋体"/>
          <w:color w:val="auto"/>
          <w:highlight w:val="none"/>
        </w:rPr>
        <w:t>万元以上的采购业务时，应将合同、协议和发票复印件送丙方备案；购买应急材料、设备时可先办理支付手续，但事后必须补备有关资料；</w:t>
      </w:r>
    </w:p>
    <w:p>
      <w:pPr>
        <w:spacing w:line="400" w:lineRule="exact"/>
        <w:ind w:firstLine="420" w:firstLineChars="200"/>
        <w:rPr>
          <w:rFonts w:ascii="宋体" w:hAnsi="宋体"/>
          <w:color w:val="auto"/>
          <w:highlight w:val="none"/>
        </w:rPr>
      </w:pPr>
      <w:r>
        <w:rPr>
          <w:rFonts w:hint="eastAsia" w:ascii="宋体" w:hAnsi="宋体"/>
          <w:color w:val="auto"/>
          <w:highlight w:val="none"/>
        </w:rPr>
        <w:t>（4）用银行转账支票办理支付款项时，必须将转账支票送交丙方，由丙方负责办理支票转付手续；</w:t>
      </w:r>
    </w:p>
    <w:p>
      <w:pPr>
        <w:spacing w:line="400" w:lineRule="exact"/>
        <w:ind w:firstLine="420" w:firstLineChars="200"/>
        <w:rPr>
          <w:rFonts w:ascii="宋体" w:hAnsi="宋体"/>
          <w:color w:val="auto"/>
          <w:highlight w:val="none"/>
        </w:rPr>
      </w:pPr>
      <w:r>
        <w:rPr>
          <w:rFonts w:hint="eastAsia" w:ascii="宋体" w:hAnsi="宋体"/>
          <w:color w:val="auto"/>
          <w:highlight w:val="none"/>
        </w:rPr>
        <w:t>（5）向分包单位支付工程进度款时，应附甲方批准分包的文件；</w:t>
      </w:r>
    </w:p>
    <w:p>
      <w:pPr>
        <w:spacing w:line="400" w:lineRule="exact"/>
        <w:ind w:firstLine="420" w:firstLineChars="200"/>
        <w:rPr>
          <w:rFonts w:ascii="宋体" w:hAnsi="宋体"/>
          <w:color w:val="auto"/>
          <w:highlight w:val="none"/>
        </w:rPr>
      </w:pPr>
      <w:r>
        <w:rPr>
          <w:rFonts w:hint="eastAsia" w:ascii="宋体" w:hAnsi="宋体"/>
          <w:color w:val="auto"/>
          <w:highlight w:val="none"/>
        </w:rPr>
        <w:t>（6）向上级单位缴纳管理费、机械设备及周转材料租赁摊销费等款项时，应附上级单位出具的转账通知等有关资料，以确保资金专款专用。</w:t>
      </w:r>
    </w:p>
    <w:p>
      <w:pPr>
        <w:spacing w:line="400" w:lineRule="exact"/>
        <w:ind w:firstLine="420" w:firstLineChars="200"/>
        <w:rPr>
          <w:rFonts w:ascii="宋体" w:hAnsi="宋体"/>
          <w:color w:val="auto"/>
          <w:highlight w:val="none"/>
        </w:rPr>
      </w:pPr>
      <w:r>
        <w:rPr>
          <w:rFonts w:hint="eastAsia" w:ascii="宋体" w:hAnsi="宋体"/>
          <w:color w:val="auto"/>
          <w:highlight w:val="none"/>
        </w:rPr>
        <w:t>4.丙方的权责</w:t>
      </w:r>
    </w:p>
    <w:p>
      <w:pPr>
        <w:spacing w:line="400" w:lineRule="exact"/>
        <w:ind w:firstLine="420" w:firstLineChars="200"/>
        <w:rPr>
          <w:rFonts w:ascii="宋体" w:hAnsi="宋体"/>
          <w:color w:val="auto"/>
          <w:highlight w:val="none"/>
        </w:rPr>
      </w:pPr>
      <w:r>
        <w:rPr>
          <w:rFonts w:hint="eastAsia" w:ascii="宋体" w:hAnsi="宋体"/>
          <w:color w:val="auto"/>
          <w:highlight w:val="none"/>
        </w:rPr>
        <w:t>（1）成立</w:t>
      </w:r>
      <w:r>
        <w:rPr>
          <w:rFonts w:hint="eastAsia" w:ascii="宋体" w:hAnsi="宋体"/>
          <w:color w:val="auto"/>
          <w:highlight w:val="none"/>
          <w:u w:val="single"/>
        </w:rPr>
        <w:t xml:space="preserve">      </w:t>
      </w:r>
      <w:r>
        <w:rPr>
          <w:rFonts w:hint="eastAsia" w:ascii="宋体" w:hAnsi="宋体"/>
          <w:color w:val="auto"/>
          <w:highlight w:val="none"/>
        </w:rPr>
        <w:t>（项目名称）工程资金管理服务小组，明确业务流程，提高工作效率，杜绝“压票”现象；</w:t>
      </w:r>
    </w:p>
    <w:p>
      <w:pPr>
        <w:spacing w:line="400" w:lineRule="exact"/>
        <w:ind w:firstLine="420" w:firstLineChars="200"/>
        <w:rPr>
          <w:rFonts w:ascii="宋体" w:hAnsi="宋体"/>
          <w:color w:val="auto"/>
          <w:highlight w:val="none"/>
        </w:rPr>
      </w:pPr>
      <w:r>
        <w:rPr>
          <w:rFonts w:hint="eastAsia" w:ascii="宋体" w:hAnsi="宋体"/>
          <w:color w:val="auto"/>
          <w:highlight w:val="none"/>
        </w:rPr>
        <w:t>（2）根据乙方提供的购货合同、协议和发票，检查其所购材料、设备是否用于（项目名称）工程建设，对本标段以外的购货款项，有权拒绝办理，并及时报告甲方；</w:t>
      </w:r>
    </w:p>
    <w:p>
      <w:pPr>
        <w:spacing w:line="400" w:lineRule="exact"/>
        <w:ind w:firstLine="420" w:firstLineChars="200"/>
        <w:rPr>
          <w:rFonts w:ascii="宋体" w:hAnsi="宋体"/>
          <w:color w:val="auto"/>
          <w:highlight w:val="none"/>
        </w:rPr>
      </w:pPr>
      <w:r>
        <w:rPr>
          <w:rFonts w:hint="eastAsia" w:ascii="宋体" w:hAnsi="宋体"/>
          <w:color w:val="auto"/>
          <w:highlight w:val="none"/>
        </w:rPr>
        <w:t>（3）根据乙方与分包单位签订的合同及支付文件，检查其支付款项是否符合有关条件，向分包单位以外单位的支付有权拒绝办理，并及时报告甲方；</w:t>
      </w:r>
    </w:p>
    <w:p>
      <w:pPr>
        <w:spacing w:line="400" w:lineRule="exact"/>
        <w:ind w:firstLine="420" w:firstLineChars="200"/>
        <w:rPr>
          <w:rFonts w:ascii="宋体" w:hAnsi="宋体"/>
          <w:color w:val="auto"/>
          <w:highlight w:val="none"/>
        </w:rPr>
      </w:pPr>
      <w:r>
        <w:rPr>
          <w:rFonts w:hint="eastAsia" w:ascii="宋体" w:hAnsi="宋体"/>
          <w:color w:val="auto"/>
          <w:highlight w:val="none"/>
        </w:rPr>
        <w:t>（4）根据乙方提供的上级单位出具的转账通知等有关资料，办理管理费、机械设备及周转材料租赁摊销费等款项的支付；对超出转账通知等有关资料以外的支付，有权拒绝办理，并及时转告甲方；</w:t>
      </w:r>
    </w:p>
    <w:p>
      <w:pPr>
        <w:spacing w:line="400" w:lineRule="exact"/>
        <w:ind w:firstLine="420" w:firstLineChars="200"/>
        <w:rPr>
          <w:rFonts w:ascii="宋体" w:hAnsi="宋体"/>
          <w:color w:val="auto"/>
          <w:highlight w:val="none"/>
        </w:rPr>
      </w:pPr>
      <w:r>
        <w:rPr>
          <w:rFonts w:hint="eastAsia" w:ascii="宋体" w:hAnsi="宋体"/>
          <w:color w:val="auto"/>
          <w:highlight w:val="none"/>
        </w:rPr>
        <w:t>（5）定期将乙方前一个周期的支付情况，整理后书面报送甲方；乙方复印备案的材料一并送甲方。</w:t>
      </w:r>
    </w:p>
    <w:p>
      <w:pPr>
        <w:spacing w:line="400" w:lineRule="exact"/>
        <w:ind w:firstLine="420" w:firstLineChars="200"/>
        <w:rPr>
          <w:rFonts w:ascii="宋体" w:hAnsi="宋体"/>
          <w:color w:val="auto"/>
          <w:highlight w:val="none"/>
        </w:rPr>
      </w:pPr>
      <w:r>
        <w:rPr>
          <w:rFonts w:hint="eastAsia" w:ascii="宋体" w:hAnsi="宋体"/>
          <w:color w:val="auto"/>
          <w:highlight w:val="none"/>
        </w:rPr>
        <w:t>5.甲、乙、丙三方都应履行保密责任，不得将其他两方的业务情况透露给三方以外的其他单位或个人。</w:t>
      </w:r>
    </w:p>
    <w:p>
      <w:pPr>
        <w:spacing w:line="400" w:lineRule="exact"/>
        <w:ind w:firstLine="420" w:firstLineChars="200"/>
        <w:rPr>
          <w:rFonts w:ascii="宋体" w:hAnsi="宋体"/>
          <w:color w:val="auto"/>
          <w:highlight w:val="none"/>
        </w:rPr>
      </w:pPr>
      <w:r>
        <w:rPr>
          <w:rFonts w:hint="eastAsia" w:ascii="宋体" w:hAnsi="宋体"/>
          <w:color w:val="auto"/>
          <w:highlight w:val="none"/>
        </w:rPr>
        <w:t>6.本协议有效期自乙方在丙方开户起，至工程交工验收甲方向乙方颁发交工验收证书后结束。</w:t>
      </w:r>
    </w:p>
    <w:p>
      <w:pPr>
        <w:spacing w:line="400" w:lineRule="exact"/>
        <w:ind w:firstLine="420" w:firstLineChars="200"/>
        <w:rPr>
          <w:rFonts w:ascii="宋体" w:hAnsi="宋体"/>
          <w:color w:val="auto"/>
          <w:highlight w:val="none"/>
        </w:rPr>
      </w:pPr>
      <w:r>
        <w:rPr>
          <w:rFonts w:hint="eastAsia" w:ascii="宋体" w:hAnsi="宋体"/>
          <w:color w:val="auto"/>
          <w:highlight w:val="none"/>
        </w:rPr>
        <w:t>7.本协议未尽事宜，由甲方牵头，三方协商解决。</w:t>
      </w:r>
    </w:p>
    <w:p>
      <w:pPr>
        <w:spacing w:line="400" w:lineRule="exact"/>
        <w:ind w:firstLine="420" w:firstLineChars="200"/>
        <w:rPr>
          <w:rFonts w:ascii="宋体" w:hAnsi="宋体"/>
          <w:color w:val="auto"/>
          <w:highlight w:val="none"/>
        </w:rPr>
      </w:pPr>
      <w:r>
        <w:rPr>
          <w:rFonts w:hint="eastAsia" w:ascii="宋体" w:hAnsi="宋体"/>
          <w:color w:val="auto"/>
          <w:highlight w:val="none"/>
        </w:rPr>
        <w:t>8.本协议正本三份、副本</w:t>
      </w:r>
      <w:r>
        <w:rPr>
          <w:rFonts w:hint="eastAsia" w:ascii="宋体" w:hAnsi="宋体"/>
          <w:color w:val="auto"/>
          <w:highlight w:val="none"/>
          <w:u w:val="single"/>
        </w:rPr>
        <w:t xml:space="preserve">   </w:t>
      </w:r>
      <w:r>
        <w:rPr>
          <w:rFonts w:hint="eastAsia" w:ascii="宋体" w:hAnsi="宋体"/>
          <w:color w:val="auto"/>
          <w:highlight w:val="none"/>
        </w:rPr>
        <w:t>份。合同三方各执正本一份、副本</w:t>
      </w:r>
      <w:r>
        <w:rPr>
          <w:rFonts w:hint="eastAsia" w:ascii="宋体" w:hAnsi="宋体"/>
          <w:color w:val="auto"/>
          <w:highlight w:val="none"/>
          <w:u w:val="single"/>
        </w:rPr>
        <w:t xml:space="preserve">    </w:t>
      </w:r>
      <w:r>
        <w:rPr>
          <w:rFonts w:hint="eastAsia" w:ascii="宋体" w:hAnsi="宋体"/>
          <w:color w:val="auto"/>
          <w:highlight w:val="none"/>
        </w:rPr>
        <w:t>份，当正本与副本内容不一致时，以正本为准。</w:t>
      </w:r>
    </w:p>
    <w:p>
      <w:pPr>
        <w:rPr>
          <w:rFonts w:ascii="宋体" w:hAnsi="宋体"/>
          <w:color w:val="auto"/>
          <w:highlight w:val="none"/>
        </w:rPr>
      </w:pPr>
    </w:p>
    <w:p>
      <w:pPr>
        <w:spacing w:line="360" w:lineRule="exact"/>
        <w:ind w:firstLine="465"/>
        <w:rPr>
          <w:rFonts w:ascii="宋体" w:hAnsi="宋体"/>
          <w:color w:val="auto"/>
          <w:highlight w:val="none"/>
        </w:rPr>
      </w:pPr>
      <w:r>
        <w:rPr>
          <w:rFonts w:hint="eastAsia" w:ascii="宋体" w:hAnsi="宋体"/>
          <w:color w:val="auto"/>
          <w:highlight w:val="none"/>
        </w:rPr>
        <w:t>发包人：</w:t>
      </w:r>
      <w:r>
        <w:rPr>
          <w:rFonts w:hint="eastAsia" w:ascii="宋体" w:hAnsi="宋体"/>
          <w:color w:val="auto"/>
          <w:highlight w:val="none"/>
          <w:u w:val="single"/>
        </w:rPr>
        <w:t xml:space="preserve">                      </w:t>
      </w:r>
      <w:r>
        <w:rPr>
          <w:rFonts w:hint="eastAsia" w:ascii="宋体" w:hAnsi="宋体"/>
          <w:color w:val="auto"/>
          <w:highlight w:val="none"/>
        </w:rPr>
        <w:t>（盖单位章）</w:t>
      </w:r>
    </w:p>
    <w:p>
      <w:pPr>
        <w:spacing w:line="360" w:lineRule="exact"/>
        <w:ind w:firstLine="465"/>
        <w:rPr>
          <w:rFonts w:ascii="宋体" w:hAnsi="宋体"/>
          <w:color w:val="auto"/>
          <w:highlight w:val="none"/>
        </w:rPr>
      </w:pPr>
      <w:r>
        <w:rPr>
          <w:rFonts w:hint="eastAsia" w:ascii="宋体" w:hAnsi="宋体"/>
          <w:color w:val="auto"/>
          <w:highlight w:val="none"/>
        </w:rPr>
        <w:t>法定人或代表其委托代理人：</w:t>
      </w:r>
      <w:r>
        <w:rPr>
          <w:rFonts w:hint="eastAsia" w:ascii="宋体" w:hAnsi="宋体"/>
          <w:color w:val="auto"/>
          <w:highlight w:val="none"/>
          <w:u w:val="single"/>
        </w:rPr>
        <w:t xml:space="preserve">        </w:t>
      </w:r>
      <w:r>
        <w:rPr>
          <w:rFonts w:hint="eastAsia" w:ascii="宋体" w:hAnsi="宋体"/>
          <w:color w:val="auto"/>
          <w:highlight w:val="none"/>
        </w:rPr>
        <w:t>（签字）</w:t>
      </w:r>
    </w:p>
    <w:p>
      <w:pPr>
        <w:spacing w:line="360" w:lineRule="exact"/>
        <w:ind w:firstLine="465"/>
        <w:rPr>
          <w:rFonts w:ascii="宋体" w:hAnsi="宋体"/>
          <w:color w:val="auto"/>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pPr>
        <w:spacing w:line="360" w:lineRule="exact"/>
        <w:rPr>
          <w:rFonts w:ascii="宋体" w:hAnsi="宋体"/>
          <w:color w:val="auto"/>
          <w:highlight w:val="none"/>
        </w:rPr>
      </w:pPr>
      <w:r>
        <w:rPr>
          <w:rFonts w:hint="eastAsia" w:ascii="宋体" w:hAnsi="宋体"/>
          <w:color w:val="auto"/>
          <w:highlight w:val="none"/>
        </w:rPr>
        <w:t xml:space="preserve">                              </w:t>
      </w:r>
    </w:p>
    <w:p>
      <w:pPr>
        <w:spacing w:line="360" w:lineRule="exact"/>
        <w:ind w:firstLine="465"/>
        <w:rPr>
          <w:rFonts w:ascii="宋体" w:hAnsi="宋体"/>
          <w:color w:val="auto"/>
          <w:highlight w:val="none"/>
        </w:rPr>
      </w:pPr>
      <w:r>
        <w:rPr>
          <w:rFonts w:hint="eastAsia" w:ascii="宋体" w:hAnsi="宋体"/>
          <w:color w:val="auto"/>
          <w:highlight w:val="none"/>
        </w:rPr>
        <w:t>承包人：</w:t>
      </w:r>
      <w:r>
        <w:rPr>
          <w:rFonts w:hint="eastAsia" w:ascii="宋体" w:hAnsi="宋体"/>
          <w:color w:val="auto"/>
          <w:highlight w:val="none"/>
          <w:u w:val="single"/>
        </w:rPr>
        <w:t xml:space="preserve">                      </w:t>
      </w:r>
      <w:r>
        <w:rPr>
          <w:rFonts w:hint="eastAsia" w:ascii="宋体" w:hAnsi="宋体"/>
          <w:color w:val="auto"/>
          <w:highlight w:val="none"/>
        </w:rPr>
        <w:t>（盖单位章）</w:t>
      </w:r>
    </w:p>
    <w:p>
      <w:pPr>
        <w:spacing w:line="360" w:lineRule="exact"/>
        <w:ind w:firstLine="465"/>
        <w:rPr>
          <w:rFonts w:ascii="宋体" w:hAnsi="宋体"/>
          <w:color w:val="auto"/>
          <w:highlight w:val="none"/>
        </w:rPr>
      </w:pPr>
      <w:r>
        <w:rPr>
          <w:rFonts w:hint="eastAsia" w:ascii="宋体" w:hAnsi="宋体"/>
          <w:color w:val="auto"/>
          <w:highlight w:val="none"/>
        </w:rPr>
        <w:t>法定人或代表其委托代理人：</w:t>
      </w:r>
      <w:r>
        <w:rPr>
          <w:rFonts w:hint="eastAsia" w:ascii="宋体" w:hAnsi="宋体"/>
          <w:color w:val="auto"/>
          <w:highlight w:val="none"/>
          <w:u w:val="single"/>
        </w:rPr>
        <w:t xml:space="preserve">        </w:t>
      </w:r>
      <w:r>
        <w:rPr>
          <w:rFonts w:hint="eastAsia" w:ascii="宋体" w:hAnsi="宋体"/>
          <w:color w:val="auto"/>
          <w:highlight w:val="none"/>
        </w:rPr>
        <w:t>（签字）</w:t>
      </w:r>
    </w:p>
    <w:p>
      <w:pPr>
        <w:spacing w:line="360" w:lineRule="exact"/>
        <w:ind w:firstLine="465"/>
        <w:rPr>
          <w:rFonts w:ascii="宋体" w:hAnsi="宋体"/>
          <w:color w:val="auto"/>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pPr>
        <w:spacing w:line="360" w:lineRule="exact"/>
        <w:rPr>
          <w:rFonts w:ascii="宋体" w:hAnsi="宋体"/>
          <w:color w:val="auto"/>
          <w:highlight w:val="none"/>
        </w:rPr>
      </w:pPr>
    </w:p>
    <w:p>
      <w:pPr>
        <w:spacing w:line="360" w:lineRule="exact"/>
        <w:ind w:firstLine="465"/>
        <w:rPr>
          <w:rFonts w:ascii="宋体" w:hAnsi="宋体"/>
          <w:color w:val="auto"/>
          <w:highlight w:val="none"/>
        </w:rPr>
      </w:pPr>
      <w:r>
        <w:rPr>
          <w:rFonts w:hint="eastAsia" w:ascii="宋体" w:hAnsi="宋体"/>
          <w:color w:val="auto"/>
          <w:highlight w:val="none"/>
        </w:rPr>
        <w:t>经办银行：</w:t>
      </w:r>
      <w:r>
        <w:rPr>
          <w:rFonts w:hint="eastAsia" w:ascii="宋体" w:hAnsi="宋体"/>
          <w:color w:val="auto"/>
          <w:highlight w:val="none"/>
          <w:u w:val="single"/>
        </w:rPr>
        <w:t xml:space="preserve">                    </w:t>
      </w:r>
      <w:r>
        <w:rPr>
          <w:rFonts w:hint="eastAsia" w:ascii="宋体" w:hAnsi="宋体"/>
          <w:color w:val="auto"/>
          <w:highlight w:val="none"/>
        </w:rPr>
        <w:t>（盖单位章）</w:t>
      </w:r>
    </w:p>
    <w:p>
      <w:pPr>
        <w:spacing w:line="360" w:lineRule="exact"/>
        <w:ind w:firstLine="465"/>
        <w:rPr>
          <w:rFonts w:ascii="宋体" w:hAnsi="宋体"/>
          <w:color w:val="auto"/>
          <w:highlight w:val="none"/>
        </w:rPr>
      </w:pPr>
      <w:r>
        <w:rPr>
          <w:rFonts w:hint="eastAsia" w:ascii="宋体" w:hAnsi="宋体"/>
          <w:color w:val="auto"/>
          <w:highlight w:val="none"/>
        </w:rPr>
        <w:t>法定人或代表其委托代理人：</w:t>
      </w:r>
      <w:r>
        <w:rPr>
          <w:rFonts w:hint="eastAsia" w:ascii="宋体" w:hAnsi="宋体"/>
          <w:color w:val="auto"/>
          <w:highlight w:val="none"/>
          <w:u w:val="single"/>
        </w:rPr>
        <w:t xml:space="preserve">        </w:t>
      </w:r>
      <w:r>
        <w:rPr>
          <w:rFonts w:hint="eastAsia" w:ascii="宋体" w:hAnsi="宋体"/>
          <w:color w:val="auto"/>
          <w:highlight w:val="none"/>
        </w:rPr>
        <w:t>（签字）</w:t>
      </w:r>
    </w:p>
    <w:p>
      <w:pPr>
        <w:spacing w:line="360" w:lineRule="exact"/>
        <w:ind w:firstLine="2247" w:firstLineChars="1070"/>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pPr>
        <w:spacing w:line="400" w:lineRule="exact"/>
        <w:rPr>
          <w:rFonts w:ascii="宋体" w:hAnsi="宋体"/>
          <w:color w:val="auto"/>
          <w:highlight w:val="none"/>
        </w:rPr>
      </w:pPr>
    </w:p>
    <w:p>
      <w:pPr>
        <w:spacing w:line="400" w:lineRule="exact"/>
        <w:rPr>
          <w:rFonts w:ascii="宋体" w:hAnsi="宋体"/>
          <w:color w:val="auto"/>
          <w:highlight w:val="none"/>
        </w:rPr>
      </w:pPr>
    </w:p>
    <w:p>
      <w:pPr>
        <w:spacing w:line="400" w:lineRule="exact"/>
        <w:outlineLvl w:val="2"/>
        <w:rPr>
          <w:rFonts w:ascii="宋体" w:hAnsi="宋体"/>
          <w:color w:val="auto"/>
          <w:highlight w:val="none"/>
        </w:rPr>
      </w:pPr>
      <w:r>
        <w:rPr>
          <w:rFonts w:ascii="宋体" w:hAnsi="宋体"/>
          <w:color w:val="auto"/>
          <w:highlight w:val="none"/>
        </w:rPr>
        <w:br w:type="page"/>
      </w:r>
      <w:bookmarkStart w:id="1532" w:name="_Toc245477463"/>
      <w:bookmarkStart w:id="1533" w:name="_Toc262896019"/>
      <w:bookmarkStart w:id="1534" w:name="_Toc263889346"/>
      <w:bookmarkStart w:id="1535" w:name="_Toc466366121"/>
      <w:r>
        <w:rPr>
          <w:rFonts w:hint="eastAsia" w:ascii="宋体" w:hAnsi="宋体"/>
          <w:color w:val="auto"/>
          <w:highlight w:val="none"/>
        </w:rPr>
        <w:t>附件十  工程质量责任合同</w:t>
      </w:r>
      <w:bookmarkEnd w:id="1532"/>
      <w:bookmarkEnd w:id="1533"/>
      <w:bookmarkEnd w:id="1534"/>
      <w:bookmarkEnd w:id="1535"/>
    </w:p>
    <w:p>
      <w:pPr>
        <w:spacing w:line="400" w:lineRule="exact"/>
        <w:rPr>
          <w:rFonts w:ascii="宋体" w:hAnsi="宋体"/>
          <w:color w:val="auto"/>
          <w:highlight w:val="none"/>
        </w:rPr>
      </w:pPr>
    </w:p>
    <w:p>
      <w:pPr>
        <w:spacing w:line="400" w:lineRule="exact"/>
        <w:jc w:val="center"/>
        <w:rPr>
          <w:rFonts w:ascii="宋体" w:hAnsi="宋体"/>
          <w:b/>
          <w:color w:val="auto"/>
          <w:highlight w:val="none"/>
        </w:rPr>
      </w:pPr>
      <w:r>
        <w:rPr>
          <w:rFonts w:hint="eastAsia" w:ascii="宋体" w:hAnsi="宋体"/>
          <w:b/>
          <w:color w:val="auto"/>
          <w:highlight w:val="none"/>
        </w:rPr>
        <w:t>工程质量责任合同</w:t>
      </w:r>
    </w:p>
    <w:p>
      <w:pPr>
        <w:spacing w:line="400" w:lineRule="exact"/>
        <w:ind w:firstLine="420" w:firstLineChars="200"/>
        <w:jc w:val="left"/>
        <w:rPr>
          <w:rFonts w:ascii="宋体" w:hAnsi="宋体"/>
          <w:color w:val="auto"/>
          <w:spacing w:val="-6"/>
          <w:highlight w:val="none"/>
        </w:rPr>
      </w:pPr>
      <w:r>
        <w:rPr>
          <w:rFonts w:ascii="宋体" w:hAnsi="宋体"/>
          <w:color w:val="auto"/>
          <w:highlight w:val="none"/>
        </w:rPr>
        <w:t>根据国务院《</w:t>
      </w:r>
      <w:r>
        <w:rPr>
          <w:rFonts w:hint="eastAsia" w:ascii="宋体" w:hAnsi="宋体"/>
          <w:color w:val="auto"/>
          <w:highlight w:val="none"/>
        </w:rPr>
        <w:t>建设</w:t>
      </w:r>
      <w:r>
        <w:rPr>
          <w:rFonts w:ascii="宋体" w:hAnsi="宋体"/>
          <w:color w:val="auto"/>
          <w:highlight w:val="none"/>
        </w:rPr>
        <w:t>工程质量管理条例》，为保证在设计使用年限内建设工程质量，</w:t>
      </w:r>
      <w:r>
        <w:rPr>
          <w:rFonts w:hint="eastAsia" w:ascii="宋体" w:hAnsi="宋体"/>
          <w:color w:val="auto"/>
          <w:highlight w:val="none"/>
          <w:u w:val="single"/>
        </w:rPr>
        <w:t>（项目名称）</w:t>
      </w:r>
      <w:r>
        <w:rPr>
          <w:rFonts w:ascii="宋体" w:hAnsi="宋体"/>
          <w:color w:val="auto"/>
          <w:highlight w:val="none"/>
        </w:rPr>
        <w:t>的</w:t>
      </w:r>
      <w:r>
        <w:rPr>
          <w:rFonts w:hint="eastAsia" w:ascii="宋体" w:hAnsi="宋体"/>
          <w:color w:val="auto"/>
          <w:highlight w:val="none"/>
        </w:rPr>
        <w:t>发包人</w:t>
      </w:r>
      <w:r>
        <w:rPr>
          <w:rFonts w:hint="eastAsia" w:ascii="宋体" w:hAnsi="宋体"/>
          <w:color w:val="auto"/>
          <w:highlight w:val="none"/>
          <w:u w:val="single"/>
        </w:rPr>
        <w:t xml:space="preserve">       </w:t>
      </w:r>
      <w:r>
        <w:rPr>
          <w:rFonts w:ascii="宋体" w:hAnsi="宋体"/>
          <w:color w:val="auto"/>
          <w:highlight w:val="none"/>
        </w:rPr>
        <w:t>（以下称甲方）与</w:t>
      </w:r>
      <w:r>
        <w:rPr>
          <w:rFonts w:hint="eastAsia" w:ascii="宋体" w:hAnsi="宋体"/>
          <w:color w:val="auto"/>
          <w:highlight w:val="none"/>
        </w:rPr>
        <w:t>承包人</w:t>
      </w:r>
      <w:r>
        <w:rPr>
          <w:rFonts w:ascii="宋体" w:hAnsi="宋体"/>
          <w:color w:val="auto"/>
          <w:highlight w:val="none"/>
          <w:u w:val="single"/>
        </w:rPr>
        <w:t xml:space="preserve">          </w:t>
      </w:r>
      <w:r>
        <w:rPr>
          <w:rFonts w:ascii="宋体" w:hAnsi="宋体"/>
          <w:color w:val="auto"/>
          <w:highlight w:val="none"/>
        </w:rPr>
        <w:t>（以下称乙方），特订立如下质量责任合同。</w:t>
      </w:r>
    </w:p>
    <w:p>
      <w:pPr>
        <w:spacing w:line="400" w:lineRule="exact"/>
        <w:ind w:firstLine="480"/>
        <w:rPr>
          <w:rFonts w:ascii="宋体" w:hAnsi="宋体"/>
          <w:color w:val="auto"/>
          <w:spacing w:val="-6"/>
          <w:highlight w:val="none"/>
        </w:rPr>
      </w:pPr>
      <w:r>
        <w:rPr>
          <w:rFonts w:ascii="宋体" w:hAnsi="宋体"/>
          <w:color w:val="auto"/>
          <w:highlight w:val="none"/>
        </w:rPr>
        <w:t>第一条  本建设工程项目的质量目标为</w:t>
      </w:r>
      <w:r>
        <w:rPr>
          <w:rFonts w:hint="eastAsia" w:ascii="宋体" w:hAnsi="宋体"/>
          <w:color w:val="auto"/>
          <w:highlight w:val="none"/>
          <w:u w:val="single"/>
        </w:rPr>
        <w:t xml:space="preserve">          </w:t>
      </w:r>
      <w:r>
        <w:rPr>
          <w:rFonts w:ascii="宋体" w:hAnsi="宋体"/>
          <w:color w:val="auto"/>
          <w:highlight w:val="none"/>
        </w:rPr>
        <w:t>，</w:t>
      </w:r>
      <w:r>
        <w:rPr>
          <w:rFonts w:hint="eastAsia" w:ascii="宋体" w:hAnsi="宋体"/>
          <w:color w:val="auto"/>
          <w:highlight w:val="none"/>
        </w:rPr>
        <w:t>承包人</w:t>
      </w:r>
      <w:r>
        <w:rPr>
          <w:rFonts w:ascii="宋体" w:hAnsi="宋体"/>
          <w:color w:val="auto"/>
          <w:highlight w:val="none"/>
        </w:rPr>
        <w:t>对本建设工程的施工质量在设计使用年限内依法终身负责。施工质量责任人</w:t>
      </w:r>
      <w:r>
        <w:rPr>
          <w:rFonts w:ascii="宋体" w:hAnsi="宋体"/>
          <w:color w:val="auto"/>
          <w:highlight w:val="none"/>
          <w:u w:val="single"/>
        </w:rPr>
        <w:t xml:space="preserve">         </w:t>
      </w:r>
      <w:r>
        <w:rPr>
          <w:rFonts w:ascii="宋体" w:hAnsi="宋体"/>
          <w:color w:val="auto"/>
          <w:highlight w:val="none"/>
        </w:rPr>
        <w:t>。</w:t>
      </w:r>
    </w:p>
    <w:p>
      <w:pPr>
        <w:spacing w:line="400" w:lineRule="exact"/>
        <w:ind w:firstLine="480"/>
        <w:rPr>
          <w:rFonts w:ascii="宋体" w:hAnsi="宋体"/>
          <w:color w:val="auto"/>
          <w:spacing w:val="-6"/>
          <w:highlight w:val="none"/>
        </w:rPr>
      </w:pPr>
      <w:r>
        <w:rPr>
          <w:rFonts w:ascii="宋体" w:hAnsi="宋体"/>
          <w:color w:val="auto"/>
          <w:highlight w:val="none"/>
        </w:rPr>
        <w:t>第二条  甲乙双方的权利与义务</w:t>
      </w:r>
    </w:p>
    <w:p>
      <w:pPr>
        <w:spacing w:line="400" w:lineRule="exact"/>
        <w:ind w:firstLine="480"/>
        <w:rPr>
          <w:rFonts w:ascii="宋体" w:hAnsi="宋体"/>
          <w:color w:val="auto"/>
          <w:spacing w:val="-6"/>
          <w:highlight w:val="none"/>
        </w:rPr>
      </w:pPr>
      <w:r>
        <w:rPr>
          <w:rFonts w:ascii="宋体" w:hAnsi="宋体"/>
          <w:color w:val="auto"/>
          <w:highlight w:val="none"/>
        </w:rPr>
        <w:t>（一）严格遵守国家有关法律法规及交通运输部</w:t>
      </w:r>
      <w:r>
        <w:rPr>
          <w:rFonts w:hint="eastAsia" w:ascii="宋体" w:hAnsi="宋体"/>
          <w:color w:val="auto"/>
          <w:highlight w:val="none"/>
        </w:rPr>
        <w:t>、浙江省交通运输厅</w:t>
      </w:r>
      <w:r>
        <w:rPr>
          <w:rFonts w:ascii="宋体" w:hAnsi="宋体"/>
          <w:color w:val="auto"/>
          <w:highlight w:val="none"/>
        </w:rPr>
        <w:t>的有关规定。</w:t>
      </w:r>
    </w:p>
    <w:p>
      <w:pPr>
        <w:spacing w:line="400" w:lineRule="exact"/>
        <w:ind w:firstLine="480"/>
        <w:rPr>
          <w:rFonts w:ascii="宋体" w:hAnsi="宋体"/>
          <w:color w:val="auto"/>
          <w:spacing w:val="-6"/>
          <w:highlight w:val="none"/>
        </w:rPr>
      </w:pPr>
      <w:r>
        <w:rPr>
          <w:rFonts w:ascii="宋体" w:hAnsi="宋体"/>
          <w:color w:val="auto"/>
          <w:highlight w:val="none"/>
        </w:rPr>
        <w:t>（二）严格</w:t>
      </w:r>
      <w:r>
        <w:rPr>
          <w:rFonts w:ascii="宋体" w:hAnsi="宋体"/>
          <w:color w:val="auto"/>
          <w:spacing w:val="-2"/>
          <w:highlight w:val="none"/>
        </w:rPr>
        <w:t>执行</w:t>
      </w:r>
      <w:r>
        <w:rPr>
          <w:rFonts w:hint="eastAsia" w:ascii="宋体" w:hAnsi="宋体"/>
          <w:color w:val="auto"/>
          <w:spacing w:val="-2"/>
          <w:highlight w:val="none"/>
          <w:u w:val="single"/>
        </w:rPr>
        <w:t xml:space="preserve"> （</w:t>
      </w:r>
      <w:r>
        <w:rPr>
          <w:rFonts w:hint="eastAsia" w:ascii="宋体" w:hAnsi="宋体"/>
          <w:color w:val="auto"/>
          <w:highlight w:val="none"/>
          <w:u w:val="single"/>
        </w:rPr>
        <w:t xml:space="preserve">项目名称） </w:t>
      </w:r>
      <w:r>
        <w:rPr>
          <w:rFonts w:ascii="宋体" w:hAnsi="宋体"/>
          <w:color w:val="auto"/>
          <w:highlight w:val="none"/>
        </w:rPr>
        <w:t>第</w:t>
      </w:r>
      <w:r>
        <w:rPr>
          <w:rFonts w:hint="eastAsia" w:ascii="宋体" w:hAnsi="宋体"/>
          <w:color w:val="auto"/>
          <w:highlight w:val="none"/>
          <w:u w:val="single"/>
        </w:rPr>
        <w:t xml:space="preserve">     </w:t>
      </w:r>
      <w:r>
        <w:rPr>
          <w:rFonts w:hint="eastAsia" w:ascii="宋体" w:hAnsi="宋体"/>
          <w:color w:val="auto"/>
          <w:highlight w:val="none"/>
        </w:rPr>
        <w:t>标</w:t>
      </w:r>
      <w:r>
        <w:rPr>
          <w:rFonts w:ascii="宋体" w:hAnsi="宋体"/>
          <w:color w:val="auto"/>
          <w:highlight w:val="none"/>
        </w:rPr>
        <w:t>段施工合同文件，自觉按合同办事。</w:t>
      </w:r>
    </w:p>
    <w:p>
      <w:pPr>
        <w:spacing w:line="400" w:lineRule="exact"/>
        <w:ind w:firstLine="480"/>
        <w:rPr>
          <w:rFonts w:ascii="宋体" w:hAnsi="宋体"/>
          <w:color w:val="auto"/>
          <w:spacing w:val="-6"/>
          <w:highlight w:val="none"/>
        </w:rPr>
      </w:pPr>
      <w:r>
        <w:rPr>
          <w:rFonts w:ascii="宋体" w:hAnsi="宋体"/>
          <w:color w:val="auto"/>
          <w:highlight w:val="none"/>
        </w:rPr>
        <w:t>（三）双方的施工业务活动必须坚持科学、公正、诚信、平等的原则，不得损害国家、集体的利益，不得违反工程建设管理规章制度。</w:t>
      </w:r>
    </w:p>
    <w:p>
      <w:pPr>
        <w:spacing w:line="400" w:lineRule="exact"/>
        <w:ind w:firstLine="480"/>
        <w:rPr>
          <w:rFonts w:ascii="宋体" w:hAnsi="宋体"/>
          <w:color w:val="auto"/>
          <w:spacing w:val="-6"/>
          <w:highlight w:val="none"/>
        </w:rPr>
      </w:pPr>
      <w:r>
        <w:rPr>
          <w:rFonts w:ascii="宋体" w:hAnsi="宋体"/>
          <w:color w:val="auto"/>
          <w:highlight w:val="none"/>
        </w:rPr>
        <w:t>（四）发现对方在施工业务活动中，有违反有关规定的行为，有及时提醒对方纠正的权利和义务。</w:t>
      </w:r>
    </w:p>
    <w:p>
      <w:pPr>
        <w:spacing w:line="400" w:lineRule="exact"/>
        <w:ind w:firstLine="480"/>
        <w:rPr>
          <w:rFonts w:ascii="宋体" w:hAnsi="宋体"/>
          <w:color w:val="auto"/>
          <w:spacing w:val="-6"/>
          <w:highlight w:val="none"/>
        </w:rPr>
      </w:pPr>
      <w:r>
        <w:rPr>
          <w:rFonts w:ascii="宋体" w:hAnsi="宋体"/>
          <w:color w:val="auto"/>
          <w:highlight w:val="none"/>
        </w:rPr>
        <w:t>（五）发现对方严重违反施工合同文件的行为，有向其上级有关部门举报，建议给予处理并要求告知处理结果的权利。</w:t>
      </w:r>
    </w:p>
    <w:p>
      <w:pPr>
        <w:spacing w:line="400" w:lineRule="exact"/>
        <w:ind w:firstLine="480"/>
        <w:rPr>
          <w:rFonts w:ascii="宋体" w:hAnsi="宋体"/>
          <w:color w:val="auto"/>
          <w:spacing w:val="-6"/>
          <w:highlight w:val="none"/>
        </w:rPr>
      </w:pPr>
      <w:r>
        <w:rPr>
          <w:rFonts w:ascii="宋体" w:hAnsi="宋体"/>
          <w:color w:val="auto"/>
          <w:highlight w:val="none"/>
        </w:rPr>
        <w:t>第三条  甲方的义务</w:t>
      </w:r>
    </w:p>
    <w:p>
      <w:pPr>
        <w:spacing w:line="400" w:lineRule="exact"/>
        <w:ind w:firstLine="480"/>
        <w:rPr>
          <w:rFonts w:ascii="宋体" w:hAnsi="宋体"/>
          <w:color w:val="auto"/>
          <w:spacing w:val="-6"/>
          <w:highlight w:val="none"/>
        </w:rPr>
      </w:pPr>
      <w:r>
        <w:rPr>
          <w:rFonts w:ascii="宋体" w:hAnsi="宋体"/>
          <w:color w:val="auto"/>
          <w:highlight w:val="none"/>
        </w:rPr>
        <w:t>（一）甲方向乙方及时提供有关资料（包括技术规范、工程量清单、施工图等。）</w:t>
      </w:r>
    </w:p>
    <w:p>
      <w:pPr>
        <w:spacing w:line="400" w:lineRule="exact"/>
        <w:ind w:firstLine="480"/>
        <w:rPr>
          <w:rFonts w:ascii="宋体" w:hAnsi="宋体"/>
          <w:color w:val="auto"/>
          <w:spacing w:val="-6"/>
          <w:highlight w:val="none"/>
        </w:rPr>
      </w:pPr>
      <w:r>
        <w:rPr>
          <w:rFonts w:ascii="宋体" w:hAnsi="宋体"/>
          <w:color w:val="auto"/>
          <w:highlight w:val="none"/>
        </w:rPr>
        <w:t>（二）甲方向乙方及时提供建设用地，及时解决对工程占地范围以内尚未拆迁的建筑物及其他障碍物。</w:t>
      </w:r>
    </w:p>
    <w:p>
      <w:pPr>
        <w:spacing w:line="400" w:lineRule="exact"/>
        <w:ind w:firstLine="480"/>
        <w:rPr>
          <w:rFonts w:ascii="宋体" w:hAnsi="宋体"/>
          <w:color w:val="auto"/>
          <w:spacing w:val="-6"/>
          <w:highlight w:val="none"/>
        </w:rPr>
      </w:pPr>
      <w:r>
        <w:rPr>
          <w:rFonts w:ascii="宋体" w:hAnsi="宋体"/>
          <w:color w:val="auto"/>
          <w:highlight w:val="none"/>
        </w:rPr>
        <w:t>（三）甲方不得指使乙方不按法律、法规、工程建设强制性标准和施工规范进行工程的施工活动。</w:t>
      </w:r>
    </w:p>
    <w:p>
      <w:pPr>
        <w:spacing w:line="400" w:lineRule="exact"/>
        <w:ind w:firstLine="480"/>
        <w:rPr>
          <w:rFonts w:ascii="宋体" w:hAnsi="宋体"/>
          <w:color w:val="auto"/>
          <w:spacing w:val="-6"/>
          <w:highlight w:val="none"/>
        </w:rPr>
      </w:pPr>
      <w:r>
        <w:rPr>
          <w:rFonts w:ascii="宋体" w:hAnsi="宋体"/>
          <w:color w:val="auto"/>
          <w:highlight w:val="none"/>
        </w:rPr>
        <w:t>（四）甲方须按施工合同的约定支付工程款，除施工合同的约定外，甲方不得以任何借口克扣工程款或拖延工程款的支付。</w:t>
      </w:r>
    </w:p>
    <w:p>
      <w:pPr>
        <w:spacing w:line="400" w:lineRule="exact"/>
        <w:ind w:firstLine="480"/>
        <w:rPr>
          <w:rFonts w:ascii="宋体" w:hAnsi="宋体"/>
          <w:color w:val="auto"/>
          <w:spacing w:val="-6"/>
          <w:highlight w:val="none"/>
        </w:rPr>
      </w:pPr>
      <w:r>
        <w:rPr>
          <w:rFonts w:ascii="宋体" w:hAnsi="宋体"/>
          <w:color w:val="auto"/>
          <w:highlight w:val="none"/>
        </w:rPr>
        <w:t>（五）甲方不得明示或暗示向乙方推荐单位或个人承包或分包本工程项目的施工任务。</w:t>
      </w:r>
    </w:p>
    <w:p>
      <w:pPr>
        <w:spacing w:line="400" w:lineRule="exact"/>
        <w:ind w:firstLine="480"/>
        <w:rPr>
          <w:rFonts w:ascii="宋体" w:hAnsi="宋体"/>
          <w:color w:val="auto"/>
          <w:spacing w:val="-6"/>
          <w:highlight w:val="none"/>
        </w:rPr>
      </w:pPr>
      <w:r>
        <w:rPr>
          <w:rFonts w:ascii="宋体" w:hAnsi="宋体"/>
          <w:color w:val="auto"/>
          <w:highlight w:val="none"/>
        </w:rPr>
        <w:t>（六）甲方不得以任何理由索取回扣或其它好处。</w:t>
      </w:r>
    </w:p>
    <w:p>
      <w:pPr>
        <w:spacing w:line="400" w:lineRule="exact"/>
        <w:ind w:firstLine="480"/>
        <w:rPr>
          <w:rFonts w:ascii="宋体" w:hAnsi="宋体"/>
          <w:color w:val="auto"/>
          <w:spacing w:val="-6"/>
          <w:highlight w:val="none"/>
        </w:rPr>
      </w:pPr>
      <w:r>
        <w:rPr>
          <w:rFonts w:ascii="宋体" w:hAnsi="宋体"/>
          <w:color w:val="auto"/>
          <w:highlight w:val="none"/>
        </w:rPr>
        <w:t>第四条  乙方的义务</w:t>
      </w:r>
    </w:p>
    <w:p>
      <w:pPr>
        <w:spacing w:line="400" w:lineRule="exact"/>
        <w:ind w:firstLine="480"/>
        <w:rPr>
          <w:rFonts w:ascii="宋体" w:hAnsi="宋体"/>
          <w:color w:val="auto"/>
          <w:spacing w:val="-6"/>
          <w:highlight w:val="none"/>
        </w:rPr>
      </w:pPr>
      <w:r>
        <w:rPr>
          <w:rFonts w:ascii="宋体" w:hAnsi="宋体"/>
          <w:color w:val="auto"/>
          <w:highlight w:val="none"/>
        </w:rPr>
        <w:t>（一）乙方应具备与本工程项目相应等级的施工资质证书。</w:t>
      </w:r>
    </w:p>
    <w:p>
      <w:pPr>
        <w:spacing w:line="400" w:lineRule="exact"/>
        <w:ind w:firstLine="480"/>
        <w:rPr>
          <w:rFonts w:ascii="宋体" w:hAnsi="宋体"/>
          <w:color w:val="auto"/>
          <w:highlight w:val="none"/>
        </w:rPr>
      </w:pPr>
      <w:r>
        <w:rPr>
          <w:rFonts w:ascii="宋体" w:hAnsi="宋体"/>
          <w:color w:val="auto"/>
          <w:highlight w:val="none"/>
        </w:rPr>
        <w:t>（二）乙方不得允许其它单位或个人以乙方的名义承揽本工程项目的施工任务，不得转包或违法分包所承揽的本工程的项目施工任务。</w:t>
      </w:r>
    </w:p>
    <w:p>
      <w:pPr>
        <w:spacing w:line="400" w:lineRule="exact"/>
        <w:ind w:firstLine="480"/>
        <w:rPr>
          <w:rFonts w:ascii="宋体" w:hAnsi="宋体"/>
          <w:color w:val="auto"/>
          <w:highlight w:val="none"/>
        </w:rPr>
      </w:pPr>
      <w:r>
        <w:rPr>
          <w:rFonts w:ascii="宋体" w:hAnsi="宋体"/>
          <w:color w:val="auto"/>
          <w:highlight w:val="none"/>
        </w:rPr>
        <w:t>（三）乙方必须严格履行施工合同，按投标承诺的施工技术人员及时到位。施工技术人员原则上不得擅自调换，如有特殊原因确需调换的，须经</w:t>
      </w:r>
      <w:r>
        <w:rPr>
          <w:rFonts w:hint="eastAsia" w:ascii="宋体" w:hAnsi="宋体"/>
          <w:color w:val="auto"/>
          <w:highlight w:val="none"/>
        </w:rPr>
        <w:t>发包人</w:t>
      </w:r>
      <w:r>
        <w:rPr>
          <w:rFonts w:ascii="宋体" w:hAnsi="宋体"/>
          <w:color w:val="auto"/>
          <w:highlight w:val="none"/>
        </w:rPr>
        <w:t>书面同意方能换人。</w:t>
      </w:r>
    </w:p>
    <w:p>
      <w:pPr>
        <w:spacing w:line="400" w:lineRule="exact"/>
        <w:ind w:firstLine="480"/>
        <w:rPr>
          <w:rFonts w:ascii="宋体" w:hAnsi="宋体"/>
          <w:color w:val="auto"/>
          <w:highlight w:val="none"/>
        </w:rPr>
      </w:pPr>
      <w:r>
        <w:rPr>
          <w:rFonts w:ascii="宋体" w:hAnsi="宋体"/>
          <w:color w:val="auto"/>
          <w:highlight w:val="none"/>
        </w:rPr>
        <w:t>（四）乙方必须建立工地临时试验室，按要求配合相应的试验检测人员和设备，并取得工地临时试验室资质证书。按有关规定做好各类试验，试验资料应真实、完整，统一归档。</w:t>
      </w:r>
    </w:p>
    <w:p>
      <w:pPr>
        <w:spacing w:line="400" w:lineRule="exact"/>
        <w:ind w:firstLine="480"/>
        <w:rPr>
          <w:rFonts w:ascii="宋体" w:hAnsi="宋体"/>
          <w:color w:val="auto"/>
          <w:highlight w:val="none"/>
        </w:rPr>
      </w:pPr>
      <w:r>
        <w:rPr>
          <w:rFonts w:ascii="宋体" w:hAnsi="宋体"/>
          <w:color w:val="auto"/>
          <w:highlight w:val="none"/>
        </w:rPr>
        <w:t>（五）乙方必须按照工程设计图纸和施工技术规范施工，不得擅自修改工程设计，不得偷工减料。</w:t>
      </w:r>
    </w:p>
    <w:p>
      <w:pPr>
        <w:spacing w:line="400" w:lineRule="exact"/>
        <w:ind w:firstLine="480"/>
        <w:rPr>
          <w:rFonts w:ascii="宋体" w:hAnsi="宋体"/>
          <w:color w:val="auto"/>
          <w:highlight w:val="none"/>
        </w:rPr>
      </w:pPr>
      <w:r>
        <w:rPr>
          <w:rFonts w:ascii="宋体" w:hAnsi="宋体"/>
          <w:color w:val="auto"/>
          <w:highlight w:val="none"/>
        </w:rPr>
        <w:t>（六）乙方在施工过程中发现设计文件和图纸有差错的，应当及时提出意见和建议。</w:t>
      </w:r>
    </w:p>
    <w:p>
      <w:pPr>
        <w:spacing w:line="400" w:lineRule="exact"/>
        <w:ind w:firstLine="480"/>
        <w:rPr>
          <w:rFonts w:ascii="宋体" w:hAnsi="宋体"/>
          <w:color w:val="auto"/>
          <w:spacing w:val="-6"/>
          <w:highlight w:val="none"/>
        </w:rPr>
      </w:pPr>
      <w:r>
        <w:rPr>
          <w:rFonts w:ascii="宋体" w:hAnsi="宋体"/>
          <w:color w:val="auto"/>
          <w:highlight w:val="none"/>
        </w:rPr>
        <w:t>（七）乙方与甲方、承包人</w:t>
      </w:r>
      <w:r>
        <w:rPr>
          <w:rFonts w:hint="eastAsia" w:ascii="宋体" w:hAnsi="宋体"/>
          <w:color w:val="auto"/>
          <w:highlight w:val="none"/>
        </w:rPr>
        <w:t>或指定分包人</w:t>
      </w:r>
      <w:r>
        <w:rPr>
          <w:rFonts w:ascii="宋体" w:hAnsi="宋体"/>
          <w:color w:val="auto"/>
          <w:highlight w:val="none"/>
        </w:rPr>
        <w:t>之间有关工程质量、进度和费用的一切往来函件、报表均应分类编号归档保存；施工技术资料应真实、完整。</w:t>
      </w:r>
    </w:p>
    <w:p>
      <w:pPr>
        <w:spacing w:line="400" w:lineRule="exact"/>
        <w:ind w:firstLine="480"/>
        <w:rPr>
          <w:rFonts w:ascii="宋体" w:hAnsi="宋体"/>
          <w:color w:val="auto"/>
          <w:spacing w:val="-6"/>
          <w:highlight w:val="none"/>
        </w:rPr>
      </w:pPr>
      <w:r>
        <w:rPr>
          <w:rFonts w:ascii="宋体" w:hAnsi="宋体"/>
          <w:color w:val="auto"/>
          <w:highlight w:val="none"/>
        </w:rPr>
        <w:t>（八）乙方应加强对甲方按合同规定采购的材料和设备的检验，对检验不合格的产品，乙方应拒绝使用。</w:t>
      </w:r>
    </w:p>
    <w:p>
      <w:pPr>
        <w:spacing w:line="400" w:lineRule="exact"/>
        <w:ind w:firstLine="480"/>
        <w:rPr>
          <w:rFonts w:ascii="宋体" w:hAnsi="宋体"/>
          <w:color w:val="auto"/>
          <w:spacing w:val="-6"/>
          <w:highlight w:val="none"/>
        </w:rPr>
      </w:pPr>
      <w:r>
        <w:rPr>
          <w:rFonts w:ascii="宋体" w:hAnsi="宋体"/>
          <w:color w:val="auto"/>
          <w:highlight w:val="none"/>
        </w:rPr>
        <w:t>（九）乙方不得暗示材料、设备供应单位提供使用不合格或质量低劣的材料、设备。</w:t>
      </w:r>
    </w:p>
    <w:p>
      <w:pPr>
        <w:spacing w:line="400" w:lineRule="exact"/>
        <w:ind w:firstLine="480"/>
        <w:rPr>
          <w:rFonts w:ascii="宋体" w:hAnsi="宋体"/>
          <w:color w:val="auto"/>
          <w:spacing w:val="-6"/>
          <w:highlight w:val="none"/>
        </w:rPr>
      </w:pPr>
      <w:r>
        <w:rPr>
          <w:rFonts w:ascii="宋体" w:hAnsi="宋体"/>
          <w:color w:val="auto"/>
          <w:highlight w:val="none"/>
        </w:rPr>
        <w:t>第五条  违约责任</w:t>
      </w:r>
    </w:p>
    <w:p>
      <w:pPr>
        <w:spacing w:line="400" w:lineRule="exact"/>
        <w:ind w:firstLine="480"/>
        <w:rPr>
          <w:rFonts w:ascii="宋体" w:hAnsi="宋体"/>
          <w:color w:val="auto"/>
          <w:spacing w:val="-6"/>
          <w:highlight w:val="none"/>
        </w:rPr>
      </w:pPr>
      <w:r>
        <w:rPr>
          <w:rFonts w:ascii="宋体" w:hAnsi="宋体"/>
          <w:color w:val="auto"/>
          <w:highlight w:val="none"/>
        </w:rPr>
        <w:t>（一）甲方及其工作人员违反本合同第二、三条，按管理权限，依据国务院《建设工程质量管理条例》有关规定给予相应的处罚；涉嫌犯罪的，依法追究刑事责任；给乙方单位造成经济损失的，应予以赔偿。</w:t>
      </w:r>
    </w:p>
    <w:p>
      <w:pPr>
        <w:spacing w:line="400" w:lineRule="exact"/>
        <w:ind w:firstLine="480"/>
        <w:rPr>
          <w:rFonts w:ascii="宋体" w:hAnsi="宋体"/>
          <w:color w:val="auto"/>
          <w:spacing w:val="-6"/>
          <w:highlight w:val="none"/>
        </w:rPr>
      </w:pPr>
      <w:r>
        <w:rPr>
          <w:rFonts w:ascii="宋体" w:hAnsi="宋体"/>
          <w:color w:val="auto"/>
          <w:highlight w:val="none"/>
        </w:rPr>
        <w:t>（二）乙方及其工作人员违反本合同第二、四条，按管理权限，依据国务院《建设工程质量管理条例》有关规定给予相应的处罚；涉嫌犯罪的，依法追究刑事责任；给甲方单位造成经济损失的，应予以赔偿。</w:t>
      </w:r>
    </w:p>
    <w:p>
      <w:pPr>
        <w:spacing w:line="400" w:lineRule="exact"/>
        <w:ind w:firstLine="480"/>
        <w:rPr>
          <w:rFonts w:ascii="宋体" w:hAnsi="宋体"/>
          <w:color w:val="auto"/>
          <w:spacing w:val="-4"/>
          <w:highlight w:val="none"/>
        </w:rPr>
      </w:pPr>
      <w:r>
        <w:rPr>
          <w:rFonts w:ascii="宋体" w:hAnsi="宋体"/>
          <w:color w:val="auto"/>
          <w:highlight w:val="none"/>
        </w:rPr>
        <w:t>第六条  本</w:t>
      </w:r>
      <w:r>
        <w:rPr>
          <w:rFonts w:ascii="宋体" w:hAnsi="宋体"/>
          <w:color w:val="auto"/>
          <w:spacing w:val="-4"/>
          <w:highlight w:val="none"/>
        </w:rPr>
        <w:t>合同有效期为甲乙双方自签署之日起至该工程项目设计使用年限之日止。</w:t>
      </w:r>
    </w:p>
    <w:p>
      <w:pPr>
        <w:spacing w:line="400" w:lineRule="exact"/>
        <w:ind w:firstLine="480"/>
        <w:rPr>
          <w:rFonts w:ascii="宋体" w:hAnsi="宋体"/>
          <w:color w:val="auto"/>
          <w:spacing w:val="-6"/>
          <w:highlight w:val="none"/>
        </w:rPr>
      </w:pPr>
      <w:r>
        <w:rPr>
          <w:rFonts w:ascii="宋体" w:hAnsi="宋体"/>
          <w:color w:val="auto"/>
          <w:highlight w:val="none"/>
        </w:rPr>
        <w:t>第七条  本合同作为</w:t>
      </w:r>
      <w:r>
        <w:rPr>
          <w:rFonts w:hint="eastAsia" w:ascii="宋体" w:hAnsi="宋体"/>
          <w:color w:val="auto"/>
          <w:spacing w:val="-2"/>
          <w:highlight w:val="none"/>
          <w:u w:val="single"/>
        </w:rPr>
        <w:t>（</w:t>
      </w:r>
      <w:r>
        <w:rPr>
          <w:rFonts w:hint="eastAsia" w:ascii="宋体" w:hAnsi="宋体"/>
          <w:color w:val="auto"/>
          <w:highlight w:val="none"/>
          <w:u w:val="single"/>
        </w:rPr>
        <w:t xml:space="preserve">项目名称） </w:t>
      </w:r>
      <w:r>
        <w:rPr>
          <w:rFonts w:ascii="宋体" w:hAnsi="宋体"/>
          <w:color w:val="auto"/>
          <w:highlight w:val="none"/>
        </w:rPr>
        <w:t>第</w:t>
      </w:r>
      <w:r>
        <w:rPr>
          <w:rFonts w:hint="eastAsia" w:ascii="宋体" w:hAnsi="宋体"/>
          <w:color w:val="auto"/>
          <w:highlight w:val="none"/>
          <w:u w:val="single"/>
        </w:rPr>
        <w:t xml:space="preserve">     </w:t>
      </w:r>
      <w:r>
        <w:rPr>
          <w:rFonts w:hint="eastAsia" w:ascii="宋体" w:hAnsi="宋体"/>
          <w:color w:val="auto"/>
          <w:highlight w:val="none"/>
        </w:rPr>
        <w:t>标</w:t>
      </w:r>
      <w:r>
        <w:rPr>
          <w:rFonts w:ascii="宋体" w:hAnsi="宋体"/>
          <w:color w:val="auto"/>
          <w:highlight w:val="none"/>
        </w:rPr>
        <w:t>段施工合同附件，与工程施工合同具有同等的法律效力，经合同双方签署后立即生效。</w:t>
      </w:r>
    </w:p>
    <w:p>
      <w:pPr>
        <w:spacing w:line="400" w:lineRule="exact"/>
        <w:ind w:firstLine="480"/>
        <w:rPr>
          <w:rFonts w:ascii="宋体" w:hAnsi="宋体"/>
          <w:color w:val="auto"/>
          <w:spacing w:val="-6"/>
          <w:highlight w:val="none"/>
        </w:rPr>
      </w:pPr>
      <w:r>
        <w:rPr>
          <w:rFonts w:ascii="宋体" w:hAnsi="宋体"/>
          <w:color w:val="auto"/>
          <w:highlight w:val="none"/>
        </w:rPr>
        <w:t>第八条  本合同</w:t>
      </w:r>
      <w:r>
        <w:rPr>
          <w:rFonts w:hint="eastAsia" w:ascii="宋体" w:hAnsi="宋体"/>
          <w:color w:val="auto"/>
          <w:highlight w:val="none"/>
        </w:rPr>
        <w:t>正本二份、副本</w:t>
      </w:r>
      <w:r>
        <w:rPr>
          <w:rFonts w:hint="eastAsia" w:ascii="宋体" w:hAnsi="宋体"/>
          <w:color w:val="auto"/>
          <w:highlight w:val="none"/>
          <w:u w:val="single"/>
        </w:rPr>
        <w:t xml:space="preserve">    </w:t>
      </w:r>
      <w:r>
        <w:rPr>
          <w:rFonts w:hint="eastAsia" w:ascii="宋体" w:hAnsi="宋体"/>
          <w:color w:val="auto"/>
          <w:highlight w:val="none"/>
        </w:rPr>
        <w:t>份，合同</w:t>
      </w:r>
      <w:r>
        <w:rPr>
          <w:rFonts w:ascii="宋体" w:hAnsi="宋体"/>
          <w:color w:val="auto"/>
          <w:highlight w:val="none"/>
        </w:rPr>
        <w:t>双方各执</w:t>
      </w:r>
      <w:r>
        <w:rPr>
          <w:rFonts w:hint="eastAsia" w:ascii="宋体" w:hAnsi="宋体"/>
          <w:color w:val="auto"/>
          <w:highlight w:val="none"/>
        </w:rPr>
        <w:t>正本</w:t>
      </w:r>
      <w:r>
        <w:rPr>
          <w:rFonts w:ascii="宋体" w:hAnsi="宋体"/>
          <w:color w:val="auto"/>
          <w:highlight w:val="none"/>
        </w:rPr>
        <w:t>一份，</w:t>
      </w:r>
      <w:r>
        <w:rPr>
          <w:rFonts w:hint="eastAsia" w:ascii="宋体" w:hAnsi="宋体"/>
          <w:color w:val="auto"/>
          <w:highlight w:val="none"/>
        </w:rPr>
        <w:t>副本</w:t>
      </w:r>
      <w:r>
        <w:rPr>
          <w:rFonts w:hint="eastAsia" w:ascii="宋体" w:hAnsi="宋体"/>
          <w:color w:val="auto"/>
          <w:highlight w:val="none"/>
          <w:u w:val="single"/>
        </w:rPr>
        <w:t xml:space="preserve">    </w:t>
      </w:r>
      <w:r>
        <w:rPr>
          <w:rFonts w:hint="eastAsia" w:ascii="宋体" w:hAnsi="宋体"/>
          <w:color w:val="auto"/>
          <w:highlight w:val="none"/>
        </w:rPr>
        <w:t>份，当正本与副本的内容不一致时，以正本为准</w:t>
      </w:r>
      <w:r>
        <w:rPr>
          <w:rFonts w:ascii="宋体" w:hAnsi="宋体"/>
          <w:color w:val="auto"/>
          <w:highlight w:val="none"/>
        </w:rPr>
        <w:t>。</w:t>
      </w:r>
    </w:p>
    <w:p>
      <w:pPr>
        <w:spacing w:line="400" w:lineRule="exact"/>
        <w:rPr>
          <w:rFonts w:ascii="宋体" w:hAnsi="宋体"/>
          <w:color w:val="auto"/>
          <w:spacing w:val="-6"/>
          <w:highlight w:val="none"/>
        </w:rPr>
      </w:pPr>
    </w:p>
    <w:p>
      <w:pPr>
        <w:spacing w:line="400" w:lineRule="exact"/>
        <w:ind w:firstLine="510"/>
        <w:rPr>
          <w:rFonts w:ascii="宋体" w:hAnsi="宋体"/>
          <w:color w:val="auto"/>
          <w:spacing w:val="-6"/>
          <w:highlight w:val="none"/>
        </w:rPr>
      </w:pPr>
      <w:r>
        <w:rPr>
          <w:rFonts w:hint="eastAsia" w:ascii="宋体" w:hAnsi="宋体"/>
          <w:color w:val="auto"/>
          <w:highlight w:val="none"/>
        </w:rPr>
        <w:t>发包人</w:t>
      </w:r>
      <w:r>
        <w:rPr>
          <w:rFonts w:ascii="宋体" w:hAnsi="宋体"/>
          <w:color w:val="auto"/>
          <w:highlight w:val="none"/>
        </w:rPr>
        <w:t xml:space="preserve">：（盖章）                     </w:t>
      </w:r>
      <w:r>
        <w:rPr>
          <w:rFonts w:hint="eastAsia" w:ascii="宋体" w:hAnsi="宋体"/>
          <w:color w:val="auto"/>
          <w:highlight w:val="none"/>
        </w:rPr>
        <w:t xml:space="preserve">   承包人</w:t>
      </w:r>
      <w:r>
        <w:rPr>
          <w:rFonts w:ascii="宋体" w:hAnsi="宋体"/>
          <w:color w:val="auto"/>
          <w:highlight w:val="none"/>
        </w:rPr>
        <w:t>：（盖章）</w:t>
      </w:r>
    </w:p>
    <w:p>
      <w:pPr>
        <w:spacing w:line="400" w:lineRule="exact"/>
        <w:ind w:firstLine="510"/>
        <w:rPr>
          <w:rFonts w:ascii="宋体" w:hAnsi="宋体"/>
          <w:color w:val="auto"/>
          <w:spacing w:val="-6"/>
          <w:highlight w:val="none"/>
        </w:rPr>
      </w:pPr>
      <w:r>
        <w:rPr>
          <w:rFonts w:ascii="宋体" w:hAnsi="宋体"/>
          <w:color w:val="auto"/>
          <w:highlight w:val="none"/>
        </w:rPr>
        <w:t>法定代表人</w:t>
      </w:r>
      <w:r>
        <w:rPr>
          <w:rFonts w:hint="eastAsia" w:ascii="宋体" w:hAnsi="宋体"/>
          <w:color w:val="auto"/>
          <w:highlight w:val="none"/>
        </w:rPr>
        <w:t>或其委托代理人</w:t>
      </w:r>
      <w:r>
        <w:rPr>
          <w:rFonts w:ascii="宋体" w:hAnsi="宋体"/>
          <w:color w:val="auto"/>
          <w:highlight w:val="none"/>
        </w:rPr>
        <w:t>：             法定代表人</w:t>
      </w:r>
      <w:r>
        <w:rPr>
          <w:rFonts w:hint="eastAsia" w:ascii="宋体" w:hAnsi="宋体"/>
          <w:color w:val="auto"/>
          <w:highlight w:val="none"/>
        </w:rPr>
        <w:t>或其委托代理人</w:t>
      </w:r>
      <w:r>
        <w:rPr>
          <w:rFonts w:ascii="宋体" w:hAnsi="宋体"/>
          <w:color w:val="auto"/>
          <w:highlight w:val="none"/>
        </w:rPr>
        <w:t>：</w:t>
      </w:r>
    </w:p>
    <w:p>
      <w:pPr>
        <w:spacing w:line="400" w:lineRule="exact"/>
        <w:rPr>
          <w:rFonts w:ascii="宋体" w:hAnsi="宋体"/>
          <w:color w:val="auto"/>
          <w:highlight w:val="none"/>
        </w:rPr>
      </w:pPr>
      <w:r>
        <w:rPr>
          <w:rFonts w:ascii="宋体" w:hAnsi="宋体"/>
          <w:color w:val="auto"/>
          <w:highlight w:val="none"/>
        </w:rPr>
        <w:t xml:space="preserve">        年    月    日                          年    月    日</w:t>
      </w:r>
    </w:p>
    <w:p>
      <w:pPr>
        <w:spacing w:line="360" w:lineRule="auto"/>
        <w:jc w:val="center"/>
        <w:outlineLvl w:val="0"/>
        <w:rPr>
          <w:rFonts w:hint="eastAsia" w:ascii="宋体" w:hAnsi="宋体"/>
          <w:b/>
          <w:color w:val="auto"/>
          <w:sz w:val="32"/>
          <w:highlight w:val="none"/>
        </w:rPr>
      </w:pPr>
    </w:p>
    <w:p>
      <w:pPr>
        <w:spacing w:line="360" w:lineRule="auto"/>
        <w:jc w:val="center"/>
        <w:outlineLvl w:val="0"/>
        <w:rPr>
          <w:rFonts w:hint="eastAsia" w:ascii="宋体" w:hAnsi="宋体"/>
          <w:b/>
          <w:color w:val="auto"/>
          <w:sz w:val="32"/>
          <w:highlight w:val="none"/>
        </w:rPr>
      </w:pPr>
    </w:p>
    <w:p>
      <w:pPr>
        <w:spacing w:line="360" w:lineRule="auto"/>
        <w:jc w:val="center"/>
        <w:outlineLvl w:val="0"/>
        <w:rPr>
          <w:rFonts w:hint="eastAsia" w:ascii="宋体" w:hAnsi="宋体"/>
          <w:b/>
          <w:color w:val="auto"/>
          <w:sz w:val="32"/>
          <w:highlight w:val="none"/>
        </w:rPr>
      </w:pPr>
    </w:p>
    <w:p>
      <w:pPr>
        <w:spacing w:line="360" w:lineRule="auto"/>
        <w:jc w:val="center"/>
        <w:outlineLvl w:val="0"/>
        <w:rPr>
          <w:rFonts w:hint="eastAsia" w:ascii="宋体" w:hAnsi="宋体"/>
          <w:b/>
          <w:color w:val="auto"/>
          <w:sz w:val="32"/>
          <w:highlight w:val="none"/>
        </w:rPr>
      </w:pPr>
    </w:p>
    <w:p>
      <w:pPr>
        <w:spacing w:line="360" w:lineRule="auto"/>
        <w:jc w:val="center"/>
        <w:outlineLvl w:val="0"/>
        <w:rPr>
          <w:rFonts w:hint="eastAsia" w:ascii="宋体" w:hAnsi="宋体"/>
          <w:b/>
          <w:color w:val="auto"/>
          <w:sz w:val="32"/>
          <w:highlight w:val="none"/>
        </w:rPr>
      </w:pPr>
    </w:p>
    <w:p>
      <w:pPr>
        <w:spacing w:line="360" w:lineRule="auto"/>
        <w:jc w:val="center"/>
        <w:outlineLvl w:val="0"/>
        <w:rPr>
          <w:rFonts w:hint="eastAsia" w:ascii="宋体" w:hAnsi="宋体"/>
          <w:b/>
          <w:color w:val="auto"/>
          <w:sz w:val="32"/>
          <w:highlight w:val="none"/>
        </w:rPr>
      </w:pPr>
    </w:p>
    <w:p>
      <w:pPr>
        <w:spacing w:line="360" w:lineRule="auto"/>
        <w:jc w:val="center"/>
        <w:outlineLvl w:val="0"/>
        <w:rPr>
          <w:rFonts w:hint="eastAsia" w:ascii="宋体" w:hAnsi="宋体"/>
          <w:b/>
          <w:color w:val="auto"/>
          <w:sz w:val="32"/>
          <w:highlight w:val="none"/>
        </w:rPr>
      </w:pPr>
    </w:p>
    <w:p>
      <w:pPr>
        <w:spacing w:line="360" w:lineRule="auto"/>
        <w:jc w:val="center"/>
        <w:outlineLvl w:val="0"/>
        <w:rPr>
          <w:rFonts w:hint="eastAsia" w:ascii="宋体" w:hAnsi="宋体"/>
          <w:b/>
          <w:color w:val="auto"/>
          <w:sz w:val="32"/>
          <w:highlight w:val="none"/>
        </w:rPr>
      </w:pPr>
    </w:p>
    <w:p>
      <w:pPr>
        <w:spacing w:line="360" w:lineRule="auto"/>
        <w:outlineLvl w:val="0"/>
        <w:rPr>
          <w:rFonts w:hint="eastAsia" w:ascii="宋体" w:hAnsi="宋体"/>
          <w:color w:val="auto"/>
          <w:highlight w:val="none"/>
        </w:rPr>
      </w:pPr>
      <w:bookmarkStart w:id="1536" w:name="_Toc21242"/>
      <w:r>
        <w:rPr>
          <w:rFonts w:hint="eastAsia" w:ascii="宋体" w:hAnsi="宋体"/>
          <w:color w:val="auto"/>
          <w:highlight w:val="none"/>
        </w:rPr>
        <w:t>附件十一  拟派项目负责人在投标截止日无在其他任何在建合同工程上担任项目负责人的承诺书</w:t>
      </w:r>
      <w:bookmarkEnd w:id="1536"/>
    </w:p>
    <w:p>
      <w:pPr>
        <w:spacing w:line="600" w:lineRule="exact"/>
        <w:jc w:val="center"/>
        <w:rPr>
          <w:rFonts w:hint="eastAsia" w:ascii="方正小标宋简体" w:hAnsi="宋体" w:eastAsia="方正小标宋简体"/>
          <w:color w:val="auto"/>
          <w:sz w:val="36"/>
          <w:szCs w:val="28"/>
          <w:highlight w:val="none"/>
        </w:rPr>
      </w:pPr>
      <w:r>
        <w:rPr>
          <w:rFonts w:hint="eastAsia" w:ascii="方正小标宋简体" w:hAnsi="宋体" w:eastAsia="方正小标宋简体"/>
          <w:color w:val="auto"/>
          <w:sz w:val="36"/>
          <w:szCs w:val="28"/>
          <w:highlight w:val="none"/>
        </w:rPr>
        <w:t>拟派项目负责人在投标截止日无在其他任何</w:t>
      </w:r>
    </w:p>
    <w:p>
      <w:pPr>
        <w:spacing w:line="600" w:lineRule="exact"/>
        <w:jc w:val="center"/>
        <w:rPr>
          <w:rFonts w:hint="eastAsia" w:ascii="方正小标宋简体" w:hAnsi="宋体" w:eastAsia="方正小标宋简体"/>
          <w:color w:val="auto"/>
          <w:sz w:val="36"/>
          <w:szCs w:val="28"/>
          <w:highlight w:val="none"/>
          <w:u w:val="single"/>
        </w:rPr>
      </w:pPr>
      <w:r>
        <w:rPr>
          <w:rFonts w:hint="eastAsia" w:ascii="方正小标宋简体" w:hAnsi="宋体" w:eastAsia="方正小标宋简体"/>
          <w:color w:val="auto"/>
          <w:sz w:val="36"/>
          <w:szCs w:val="28"/>
          <w:highlight w:val="none"/>
        </w:rPr>
        <w:t>在建合同工程上担任项目负责人的承诺书（格式）</w:t>
      </w:r>
    </w:p>
    <w:p>
      <w:pPr>
        <w:spacing w:line="600" w:lineRule="exact"/>
        <w:rPr>
          <w:rFonts w:ascii="宋体" w:hAnsi="宋体"/>
          <w:color w:val="auto"/>
          <w:sz w:val="28"/>
          <w:szCs w:val="28"/>
          <w:highlight w:val="none"/>
          <w:u w:val="single"/>
        </w:rPr>
      </w:pPr>
    </w:p>
    <w:p>
      <w:pPr>
        <w:spacing w:line="600" w:lineRule="exact"/>
        <w:rPr>
          <w:rFonts w:ascii="宋体" w:hAnsi="宋体"/>
          <w:color w:val="auto"/>
          <w:sz w:val="24"/>
          <w:szCs w:val="24"/>
          <w:highlight w:val="none"/>
        </w:rPr>
      </w:pP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pPr>
        <w:spacing w:line="6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我公司及拟派项目负责人承诺，拟派参加</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项目</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标段投标的项目负责人        在</w:t>
      </w:r>
      <w:r>
        <w:rPr>
          <w:rFonts w:ascii="宋体" w:hAnsi="宋体"/>
          <w:color w:val="auto"/>
          <w:sz w:val="24"/>
          <w:szCs w:val="24"/>
          <w:highlight w:val="none"/>
        </w:rPr>
        <w:t>投标截止</w:t>
      </w:r>
      <w:r>
        <w:rPr>
          <w:rFonts w:hint="eastAsia" w:ascii="宋体" w:hAnsi="宋体"/>
          <w:color w:val="auto"/>
          <w:sz w:val="24"/>
          <w:szCs w:val="24"/>
          <w:highlight w:val="none"/>
        </w:rPr>
        <w:t>日无在其他任何在建合同工程上担任项目负责人的情形。在建合同工程的开始时间为合同工程中标通知书发出日期（不通过招标方式的，开始时间为合同签订日期），结束时间为该合同</w:t>
      </w:r>
      <w:r>
        <w:rPr>
          <w:rFonts w:ascii="宋体" w:hAnsi="宋体"/>
          <w:color w:val="auto"/>
          <w:sz w:val="24"/>
          <w:szCs w:val="24"/>
          <w:highlight w:val="none"/>
        </w:rPr>
        <w:t>通过</w:t>
      </w:r>
      <w:r>
        <w:rPr>
          <w:rFonts w:hint="eastAsia" w:ascii="宋体" w:hAnsi="宋体"/>
          <w:color w:val="auto"/>
          <w:sz w:val="24"/>
          <w:szCs w:val="24"/>
          <w:highlight w:val="none"/>
        </w:rPr>
        <w:t>合同验收或合同解除日期。</w:t>
      </w:r>
    </w:p>
    <w:p>
      <w:pPr>
        <w:spacing w:line="6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以上承诺如有虚假，愿意接</w:t>
      </w:r>
      <w:r>
        <w:rPr>
          <w:rFonts w:ascii="宋体" w:hAnsi="宋体"/>
          <w:color w:val="auto"/>
          <w:sz w:val="24"/>
          <w:szCs w:val="24"/>
          <w:highlight w:val="none"/>
        </w:rPr>
        <w:t>受投标保证金不予退还的</w:t>
      </w:r>
      <w:r>
        <w:rPr>
          <w:rFonts w:hint="eastAsia" w:ascii="宋体" w:hAnsi="宋体"/>
          <w:color w:val="auto"/>
          <w:sz w:val="24"/>
          <w:szCs w:val="24"/>
          <w:highlight w:val="none"/>
        </w:rPr>
        <w:t>处罚。给招标人造成损失的，愿意依法承担赔偿责任。如已中标，同意招标人取消我公司中标资格的处理。</w:t>
      </w:r>
    </w:p>
    <w:p>
      <w:pPr>
        <w:spacing w:line="600" w:lineRule="exact"/>
        <w:ind w:firstLine="480" w:firstLineChars="200"/>
        <w:rPr>
          <w:rFonts w:ascii="宋体" w:hAnsi="宋体"/>
          <w:color w:val="auto"/>
          <w:sz w:val="24"/>
          <w:szCs w:val="24"/>
          <w:highlight w:val="none"/>
        </w:rPr>
      </w:pPr>
    </w:p>
    <w:p>
      <w:pPr>
        <w:spacing w:line="600" w:lineRule="exact"/>
        <w:ind w:firstLine="360" w:firstLineChars="150"/>
        <w:rPr>
          <w:rFonts w:ascii="宋体" w:hAnsi="宋体"/>
          <w:color w:val="auto"/>
          <w:sz w:val="24"/>
          <w:szCs w:val="24"/>
          <w:highlight w:val="none"/>
        </w:rPr>
      </w:pPr>
    </w:p>
    <w:p>
      <w:pPr>
        <w:spacing w:line="600" w:lineRule="exact"/>
        <w:ind w:firstLine="1072" w:firstLineChars="447"/>
        <w:rPr>
          <w:rFonts w:ascii="宋体" w:hAnsi="宋体"/>
          <w:color w:val="auto"/>
          <w:sz w:val="24"/>
          <w:szCs w:val="24"/>
          <w:highlight w:val="none"/>
        </w:rPr>
      </w:pPr>
      <w:r>
        <w:rPr>
          <w:rFonts w:hint="eastAsia" w:ascii="宋体" w:hAnsi="宋体"/>
          <w:color w:val="auto"/>
          <w:sz w:val="24"/>
          <w:szCs w:val="24"/>
          <w:highlight w:val="none"/>
        </w:rPr>
        <w:t xml:space="preserve">投标人(单位公章)：             拟派项目负责人（签字或盖章）：  </w:t>
      </w:r>
    </w:p>
    <w:p>
      <w:pPr>
        <w:spacing w:line="600" w:lineRule="exact"/>
        <w:rPr>
          <w:rFonts w:ascii="宋体" w:hAnsi="宋体"/>
          <w:color w:val="auto"/>
          <w:sz w:val="24"/>
          <w:szCs w:val="24"/>
          <w:highlight w:val="none"/>
        </w:rPr>
      </w:pPr>
    </w:p>
    <w:p>
      <w:pPr>
        <w:spacing w:line="600" w:lineRule="exact"/>
        <w:ind w:firstLine="4341" w:firstLineChars="1809"/>
        <w:rPr>
          <w:rFonts w:ascii="宋体" w:hAnsi="宋体"/>
          <w:color w:val="auto"/>
          <w:sz w:val="24"/>
          <w:szCs w:val="24"/>
          <w:highlight w:val="none"/>
        </w:rPr>
      </w:pPr>
      <w:r>
        <w:rPr>
          <w:rFonts w:hint="eastAsia" w:ascii="宋体" w:hAnsi="宋体"/>
          <w:color w:val="auto"/>
          <w:sz w:val="24"/>
          <w:szCs w:val="24"/>
          <w:highlight w:val="none"/>
        </w:rPr>
        <w:t xml:space="preserve">法定代表人(签字或盖章)：       </w:t>
      </w:r>
    </w:p>
    <w:p>
      <w:pPr>
        <w:spacing w:line="600" w:lineRule="exact"/>
        <w:jc w:val="center"/>
        <w:rPr>
          <w:rFonts w:ascii="宋体" w:hAnsi="宋体"/>
          <w:color w:val="auto"/>
          <w:sz w:val="24"/>
          <w:szCs w:val="24"/>
          <w:highlight w:val="none"/>
        </w:rPr>
      </w:pPr>
    </w:p>
    <w:p>
      <w:pPr>
        <w:spacing w:line="600" w:lineRule="exact"/>
        <w:jc w:val="center"/>
        <w:rPr>
          <w:rFonts w:ascii="宋体" w:hAnsi="宋体"/>
          <w:color w:val="auto"/>
          <w:sz w:val="24"/>
          <w:szCs w:val="2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w:t>
      </w:r>
    </w:p>
    <w:p>
      <w:pPr>
        <w:spacing w:line="580" w:lineRule="atLeast"/>
        <w:ind w:right="1294"/>
        <w:rPr>
          <w:rFonts w:hint="eastAsia" w:ascii="仿宋_GB2312"/>
          <w:color w:val="auto"/>
          <w:highlight w:val="none"/>
        </w:rPr>
      </w:pPr>
    </w:p>
    <w:p>
      <w:pPr>
        <w:spacing w:line="360" w:lineRule="auto"/>
        <w:jc w:val="center"/>
        <w:outlineLvl w:val="0"/>
        <w:rPr>
          <w:rFonts w:ascii="宋体" w:hAnsi="宋体"/>
          <w:color w:val="auto"/>
          <w:sz w:val="44"/>
          <w:highlight w:val="none"/>
        </w:rPr>
      </w:pPr>
      <w:r>
        <w:rPr>
          <w:rFonts w:hint="eastAsia" w:ascii="宋体" w:hAnsi="宋体"/>
          <w:b/>
          <w:color w:val="auto"/>
          <w:sz w:val="32"/>
          <w:highlight w:val="none"/>
        </w:rPr>
        <w:br w:type="page"/>
      </w:r>
      <w:bookmarkStart w:id="1537" w:name="_Toc8354"/>
      <w:bookmarkStart w:id="1538" w:name="_Toc29073"/>
      <w:bookmarkStart w:id="1539" w:name="_Toc21795"/>
      <w:bookmarkStart w:id="1540" w:name="_Toc466366122"/>
      <w:bookmarkStart w:id="1541" w:name="_Toc239671863"/>
      <w:bookmarkStart w:id="1542" w:name="_Toc17004"/>
      <w:bookmarkStart w:id="1543" w:name="_Toc10365"/>
      <w:r>
        <w:rPr>
          <w:rFonts w:hint="eastAsia" w:ascii="宋体" w:hAnsi="宋体"/>
          <w:color w:val="auto"/>
          <w:sz w:val="44"/>
          <w:highlight w:val="none"/>
        </w:rPr>
        <w:t>第五章   工程量清单</w:t>
      </w:r>
      <w:bookmarkEnd w:id="1537"/>
      <w:bookmarkEnd w:id="1538"/>
      <w:bookmarkEnd w:id="1539"/>
      <w:bookmarkEnd w:id="1540"/>
      <w:bookmarkEnd w:id="1541"/>
      <w:bookmarkEnd w:id="1542"/>
      <w:bookmarkEnd w:id="1543"/>
    </w:p>
    <w:p>
      <w:pPr>
        <w:autoSpaceDE w:val="0"/>
        <w:autoSpaceDN w:val="0"/>
        <w:adjustRightInd w:val="0"/>
        <w:ind w:firstLine="3373" w:firstLineChars="1050"/>
        <w:jc w:val="left"/>
        <w:rPr>
          <w:rFonts w:hint="eastAsia" w:ascii="宋体" w:hAnsi="宋体" w:cs="SimHei-Identity-H"/>
          <w:b/>
          <w:color w:val="auto"/>
          <w:kern w:val="0"/>
          <w:sz w:val="32"/>
          <w:szCs w:val="32"/>
          <w:highlight w:val="none"/>
        </w:rPr>
      </w:pPr>
      <w:bookmarkStart w:id="1544" w:name="_Toc25195"/>
      <w:bookmarkStart w:id="1545" w:name="_Toc15351"/>
      <w:bookmarkStart w:id="1546" w:name="_Toc239671868"/>
      <w:bookmarkStart w:id="1547" w:name="_Toc26858"/>
      <w:bookmarkStart w:id="1548" w:name="_Toc4682"/>
      <w:bookmarkStart w:id="1549" w:name="_Toc7141"/>
      <w:r>
        <w:rPr>
          <w:rFonts w:hint="eastAsia" w:ascii="宋体" w:hAnsi="宋体" w:cs="SimHei-Identity-H"/>
          <w:b/>
          <w:color w:val="auto"/>
          <w:kern w:val="0"/>
          <w:sz w:val="32"/>
          <w:szCs w:val="32"/>
          <w:highlight w:val="none"/>
        </w:rPr>
        <w:t>工程量清单说明</w:t>
      </w:r>
    </w:p>
    <w:p>
      <w:pPr>
        <w:spacing w:before="120" w:beforeLines="50" w:after="120" w:afterLines="50" w:line="440" w:lineRule="exact"/>
        <w:outlineLvl w:val="2"/>
        <w:rPr>
          <w:b/>
          <w:color w:val="auto"/>
          <w:highlight w:val="none"/>
        </w:rPr>
      </w:pPr>
      <w:bookmarkStart w:id="1550" w:name="_Toc421223298"/>
      <w:bookmarkStart w:id="1551" w:name="_Toc48"/>
      <w:bookmarkStart w:id="1552" w:name="_Toc29559"/>
      <w:bookmarkStart w:id="1553" w:name="_Toc239671864"/>
      <w:bookmarkStart w:id="1554" w:name="_Toc1773"/>
      <w:bookmarkStart w:id="1555" w:name="_Toc238900332"/>
      <w:bookmarkStart w:id="1556" w:name="_Toc31037"/>
      <w:bookmarkStart w:id="1557" w:name="_Toc19606"/>
      <w:bookmarkStart w:id="1558" w:name="_Toc816"/>
      <w:r>
        <w:rPr>
          <w:rFonts w:hint="eastAsia"/>
          <w:b/>
          <w:color w:val="auto"/>
          <w:highlight w:val="none"/>
        </w:rPr>
        <w:t>1.工程量清单说明</w:t>
      </w:r>
      <w:bookmarkEnd w:id="1550"/>
      <w:bookmarkEnd w:id="1551"/>
      <w:bookmarkEnd w:id="1552"/>
      <w:bookmarkEnd w:id="1553"/>
      <w:bookmarkEnd w:id="1554"/>
      <w:bookmarkEnd w:id="1555"/>
      <w:bookmarkEnd w:id="1556"/>
      <w:bookmarkEnd w:id="1557"/>
      <w:bookmarkEnd w:id="1558"/>
    </w:p>
    <w:p>
      <w:pPr>
        <w:spacing w:line="400" w:lineRule="exact"/>
        <w:rPr>
          <w:rFonts w:ascii="宋体" w:hAnsi="宋体"/>
          <w:color w:val="auto"/>
          <w:highlight w:val="none"/>
        </w:rPr>
      </w:pPr>
      <w:r>
        <w:rPr>
          <w:rFonts w:hint="eastAsia" w:ascii="宋体" w:hAnsi="宋体"/>
          <w:color w:val="auto"/>
          <w:highlight w:val="none"/>
        </w:rPr>
        <w:t xml:space="preserve">    1.1  本工程量清单是根据招标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pPr>
        <w:spacing w:line="400" w:lineRule="exact"/>
        <w:rPr>
          <w:rFonts w:ascii="宋体" w:hAnsi="宋体"/>
          <w:color w:val="auto"/>
          <w:highlight w:val="none"/>
        </w:rPr>
      </w:pPr>
      <w:r>
        <w:rPr>
          <w:rFonts w:hint="eastAsia" w:ascii="宋体" w:hAnsi="宋体"/>
          <w:color w:val="auto"/>
          <w:highlight w:val="none"/>
        </w:rPr>
        <w:t xml:space="preserve">    1.2  本工程量清单应与招标文件中的投标人须知、通用合同条款、专用合同条款、技术规范及图纸等一起阅读和理解。</w:t>
      </w:r>
    </w:p>
    <w:p>
      <w:pPr>
        <w:spacing w:line="400" w:lineRule="exact"/>
        <w:rPr>
          <w:rFonts w:ascii="宋体" w:hAnsi="宋体"/>
          <w:color w:val="auto"/>
          <w:highlight w:val="none"/>
        </w:rPr>
      </w:pPr>
      <w:r>
        <w:rPr>
          <w:rFonts w:hint="eastAsia" w:ascii="宋体" w:hAnsi="宋体"/>
          <w:color w:val="auto"/>
          <w:highlight w:val="none"/>
        </w:rPr>
        <w:t xml:space="preserve">    1.3  本工程量清单中所列工程数量是估算的或设计的预计数量，仅作为投标报价的共同基础，不能作为最终结算与支付的依据。实际支付应按实际完成的工程量，由承包人按技术规范规定的计量方法，以监理人认可的尺寸、断面计量，按本工程量清单的单价和总额价计算支付金额；或者，根据具体情况，按合同条款第15.4款的规定，由监理人确定的单价或总额价计算支付额。</w:t>
      </w:r>
    </w:p>
    <w:p>
      <w:pPr>
        <w:spacing w:line="400" w:lineRule="exact"/>
        <w:rPr>
          <w:rFonts w:ascii="宋体" w:hAnsi="宋体"/>
          <w:color w:val="auto"/>
          <w:highlight w:val="none"/>
        </w:rPr>
      </w:pPr>
      <w:r>
        <w:rPr>
          <w:rFonts w:hint="eastAsia" w:ascii="宋体" w:hAnsi="宋体"/>
          <w:color w:val="auto"/>
          <w:highlight w:val="none"/>
        </w:rPr>
        <w:t xml:space="preserve">    1.4  工程量清单各章是按第七章“技术规范”的相应章次编号的，因此，工程量清单中各章的工程子目的范围与计量等应与“技术规范”相应章节的范围、计量与支付条款结合起来理解或解释。</w:t>
      </w:r>
    </w:p>
    <w:p>
      <w:pPr>
        <w:spacing w:line="400" w:lineRule="exact"/>
        <w:rPr>
          <w:rFonts w:ascii="宋体" w:hAnsi="宋体"/>
          <w:color w:val="auto"/>
          <w:highlight w:val="none"/>
        </w:rPr>
      </w:pPr>
      <w:r>
        <w:rPr>
          <w:rFonts w:hint="eastAsia" w:ascii="宋体" w:hAnsi="宋体"/>
          <w:color w:val="auto"/>
          <w:highlight w:val="none"/>
        </w:rPr>
        <w:t xml:space="preserve">    1.5  对作业和材料的一般说明或规定，未重复写入工程量清单内，在给工程量清单各子目标价前，应参阅第七章“技术规范”的有关内容。</w:t>
      </w:r>
    </w:p>
    <w:p>
      <w:pPr>
        <w:spacing w:line="400" w:lineRule="exact"/>
        <w:rPr>
          <w:rFonts w:ascii="宋体" w:hAnsi="宋体"/>
          <w:color w:val="auto"/>
          <w:highlight w:val="none"/>
        </w:rPr>
      </w:pPr>
      <w:r>
        <w:rPr>
          <w:rFonts w:hint="eastAsia" w:ascii="宋体" w:hAnsi="宋体"/>
          <w:color w:val="auto"/>
          <w:highlight w:val="none"/>
        </w:rPr>
        <w:t xml:space="preserve">    1.6  工程量清单中所列工程量的变动，丝毫不会降低或影响合同条款的效力，也不免除承包人按规定的标准进行施工和修复缺陷的责任。</w:t>
      </w:r>
    </w:p>
    <w:p>
      <w:pPr>
        <w:spacing w:line="400" w:lineRule="exact"/>
        <w:rPr>
          <w:rFonts w:ascii="宋体" w:hAnsi="宋体"/>
          <w:color w:val="auto"/>
          <w:highlight w:val="none"/>
        </w:rPr>
      </w:pPr>
      <w:r>
        <w:rPr>
          <w:rFonts w:hint="eastAsia" w:ascii="宋体" w:hAnsi="宋体"/>
          <w:color w:val="auto"/>
          <w:highlight w:val="none"/>
        </w:rPr>
        <w:t xml:space="preserve">    1.7  图纸中所列的工程数量表及数量汇总表仅是提供资料，不是工程量清单的外延。当图纸与工程量清单所列数量不一致时，以工程量清单所列数量作为报价的依据。</w:t>
      </w:r>
    </w:p>
    <w:p>
      <w:pPr>
        <w:spacing w:before="120" w:beforeLines="50" w:after="120" w:afterLines="50" w:line="440" w:lineRule="exact"/>
        <w:outlineLvl w:val="2"/>
        <w:rPr>
          <w:b/>
          <w:color w:val="auto"/>
          <w:highlight w:val="none"/>
        </w:rPr>
      </w:pPr>
      <w:bookmarkStart w:id="1559" w:name="_Toc8162"/>
      <w:bookmarkStart w:id="1560" w:name="_Toc421223299"/>
      <w:bookmarkStart w:id="1561" w:name="_Toc25586"/>
      <w:bookmarkStart w:id="1562" w:name="_Toc3726"/>
      <w:bookmarkStart w:id="1563" w:name="_Toc30798"/>
      <w:bookmarkStart w:id="1564" w:name="_Toc239671865"/>
      <w:bookmarkStart w:id="1565" w:name="_Toc238900333"/>
      <w:bookmarkStart w:id="1566" w:name="_Toc24881"/>
      <w:bookmarkStart w:id="1567" w:name="_Toc10799"/>
      <w:r>
        <w:rPr>
          <w:rFonts w:hint="eastAsia"/>
          <w:b/>
          <w:color w:val="auto"/>
          <w:highlight w:val="none"/>
        </w:rPr>
        <w:t>2.投标报价说明</w:t>
      </w:r>
      <w:bookmarkEnd w:id="1559"/>
      <w:bookmarkEnd w:id="1560"/>
      <w:bookmarkEnd w:id="1561"/>
      <w:bookmarkEnd w:id="1562"/>
      <w:bookmarkEnd w:id="1563"/>
      <w:bookmarkEnd w:id="1564"/>
      <w:bookmarkEnd w:id="1565"/>
      <w:bookmarkEnd w:id="1566"/>
      <w:bookmarkEnd w:id="1567"/>
    </w:p>
    <w:p>
      <w:pPr>
        <w:spacing w:line="400" w:lineRule="exact"/>
        <w:rPr>
          <w:rFonts w:ascii="宋体" w:hAnsi="宋体"/>
          <w:color w:val="auto"/>
          <w:highlight w:val="none"/>
        </w:rPr>
      </w:pPr>
      <w:r>
        <w:rPr>
          <w:rFonts w:hint="eastAsia" w:ascii="宋体" w:hAnsi="宋体"/>
          <w:color w:val="auto"/>
          <w:highlight w:val="none"/>
        </w:rPr>
        <w:t xml:space="preserve">    2.1  工程量清单中的每一子目须填入单价或价格，且只允许有一个报价。</w:t>
      </w:r>
    </w:p>
    <w:p>
      <w:pPr>
        <w:spacing w:line="400" w:lineRule="exact"/>
        <w:rPr>
          <w:rFonts w:ascii="宋体" w:hAnsi="宋体"/>
          <w:color w:val="auto"/>
          <w:highlight w:val="none"/>
        </w:rPr>
      </w:pPr>
      <w:r>
        <w:rPr>
          <w:rFonts w:hint="eastAsia" w:ascii="宋体" w:hAnsi="宋体"/>
          <w:color w:val="auto"/>
          <w:highlight w:val="none"/>
        </w:rPr>
        <w:t xml:space="preserve">    2.2  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pPr>
        <w:spacing w:line="400" w:lineRule="exact"/>
        <w:rPr>
          <w:rFonts w:ascii="宋体" w:hAnsi="宋体"/>
          <w:color w:val="auto"/>
          <w:highlight w:val="none"/>
        </w:rPr>
      </w:pPr>
      <w:r>
        <w:rPr>
          <w:rFonts w:hint="eastAsia" w:ascii="宋体" w:hAnsi="宋体"/>
          <w:color w:val="auto"/>
          <w:highlight w:val="none"/>
        </w:rPr>
        <w:t xml:space="preserve">    2.3 工程量清单中投标人没有填入单价或价格的子目，其费用视为已分摊在工程量清单中其他相关子目的单价或价格之中。承包人必须按监理人指令完成工程量清单中未填入单价或价格的子目，但不能得到结算与支付。</w:t>
      </w:r>
    </w:p>
    <w:p>
      <w:pPr>
        <w:spacing w:line="400" w:lineRule="exact"/>
        <w:rPr>
          <w:rFonts w:ascii="宋体" w:hAnsi="宋体"/>
          <w:color w:val="auto"/>
          <w:highlight w:val="none"/>
        </w:rPr>
      </w:pPr>
      <w:r>
        <w:rPr>
          <w:rFonts w:hint="eastAsia" w:ascii="宋体" w:hAnsi="宋体"/>
          <w:color w:val="auto"/>
          <w:highlight w:val="none"/>
        </w:rPr>
        <w:t xml:space="preserve">    2.4  符合合同条款规定的全部费用应认为已被计入有标价的工程量清单所列各子目之中，未列子目不予计量的工作，其费用应视为已分摊在本合同工程的有关子目的单价或总额价之中。</w:t>
      </w:r>
    </w:p>
    <w:p>
      <w:pPr>
        <w:spacing w:line="400" w:lineRule="exact"/>
        <w:rPr>
          <w:rFonts w:ascii="宋体" w:hAnsi="宋体"/>
          <w:color w:val="auto"/>
          <w:highlight w:val="none"/>
        </w:rPr>
      </w:pPr>
      <w:r>
        <w:rPr>
          <w:rFonts w:hint="eastAsia" w:ascii="宋体" w:hAnsi="宋体"/>
          <w:color w:val="auto"/>
          <w:highlight w:val="none"/>
        </w:rPr>
        <w:t xml:space="preserve">    2.5  承包人用于本合同工程的各类装备的提供、运输、维护、拆卸、拼装等支付的费用，已包括在工程量清单的单价与总额价之中。</w:t>
      </w:r>
    </w:p>
    <w:p>
      <w:pPr>
        <w:spacing w:line="400" w:lineRule="exact"/>
        <w:ind w:firstLine="420" w:firstLineChars="200"/>
        <w:rPr>
          <w:rFonts w:ascii="宋体" w:hAnsi="宋体"/>
          <w:color w:val="auto"/>
          <w:highlight w:val="none"/>
        </w:rPr>
      </w:pPr>
      <w:r>
        <w:rPr>
          <w:rFonts w:hint="eastAsia" w:ascii="宋体" w:hAnsi="宋体"/>
          <w:color w:val="auto"/>
          <w:highlight w:val="none"/>
        </w:rPr>
        <w:t>2.6  工程量清单中各项金额均以人民币（元）结算。</w:t>
      </w:r>
    </w:p>
    <w:p>
      <w:pPr>
        <w:spacing w:line="400" w:lineRule="exact"/>
        <w:rPr>
          <w:rFonts w:hint="eastAsia" w:ascii="宋体" w:hAnsi="宋体" w:eastAsia="宋体"/>
          <w:color w:val="auto"/>
          <w:highlight w:val="none"/>
          <w:lang w:eastAsia="zh-CN"/>
        </w:rPr>
      </w:pPr>
      <w:r>
        <w:rPr>
          <w:rFonts w:hint="eastAsia" w:ascii="宋体" w:hAnsi="宋体"/>
          <w:color w:val="auto"/>
          <w:highlight w:val="none"/>
        </w:rPr>
        <w:t xml:space="preserve">    2.7  暂列金额的数量及拟用子目的说明：</w:t>
      </w:r>
      <w:r>
        <w:rPr>
          <w:rFonts w:hint="eastAsia" w:ascii="宋体" w:hAnsi="宋体" w:cs="Times New Roman"/>
          <w:color w:val="auto"/>
          <w:highlight w:val="none"/>
          <w:u w:val="single"/>
          <w:lang w:val="en-US" w:eastAsia="zh-CN"/>
        </w:rPr>
        <w:t xml:space="preserve">   /   </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2.8 专项暂定金的数量及拟用子目的说明：</w:t>
      </w:r>
      <w:r>
        <w:rPr>
          <w:rFonts w:hint="eastAsia" w:ascii="宋体" w:hAnsi="宋体"/>
          <w:color w:val="auto"/>
          <w:highlight w:val="none"/>
          <w:u w:val="single"/>
        </w:rPr>
        <w:t xml:space="preserve">  /    。</w:t>
      </w:r>
    </w:p>
    <w:p>
      <w:pPr>
        <w:spacing w:before="120" w:beforeLines="50" w:after="120" w:afterLines="50" w:line="440" w:lineRule="exact"/>
        <w:outlineLvl w:val="2"/>
        <w:rPr>
          <w:b/>
          <w:color w:val="auto"/>
          <w:highlight w:val="none"/>
        </w:rPr>
      </w:pPr>
      <w:bookmarkStart w:id="1568" w:name="_Toc7663"/>
      <w:bookmarkStart w:id="1569" w:name="_Toc4943"/>
      <w:bookmarkStart w:id="1570" w:name="_Toc238900335"/>
      <w:bookmarkStart w:id="1571" w:name="_Toc24036"/>
      <w:bookmarkStart w:id="1572" w:name="_Toc421223300"/>
      <w:bookmarkStart w:id="1573" w:name="_Toc25891"/>
      <w:bookmarkStart w:id="1574" w:name="_Toc239671866"/>
      <w:bookmarkStart w:id="1575" w:name="_Toc28157"/>
      <w:bookmarkStart w:id="1576" w:name="_Toc3927"/>
      <w:r>
        <w:rPr>
          <w:rFonts w:hint="eastAsia"/>
          <w:b/>
          <w:color w:val="auto"/>
          <w:highlight w:val="none"/>
        </w:rPr>
        <w:t>3.其他说明</w:t>
      </w:r>
      <w:bookmarkEnd w:id="1568"/>
      <w:bookmarkEnd w:id="1569"/>
      <w:bookmarkEnd w:id="1570"/>
      <w:bookmarkEnd w:id="1571"/>
      <w:bookmarkEnd w:id="1572"/>
      <w:bookmarkEnd w:id="1573"/>
      <w:bookmarkEnd w:id="1574"/>
      <w:bookmarkEnd w:id="1575"/>
      <w:bookmarkEnd w:id="1576"/>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rPr>
        <w:t>工程一切险的投保金额为工程量清单第100章（不含工程一切险及第三方责任险的保险费、安全文明施工费）至第</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00章的合计金额，保险费率为3‰。第三方责任险的投保金额为100万元，保险费率暂定为 5‰，按一次计入工程量清单。第100章内列有上述保险费的支付细目，投标人根据上述保险费率计算出保险费，填入工程量清单。除上述工程一切险及第三方责任险以外，所投其他保险的保险费均由承包人承担并支付，不在报价中单列。</w:t>
      </w:r>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rPr>
        <w:t>安全生产费用按工程量清单第100章至第</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00章合计金额（不含建筑工程一切险、第三方责任险的保险费及安全生产费）的</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%，专款专用，其他招标文件中计费有矛盾按此处为准。</w:t>
      </w:r>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rPr>
        <w:t>第100章其它内容，参照浙江省交通厅造价管理站文件《关于进一步规范交通建设工程量清单预算第100章总则部份计列内容和标准的指导意见》（浙交造价﹝2014﹞2）规定计取，并结合本工程实际</w:t>
      </w:r>
      <w:r>
        <w:rPr>
          <w:rFonts w:hint="eastAsia" w:ascii="宋体" w:hAnsi="宋体" w:eastAsia="宋体" w:cs="宋体"/>
          <w:color w:val="auto"/>
          <w:sz w:val="24"/>
          <w:szCs w:val="24"/>
          <w:lang w:val="en-US" w:eastAsia="zh-CN"/>
        </w:rPr>
        <w:t>情况</w:t>
      </w:r>
      <w:r>
        <w:rPr>
          <w:rFonts w:hint="eastAsia" w:ascii="宋体" w:hAnsi="宋体" w:eastAsia="宋体" w:cs="宋体"/>
          <w:color w:val="auto"/>
          <w:sz w:val="24"/>
          <w:szCs w:val="24"/>
        </w:rPr>
        <w:t>。</w:t>
      </w:r>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rPr>
        <w:t>施工环保费按工程量清单第200章至</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00章的合计金额计取费率按</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 xml:space="preserve">‰计。  </w:t>
      </w:r>
    </w:p>
    <w:p>
      <w:pPr>
        <w:numPr>
          <w:ilvl w:val="0"/>
          <w:numId w:val="5"/>
        </w:numPr>
        <w:ind w:left="0" w:leftChars="0" w:firstLine="400" w:firstLineChars="0"/>
        <w:rPr>
          <w:rFonts w:hint="eastAsia" w:ascii="宋体" w:hAnsi="宋体" w:eastAsia="宋体" w:cs="宋体"/>
          <w:b w:val="0"/>
          <w:bCs w:val="0"/>
          <w:color w:val="auto"/>
          <w:sz w:val="24"/>
          <w:szCs w:val="24"/>
          <w:u w:val="single"/>
        </w:rPr>
      </w:pPr>
      <w:r>
        <w:rPr>
          <w:rFonts w:hint="eastAsia" w:ascii="宋体" w:hAnsi="宋体" w:eastAsia="宋体" w:cs="宋体"/>
          <w:color w:val="auto"/>
          <w:sz w:val="24"/>
          <w:szCs w:val="24"/>
        </w:rPr>
        <w:t>暂列金额的数量及拟用子目的说明：</w:t>
      </w:r>
      <w:r>
        <w:rPr>
          <w:rFonts w:hint="eastAsia" w:ascii="宋体" w:hAnsi="宋体" w:eastAsia="宋体" w:cs="宋体"/>
          <w:b/>
          <w:bCs/>
          <w:color w:val="auto"/>
          <w:sz w:val="24"/>
          <w:szCs w:val="24"/>
          <w:u w:val="none"/>
        </w:rPr>
        <w:t>暂列金额（不含计日工总额）的数量为第100 章至</w:t>
      </w:r>
      <w:r>
        <w:rPr>
          <w:rFonts w:hint="eastAsia" w:ascii="宋体" w:hAnsi="宋体" w:eastAsia="宋体" w:cs="宋体"/>
          <w:b/>
          <w:bCs/>
          <w:color w:val="auto"/>
          <w:sz w:val="24"/>
          <w:szCs w:val="24"/>
          <w:u w:val="none"/>
          <w:lang w:val="en-US" w:eastAsia="zh-CN"/>
        </w:rPr>
        <w:t>6</w:t>
      </w:r>
      <w:r>
        <w:rPr>
          <w:rFonts w:hint="eastAsia" w:ascii="宋体" w:hAnsi="宋体" w:eastAsia="宋体" w:cs="宋体"/>
          <w:b/>
          <w:bCs/>
          <w:color w:val="auto"/>
          <w:sz w:val="24"/>
          <w:szCs w:val="24"/>
          <w:u w:val="none"/>
        </w:rPr>
        <w:t>00 章工程量清单合计的</w:t>
      </w:r>
      <w:r>
        <w:rPr>
          <w:rFonts w:hint="eastAsia" w:ascii="宋体" w:hAnsi="宋体" w:eastAsia="宋体" w:cs="宋体"/>
          <w:b/>
          <w:bCs/>
          <w:color w:val="auto"/>
          <w:sz w:val="24"/>
          <w:szCs w:val="24"/>
          <w:u w:val="none"/>
          <w:lang w:val="en-US" w:eastAsia="zh-CN"/>
        </w:rPr>
        <w:t>3</w:t>
      </w:r>
      <w:r>
        <w:rPr>
          <w:rFonts w:hint="eastAsia" w:ascii="宋体" w:hAnsi="宋体" w:eastAsia="宋体" w:cs="宋体"/>
          <w:b/>
          <w:bCs/>
          <w:color w:val="auto"/>
          <w:sz w:val="24"/>
          <w:szCs w:val="24"/>
          <w:u w:val="none"/>
        </w:rPr>
        <w:t>%</w:t>
      </w:r>
      <w:r>
        <w:rPr>
          <w:rFonts w:hint="eastAsia" w:ascii="宋体" w:hAnsi="宋体" w:eastAsia="宋体" w:cs="宋体"/>
          <w:b/>
          <w:bCs/>
          <w:color w:val="auto"/>
          <w:sz w:val="24"/>
          <w:szCs w:val="24"/>
          <w:u w:val="none"/>
          <w:lang w:eastAsia="zh-CN"/>
        </w:rPr>
        <w:t>，</w:t>
      </w:r>
      <w:r>
        <w:rPr>
          <w:rFonts w:hint="eastAsia" w:ascii="宋体" w:hAnsi="宋体" w:eastAsia="宋体" w:cs="宋体"/>
          <w:b/>
          <w:bCs/>
          <w:color w:val="auto"/>
          <w:sz w:val="24"/>
          <w:szCs w:val="24"/>
          <w:u w:val="none"/>
        </w:rPr>
        <w:t>除合同另有规定外，应由监理人按合同条款第15条的规定，结合工程具体情况，报经发包人批准后指令全部或部分地使用，或者根本不予动用。</w:t>
      </w:r>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rPr>
        <w:t>标底编制根据18编规，企业管理费已经包含竣工文件编制费，因此第100章标底竣工文件不在计取，由施工单位报价时候自行考虑相应费用报价计入。</w:t>
      </w:r>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rPr>
        <w:t>本项目所列清单子目均已包含完成该项子目所需必要措施费；具体解释对照《公路工程工程量清单计价规则》相应子目。</w:t>
      </w:r>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rPr>
        <w:t>本工程</w:t>
      </w:r>
      <w:r>
        <w:rPr>
          <w:rFonts w:hint="eastAsia" w:ascii="宋体" w:hAnsi="宋体" w:eastAsia="宋体" w:cs="宋体"/>
          <w:color w:val="auto"/>
          <w:sz w:val="24"/>
          <w:szCs w:val="24"/>
          <w:lang w:val="en-US" w:eastAsia="zh-CN"/>
        </w:rPr>
        <w:t>具体采用现浇混凝土或商品混凝土由投标单位</w:t>
      </w:r>
      <w:r>
        <w:rPr>
          <w:rFonts w:hint="eastAsia" w:ascii="宋体" w:hAnsi="宋体" w:eastAsia="宋体" w:cs="宋体"/>
          <w:color w:val="auto"/>
          <w:sz w:val="24"/>
          <w:szCs w:val="24"/>
        </w:rPr>
        <w:t>自行统筹，不另行调价；</w:t>
      </w:r>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浆砌片石挡墙混凝土压顶与路面混凝土悬挑板存在重叠，故不计入本次预算；当挡墙高度达3.0m时，根据实际情况增加C15毛石混凝土基础及碎石垫层，本次预算暂不计入。</w:t>
      </w:r>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圆管涵横穿道路处路面混凝土加固处理做法与混凝土悬挑板存在重叠，故不计入本次预算；</w:t>
      </w:r>
    </w:p>
    <w:p>
      <w:pPr>
        <w:numPr>
          <w:ilvl w:val="0"/>
          <w:numId w:val="5"/>
        </w:numPr>
        <w:ind w:left="0" w:leftChars="0" w:firstLine="400" w:firstLineChars="0"/>
        <w:rPr>
          <w:rFonts w:hint="eastAsia" w:ascii="宋体" w:hAnsi="宋体" w:eastAsia="宋体" w:cs="宋体"/>
          <w:color w:val="auto"/>
          <w:sz w:val="24"/>
          <w:szCs w:val="24"/>
        </w:rPr>
      </w:pPr>
      <w:r>
        <w:rPr>
          <w:rFonts w:hint="eastAsia" w:ascii="宋体" w:hAnsi="宋体" w:eastAsia="宋体" w:cs="宋体"/>
          <w:color w:val="auto"/>
          <w:sz w:val="24"/>
          <w:szCs w:val="24"/>
        </w:rPr>
        <w:t>本工程施工所有原材料由承包人结合实际情况综合考虑包含在综合单价中，包含原材料远距离</w:t>
      </w:r>
      <w:r>
        <w:rPr>
          <w:rFonts w:hint="eastAsia" w:ascii="宋体" w:hAnsi="宋体" w:eastAsia="宋体" w:cs="宋体"/>
          <w:color w:val="auto"/>
          <w:sz w:val="24"/>
          <w:szCs w:val="24"/>
          <w:lang w:val="en-US" w:eastAsia="zh-CN"/>
        </w:rPr>
        <w:t>海上</w:t>
      </w:r>
      <w:r>
        <w:rPr>
          <w:rFonts w:hint="eastAsia" w:ascii="宋体" w:hAnsi="宋体" w:eastAsia="宋体" w:cs="宋体"/>
          <w:color w:val="auto"/>
          <w:sz w:val="24"/>
          <w:szCs w:val="24"/>
        </w:rPr>
        <w:t>运费、二次搬运费、采保费等。</w:t>
      </w:r>
    </w:p>
    <w:p>
      <w:pPr>
        <w:pStyle w:val="2"/>
        <w:spacing w:before="120"/>
        <w:ind w:firstLine="480" w:firstLineChars="200"/>
        <w:rPr>
          <w:rFonts w:hint="eastAsia" w:ascii="宋体" w:hAnsi="宋体" w:cs="宋体"/>
          <w:b/>
          <w:color w:val="auto"/>
          <w:kern w:val="0"/>
          <w:sz w:val="22"/>
          <w:szCs w:val="22"/>
          <w:highlight w:val="none"/>
          <w:lang w:bidi="ar"/>
        </w:rPr>
      </w:pPr>
      <w:r>
        <w:rPr>
          <w:rFonts w:hint="eastAsia" w:ascii="宋体" w:hAnsi="宋体" w:eastAsia="宋体" w:cs="宋体"/>
          <w:color w:val="auto"/>
          <w:sz w:val="24"/>
          <w:szCs w:val="24"/>
          <w:lang w:val="en-US" w:eastAsia="zh-CN"/>
        </w:rPr>
        <w:t>本工程量清单中所列工程数量是估算的或设计的预计数量，仅作为投标报价的共同基础，不能作为最终结算与支付的依据。实际支付应按实际完成的工程量，由承包人按技术规范规定的计量方法，以监理人认可的尺寸、断面计量，按本工程量清单的单价和总额价计算支付金额；或者根据具体情况，按合同条款第15.4款的规定，由监理人确定的单价或总额价计算支付额，按实结算。</w:t>
      </w:r>
    </w:p>
    <w:p>
      <w:pPr>
        <w:pStyle w:val="2"/>
        <w:spacing w:before="120"/>
        <w:ind w:firstLine="442" w:firstLineChars="200"/>
        <w:rPr>
          <w:rFonts w:hint="eastAsia" w:ascii="宋体" w:hAnsi="宋体" w:cs="宋体"/>
          <w:b/>
          <w:color w:val="auto"/>
          <w:kern w:val="0"/>
          <w:sz w:val="22"/>
          <w:szCs w:val="22"/>
          <w:highlight w:val="none"/>
          <w:lang w:bidi="ar"/>
        </w:rPr>
      </w:pPr>
    </w:p>
    <w:p>
      <w:pPr>
        <w:pStyle w:val="2"/>
        <w:spacing w:before="120"/>
        <w:ind w:firstLine="442" w:firstLineChars="200"/>
        <w:rPr>
          <w:rFonts w:hint="eastAsia" w:ascii="宋体" w:hAnsi="宋体" w:cs="宋体"/>
          <w:b/>
          <w:color w:val="auto"/>
          <w:kern w:val="0"/>
          <w:sz w:val="22"/>
          <w:szCs w:val="22"/>
          <w:highlight w:val="none"/>
          <w:lang w:bidi="ar"/>
        </w:rPr>
      </w:pPr>
    </w:p>
    <w:p>
      <w:pPr>
        <w:pStyle w:val="2"/>
        <w:spacing w:before="120"/>
        <w:ind w:left="0" w:leftChars="0" w:firstLine="0" w:firstLineChars="0"/>
        <w:rPr>
          <w:rFonts w:hint="eastAsia" w:ascii="宋体" w:hAnsi="宋体" w:cs="宋体"/>
          <w:b/>
          <w:color w:val="auto"/>
          <w:kern w:val="0"/>
          <w:sz w:val="22"/>
          <w:szCs w:val="22"/>
          <w:highlight w:val="none"/>
          <w:lang w:bidi="ar"/>
        </w:rPr>
      </w:pPr>
    </w:p>
    <w:p>
      <w:pPr>
        <w:pStyle w:val="2"/>
        <w:spacing w:before="120"/>
        <w:ind w:left="0" w:leftChars="0" w:firstLine="0" w:firstLineChars="0"/>
        <w:rPr>
          <w:rFonts w:ascii="宋体" w:hAnsi="宋体" w:cs="宋体"/>
          <w:b/>
          <w:color w:val="auto"/>
          <w:kern w:val="0"/>
          <w:sz w:val="22"/>
          <w:szCs w:val="22"/>
          <w:highlight w:val="none"/>
          <w:lang w:bidi="ar"/>
        </w:rPr>
      </w:pPr>
      <w:r>
        <w:rPr>
          <w:rFonts w:hint="eastAsia" w:ascii="宋体" w:hAnsi="宋体" w:cs="宋体"/>
          <w:b/>
          <w:color w:val="auto"/>
          <w:kern w:val="0"/>
          <w:sz w:val="22"/>
          <w:szCs w:val="22"/>
          <w:highlight w:val="none"/>
          <w:lang w:val="en-US" w:eastAsia="zh-CN" w:bidi="ar"/>
        </w:rPr>
        <w:t>4</w:t>
      </w:r>
      <w:r>
        <w:rPr>
          <w:rFonts w:hint="eastAsia" w:ascii="宋体" w:hAnsi="宋体" w:cs="宋体"/>
          <w:b/>
          <w:color w:val="auto"/>
          <w:kern w:val="0"/>
          <w:sz w:val="22"/>
          <w:szCs w:val="22"/>
          <w:highlight w:val="none"/>
          <w:lang w:bidi="ar"/>
        </w:rPr>
        <w:t>.工程量清单</w:t>
      </w:r>
    </w:p>
    <w:p>
      <w:pPr>
        <w:rPr>
          <w:rFonts w:hint="eastAsia"/>
          <w:color w:val="auto"/>
          <w:highlight w:val="none"/>
        </w:rPr>
      </w:pPr>
      <w:r>
        <w:rPr>
          <w:rFonts w:hint="eastAsia"/>
          <w:color w:val="auto"/>
          <w:highlight w:val="none"/>
          <w:lang w:val="en-US" w:eastAsia="zh-CN"/>
        </w:rPr>
        <w:t>4</w:t>
      </w:r>
      <w:r>
        <w:rPr>
          <w:rFonts w:hint="eastAsia"/>
          <w:color w:val="auto"/>
          <w:highlight w:val="none"/>
        </w:rPr>
        <w:t>.1工程量清单表</w:t>
      </w:r>
    </w:p>
    <w:tbl>
      <w:tblPr>
        <w:tblStyle w:val="17"/>
        <w:tblW w:w="892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5"/>
        <w:gridCol w:w="211"/>
        <w:gridCol w:w="696"/>
        <w:gridCol w:w="3138"/>
        <w:gridCol w:w="96"/>
        <w:gridCol w:w="738"/>
        <w:gridCol w:w="1108"/>
        <w:gridCol w:w="779"/>
        <w:gridCol w:w="329"/>
        <w:gridCol w:w="941"/>
        <w:gridCol w:w="1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540" w:hRule="atLeast"/>
        </w:trPr>
        <w:tc>
          <w:tcPr>
            <w:tcW w:w="8761" w:type="dxa"/>
            <w:gridSpan w:val="10"/>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color w:val="auto"/>
                <w:kern w:val="0"/>
                <w:sz w:val="36"/>
                <w:szCs w:val="36"/>
                <w:highlight w:val="none"/>
                <w:u w:val="none"/>
                <w:lang w:val="en-US" w:eastAsia="zh-CN" w:bidi="ar"/>
              </w:rPr>
              <w:t>投标报价汇总表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4770" w:type="dxa"/>
            <w:gridSpan w:val="4"/>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合同段：</w:t>
            </w:r>
            <w:r>
              <w:rPr>
                <w:rFonts w:hint="eastAsia" w:ascii="宋体" w:hAnsi="宋体" w:cs="宋体"/>
                <w:i w:val="0"/>
                <w:iCs w:val="0"/>
                <w:color w:val="auto"/>
                <w:kern w:val="0"/>
                <w:sz w:val="16"/>
                <w:szCs w:val="16"/>
                <w:highlight w:val="none"/>
                <w:u w:val="none"/>
                <w:lang w:val="en-US" w:eastAsia="zh-CN" w:bidi="ar"/>
              </w:rPr>
              <w:t>南麂镇新码头自然村到国姓岙自然村道路提升工程</w:t>
            </w:r>
          </w:p>
        </w:tc>
        <w:tc>
          <w:tcPr>
            <w:tcW w:w="2721" w:type="dxa"/>
            <w:gridSpan w:val="4"/>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270"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标表1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20" w:hRule="atLeast"/>
        </w:trPr>
        <w:tc>
          <w:tcPr>
            <w:tcW w:w="725" w:type="dxa"/>
            <w:tcBorders>
              <w:top w:val="nil"/>
              <w:left w:val="nil"/>
              <w:bottom w:val="nil"/>
              <w:right w:val="nil"/>
            </w:tcBorders>
            <w:shd w:val="clear" w:color="auto" w:fill="FFFFFF"/>
            <w:vAlign w:val="top"/>
          </w:tcPr>
          <w:p>
            <w:pPr>
              <w:jc w:val="left"/>
              <w:rPr>
                <w:rFonts w:hint="eastAsia" w:ascii="SansSerif" w:hAnsi="SansSerif" w:eastAsia="SansSerif" w:cs="SansSerif"/>
                <w:i w:val="0"/>
                <w:iCs w:val="0"/>
                <w:color w:val="auto"/>
                <w:sz w:val="20"/>
                <w:szCs w:val="20"/>
                <w:highlight w:val="none"/>
                <w:u w:val="none"/>
              </w:rPr>
            </w:pPr>
          </w:p>
        </w:tc>
        <w:tc>
          <w:tcPr>
            <w:tcW w:w="907"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13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2721" w:type="dxa"/>
            <w:gridSpan w:val="4"/>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270"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500" w:hRule="atLeast"/>
        </w:trPr>
        <w:tc>
          <w:tcPr>
            <w:tcW w:w="725" w:type="dxa"/>
            <w:tcBorders>
              <w:top w:val="single" w:color="000000" w:sz="8"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序号</w:t>
            </w:r>
          </w:p>
        </w:tc>
        <w:tc>
          <w:tcPr>
            <w:tcW w:w="907" w:type="dxa"/>
            <w:gridSpan w:val="2"/>
            <w:tcBorders>
              <w:top w:val="single" w:color="000000" w:sz="8" w:space="0"/>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章次</w:t>
            </w:r>
          </w:p>
        </w:tc>
        <w:tc>
          <w:tcPr>
            <w:tcW w:w="5859" w:type="dxa"/>
            <w:gridSpan w:val="5"/>
            <w:tcBorders>
              <w:top w:val="single" w:color="000000" w:sz="8" w:space="0"/>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科目名称</w:t>
            </w:r>
          </w:p>
        </w:tc>
        <w:tc>
          <w:tcPr>
            <w:tcW w:w="1270" w:type="dxa"/>
            <w:gridSpan w:val="2"/>
            <w:tcBorders>
              <w:top w:val="single" w:color="000000" w:sz="8" w:space="0"/>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1</w:t>
            </w:r>
          </w:p>
        </w:tc>
        <w:tc>
          <w:tcPr>
            <w:tcW w:w="907"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100</w:t>
            </w:r>
          </w:p>
        </w:tc>
        <w:tc>
          <w:tcPr>
            <w:tcW w:w="5859" w:type="dxa"/>
            <w:gridSpan w:val="5"/>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 xml:space="preserve"> 总则</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eastAsia"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2</w:t>
            </w:r>
          </w:p>
        </w:tc>
        <w:tc>
          <w:tcPr>
            <w:tcW w:w="907"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200</w:t>
            </w:r>
          </w:p>
        </w:tc>
        <w:tc>
          <w:tcPr>
            <w:tcW w:w="5859" w:type="dxa"/>
            <w:gridSpan w:val="5"/>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 xml:space="preserve"> 路基工程</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3</w:t>
            </w:r>
          </w:p>
        </w:tc>
        <w:tc>
          <w:tcPr>
            <w:tcW w:w="907"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300</w:t>
            </w:r>
          </w:p>
        </w:tc>
        <w:tc>
          <w:tcPr>
            <w:tcW w:w="5859" w:type="dxa"/>
            <w:gridSpan w:val="5"/>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 xml:space="preserve"> 路面工程 </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4</w:t>
            </w:r>
          </w:p>
        </w:tc>
        <w:tc>
          <w:tcPr>
            <w:tcW w:w="907"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400</w:t>
            </w:r>
          </w:p>
        </w:tc>
        <w:tc>
          <w:tcPr>
            <w:tcW w:w="5859" w:type="dxa"/>
            <w:gridSpan w:val="5"/>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 xml:space="preserve"> 桥梁、涵洞工程</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5</w:t>
            </w:r>
          </w:p>
        </w:tc>
        <w:tc>
          <w:tcPr>
            <w:tcW w:w="907"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600</w:t>
            </w:r>
          </w:p>
        </w:tc>
        <w:tc>
          <w:tcPr>
            <w:tcW w:w="5859" w:type="dxa"/>
            <w:gridSpan w:val="5"/>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 xml:space="preserve"> 交通安全设施 </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6</w:t>
            </w:r>
          </w:p>
        </w:tc>
        <w:tc>
          <w:tcPr>
            <w:tcW w:w="6766" w:type="dxa"/>
            <w:gridSpan w:val="7"/>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第100章至第</w:t>
            </w:r>
            <w:r>
              <w:rPr>
                <w:rFonts w:hint="eastAsia" w:ascii="宋体" w:hAnsi="宋体" w:cs="宋体"/>
                <w:i w:val="0"/>
                <w:iCs w:val="0"/>
                <w:color w:val="auto"/>
                <w:kern w:val="0"/>
                <w:sz w:val="16"/>
                <w:szCs w:val="16"/>
                <w:highlight w:val="none"/>
                <w:u w:val="none"/>
                <w:lang w:val="en-US" w:eastAsia="zh-CN" w:bidi="ar"/>
              </w:rPr>
              <w:t>600</w:t>
            </w:r>
            <w:r>
              <w:rPr>
                <w:rFonts w:hint="eastAsia" w:ascii="宋体" w:hAnsi="宋体" w:eastAsia="宋体" w:cs="宋体"/>
                <w:i w:val="0"/>
                <w:iCs w:val="0"/>
                <w:color w:val="auto"/>
                <w:kern w:val="0"/>
                <w:sz w:val="16"/>
                <w:szCs w:val="16"/>
                <w:highlight w:val="none"/>
                <w:u w:val="none"/>
                <w:lang w:val="en-US" w:eastAsia="zh-CN" w:bidi="ar"/>
              </w:rPr>
              <w:t xml:space="preserve">章清单合计 </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7</w:t>
            </w:r>
          </w:p>
        </w:tc>
        <w:tc>
          <w:tcPr>
            <w:tcW w:w="6766" w:type="dxa"/>
            <w:gridSpan w:val="7"/>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已包含在清单合计中的材料、工程设备、专业工程暂估价合计</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8</w:t>
            </w:r>
          </w:p>
        </w:tc>
        <w:tc>
          <w:tcPr>
            <w:tcW w:w="6766" w:type="dxa"/>
            <w:gridSpan w:val="7"/>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清单合计减去材料、工程设备、专业工程暂估价合计</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9</w:t>
            </w:r>
          </w:p>
        </w:tc>
        <w:tc>
          <w:tcPr>
            <w:tcW w:w="6766" w:type="dxa"/>
            <w:gridSpan w:val="7"/>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计日工合计</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10</w:t>
            </w:r>
          </w:p>
        </w:tc>
        <w:tc>
          <w:tcPr>
            <w:tcW w:w="6766" w:type="dxa"/>
            <w:gridSpan w:val="7"/>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暂列金额(不含计日工总额)</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11</w:t>
            </w:r>
          </w:p>
        </w:tc>
        <w:tc>
          <w:tcPr>
            <w:tcW w:w="6766" w:type="dxa"/>
            <w:gridSpan w:val="7"/>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投标报价</w:t>
            </w: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7470" w:hRule="atLeast"/>
        </w:trPr>
        <w:tc>
          <w:tcPr>
            <w:tcW w:w="725"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6766" w:type="dxa"/>
            <w:gridSpan w:val="7"/>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270"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300" w:hRule="atLeast"/>
        </w:trPr>
        <w:tc>
          <w:tcPr>
            <w:tcW w:w="7491" w:type="dxa"/>
            <w:gridSpan w:val="8"/>
            <w:tcBorders>
              <w:top w:val="single" w:color="000000" w:sz="8" w:space="0"/>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 1 页</w:t>
            </w:r>
          </w:p>
        </w:tc>
        <w:tc>
          <w:tcPr>
            <w:tcW w:w="1270" w:type="dxa"/>
            <w:gridSpan w:val="2"/>
            <w:tcBorders>
              <w:top w:val="single" w:color="000000" w:sz="8" w:space="0"/>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共 1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8" w:type="dxa"/>
            <w:gridSpan w:val="11"/>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66" w:type="dxa"/>
            <w:gridSpan w:val="5"/>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合同段：</w:t>
            </w:r>
            <w:r>
              <w:rPr>
                <w:rFonts w:hint="eastAsia" w:ascii="宋体" w:hAnsi="宋体" w:cs="宋体"/>
                <w:i w:val="0"/>
                <w:iCs w:val="0"/>
                <w:color w:val="auto"/>
                <w:kern w:val="0"/>
                <w:sz w:val="16"/>
                <w:szCs w:val="16"/>
                <w:highlight w:val="none"/>
                <w:u w:val="none"/>
                <w:lang w:val="en-US" w:eastAsia="zh-CN" w:bidi="ar"/>
              </w:rPr>
              <w:t>南麂镇新码头自然村到国姓岙自然村道路提升工程</w:t>
            </w:r>
          </w:p>
        </w:tc>
        <w:tc>
          <w:tcPr>
            <w:tcW w:w="2954" w:type="dxa"/>
            <w:gridSpan w:val="4"/>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36" w:type="dxa"/>
            <w:gridSpan w:val="2"/>
            <w:tcBorders>
              <w:top w:val="nil"/>
              <w:left w:val="nil"/>
              <w:bottom w:val="nil"/>
              <w:right w:val="nil"/>
            </w:tcBorders>
            <w:shd w:val="clear" w:color="auto" w:fill="FFFFFF"/>
            <w:vAlign w:val="top"/>
          </w:tcPr>
          <w:p>
            <w:pPr>
              <w:jc w:val="left"/>
              <w:rPr>
                <w:rFonts w:hint="eastAsia" w:ascii="SansSerif" w:hAnsi="SansSerif" w:eastAsia="SansSerif" w:cs="SansSerif"/>
                <w:i w:val="0"/>
                <w:iCs w:val="0"/>
                <w:color w:val="auto"/>
                <w:sz w:val="20"/>
                <w:szCs w:val="20"/>
                <w:highlight w:val="none"/>
                <w:u w:val="none"/>
              </w:rPr>
            </w:pPr>
          </w:p>
        </w:tc>
        <w:tc>
          <w:tcPr>
            <w:tcW w:w="3930" w:type="dxa"/>
            <w:gridSpan w:val="3"/>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8" w:type="dxa"/>
            <w:gridSpan w:val="11"/>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清单   第 100 章 总则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子目号</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子目名称</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单位</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数量</w:t>
            </w:r>
          </w:p>
        </w:tc>
        <w:tc>
          <w:tcPr>
            <w:tcW w:w="1108"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单价</w:t>
            </w:r>
          </w:p>
        </w:tc>
        <w:tc>
          <w:tcPr>
            <w:tcW w:w="1108" w:type="dxa"/>
            <w:gridSpan w:val="2"/>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通则</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eastAsia"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101-1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保险费</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按合同条款规定，提供建筑工程一切险</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总额</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-b</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按合同条款规定，提供第三者责任险</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总额</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102</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工程管理</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102-2</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施工环保费</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总额</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102-3</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安全生产费</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总额</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103</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临时工程与设施</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103-1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临时道路修建、养护与拆除(包括原道路的养护)</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总额</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103-2</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临时占地及悬挑板钢管脚手架搭拆</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总额</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103-3</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临时供电设施架设、维护与拆除</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总额</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103-5</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临时供水与排污设施</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总额</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104</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承包人驻地建设</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104-1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承包人驻地建设</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总额</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3"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28" w:type="dxa"/>
            <w:gridSpan w:val="11"/>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 100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20" w:type="dxa"/>
            <w:gridSpan w:val="9"/>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 1 页</w:t>
            </w: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 xml:space="preserve">共 </w:t>
            </w:r>
            <w:r>
              <w:rPr>
                <w:rFonts w:hint="eastAsia" w:ascii="宋体" w:hAnsi="宋体" w:cs="宋体"/>
                <w:i w:val="0"/>
                <w:iCs w:val="0"/>
                <w:color w:val="auto"/>
                <w:kern w:val="0"/>
                <w:sz w:val="16"/>
                <w:szCs w:val="16"/>
                <w:highlight w:val="none"/>
                <w:u w:val="none"/>
                <w:lang w:val="en-US" w:eastAsia="zh-CN" w:bidi="ar"/>
              </w:rPr>
              <w:t>5</w:t>
            </w:r>
            <w:r>
              <w:rPr>
                <w:rFonts w:hint="eastAsia" w:ascii="宋体" w:hAnsi="宋体" w:eastAsia="宋体" w:cs="宋体"/>
                <w:i w:val="0"/>
                <w:iCs w:val="0"/>
                <w:color w:val="auto"/>
                <w:kern w:val="0"/>
                <w:sz w:val="16"/>
                <w:szCs w:val="16"/>
                <w:highlight w:val="none"/>
                <w:u w:val="none"/>
                <w:lang w:val="en-US" w:eastAsia="zh-CN" w:bidi="ar"/>
              </w:rPr>
              <w:t xml:space="preserve">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936"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30" w:type="dxa"/>
            <w:gridSpan w:val="3"/>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36"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30" w:type="dxa"/>
            <w:gridSpan w:val="3"/>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8" w:type="dxa"/>
            <w:gridSpan w:val="11"/>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66" w:type="dxa"/>
            <w:gridSpan w:val="5"/>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合同段：</w:t>
            </w:r>
            <w:r>
              <w:rPr>
                <w:rFonts w:hint="eastAsia" w:ascii="宋体" w:hAnsi="宋体" w:cs="宋体"/>
                <w:i w:val="0"/>
                <w:iCs w:val="0"/>
                <w:color w:val="auto"/>
                <w:kern w:val="0"/>
                <w:sz w:val="16"/>
                <w:szCs w:val="16"/>
                <w:highlight w:val="none"/>
                <w:u w:val="none"/>
                <w:lang w:val="en-US" w:eastAsia="zh-CN" w:bidi="ar"/>
              </w:rPr>
              <w:t>南麂镇新码头自然村到国姓岙自然村道路提升工程</w:t>
            </w:r>
          </w:p>
        </w:tc>
        <w:tc>
          <w:tcPr>
            <w:tcW w:w="2954" w:type="dxa"/>
            <w:gridSpan w:val="4"/>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36"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30" w:type="dxa"/>
            <w:gridSpan w:val="3"/>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8" w:type="dxa"/>
            <w:gridSpan w:val="11"/>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清单   第 200 章 路基工程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子目号</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子目名称</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单位</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数量</w:t>
            </w:r>
          </w:p>
        </w:tc>
        <w:tc>
          <w:tcPr>
            <w:tcW w:w="1108"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单价</w:t>
            </w:r>
          </w:p>
        </w:tc>
        <w:tc>
          <w:tcPr>
            <w:tcW w:w="1108" w:type="dxa"/>
            <w:gridSpan w:val="2"/>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202</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场地清理</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202-2</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挖除旧路面</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水泥混凝土路面 厚15cm</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171.5415</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-c</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砌块路面 厚10cm</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30.5674</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203</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挖方路基</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203-1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路基挖方</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挖土方 靠山一侧挖掘土方部分，1:1.75放坡开挖</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1186.5</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-b</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挖石方 靠山一侧挖掘石方部分，1:1.15放坡开挖</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1056.2</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204</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填方路基</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204-1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路基填筑(包括填前压实)</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-b</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利用石方</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1056.2</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-d</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借土填方~塘渣回填</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1193.8</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207</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坡面排水</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207-1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边沟</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-c</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C25现浇混凝土</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168</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-e</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预制安装C30混凝土盖板含钢筋制安</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42</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209</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挡土墙</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209-3</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砌体挡土墙</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M10浆砌块石挡墙调平块H=30-180cm</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1580</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1"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28" w:type="dxa"/>
            <w:gridSpan w:val="11"/>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 200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20" w:type="dxa"/>
            <w:gridSpan w:val="9"/>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 2 页</w:t>
            </w: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 xml:space="preserve">共 </w:t>
            </w:r>
            <w:r>
              <w:rPr>
                <w:rFonts w:hint="eastAsia" w:ascii="宋体" w:hAnsi="宋体" w:cs="宋体"/>
                <w:i w:val="0"/>
                <w:iCs w:val="0"/>
                <w:color w:val="auto"/>
                <w:kern w:val="0"/>
                <w:sz w:val="16"/>
                <w:szCs w:val="16"/>
                <w:highlight w:val="none"/>
                <w:u w:val="none"/>
                <w:lang w:val="en-US" w:eastAsia="zh-CN" w:bidi="ar"/>
              </w:rPr>
              <w:t>5</w:t>
            </w:r>
            <w:r>
              <w:rPr>
                <w:rFonts w:hint="eastAsia" w:ascii="宋体" w:hAnsi="宋体" w:eastAsia="宋体" w:cs="宋体"/>
                <w:i w:val="0"/>
                <w:iCs w:val="0"/>
                <w:color w:val="auto"/>
                <w:kern w:val="0"/>
                <w:sz w:val="16"/>
                <w:szCs w:val="16"/>
                <w:highlight w:val="none"/>
                <w:u w:val="none"/>
                <w:lang w:val="en-US" w:eastAsia="zh-CN" w:bidi="ar"/>
              </w:rPr>
              <w:t xml:space="preserve">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8" w:type="dxa"/>
            <w:gridSpan w:val="11"/>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66" w:type="dxa"/>
            <w:gridSpan w:val="5"/>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合同段：</w:t>
            </w:r>
            <w:r>
              <w:rPr>
                <w:rFonts w:hint="eastAsia" w:ascii="宋体" w:hAnsi="宋体" w:cs="宋体"/>
                <w:i w:val="0"/>
                <w:iCs w:val="0"/>
                <w:color w:val="auto"/>
                <w:kern w:val="0"/>
                <w:sz w:val="16"/>
                <w:szCs w:val="16"/>
                <w:highlight w:val="none"/>
                <w:u w:val="none"/>
                <w:lang w:val="en-US" w:eastAsia="zh-CN" w:bidi="ar"/>
              </w:rPr>
              <w:t>南麂镇新码头自然村到国姓岙自然村道路提升工程</w:t>
            </w:r>
          </w:p>
        </w:tc>
        <w:tc>
          <w:tcPr>
            <w:tcW w:w="2954" w:type="dxa"/>
            <w:gridSpan w:val="4"/>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36"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30" w:type="dxa"/>
            <w:gridSpan w:val="3"/>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8" w:type="dxa"/>
            <w:gridSpan w:val="11"/>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 xml:space="preserve">清单   第 300 章 路面工程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子目号</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子目名称</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单位</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数量</w:t>
            </w:r>
          </w:p>
        </w:tc>
        <w:tc>
          <w:tcPr>
            <w:tcW w:w="1108"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单价</w:t>
            </w:r>
          </w:p>
        </w:tc>
        <w:tc>
          <w:tcPr>
            <w:tcW w:w="1108" w:type="dxa"/>
            <w:gridSpan w:val="2"/>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306</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级配碎(砾)石底基层、基层</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306-1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级配碎石底基层</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厚100mm</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m2</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1247</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312</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水泥混凝土面板</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312-1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水泥混凝土面板</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10/25cm厚C30钢筋混凝土悬臂板；表面3mm压模成型（仿木纹）；每段长度不超过25米设置变形缝，缝的填缝板采用沥青纤维板并灌缝胶灌缝。</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752.55</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-b</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新旧水泥路面相接；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18cmC30水泥混凝土路面</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4.86</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312-2</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钢筋</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新旧水泥路面衔接处埋φ28mm植筋</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kg</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432</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-b</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悬挑板钢筋制作、安装 带肋钢筋</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kg</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83607</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4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28" w:type="dxa"/>
            <w:gridSpan w:val="11"/>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 300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20" w:type="dxa"/>
            <w:gridSpan w:val="9"/>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 3 页</w:t>
            </w: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 xml:space="preserve">共 </w:t>
            </w:r>
            <w:r>
              <w:rPr>
                <w:rFonts w:hint="eastAsia" w:ascii="宋体" w:hAnsi="宋体" w:cs="宋体"/>
                <w:i w:val="0"/>
                <w:iCs w:val="0"/>
                <w:color w:val="auto"/>
                <w:kern w:val="0"/>
                <w:sz w:val="16"/>
                <w:szCs w:val="16"/>
                <w:highlight w:val="none"/>
                <w:u w:val="none"/>
                <w:lang w:val="en-US" w:eastAsia="zh-CN" w:bidi="ar"/>
              </w:rPr>
              <w:t>5</w:t>
            </w:r>
            <w:r>
              <w:rPr>
                <w:rFonts w:hint="eastAsia" w:ascii="宋体" w:hAnsi="宋体" w:eastAsia="宋体" w:cs="宋体"/>
                <w:i w:val="0"/>
                <w:iCs w:val="0"/>
                <w:color w:val="auto"/>
                <w:kern w:val="0"/>
                <w:sz w:val="16"/>
                <w:szCs w:val="16"/>
                <w:highlight w:val="none"/>
                <w:u w:val="none"/>
                <w:lang w:val="en-US" w:eastAsia="zh-CN" w:bidi="ar"/>
              </w:rPr>
              <w:t xml:space="preserve">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936"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30" w:type="dxa"/>
            <w:gridSpan w:val="3"/>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color w:val="auto"/>
              </w:rPr>
            </w:pPr>
          </w:p>
          <w:p>
            <w:pPr>
              <w:pStyle w:val="2"/>
              <w:rPr>
                <w:rFonts w:hint="default"/>
                <w:color w:val="auto"/>
              </w:rPr>
            </w:pPr>
          </w:p>
          <w:p>
            <w:pPr>
              <w:pStyle w:val="2"/>
              <w:ind w:left="0" w:leftChars="0" w:firstLine="0" w:firstLineChars="0"/>
              <w:rPr>
                <w:rFonts w:hint="default"/>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8" w:type="dxa"/>
            <w:gridSpan w:val="11"/>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66" w:type="dxa"/>
            <w:gridSpan w:val="5"/>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合同段：</w:t>
            </w:r>
            <w:r>
              <w:rPr>
                <w:rFonts w:hint="eastAsia" w:ascii="宋体" w:hAnsi="宋体" w:cs="宋体"/>
                <w:i w:val="0"/>
                <w:iCs w:val="0"/>
                <w:color w:val="auto"/>
                <w:kern w:val="0"/>
                <w:sz w:val="16"/>
                <w:szCs w:val="16"/>
                <w:highlight w:val="none"/>
                <w:u w:val="none"/>
                <w:lang w:val="en-US" w:eastAsia="zh-CN" w:bidi="ar"/>
              </w:rPr>
              <w:t>南麂镇新码头自然村到国姓岙自然村道路提升工程</w:t>
            </w:r>
          </w:p>
        </w:tc>
        <w:tc>
          <w:tcPr>
            <w:tcW w:w="2954" w:type="dxa"/>
            <w:gridSpan w:val="4"/>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36"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30" w:type="dxa"/>
            <w:gridSpan w:val="3"/>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8" w:type="dxa"/>
            <w:gridSpan w:val="11"/>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子目号</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子目名称</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单位</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数量</w:t>
            </w:r>
          </w:p>
        </w:tc>
        <w:tc>
          <w:tcPr>
            <w:tcW w:w="1108"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单价</w:t>
            </w:r>
          </w:p>
        </w:tc>
        <w:tc>
          <w:tcPr>
            <w:tcW w:w="1108" w:type="dxa"/>
            <w:gridSpan w:val="2"/>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419</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横向过路圆管涵</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419-1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单孔钢筋混凝土圆管涵~φ1500mm含C15砼管基及土方开挖回填外运等</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170.1</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420</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改建过水涵洞</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420-1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钢筋混凝土盖板涵</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C40钢筋混凝土梁板</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5.13</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-b</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C30钢筋混凝土压顶</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3.03</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-c</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M15浆砌块石挡墙</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11.88</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-d</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C25钢筋混凝土底板</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3.47</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-e</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普通钢筋制作、安装  带肋钢筋</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kg</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748</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-f</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凿除现状（部分）梁板,拆除料外运消纳</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m3</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4.5</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3"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p>
            <w:pPr>
              <w:jc w:val="left"/>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28" w:type="dxa"/>
            <w:gridSpan w:val="11"/>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 400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20" w:type="dxa"/>
            <w:gridSpan w:val="9"/>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w:t>
            </w:r>
            <w:r>
              <w:rPr>
                <w:rFonts w:hint="eastAsia" w:ascii="宋体" w:hAnsi="宋体" w:cs="宋体"/>
                <w:i w:val="0"/>
                <w:iCs w:val="0"/>
                <w:color w:val="auto"/>
                <w:kern w:val="0"/>
                <w:sz w:val="16"/>
                <w:szCs w:val="16"/>
                <w:highlight w:val="none"/>
                <w:u w:val="none"/>
                <w:lang w:val="en-US" w:eastAsia="zh-CN" w:bidi="ar"/>
              </w:rPr>
              <w:t>4</w:t>
            </w:r>
            <w:r>
              <w:rPr>
                <w:rFonts w:hint="eastAsia" w:ascii="宋体" w:hAnsi="宋体" w:eastAsia="宋体" w:cs="宋体"/>
                <w:i w:val="0"/>
                <w:iCs w:val="0"/>
                <w:color w:val="auto"/>
                <w:kern w:val="0"/>
                <w:sz w:val="16"/>
                <w:szCs w:val="16"/>
                <w:highlight w:val="none"/>
                <w:u w:val="none"/>
                <w:lang w:val="en-US" w:eastAsia="zh-CN" w:bidi="ar"/>
              </w:rPr>
              <w:t xml:space="preserve"> 页</w:t>
            </w: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共</w:t>
            </w:r>
            <w:r>
              <w:rPr>
                <w:rFonts w:hint="eastAsia" w:ascii="宋体" w:hAnsi="宋体" w:cs="宋体"/>
                <w:i w:val="0"/>
                <w:iCs w:val="0"/>
                <w:color w:val="auto"/>
                <w:kern w:val="0"/>
                <w:sz w:val="16"/>
                <w:szCs w:val="16"/>
                <w:highlight w:val="none"/>
                <w:u w:val="none"/>
                <w:lang w:val="en-US" w:eastAsia="zh-CN" w:bidi="ar"/>
              </w:rPr>
              <w:t>5</w:t>
            </w:r>
            <w:r>
              <w:rPr>
                <w:rFonts w:hint="eastAsia" w:ascii="宋体" w:hAnsi="宋体" w:eastAsia="宋体" w:cs="宋体"/>
                <w:i w:val="0"/>
                <w:iCs w:val="0"/>
                <w:color w:val="auto"/>
                <w:kern w:val="0"/>
                <w:sz w:val="16"/>
                <w:szCs w:val="16"/>
                <w:highlight w:val="none"/>
                <w:u w:val="none"/>
                <w:lang w:val="en-US" w:eastAsia="zh-CN" w:bidi="ar"/>
              </w:rPr>
              <w:t xml:space="preserve">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928" w:type="dxa"/>
            <w:gridSpan w:val="11"/>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kern w:val="0"/>
                <w:sz w:val="36"/>
                <w:szCs w:val="36"/>
                <w:highlight w:val="none"/>
                <w:u w:val="none"/>
                <w:lang w:val="en-US" w:eastAsia="zh-CN" w:bidi="ar"/>
              </w:rPr>
            </w:pPr>
          </w:p>
          <w:p>
            <w:pPr>
              <w:pStyle w:val="2"/>
              <w:rPr>
                <w:rFonts w:hint="eastAsia" w:ascii="宋体" w:hAnsi="宋体" w:eastAsia="宋体" w:cs="宋体"/>
                <w:b/>
                <w:bCs/>
                <w:i w:val="0"/>
                <w:iCs w:val="0"/>
                <w:color w:val="auto"/>
                <w:kern w:val="0"/>
                <w:sz w:val="36"/>
                <w:szCs w:val="36"/>
                <w:highlight w:val="none"/>
                <w:u w:val="none"/>
                <w:lang w:val="en-US" w:eastAsia="zh-CN" w:bidi="ar"/>
              </w:rPr>
            </w:pPr>
          </w:p>
          <w:p>
            <w:pPr>
              <w:pStyle w:val="4"/>
              <w:rPr>
                <w:rFonts w:hint="eastAsia" w:ascii="宋体" w:hAnsi="宋体" w:eastAsia="宋体" w:cs="宋体"/>
                <w:b/>
                <w:bCs/>
                <w:i w:val="0"/>
                <w:iCs w:val="0"/>
                <w:color w:val="auto"/>
                <w:kern w:val="0"/>
                <w:sz w:val="36"/>
                <w:szCs w:val="36"/>
                <w:highlight w:val="none"/>
                <w:u w:val="none"/>
                <w:lang w:val="en-US" w:eastAsia="zh-CN" w:bidi="ar"/>
              </w:rPr>
            </w:pPr>
          </w:p>
          <w:p>
            <w:pPr>
              <w:rPr>
                <w:rFonts w:hint="eastAsia" w:ascii="宋体" w:hAnsi="宋体" w:eastAsia="宋体" w:cs="宋体"/>
                <w:b/>
                <w:bCs/>
                <w:i w:val="0"/>
                <w:iCs w:val="0"/>
                <w:color w:val="auto"/>
                <w:kern w:val="0"/>
                <w:sz w:val="36"/>
                <w:szCs w:val="36"/>
                <w:highlight w:val="none"/>
                <w:u w:val="none"/>
                <w:lang w:val="en-US" w:eastAsia="zh-CN" w:bidi="ar"/>
              </w:rPr>
            </w:pPr>
          </w:p>
          <w:p>
            <w:pPr>
              <w:pStyle w:val="2"/>
              <w:rPr>
                <w:rFonts w:hint="eastAsia" w:ascii="宋体" w:hAnsi="宋体" w:eastAsia="宋体" w:cs="宋体"/>
                <w:b/>
                <w:bCs/>
                <w:i w:val="0"/>
                <w:iCs w:val="0"/>
                <w:color w:val="auto"/>
                <w:kern w:val="0"/>
                <w:sz w:val="36"/>
                <w:szCs w:val="36"/>
                <w:highlight w:val="none"/>
                <w:u w:val="none"/>
                <w:lang w:val="en-US" w:eastAsia="zh-CN" w:bidi="ar"/>
              </w:rPr>
            </w:pPr>
          </w:p>
          <w:p>
            <w:pPr>
              <w:pStyle w:val="4"/>
              <w:rPr>
                <w:rFonts w:hint="eastAsia" w:ascii="宋体" w:hAnsi="宋体" w:eastAsia="宋体" w:cs="宋体"/>
                <w:b/>
                <w:bCs/>
                <w:i w:val="0"/>
                <w:iCs w:val="0"/>
                <w:color w:val="auto"/>
                <w:kern w:val="0"/>
                <w:sz w:val="36"/>
                <w:szCs w:val="36"/>
                <w:highlight w:val="none"/>
                <w:u w:val="none"/>
                <w:lang w:val="en-US" w:eastAsia="zh-CN" w:bidi="ar"/>
              </w:rPr>
            </w:pPr>
          </w:p>
          <w:p>
            <w:pPr>
              <w:rPr>
                <w:rFonts w:hint="eastAsia" w:ascii="宋体" w:hAnsi="宋体" w:eastAsia="宋体" w:cs="宋体"/>
                <w:b/>
                <w:bCs/>
                <w:i w:val="0"/>
                <w:iCs w:val="0"/>
                <w:color w:val="auto"/>
                <w:kern w:val="0"/>
                <w:sz w:val="36"/>
                <w:szCs w:val="36"/>
                <w:highlight w:val="none"/>
                <w:u w:val="none"/>
                <w:lang w:val="en-US" w:eastAsia="zh-CN" w:bidi="ar"/>
              </w:rPr>
            </w:pPr>
          </w:p>
          <w:p>
            <w:pPr>
              <w:pStyle w:val="4"/>
              <w:ind w:left="0" w:leftChars="0" w:firstLine="0" w:firstLineChars="0"/>
              <w:rPr>
                <w:rFonts w:hint="eastAsia"/>
                <w:color w:val="auto"/>
                <w:lang w:val="en-US" w:eastAsia="zh-CN"/>
              </w:rPr>
            </w:pPr>
          </w:p>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66" w:type="dxa"/>
            <w:gridSpan w:val="5"/>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合同段：</w:t>
            </w:r>
            <w:r>
              <w:rPr>
                <w:rFonts w:hint="eastAsia" w:ascii="宋体" w:hAnsi="宋体" w:cs="宋体"/>
                <w:i w:val="0"/>
                <w:iCs w:val="0"/>
                <w:color w:val="auto"/>
                <w:kern w:val="0"/>
                <w:sz w:val="16"/>
                <w:szCs w:val="16"/>
                <w:highlight w:val="none"/>
                <w:u w:val="none"/>
                <w:lang w:val="en-US" w:eastAsia="zh-CN" w:bidi="ar"/>
              </w:rPr>
              <w:t>南麂镇新码头自然村到国姓岙自然村道路提升工程</w:t>
            </w:r>
          </w:p>
        </w:tc>
        <w:tc>
          <w:tcPr>
            <w:tcW w:w="2954" w:type="dxa"/>
            <w:gridSpan w:val="4"/>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36"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30" w:type="dxa"/>
            <w:gridSpan w:val="3"/>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8" w:type="dxa"/>
            <w:gridSpan w:val="2"/>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8" w:type="dxa"/>
            <w:gridSpan w:val="11"/>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 xml:space="preserve">清单   第 600 章 交通安全设施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子目号</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子目名称</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单位</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数量</w:t>
            </w:r>
          </w:p>
        </w:tc>
        <w:tc>
          <w:tcPr>
            <w:tcW w:w="1108"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单价</w:t>
            </w:r>
          </w:p>
        </w:tc>
        <w:tc>
          <w:tcPr>
            <w:tcW w:w="1108" w:type="dxa"/>
            <w:gridSpan w:val="2"/>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602</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护栏</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602-1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临崖仿木栏杆</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现浇混凝土仿木护栏 混凝土强度等级为C20</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1450</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604</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道路交通标志</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604-1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单柱式交通标志</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三角形标志牌 △800mm 包括立杆基础等</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个</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-c</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交通警示柱R76mm 包括基础等</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根</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70</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605</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道路交通标线</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605-1</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热熔型涂料路面标线</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交通标线 线宽0.15m,施划于道路两侧</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m2</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2980</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补</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照明</w:t>
            </w: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-a</w:t>
            </w: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1、光伏太阳能单挑路灯，灯具为LED-60W，杆高6m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2、C25混凝土基础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3、包括基础配筋模板、地脚螺栓及挖基础土方等一切费用，具体规格、参数灯详见图纸</w:t>
            </w:r>
          </w:p>
        </w:tc>
        <w:tc>
          <w:tcPr>
            <w:tcW w:w="73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套</w:t>
            </w:r>
          </w:p>
        </w:tc>
        <w:tc>
          <w:tcPr>
            <w:tcW w:w="11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eastAsia" w:ascii="宋体" w:hAnsi="宋体" w:eastAsia="宋体" w:cs="宋体"/>
                <w:i w:val="0"/>
                <w:iCs w:val="0"/>
                <w:color w:val="000000"/>
                <w:kern w:val="0"/>
                <w:sz w:val="18"/>
                <w:szCs w:val="18"/>
                <w:u w:val="none"/>
                <w:lang w:val="en-US" w:eastAsia="zh-CN" w:bidi="ar"/>
              </w:rPr>
              <w:t>74</w:t>
            </w: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p>
        </w:tc>
        <w:tc>
          <w:tcPr>
            <w:tcW w:w="3930"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0" w:hRule="atLeast"/>
        </w:trPr>
        <w:tc>
          <w:tcPr>
            <w:tcW w:w="936" w:type="dxa"/>
            <w:gridSpan w:val="2"/>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30" w:type="dxa"/>
            <w:gridSpan w:val="3"/>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8"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08"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8" w:type="dxa"/>
            <w:gridSpan w:val="2"/>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28" w:type="dxa"/>
            <w:gridSpan w:val="11"/>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 600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20" w:type="dxa"/>
            <w:gridSpan w:val="9"/>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清单   第</w:t>
            </w:r>
            <w:r>
              <w:rPr>
                <w:rFonts w:hint="eastAsia" w:ascii="宋体" w:hAnsi="宋体" w:cs="宋体"/>
                <w:i w:val="0"/>
                <w:iCs w:val="0"/>
                <w:color w:val="auto"/>
                <w:kern w:val="0"/>
                <w:sz w:val="16"/>
                <w:szCs w:val="16"/>
                <w:highlight w:val="none"/>
                <w:u w:val="none"/>
                <w:lang w:val="en-US" w:eastAsia="zh-CN" w:bidi="ar"/>
              </w:rPr>
              <w:t>5</w:t>
            </w:r>
            <w:r>
              <w:rPr>
                <w:rFonts w:hint="eastAsia" w:ascii="宋体" w:hAnsi="宋体" w:eastAsia="宋体" w:cs="宋体"/>
                <w:i w:val="0"/>
                <w:iCs w:val="0"/>
                <w:color w:val="auto"/>
                <w:kern w:val="0"/>
                <w:sz w:val="16"/>
                <w:szCs w:val="16"/>
                <w:highlight w:val="none"/>
                <w:u w:val="none"/>
                <w:lang w:val="en-US" w:eastAsia="zh-CN" w:bidi="ar"/>
              </w:rPr>
              <w:t>页</w:t>
            </w:r>
          </w:p>
        </w:tc>
        <w:tc>
          <w:tcPr>
            <w:tcW w:w="1108"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共</w:t>
            </w:r>
            <w:r>
              <w:rPr>
                <w:rFonts w:hint="eastAsia" w:ascii="宋体" w:hAnsi="宋体" w:cs="宋体"/>
                <w:i w:val="0"/>
                <w:iCs w:val="0"/>
                <w:color w:val="auto"/>
                <w:kern w:val="0"/>
                <w:sz w:val="16"/>
                <w:szCs w:val="16"/>
                <w:highlight w:val="none"/>
                <w:u w:val="none"/>
                <w:lang w:val="en-US" w:eastAsia="zh-CN" w:bidi="ar"/>
              </w:rPr>
              <w:t>5</w:t>
            </w:r>
            <w:r>
              <w:rPr>
                <w:rFonts w:hint="eastAsia" w:ascii="宋体" w:hAnsi="宋体" w:eastAsia="宋体" w:cs="宋体"/>
                <w:i w:val="0"/>
                <w:iCs w:val="0"/>
                <w:color w:val="auto"/>
                <w:kern w:val="0"/>
                <w:sz w:val="16"/>
                <w:szCs w:val="16"/>
                <w:highlight w:val="none"/>
                <w:u w:val="none"/>
                <w:lang w:val="en-US" w:eastAsia="zh-CN" w:bidi="ar"/>
              </w:rPr>
              <w:t xml:space="preserve"> 页</w:t>
            </w:r>
          </w:p>
        </w:tc>
      </w:tr>
    </w:tbl>
    <w:p>
      <w:pPr>
        <w:jc w:val="center"/>
        <w:textAlignment w:val="baseline"/>
        <w:rPr>
          <w:rFonts w:hint="eastAsia" w:ascii="宋体" w:hAnsi="宋体"/>
          <w:b/>
          <w:color w:val="auto"/>
          <w:sz w:val="72"/>
          <w:highlight w:val="none"/>
        </w:rPr>
      </w:pPr>
    </w:p>
    <w:p>
      <w:pPr>
        <w:jc w:val="center"/>
        <w:textAlignment w:val="baseline"/>
        <w:rPr>
          <w:rFonts w:hint="eastAsia" w:ascii="宋体" w:hAnsi="宋体"/>
          <w:b/>
          <w:color w:val="auto"/>
          <w:sz w:val="72"/>
          <w:highlight w:val="none"/>
        </w:rPr>
      </w:pPr>
    </w:p>
    <w:bookmarkEnd w:id="1544"/>
    <w:bookmarkEnd w:id="1545"/>
    <w:bookmarkEnd w:id="1546"/>
    <w:bookmarkEnd w:id="1547"/>
    <w:bookmarkEnd w:id="1548"/>
    <w:bookmarkEnd w:id="1549"/>
    <w:p>
      <w:pPr>
        <w:jc w:val="center"/>
        <w:textAlignment w:val="baseline"/>
        <w:outlineLvl w:val="0"/>
        <w:rPr>
          <w:rFonts w:ascii="宋体" w:hAnsi="宋体"/>
          <w:b/>
          <w:color w:val="auto"/>
          <w:sz w:val="72"/>
          <w:highlight w:val="none"/>
        </w:rPr>
      </w:pPr>
      <w:bookmarkStart w:id="1577" w:name="_Toc466366126"/>
      <w:bookmarkStart w:id="1578" w:name="_Toc314163567"/>
      <w:r>
        <w:rPr>
          <w:rFonts w:hint="eastAsia" w:ascii="宋体" w:hAnsi="宋体"/>
          <w:b/>
          <w:color w:val="auto"/>
          <w:sz w:val="72"/>
          <w:highlight w:val="none"/>
        </w:rPr>
        <w:t>第  二  卷</w:t>
      </w:r>
      <w:bookmarkEnd w:id="1577"/>
      <w:bookmarkEnd w:id="1578"/>
    </w:p>
    <w:p>
      <w:pPr>
        <w:jc w:val="center"/>
        <w:textAlignment w:val="baseline"/>
        <w:rPr>
          <w:rFonts w:hint="eastAsia" w:ascii="宋体" w:hAnsi="宋体"/>
          <w:b/>
          <w:color w:val="auto"/>
          <w:sz w:val="72"/>
          <w:highlight w:val="none"/>
        </w:rPr>
      </w:pPr>
    </w:p>
    <w:p>
      <w:pPr>
        <w:jc w:val="center"/>
        <w:textAlignment w:val="baseline"/>
        <w:rPr>
          <w:rFonts w:hint="eastAsia" w:ascii="宋体" w:hAnsi="宋体"/>
          <w:b/>
          <w:color w:val="auto"/>
          <w:sz w:val="72"/>
          <w:highlight w:val="none"/>
        </w:rPr>
      </w:pPr>
      <w:r>
        <w:rPr>
          <w:rFonts w:ascii="宋体" w:hAnsi="宋体"/>
          <w:b/>
          <w:color w:val="auto"/>
          <w:sz w:val="72"/>
          <w:highlight w:val="none"/>
        </w:rPr>
        <w:br w:type="page"/>
      </w:r>
    </w:p>
    <w:p>
      <w:pPr>
        <w:jc w:val="center"/>
        <w:textAlignment w:val="baseline"/>
        <w:rPr>
          <w:rFonts w:hint="eastAsia" w:ascii="宋体" w:hAnsi="宋体"/>
          <w:b/>
          <w:color w:val="auto"/>
          <w:sz w:val="72"/>
          <w:highlight w:val="none"/>
        </w:rPr>
      </w:pPr>
    </w:p>
    <w:p>
      <w:pPr>
        <w:jc w:val="center"/>
        <w:textAlignment w:val="baseline"/>
        <w:rPr>
          <w:rFonts w:hint="eastAsia" w:ascii="宋体" w:hAnsi="宋体"/>
          <w:b/>
          <w:color w:val="auto"/>
          <w:sz w:val="72"/>
          <w:highlight w:val="none"/>
        </w:rPr>
      </w:pPr>
    </w:p>
    <w:p>
      <w:pPr>
        <w:jc w:val="center"/>
        <w:textAlignment w:val="baseline"/>
        <w:rPr>
          <w:rFonts w:hint="eastAsia" w:ascii="宋体" w:hAnsi="宋体"/>
          <w:b/>
          <w:color w:val="auto"/>
          <w:sz w:val="72"/>
          <w:highlight w:val="none"/>
        </w:rPr>
      </w:pPr>
    </w:p>
    <w:p>
      <w:pPr>
        <w:jc w:val="center"/>
        <w:textAlignment w:val="baseline"/>
        <w:rPr>
          <w:rFonts w:hint="eastAsia" w:ascii="宋体" w:hAnsi="宋体"/>
          <w:b/>
          <w:color w:val="auto"/>
          <w:sz w:val="72"/>
          <w:highlight w:val="none"/>
        </w:rPr>
      </w:pPr>
    </w:p>
    <w:p>
      <w:pPr>
        <w:jc w:val="center"/>
        <w:textAlignment w:val="baseline"/>
        <w:rPr>
          <w:rFonts w:ascii="宋体" w:hAnsi="宋体"/>
          <w:b/>
          <w:color w:val="auto"/>
          <w:sz w:val="72"/>
          <w:highlight w:val="none"/>
        </w:rPr>
      </w:pPr>
    </w:p>
    <w:p>
      <w:pPr>
        <w:spacing w:line="360" w:lineRule="auto"/>
        <w:jc w:val="center"/>
        <w:outlineLvl w:val="0"/>
        <w:rPr>
          <w:rFonts w:ascii="宋体" w:hAnsi="宋体"/>
          <w:b/>
          <w:color w:val="auto"/>
          <w:sz w:val="44"/>
          <w:highlight w:val="none"/>
        </w:rPr>
      </w:pPr>
      <w:bookmarkStart w:id="1579" w:name="_Toc4764"/>
      <w:bookmarkStart w:id="1580" w:name="_Toc466366127"/>
      <w:bookmarkStart w:id="1581" w:name="_Toc27544"/>
      <w:bookmarkStart w:id="1582" w:name="_Toc24285"/>
      <w:bookmarkStart w:id="1583" w:name="_Toc239671869"/>
      <w:bookmarkStart w:id="1584" w:name="_Toc4932"/>
      <w:bookmarkStart w:id="1585" w:name="_Toc6748"/>
      <w:r>
        <w:rPr>
          <w:rFonts w:hint="eastAsia" w:ascii="宋体" w:hAnsi="宋体"/>
          <w:b/>
          <w:color w:val="auto"/>
          <w:sz w:val="44"/>
          <w:highlight w:val="none"/>
        </w:rPr>
        <w:t>第六章  图纸（另册）</w:t>
      </w:r>
      <w:bookmarkEnd w:id="1579"/>
      <w:bookmarkEnd w:id="1580"/>
      <w:bookmarkEnd w:id="1581"/>
      <w:bookmarkEnd w:id="1582"/>
      <w:bookmarkEnd w:id="1583"/>
      <w:bookmarkEnd w:id="1584"/>
      <w:bookmarkEnd w:id="1585"/>
    </w:p>
    <w:p>
      <w:pPr>
        <w:spacing w:line="400" w:lineRule="exact"/>
        <w:jc w:val="center"/>
        <w:rPr>
          <w:rFonts w:ascii="宋体" w:hAnsi="宋体"/>
          <w:b/>
          <w:color w:val="auto"/>
          <w:sz w:val="32"/>
          <w:highlight w:val="none"/>
        </w:rPr>
      </w:pPr>
    </w:p>
    <w:p>
      <w:pPr>
        <w:spacing w:line="400" w:lineRule="exact"/>
        <w:jc w:val="center"/>
        <w:rPr>
          <w:rFonts w:ascii="宋体" w:hAnsi="宋体"/>
          <w:b/>
          <w:color w:val="auto"/>
          <w:sz w:val="32"/>
          <w:highlight w:val="none"/>
        </w:rPr>
      </w:pPr>
      <w:r>
        <w:rPr>
          <w:rFonts w:hint="eastAsia" w:ascii="宋体" w:hAnsi="宋体"/>
          <w:b/>
          <w:color w:val="auto"/>
          <w:sz w:val="32"/>
          <w:highlight w:val="none"/>
        </w:rPr>
        <w:br w:type="page"/>
      </w:r>
    </w:p>
    <w:p>
      <w:pPr>
        <w:spacing w:line="400" w:lineRule="exact"/>
        <w:jc w:val="center"/>
        <w:rPr>
          <w:rFonts w:ascii="宋体" w:hAnsi="宋体"/>
          <w:b/>
          <w:color w:val="auto"/>
          <w:sz w:val="32"/>
          <w:highlight w:val="none"/>
        </w:rPr>
      </w:pPr>
    </w:p>
    <w:p>
      <w:pPr>
        <w:spacing w:line="400" w:lineRule="exact"/>
        <w:jc w:val="center"/>
        <w:rPr>
          <w:rFonts w:ascii="宋体" w:hAnsi="宋体"/>
          <w:b/>
          <w:color w:val="auto"/>
          <w:sz w:val="32"/>
          <w:highlight w:val="none"/>
        </w:rPr>
      </w:pPr>
    </w:p>
    <w:p>
      <w:pPr>
        <w:spacing w:line="400" w:lineRule="exact"/>
        <w:jc w:val="center"/>
        <w:rPr>
          <w:rFonts w:ascii="宋体" w:hAnsi="宋体"/>
          <w:b/>
          <w:color w:val="auto"/>
          <w:sz w:val="32"/>
          <w:highlight w:val="none"/>
        </w:rPr>
      </w:pPr>
    </w:p>
    <w:p>
      <w:pPr>
        <w:spacing w:line="400" w:lineRule="exact"/>
        <w:jc w:val="center"/>
        <w:rPr>
          <w:rFonts w:ascii="宋体" w:hAnsi="宋体"/>
          <w:b/>
          <w:color w:val="auto"/>
          <w:sz w:val="32"/>
          <w:highlight w:val="none"/>
        </w:rPr>
      </w:pPr>
    </w:p>
    <w:p>
      <w:pPr>
        <w:spacing w:line="400" w:lineRule="exact"/>
        <w:jc w:val="center"/>
        <w:rPr>
          <w:rFonts w:ascii="宋体" w:hAnsi="宋体"/>
          <w:b/>
          <w:color w:val="auto"/>
          <w:sz w:val="32"/>
          <w:highlight w:val="none"/>
        </w:rPr>
      </w:pPr>
    </w:p>
    <w:p>
      <w:pPr>
        <w:spacing w:line="400" w:lineRule="exact"/>
        <w:jc w:val="center"/>
        <w:rPr>
          <w:rFonts w:ascii="宋体" w:hAnsi="宋体"/>
          <w:b/>
          <w:color w:val="auto"/>
          <w:sz w:val="32"/>
          <w:highlight w:val="none"/>
        </w:rPr>
      </w:pPr>
    </w:p>
    <w:p>
      <w:pPr>
        <w:spacing w:line="400" w:lineRule="exact"/>
        <w:jc w:val="center"/>
        <w:rPr>
          <w:rFonts w:ascii="宋体" w:hAnsi="宋体"/>
          <w:b/>
          <w:color w:val="auto"/>
          <w:sz w:val="32"/>
          <w:highlight w:val="none"/>
        </w:rPr>
      </w:pPr>
    </w:p>
    <w:p>
      <w:pPr>
        <w:spacing w:line="400" w:lineRule="exact"/>
        <w:jc w:val="center"/>
        <w:rPr>
          <w:rFonts w:hint="eastAsia" w:ascii="宋体" w:hAnsi="宋体"/>
          <w:b/>
          <w:color w:val="auto"/>
          <w:sz w:val="32"/>
          <w:highlight w:val="none"/>
        </w:rPr>
      </w:pPr>
    </w:p>
    <w:p>
      <w:pPr>
        <w:spacing w:line="400" w:lineRule="exact"/>
        <w:jc w:val="center"/>
        <w:rPr>
          <w:rFonts w:hint="eastAsia" w:ascii="宋体" w:hAnsi="宋体"/>
          <w:b/>
          <w:color w:val="auto"/>
          <w:sz w:val="32"/>
          <w:highlight w:val="none"/>
        </w:rPr>
      </w:pPr>
    </w:p>
    <w:p>
      <w:pPr>
        <w:spacing w:line="400" w:lineRule="exact"/>
        <w:jc w:val="center"/>
        <w:rPr>
          <w:rFonts w:hint="eastAsia" w:ascii="宋体" w:hAnsi="宋体"/>
          <w:b/>
          <w:color w:val="auto"/>
          <w:sz w:val="32"/>
          <w:highlight w:val="none"/>
        </w:rPr>
      </w:pPr>
    </w:p>
    <w:p>
      <w:pPr>
        <w:spacing w:line="400" w:lineRule="exact"/>
        <w:jc w:val="center"/>
        <w:rPr>
          <w:rFonts w:ascii="宋体" w:hAnsi="宋体"/>
          <w:b/>
          <w:color w:val="auto"/>
          <w:sz w:val="32"/>
          <w:highlight w:val="none"/>
        </w:rPr>
      </w:pPr>
    </w:p>
    <w:p>
      <w:pPr>
        <w:jc w:val="center"/>
        <w:textAlignment w:val="baseline"/>
        <w:outlineLvl w:val="0"/>
        <w:rPr>
          <w:rFonts w:ascii="宋体" w:hAnsi="宋体"/>
          <w:b/>
          <w:color w:val="auto"/>
          <w:sz w:val="72"/>
          <w:highlight w:val="none"/>
        </w:rPr>
      </w:pPr>
      <w:bookmarkStart w:id="1586" w:name="_Toc466366128"/>
      <w:bookmarkStart w:id="1587" w:name="_Toc314163569"/>
      <w:r>
        <w:rPr>
          <w:rFonts w:hint="eastAsia" w:ascii="宋体" w:hAnsi="宋体"/>
          <w:b/>
          <w:color w:val="auto"/>
          <w:sz w:val="72"/>
          <w:highlight w:val="none"/>
        </w:rPr>
        <w:t>第  三  卷</w:t>
      </w:r>
      <w:bookmarkEnd w:id="1586"/>
      <w:bookmarkEnd w:id="1587"/>
    </w:p>
    <w:p>
      <w:pPr>
        <w:jc w:val="center"/>
        <w:textAlignment w:val="baseline"/>
        <w:rPr>
          <w:rFonts w:ascii="宋体" w:hAnsi="宋体"/>
          <w:b/>
          <w:color w:val="auto"/>
          <w:sz w:val="72"/>
          <w:highlight w:val="none"/>
        </w:rPr>
      </w:pPr>
    </w:p>
    <w:p>
      <w:pPr>
        <w:rPr>
          <w:color w:val="auto"/>
          <w:highlight w:val="none"/>
        </w:rPr>
      </w:pPr>
      <w:r>
        <w:rPr>
          <w:rFonts w:hint="eastAsia"/>
          <w:color w:val="auto"/>
          <w:highlight w:val="none"/>
        </w:rPr>
        <w:br w:type="page"/>
      </w:r>
    </w:p>
    <w:p>
      <w:pPr>
        <w:spacing w:line="360" w:lineRule="auto"/>
        <w:jc w:val="center"/>
        <w:outlineLvl w:val="0"/>
        <w:rPr>
          <w:rFonts w:ascii="宋体" w:hAnsi="宋体"/>
          <w:b/>
          <w:color w:val="auto"/>
          <w:sz w:val="44"/>
          <w:highlight w:val="none"/>
        </w:rPr>
      </w:pPr>
      <w:bookmarkStart w:id="1588" w:name="_Toc19784"/>
      <w:bookmarkStart w:id="1589" w:name="_Toc5915"/>
      <w:bookmarkStart w:id="1590" w:name="_Toc13542"/>
      <w:bookmarkStart w:id="1591" w:name="_Toc239671871"/>
      <w:bookmarkStart w:id="1592" w:name="_Toc29307"/>
      <w:bookmarkStart w:id="1593" w:name="_Toc7854"/>
      <w:bookmarkStart w:id="1594" w:name="_Toc466366129"/>
      <w:r>
        <w:rPr>
          <w:rFonts w:hint="eastAsia" w:ascii="宋体" w:hAnsi="宋体"/>
          <w:b/>
          <w:color w:val="auto"/>
          <w:sz w:val="44"/>
          <w:highlight w:val="none"/>
        </w:rPr>
        <w:t>第七章  技术规范</w:t>
      </w:r>
      <w:bookmarkEnd w:id="1588"/>
      <w:bookmarkEnd w:id="1589"/>
      <w:bookmarkEnd w:id="1590"/>
      <w:bookmarkEnd w:id="1591"/>
      <w:bookmarkEnd w:id="1592"/>
      <w:bookmarkEnd w:id="1593"/>
      <w:r>
        <w:rPr>
          <w:rFonts w:hint="eastAsia" w:ascii="宋体" w:hAnsi="宋体"/>
          <w:b/>
          <w:color w:val="auto"/>
          <w:sz w:val="44"/>
          <w:highlight w:val="none"/>
        </w:rPr>
        <w:t>（另册）</w:t>
      </w:r>
      <w:bookmarkEnd w:id="1594"/>
    </w:p>
    <w:p>
      <w:pPr>
        <w:jc w:val="left"/>
        <w:textAlignment w:val="baseline"/>
        <w:rPr>
          <w:rFonts w:ascii="宋体" w:hAnsi="宋体"/>
          <w:b/>
          <w:color w:val="auto"/>
          <w:sz w:val="32"/>
          <w:highlight w:val="none"/>
        </w:rPr>
      </w:pPr>
    </w:p>
    <w:p>
      <w:pPr>
        <w:jc w:val="center"/>
        <w:textAlignment w:val="baseline"/>
        <w:outlineLvl w:val="1"/>
        <w:rPr>
          <w:rFonts w:ascii="宋体" w:hAnsi="宋体"/>
          <w:b/>
          <w:color w:val="auto"/>
          <w:sz w:val="36"/>
          <w:highlight w:val="none"/>
        </w:rPr>
      </w:pPr>
      <w:bookmarkStart w:id="1595" w:name="_Toc466366130"/>
      <w:bookmarkStart w:id="1596" w:name="_Toc19337"/>
      <w:bookmarkStart w:id="1597" w:name="_Toc26165"/>
      <w:bookmarkStart w:id="1598" w:name="_Toc389484180"/>
      <w:bookmarkStart w:id="1599" w:name="_Toc14144"/>
      <w:r>
        <w:rPr>
          <w:rFonts w:hint="eastAsia" w:ascii="宋体" w:hAnsi="宋体"/>
          <w:b/>
          <w:color w:val="auto"/>
          <w:sz w:val="36"/>
          <w:highlight w:val="none"/>
        </w:rPr>
        <w:t>（一）通用技术规范</w:t>
      </w:r>
      <w:bookmarkEnd w:id="1595"/>
      <w:bookmarkEnd w:id="1596"/>
      <w:bookmarkEnd w:id="1597"/>
      <w:bookmarkEnd w:id="1598"/>
      <w:bookmarkEnd w:id="1599"/>
    </w:p>
    <w:p>
      <w:pPr>
        <w:jc w:val="left"/>
        <w:textAlignment w:val="baseline"/>
        <w:rPr>
          <w:rFonts w:ascii="宋体" w:hAnsi="宋体"/>
          <w:b/>
          <w:color w:val="auto"/>
          <w:sz w:val="32"/>
          <w:highlight w:val="none"/>
        </w:rPr>
      </w:pPr>
    </w:p>
    <w:p>
      <w:pPr>
        <w:jc w:val="left"/>
        <w:textAlignment w:val="baseline"/>
        <w:rPr>
          <w:rFonts w:ascii="宋体" w:hAnsi="宋体"/>
          <w:b/>
          <w:color w:val="auto"/>
          <w:sz w:val="32"/>
          <w:highlight w:val="none"/>
        </w:rPr>
      </w:pPr>
    </w:p>
    <w:p>
      <w:pPr>
        <w:jc w:val="left"/>
        <w:textAlignment w:val="baseline"/>
        <w:rPr>
          <w:rFonts w:hint="eastAsia" w:ascii="宋体" w:hAnsi="宋体"/>
          <w:b/>
          <w:color w:val="auto"/>
          <w:sz w:val="24"/>
          <w:highlight w:val="none"/>
        </w:rPr>
      </w:pPr>
      <w:r>
        <w:rPr>
          <w:rFonts w:hint="eastAsia" w:ascii="宋体" w:hAnsi="宋体"/>
          <w:b/>
          <w:color w:val="auto"/>
          <w:sz w:val="24"/>
          <w:highlight w:val="none"/>
        </w:rPr>
        <w:t xml:space="preserve">   “通用技术规范”采用《公路工程标准施工招标文件》（下册）《技术规范》。</w:t>
      </w:r>
    </w:p>
    <w:p>
      <w:pPr>
        <w:jc w:val="left"/>
        <w:textAlignment w:val="baseline"/>
        <w:rPr>
          <w:rFonts w:hint="eastAsia" w:ascii="宋体" w:hAnsi="宋体"/>
          <w:b/>
          <w:color w:val="auto"/>
          <w:sz w:val="24"/>
          <w:highlight w:val="none"/>
        </w:rPr>
      </w:pPr>
    </w:p>
    <w:p>
      <w:pPr>
        <w:pStyle w:val="5"/>
        <w:spacing w:after="0"/>
        <w:jc w:val="center"/>
        <w:rPr>
          <w:rFonts w:hint="eastAsia" w:ascii="黑体" w:hAnsi="宋体"/>
          <w:color w:val="auto"/>
          <w:sz w:val="36"/>
          <w:szCs w:val="36"/>
          <w:highlight w:val="none"/>
        </w:rPr>
      </w:pPr>
      <w:r>
        <w:rPr>
          <w:rFonts w:ascii="宋体" w:hAnsi="宋体"/>
          <w:b w:val="0"/>
          <w:color w:val="auto"/>
          <w:sz w:val="24"/>
          <w:highlight w:val="none"/>
        </w:rPr>
        <w:br w:type="page"/>
      </w:r>
      <w:bookmarkStart w:id="1600" w:name="_Toc366510006"/>
      <w:bookmarkStart w:id="1601" w:name="_Toc292754833"/>
      <w:bookmarkStart w:id="1602" w:name="_Toc23524"/>
      <w:bookmarkStart w:id="1603" w:name="_Toc389484181"/>
      <w:bookmarkStart w:id="1604" w:name="_Toc239488096"/>
      <w:bookmarkStart w:id="1605" w:name="_Toc237400218"/>
      <w:bookmarkStart w:id="1606" w:name="_Toc32482"/>
      <w:bookmarkStart w:id="1607" w:name="_Toc237255159"/>
      <w:bookmarkStart w:id="1608" w:name="_Toc370283945"/>
      <w:bookmarkStart w:id="1609" w:name="_Toc466366131"/>
      <w:bookmarkStart w:id="1610" w:name="_Toc262646470"/>
      <w:bookmarkStart w:id="1611" w:name="_Toc2740"/>
      <w:bookmarkStart w:id="1612" w:name="_Toc240016222"/>
      <w:r>
        <w:rPr>
          <w:rFonts w:hint="eastAsia" w:ascii="黑体" w:hAnsi="宋体"/>
          <w:color w:val="auto"/>
          <w:sz w:val="36"/>
          <w:szCs w:val="36"/>
          <w:highlight w:val="none"/>
        </w:rPr>
        <w:t>（二）项目专用技术规范</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spacing w:line="360" w:lineRule="exact"/>
        <w:textAlignment w:val="baseline"/>
        <w:rPr>
          <w:rFonts w:hint="eastAsia" w:ascii="宋体" w:hAnsi="宋体"/>
          <w:color w:val="auto"/>
          <w:highlight w:val="none"/>
        </w:rPr>
      </w:pPr>
      <w:r>
        <w:rPr>
          <w:rFonts w:hint="eastAsia" w:ascii="宋体" w:hAnsi="宋体"/>
          <w:color w:val="auto"/>
          <w:highlight w:val="none"/>
        </w:rPr>
        <w:t xml:space="preserve">   </w:t>
      </w:r>
    </w:p>
    <w:p>
      <w:pPr>
        <w:spacing w:line="400" w:lineRule="exact"/>
        <w:ind w:firstLine="420" w:firstLineChars="200"/>
        <w:rPr>
          <w:rFonts w:hint="eastAsia" w:ascii="宋体" w:hAnsi="宋体"/>
          <w:color w:val="auto"/>
          <w:szCs w:val="21"/>
          <w:highlight w:val="none"/>
        </w:rPr>
      </w:pPr>
      <w:r>
        <w:rPr>
          <w:rFonts w:hint="eastAsia" w:ascii="宋体" w:hAnsi="宋体"/>
          <w:color w:val="auto"/>
          <w:highlight w:val="none"/>
        </w:rPr>
        <w:t>本项目技术规范必须采用最新标准，《公路工程标准施工招标文件》2009年版与2018年版标准不一致的，以2018年版为先，</w:t>
      </w:r>
      <w:r>
        <w:rPr>
          <w:rFonts w:hint="eastAsia" w:ascii="宋体" w:hAnsi="宋体" w:cs="Times New Roman"/>
          <w:color w:val="auto"/>
          <w:highlight w:val="none"/>
        </w:rPr>
        <w:t>但第100章总则至第600章安全设施及预埋管线计量支付规则执行浙江省地方标准DB33/T 628.1-2021《交通建设工程工程量清单计价规范第1部分：公路工程》。</w:t>
      </w:r>
      <w:r>
        <w:rPr>
          <w:rFonts w:hint="eastAsia" w:ascii="宋体" w:hAnsi="宋体"/>
          <w:color w:val="auto"/>
          <w:highlight w:val="none"/>
        </w:rPr>
        <w:t>本专用条款是交通部2009年版《公路工程标准施工招标文件》中的第七章技术规范的补充与修改，应对照技术规范同一编号的章、节、小节、条、款、项、目一起阅读和理解，如有矛盾时，应以本专用条款规定优先。</w:t>
      </w:r>
    </w:p>
    <w:p>
      <w:pPr>
        <w:pStyle w:val="15"/>
        <w:tabs>
          <w:tab w:val="right" w:leader="dot" w:pos="9070"/>
        </w:tabs>
        <w:spacing w:line="300" w:lineRule="exact"/>
        <w:ind w:firstLine="201" w:firstLineChars="100"/>
        <w:rPr>
          <w:rFonts w:hint="eastAsia"/>
          <w:b/>
          <w:smallCaps w:val="0"/>
          <w:color w:val="auto"/>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pStyle w:val="2"/>
        <w:spacing w:before="120"/>
        <w:ind w:firstLine="240"/>
        <w:rPr>
          <w:rFonts w:hint="eastAsia" w:ascii="华文宋体" w:hAnsi="华文宋体" w:eastAsia="华文宋体" w:cs="华文宋体"/>
          <w:b/>
          <w:color w:val="auto"/>
          <w:sz w:val="24"/>
          <w:highlight w:val="none"/>
        </w:rPr>
      </w:pPr>
    </w:p>
    <w:p>
      <w:pPr>
        <w:pStyle w:val="4"/>
        <w:rPr>
          <w:rFonts w:hint="eastAsia"/>
          <w:color w:val="auto"/>
          <w:highlight w:val="none"/>
        </w:rPr>
      </w:pPr>
    </w:p>
    <w:p>
      <w:pPr>
        <w:tabs>
          <w:tab w:val="left" w:pos="567"/>
        </w:tabs>
        <w:spacing w:line="500" w:lineRule="exact"/>
        <w:ind w:firstLine="565" w:firstLineChars="235"/>
        <w:jc w:val="center"/>
        <w:rPr>
          <w:rFonts w:hint="eastAsia" w:ascii="华文宋体" w:hAnsi="华文宋体" w:eastAsia="华文宋体" w:cs="华文宋体"/>
          <w:b/>
          <w:color w:val="auto"/>
          <w:sz w:val="24"/>
          <w:highlight w:val="none"/>
        </w:rPr>
      </w:pPr>
    </w:p>
    <w:p>
      <w:pPr>
        <w:spacing w:line="440" w:lineRule="exact"/>
        <w:textAlignment w:val="baseline"/>
        <w:rPr>
          <w:rFonts w:hint="eastAsia" w:ascii="宋体" w:hAnsi="宋体"/>
          <w:color w:val="auto"/>
          <w:highlight w:val="none"/>
        </w:rPr>
      </w:pPr>
    </w:p>
    <w:p>
      <w:pPr>
        <w:pStyle w:val="2"/>
        <w:spacing w:before="120"/>
        <w:ind w:firstLine="210"/>
        <w:rPr>
          <w:rFonts w:hint="eastAsia"/>
          <w:color w:val="auto"/>
          <w:highlight w:val="none"/>
        </w:rPr>
      </w:pPr>
    </w:p>
    <w:p>
      <w:pPr>
        <w:pStyle w:val="4"/>
        <w:rPr>
          <w:rFonts w:hint="eastAsia" w:ascii="宋体" w:hAnsi="宋体"/>
          <w:color w:val="auto"/>
          <w:highlight w:val="none"/>
        </w:rPr>
      </w:pPr>
    </w:p>
    <w:p>
      <w:pPr>
        <w:rPr>
          <w:rFonts w:hint="eastAsia" w:ascii="宋体" w:hAnsi="宋体"/>
          <w:color w:val="auto"/>
          <w:highlight w:val="none"/>
        </w:rPr>
      </w:pPr>
    </w:p>
    <w:p>
      <w:pPr>
        <w:pStyle w:val="2"/>
        <w:spacing w:before="120"/>
        <w:ind w:firstLine="210"/>
        <w:rPr>
          <w:rFonts w:hint="eastAsia" w:ascii="宋体" w:hAnsi="宋体"/>
          <w:color w:val="auto"/>
          <w:highlight w:val="none"/>
        </w:rPr>
      </w:pPr>
    </w:p>
    <w:p>
      <w:pPr>
        <w:pStyle w:val="4"/>
        <w:rPr>
          <w:rFonts w:hint="eastAsia" w:ascii="宋体" w:hAnsi="宋体"/>
          <w:color w:val="auto"/>
          <w:highlight w:val="none"/>
        </w:rPr>
      </w:pPr>
    </w:p>
    <w:p>
      <w:pPr>
        <w:rPr>
          <w:rFonts w:hint="eastAsia" w:ascii="宋体" w:hAnsi="宋体"/>
          <w:color w:val="auto"/>
          <w:highlight w:val="none"/>
        </w:rPr>
      </w:pPr>
    </w:p>
    <w:p>
      <w:pPr>
        <w:pStyle w:val="2"/>
        <w:spacing w:before="120"/>
        <w:ind w:firstLine="210"/>
        <w:rPr>
          <w:rFonts w:hint="eastAsia" w:ascii="宋体" w:hAnsi="宋体"/>
          <w:color w:val="auto"/>
          <w:highlight w:val="none"/>
        </w:rPr>
      </w:pPr>
    </w:p>
    <w:p>
      <w:pPr>
        <w:pStyle w:val="4"/>
        <w:rPr>
          <w:rFonts w:hint="eastAsia" w:ascii="宋体" w:hAnsi="宋体"/>
          <w:color w:val="auto"/>
          <w:highlight w:val="none"/>
        </w:rPr>
      </w:pPr>
    </w:p>
    <w:p>
      <w:pPr>
        <w:rPr>
          <w:rFonts w:hint="eastAsia" w:ascii="宋体" w:hAnsi="宋体"/>
          <w:color w:val="auto"/>
          <w:highlight w:val="none"/>
        </w:rPr>
      </w:pPr>
    </w:p>
    <w:p>
      <w:pPr>
        <w:pStyle w:val="2"/>
        <w:spacing w:before="120"/>
        <w:ind w:firstLine="210"/>
        <w:rPr>
          <w:rFonts w:hint="eastAsia"/>
          <w:color w:val="auto"/>
          <w:highlight w:val="none"/>
        </w:rPr>
      </w:pPr>
    </w:p>
    <w:p>
      <w:pPr>
        <w:pStyle w:val="2"/>
        <w:spacing w:before="120"/>
        <w:ind w:firstLine="210"/>
        <w:rPr>
          <w:rFonts w:hint="eastAsia" w:ascii="宋体" w:hAnsi="宋体"/>
          <w:color w:val="auto"/>
          <w:highlight w:val="none"/>
        </w:rPr>
      </w:pPr>
    </w:p>
    <w:p>
      <w:pPr>
        <w:spacing w:line="360" w:lineRule="auto"/>
        <w:jc w:val="center"/>
        <w:textAlignment w:val="baseline"/>
        <w:outlineLvl w:val="0"/>
        <w:rPr>
          <w:rFonts w:hint="eastAsia" w:ascii="宋体" w:hAnsi="宋体"/>
          <w:b/>
          <w:color w:val="auto"/>
          <w:sz w:val="72"/>
          <w:highlight w:val="none"/>
        </w:rPr>
      </w:pPr>
      <w:bookmarkStart w:id="1613" w:name="_Toc314163586"/>
      <w:bookmarkStart w:id="1614" w:name="_Toc466366132"/>
    </w:p>
    <w:p>
      <w:pPr>
        <w:spacing w:line="360" w:lineRule="auto"/>
        <w:jc w:val="center"/>
        <w:textAlignment w:val="baseline"/>
        <w:outlineLvl w:val="0"/>
        <w:rPr>
          <w:rFonts w:hint="eastAsia" w:ascii="宋体" w:hAnsi="宋体"/>
          <w:b/>
          <w:color w:val="auto"/>
          <w:sz w:val="72"/>
          <w:highlight w:val="none"/>
        </w:rPr>
      </w:pPr>
    </w:p>
    <w:p>
      <w:pPr>
        <w:spacing w:line="360" w:lineRule="auto"/>
        <w:jc w:val="center"/>
        <w:textAlignment w:val="baseline"/>
        <w:outlineLvl w:val="0"/>
        <w:rPr>
          <w:rFonts w:ascii="宋体" w:hAnsi="宋体"/>
          <w:b/>
          <w:color w:val="auto"/>
          <w:sz w:val="48"/>
          <w:highlight w:val="none"/>
        </w:rPr>
      </w:pPr>
      <w:r>
        <w:rPr>
          <w:rFonts w:hint="eastAsia" w:ascii="宋体" w:hAnsi="宋体"/>
          <w:b/>
          <w:color w:val="auto"/>
          <w:sz w:val="72"/>
          <w:highlight w:val="none"/>
        </w:rPr>
        <w:t>第  四  卷</w:t>
      </w:r>
      <w:bookmarkEnd w:id="1613"/>
      <w:bookmarkEnd w:id="1614"/>
    </w:p>
    <w:p>
      <w:pPr>
        <w:spacing w:line="360" w:lineRule="auto"/>
        <w:jc w:val="center"/>
        <w:textAlignment w:val="baseline"/>
        <w:rPr>
          <w:rFonts w:hint="eastAsia" w:ascii="宋体" w:hAnsi="宋体"/>
          <w:b/>
          <w:color w:val="auto"/>
          <w:sz w:val="48"/>
          <w:highlight w:val="none"/>
        </w:rPr>
      </w:pPr>
    </w:p>
    <w:p>
      <w:pPr>
        <w:spacing w:line="360" w:lineRule="auto"/>
        <w:jc w:val="center"/>
        <w:textAlignment w:val="baseline"/>
        <w:rPr>
          <w:rFonts w:hint="eastAsia" w:ascii="宋体" w:hAnsi="宋体"/>
          <w:b/>
          <w:color w:val="auto"/>
          <w:sz w:val="48"/>
          <w:highlight w:val="none"/>
        </w:rPr>
      </w:pPr>
      <w:r>
        <w:rPr>
          <w:rFonts w:ascii="宋体" w:hAnsi="宋体"/>
          <w:b/>
          <w:color w:val="auto"/>
          <w:sz w:val="48"/>
          <w:highlight w:val="none"/>
        </w:rPr>
        <w:br w:type="page"/>
      </w:r>
    </w:p>
    <w:p>
      <w:pPr>
        <w:spacing w:line="360" w:lineRule="auto"/>
        <w:jc w:val="center"/>
        <w:textAlignment w:val="baseline"/>
        <w:rPr>
          <w:rFonts w:hint="eastAsia" w:ascii="宋体" w:hAnsi="宋体"/>
          <w:b/>
          <w:color w:val="auto"/>
          <w:sz w:val="48"/>
          <w:highlight w:val="none"/>
        </w:rPr>
      </w:pPr>
    </w:p>
    <w:p>
      <w:pPr>
        <w:spacing w:line="360" w:lineRule="auto"/>
        <w:jc w:val="center"/>
        <w:textAlignment w:val="baseline"/>
        <w:rPr>
          <w:rFonts w:ascii="宋体" w:hAnsi="宋体"/>
          <w:b/>
          <w:color w:val="auto"/>
          <w:sz w:val="48"/>
          <w:highlight w:val="none"/>
        </w:rPr>
      </w:pPr>
    </w:p>
    <w:p>
      <w:pPr>
        <w:spacing w:line="360" w:lineRule="auto"/>
        <w:jc w:val="center"/>
        <w:textAlignment w:val="baseline"/>
        <w:outlineLvl w:val="0"/>
        <w:rPr>
          <w:rFonts w:ascii="宋体" w:hAnsi="宋体"/>
          <w:b/>
          <w:color w:val="auto"/>
          <w:sz w:val="48"/>
          <w:highlight w:val="none"/>
        </w:rPr>
      </w:pPr>
      <w:bookmarkStart w:id="1615" w:name="_Toc10266"/>
      <w:bookmarkStart w:id="1616" w:name="_Toc21464"/>
      <w:bookmarkStart w:id="1617" w:name="_Toc30683"/>
      <w:bookmarkStart w:id="1618" w:name="_Toc239671873"/>
      <w:bookmarkStart w:id="1619" w:name="_Toc32739"/>
      <w:bookmarkStart w:id="1620" w:name="_Toc466366133"/>
      <w:bookmarkStart w:id="1621" w:name="_Toc23173"/>
      <w:r>
        <w:rPr>
          <w:rFonts w:hint="eastAsia" w:ascii="宋体" w:hAnsi="宋体"/>
          <w:b/>
          <w:color w:val="auto"/>
          <w:sz w:val="48"/>
          <w:highlight w:val="none"/>
        </w:rPr>
        <w:t>第八章  投标文件格式</w:t>
      </w:r>
      <w:bookmarkEnd w:id="1615"/>
      <w:bookmarkEnd w:id="1616"/>
      <w:bookmarkEnd w:id="1617"/>
      <w:bookmarkEnd w:id="1618"/>
      <w:bookmarkEnd w:id="1619"/>
      <w:bookmarkEnd w:id="1620"/>
      <w:bookmarkEnd w:id="1621"/>
    </w:p>
    <w:p>
      <w:pPr>
        <w:spacing w:line="400" w:lineRule="exact"/>
        <w:jc w:val="center"/>
        <w:rPr>
          <w:rFonts w:ascii="宋体" w:hAnsi="宋体"/>
          <w:b/>
          <w:color w:val="auto"/>
          <w:sz w:val="32"/>
          <w:highlight w:val="none"/>
        </w:rPr>
      </w:pPr>
    </w:p>
    <w:p>
      <w:pPr>
        <w:spacing w:line="400" w:lineRule="exact"/>
        <w:jc w:val="center"/>
        <w:rPr>
          <w:rFonts w:ascii="宋体" w:hAnsi="宋体"/>
          <w:b/>
          <w:color w:val="auto"/>
          <w:sz w:val="32"/>
          <w:highlight w:val="none"/>
        </w:rPr>
      </w:pPr>
    </w:p>
    <w:p>
      <w:pPr>
        <w:spacing w:line="400" w:lineRule="exact"/>
        <w:jc w:val="center"/>
        <w:rPr>
          <w:rFonts w:ascii="宋体" w:hAnsi="宋体"/>
          <w:b/>
          <w:color w:val="auto"/>
          <w:sz w:val="32"/>
          <w:highlight w:val="none"/>
        </w:rPr>
      </w:pPr>
    </w:p>
    <w:p>
      <w:pPr>
        <w:spacing w:line="360" w:lineRule="auto"/>
        <w:jc w:val="center"/>
        <w:rPr>
          <w:rFonts w:ascii="宋体" w:hAnsi="宋体"/>
          <w:b/>
          <w:color w:val="auto"/>
          <w:sz w:val="32"/>
          <w:highlight w:val="none"/>
        </w:rPr>
      </w:pPr>
      <w:r>
        <w:rPr>
          <w:rFonts w:ascii="宋体" w:hAnsi="宋体"/>
          <w:b/>
          <w:color w:val="auto"/>
          <w:sz w:val="32"/>
          <w:highlight w:val="none"/>
        </w:rPr>
        <w:br w:type="page"/>
      </w:r>
    </w:p>
    <w:p>
      <w:pPr>
        <w:spacing w:line="360" w:lineRule="auto"/>
        <w:jc w:val="center"/>
        <w:rPr>
          <w:rFonts w:ascii="宋体" w:hAnsi="宋体"/>
          <w:b/>
          <w:color w:val="auto"/>
          <w:sz w:val="32"/>
          <w:highlight w:val="none"/>
        </w:rPr>
      </w:pPr>
      <w:r>
        <w:rPr>
          <w:rFonts w:hint="eastAsia" w:ascii="宋体" w:hAnsi="宋体"/>
          <w:b/>
          <w:color w:val="auto"/>
          <w:sz w:val="32"/>
          <w:szCs w:val="22"/>
          <w:highlight w:val="none"/>
          <w:lang w:eastAsia="zh-CN"/>
        </w:rPr>
        <w:t>南麂镇新码头自然村到国姓岙自然村道路提升工程</w:t>
      </w:r>
      <w:r>
        <w:rPr>
          <w:rFonts w:hint="eastAsia" w:ascii="宋体" w:hAnsi="宋体"/>
          <w:b/>
          <w:color w:val="auto"/>
          <w:sz w:val="32"/>
          <w:highlight w:val="none"/>
        </w:rPr>
        <w:t>施工招标</w:t>
      </w:r>
    </w:p>
    <w:p>
      <w:pPr>
        <w:spacing w:line="360" w:lineRule="auto"/>
        <w:ind w:firstLine="420" w:firstLineChars="200"/>
        <w:rPr>
          <w:rFonts w:ascii="宋体" w:hAnsi="宋体"/>
          <w:color w:val="auto"/>
          <w:highlight w:val="none"/>
        </w:rPr>
      </w:pPr>
    </w:p>
    <w:p>
      <w:pPr>
        <w:spacing w:line="360" w:lineRule="auto"/>
        <w:jc w:val="center"/>
        <w:rPr>
          <w:rFonts w:ascii="宋体" w:hAnsi="宋体"/>
          <w:b/>
          <w:color w:val="auto"/>
          <w:sz w:val="52"/>
          <w:highlight w:val="none"/>
        </w:rPr>
      </w:pPr>
    </w:p>
    <w:p>
      <w:pPr>
        <w:spacing w:line="360" w:lineRule="auto"/>
        <w:jc w:val="center"/>
        <w:rPr>
          <w:rFonts w:ascii="宋体" w:hAnsi="宋体"/>
          <w:b/>
          <w:color w:val="auto"/>
          <w:sz w:val="52"/>
          <w:highlight w:val="none"/>
        </w:rPr>
      </w:pPr>
    </w:p>
    <w:p>
      <w:pPr>
        <w:spacing w:line="360" w:lineRule="auto"/>
        <w:jc w:val="center"/>
        <w:rPr>
          <w:rFonts w:ascii="宋体" w:hAnsi="宋体"/>
          <w:b/>
          <w:color w:val="auto"/>
          <w:sz w:val="72"/>
          <w:highlight w:val="none"/>
        </w:rPr>
      </w:pPr>
      <w:r>
        <w:rPr>
          <w:rFonts w:hint="eastAsia" w:ascii="宋体" w:hAnsi="宋体"/>
          <w:b/>
          <w:color w:val="auto"/>
          <w:sz w:val="72"/>
          <w:highlight w:val="none"/>
        </w:rPr>
        <w:t>投 标 文 件</w:t>
      </w:r>
    </w:p>
    <w:p>
      <w:pPr>
        <w:spacing w:line="360" w:lineRule="auto"/>
        <w:rPr>
          <w:rFonts w:ascii="宋体" w:hAnsi="宋体"/>
          <w:b/>
          <w:color w:val="auto"/>
          <w:sz w:val="32"/>
          <w:highlight w:val="none"/>
        </w:rPr>
      </w:pPr>
    </w:p>
    <w:p>
      <w:pPr>
        <w:spacing w:line="360" w:lineRule="auto"/>
        <w:jc w:val="center"/>
        <w:rPr>
          <w:rFonts w:ascii="宋体" w:hAnsi="宋体"/>
          <w:b/>
          <w:color w:val="auto"/>
          <w:sz w:val="32"/>
          <w:highlight w:val="none"/>
        </w:rPr>
      </w:pPr>
      <w:bookmarkStart w:id="1622" w:name="_Toc442020067"/>
      <w:bookmarkStart w:id="1623" w:name="_Toc30435"/>
      <w:bookmarkStart w:id="1624" w:name="_Toc471843903"/>
      <w:r>
        <w:rPr>
          <w:rFonts w:hint="eastAsia"/>
          <w:color w:val="auto"/>
          <w:sz w:val="36"/>
          <w:szCs w:val="36"/>
          <w:highlight w:val="none"/>
        </w:rPr>
        <w:t>第一信封（商务及技术文件）</w:t>
      </w:r>
      <w:bookmarkEnd w:id="1622"/>
      <w:bookmarkEnd w:id="1623"/>
      <w:bookmarkEnd w:id="1624"/>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ind w:firstLine="2409" w:firstLineChars="750"/>
        <w:rPr>
          <w:rFonts w:ascii="宋体" w:hAnsi="宋体"/>
          <w:b/>
          <w:color w:val="auto"/>
          <w:sz w:val="32"/>
          <w:highlight w:val="none"/>
        </w:rPr>
      </w:pPr>
      <w:r>
        <w:rPr>
          <w:rFonts w:hint="eastAsia" w:ascii="宋体" w:hAnsi="宋体"/>
          <w:b/>
          <w:color w:val="auto"/>
          <w:sz w:val="32"/>
          <w:highlight w:val="none"/>
        </w:rPr>
        <w:t>投标人：</w:t>
      </w:r>
      <w:r>
        <w:rPr>
          <w:rFonts w:hint="eastAsia" w:ascii="宋体" w:hAnsi="宋体"/>
          <w:b/>
          <w:color w:val="auto"/>
          <w:sz w:val="32"/>
          <w:highlight w:val="none"/>
          <w:u w:val="single"/>
        </w:rPr>
        <w:t xml:space="preserve">             </w:t>
      </w:r>
      <w:r>
        <w:rPr>
          <w:rFonts w:hint="eastAsia" w:ascii="宋体" w:hAnsi="宋体"/>
          <w:b/>
          <w:color w:val="auto"/>
          <w:sz w:val="32"/>
          <w:highlight w:val="none"/>
        </w:rPr>
        <w:t>（盖单位章）</w:t>
      </w:r>
    </w:p>
    <w:p>
      <w:pPr>
        <w:spacing w:line="400" w:lineRule="exact"/>
        <w:jc w:val="center"/>
        <w:rPr>
          <w:rFonts w:ascii="宋体" w:hAnsi="宋体"/>
          <w:b/>
          <w:color w:val="auto"/>
          <w:sz w:val="32"/>
          <w:highlight w:val="none"/>
          <w:u w:val="single"/>
        </w:rPr>
      </w:pPr>
    </w:p>
    <w:p>
      <w:pPr>
        <w:spacing w:line="400" w:lineRule="exact"/>
        <w:jc w:val="center"/>
        <w:rPr>
          <w:rFonts w:ascii="宋体" w:hAnsi="宋体"/>
          <w:b/>
          <w:color w:val="auto"/>
          <w:sz w:val="32"/>
          <w:highlight w:val="none"/>
        </w:rPr>
      </w:pPr>
      <w:r>
        <w:rPr>
          <w:rFonts w:hint="eastAsia" w:ascii="宋体" w:hAnsi="宋体"/>
          <w:b/>
          <w:color w:val="auto"/>
          <w:sz w:val="32"/>
          <w:highlight w:val="none"/>
          <w:u w:val="single"/>
        </w:rPr>
        <w:t xml:space="preserve">        </w:t>
      </w:r>
      <w:r>
        <w:rPr>
          <w:rFonts w:hint="eastAsia" w:ascii="宋体" w:hAnsi="宋体"/>
          <w:b/>
          <w:color w:val="auto"/>
          <w:sz w:val="32"/>
          <w:highlight w:val="none"/>
        </w:rPr>
        <w:t>年</w:t>
      </w:r>
      <w:r>
        <w:rPr>
          <w:rFonts w:hint="eastAsia" w:ascii="宋体" w:hAnsi="宋体"/>
          <w:b/>
          <w:color w:val="auto"/>
          <w:sz w:val="32"/>
          <w:highlight w:val="none"/>
          <w:u w:val="single"/>
        </w:rPr>
        <w:t xml:space="preserve">      </w:t>
      </w:r>
      <w:r>
        <w:rPr>
          <w:rFonts w:hint="eastAsia" w:ascii="宋体" w:hAnsi="宋体"/>
          <w:b/>
          <w:color w:val="auto"/>
          <w:sz w:val="32"/>
          <w:highlight w:val="none"/>
        </w:rPr>
        <w:t>月</w:t>
      </w:r>
      <w:r>
        <w:rPr>
          <w:rFonts w:hint="eastAsia" w:ascii="宋体" w:hAnsi="宋体"/>
          <w:b/>
          <w:color w:val="auto"/>
          <w:sz w:val="32"/>
          <w:highlight w:val="none"/>
          <w:u w:val="single"/>
        </w:rPr>
        <w:t xml:space="preserve">    </w:t>
      </w:r>
      <w:r>
        <w:rPr>
          <w:rFonts w:hint="eastAsia" w:ascii="宋体" w:hAnsi="宋体"/>
          <w:b/>
          <w:color w:val="auto"/>
          <w:sz w:val="32"/>
          <w:highlight w:val="none"/>
        </w:rPr>
        <w:t>日</w:t>
      </w:r>
    </w:p>
    <w:p>
      <w:pPr>
        <w:pStyle w:val="9"/>
        <w:adjustRightInd w:val="0"/>
        <w:snapToGrid w:val="0"/>
        <w:spacing w:line="400" w:lineRule="exact"/>
        <w:jc w:val="center"/>
        <w:rPr>
          <w:rFonts w:hint="eastAsia" w:hAnsi="宋体" w:eastAsia="新宋体"/>
          <w:b/>
          <w:color w:val="auto"/>
          <w:sz w:val="24"/>
          <w:highlight w:val="none"/>
        </w:rPr>
      </w:pPr>
      <w:r>
        <w:rPr>
          <w:rFonts w:hAnsi="宋体"/>
          <w:b/>
          <w:color w:val="auto"/>
          <w:sz w:val="32"/>
          <w:highlight w:val="none"/>
        </w:rPr>
        <w:br w:type="page"/>
      </w:r>
      <w:bookmarkStart w:id="1625" w:name="_Toc466366134"/>
      <w:r>
        <w:rPr>
          <w:rFonts w:hint="eastAsia" w:hAnsi="宋体" w:eastAsia="新宋体"/>
          <w:b/>
          <w:color w:val="auto"/>
          <w:sz w:val="24"/>
          <w:highlight w:val="none"/>
        </w:rPr>
        <w:t>资信评分及资格审查项索引表（放置投标文件前端）</w:t>
      </w:r>
    </w:p>
    <w:p>
      <w:pPr>
        <w:pStyle w:val="9"/>
        <w:adjustRightInd w:val="0"/>
        <w:snapToGrid w:val="0"/>
        <w:spacing w:line="400" w:lineRule="exact"/>
        <w:jc w:val="center"/>
        <w:rPr>
          <w:rFonts w:hint="eastAsia" w:hAnsi="宋体" w:eastAsia="新宋体"/>
          <w:color w:val="auto"/>
          <w:sz w:val="24"/>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序号</w:t>
            </w:r>
          </w:p>
        </w:tc>
        <w:tc>
          <w:tcPr>
            <w:tcW w:w="7470"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评分项目</w:t>
            </w:r>
          </w:p>
        </w:tc>
        <w:tc>
          <w:tcPr>
            <w:tcW w:w="1340" w:type="dxa"/>
            <w:noWrap w:val="0"/>
            <w:vAlign w:val="center"/>
          </w:tcPr>
          <w:p>
            <w:pPr>
              <w:jc w:val="center"/>
              <w:rPr>
                <w:rFonts w:hint="eastAsia" w:ascii="宋体" w:hAnsi="宋体" w:cs="宋体"/>
                <w:color w:val="auto"/>
                <w:sz w:val="22"/>
                <w:szCs w:val="22"/>
                <w:highlight w:val="none"/>
              </w:rPr>
            </w:pPr>
            <w:r>
              <w:rPr>
                <w:rFonts w:hint="eastAsia" w:ascii="宋体" w:hAnsi="宋体"/>
                <w:color w:val="auto"/>
                <w:sz w:val="22"/>
                <w:szCs w:val="22"/>
                <w:highlight w:val="none"/>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1</w:t>
            </w:r>
          </w:p>
        </w:tc>
        <w:tc>
          <w:tcPr>
            <w:tcW w:w="7470" w:type="dxa"/>
            <w:noWrap w:val="0"/>
            <w:vAlign w:val="center"/>
          </w:tcPr>
          <w:p>
            <w:pPr>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项目经理</w:t>
            </w: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2</w:t>
            </w:r>
          </w:p>
        </w:tc>
        <w:tc>
          <w:tcPr>
            <w:tcW w:w="7470" w:type="dxa"/>
            <w:noWrap w:val="0"/>
            <w:vAlign w:val="center"/>
          </w:tcPr>
          <w:p>
            <w:pPr>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项目总工</w:t>
            </w: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3</w:t>
            </w:r>
          </w:p>
        </w:tc>
        <w:tc>
          <w:tcPr>
            <w:tcW w:w="7470" w:type="dxa"/>
            <w:noWrap w:val="0"/>
            <w:vAlign w:val="center"/>
          </w:tcPr>
          <w:p>
            <w:pPr>
              <w:jc w:val="left"/>
              <w:rPr>
                <w:rFonts w:hint="eastAsia" w:ascii="黑体" w:hAnsi="黑体" w:eastAsia="黑体"/>
                <w:color w:val="auto"/>
                <w:sz w:val="28"/>
                <w:szCs w:val="28"/>
                <w:highlight w:val="none"/>
              </w:rPr>
            </w:pPr>
            <w:r>
              <w:rPr>
                <w:rFonts w:hint="eastAsia" w:ascii="宋体" w:hAnsi="宋体" w:cs="宋体"/>
                <w:color w:val="auto"/>
                <w:sz w:val="22"/>
                <w:szCs w:val="22"/>
                <w:highlight w:val="none"/>
              </w:rPr>
              <w:t>信用评价结果使用承诺书（是否）</w:t>
            </w: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4</w:t>
            </w:r>
          </w:p>
        </w:tc>
        <w:tc>
          <w:tcPr>
            <w:tcW w:w="7470" w:type="dxa"/>
            <w:noWrap w:val="0"/>
            <w:vAlign w:val="center"/>
          </w:tcPr>
          <w:p>
            <w:pPr>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信用评价</w:t>
            </w: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5</w:t>
            </w:r>
          </w:p>
        </w:tc>
        <w:tc>
          <w:tcPr>
            <w:tcW w:w="7470" w:type="dxa"/>
            <w:noWrap w:val="0"/>
            <w:vAlign w:val="center"/>
          </w:tcPr>
          <w:p>
            <w:pPr>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信用评价人员公开</w:t>
            </w: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6</w:t>
            </w:r>
          </w:p>
        </w:tc>
        <w:tc>
          <w:tcPr>
            <w:tcW w:w="7470" w:type="dxa"/>
            <w:noWrap w:val="0"/>
            <w:vAlign w:val="center"/>
          </w:tcPr>
          <w:p>
            <w:pPr>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资格审查所需其他材料</w:t>
            </w: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7</w:t>
            </w:r>
          </w:p>
        </w:tc>
        <w:tc>
          <w:tcPr>
            <w:tcW w:w="7470" w:type="dxa"/>
            <w:noWrap w:val="0"/>
            <w:vAlign w:val="center"/>
          </w:tcPr>
          <w:p>
            <w:pPr>
              <w:jc w:val="left"/>
              <w:rPr>
                <w:rFonts w:hint="eastAsia" w:ascii="宋体" w:hAnsi="宋体" w:cs="宋体"/>
                <w:color w:val="auto"/>
                <w:sz w:val="22"/>
                <w:szCs w:val="22"/>
                <w:highlight w:val="none"/>
              </w:rPr>
            </w:pPr>
            <w:r>
              <w:rPr>
                <w:rFonts w:ascii="宋体" w:hAnsi="宋体" w:cs="宋体"/>
                <w:color w:val="auto"/>
                <w:sz w:val="22"/>
                <w:szCs w:val="22"/>
                <w:highlight w:val="none"/>
              </w:rPr>
              <w:t>……………</w:t>
            </w:r>
            <w:r>
              <w:rPr>
                <w:rFonts w:hint="eastAsia" w:ascii="宋体" w:hAnsi="宋体" w:cs="宋体"/>
                <w:color w:val="auto"/>
                <w:sz w:val="22"/>
                <w:szCs w:val="22"/>
                <w:highlight w:val="none"/>
              </w:rPr>
              <w:t>..</w:t>
            </w: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8</w:t>
            </w:r>
          </w:p>
        </w:tc>
        <w:tc>
          <w:tcPr>
            <w:tcW w:w="7470" w:type="dxa"/>
            <w:noWrap w:val="0"/>
            <w:vAlign w:val="center"/>
          </w:tcPr>
          <w:p>
            <w:pPr>
              <w:jc w:val="center"/>
              <w:rPr>
                <w:rFonts w:hint="eastAsia" w:ascii="宋体" w:hAnsi="宋体" w:cs="宋体"/>
                <w:color w:val="auto"/>
                <w:sz w:val="22"/>
                <w:szCs w:val="22"/>
                <w:highlight w:val="none"/>
              </w:rPr>
            </w:pP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9</w:t>
            </w:r>
          </w:p>
        </w:tc>
        <w:tc>
          <w:tcPr>
            <w:tcW w:w="7470" w:type="dxa"/>
            <w:noWrap w:val="0"/>
            <w:vAlign w:val="center"/>
          </w:tcPr>
          <w:p>
            <w:pPr>
              <w:jc w:val="center"/>
              <w:rPr>
                <w:rFonts w:hint="eastAsia" w:ascii="宋体" w:hAnsi="宋体" w:cs="宋体"/>
                <w:color w:val="auto"/>
                <w:sz w:val="22"/>
                <w:szCs w:val="22"/>
                <w:highlight w:val="none"/>
              </w:rPr>
            </w:pP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10</w:t>
            </w:r>
          </w:p>
        </w:tc>
        <w:tc>
          <w:tcPr>
            <w:tcW w:w="7470" w:type="dxa"/>
            <w:noWrap w:val="0"/>
            <w:vAlign w:val="center"/>
          </w:tcPr>
          <w:p>
            <w:pPr>
              <w:jc w:val="center"/>
              <w:rPr>
                <w:rFonts w:hint="eastAsia" w:ascii="宋体" w:hAnsi="宋体" w:cs="宋体"/>
                <w:color w:val="auto"/>
                <w:sz w:val="22"/>
                <w:szCs w:val="22"/>
                <w:highlight w:val="none"/>
              </w:rPr>
            </w:pP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11</w:t>
            </w:r>
          </w:p>
        </w:tc>
        <w:tc>
          <w:tcPr>
            <w:tcW w:w="7470" w:type="dxa"/>
            <w:noWrap w:val="0"/>
            <w:vAlign w:val="center"/>
          </w:tcPr>
          <w:p>
            <w:pPr>
              <w:pStyle w:val="9"/>
              <w:spacing w:line="300" w:lineRule="exact"/>
              <w:rPr>
                <w:rFonts w:hint="eastAsia" w:hAnsi="宋体"/>
                <w:color w:val="auto"/>
                <w:sz w:val="22"/>
                <w:szCs w:val="22"/>
                <w:highlight w:val="none"/>
              </w:rPr>
            </w:pP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p>
        </w:tc>
        <w:tc>
          <w:tcPr>
            <w:tcW w:w="7470" w:type="dxa"/>
            <w:noWrap w:val="0"/>
            <w:vAlign w:val="center"/>
          </w:tcPr>
          <w:p>
            <w:pPr>
              <w:pStyle w:val="9"/>
              <w:spacing w:line="300" w:lineRule="exact"/>
              <w:rPr>
                <w:rFonts w:hint="eastAsia" w:hAnsi="宋体"/>
                <w:color w:val="auto"/>
                <w:sz w:val="22"/>
                <w:szCs w:val="22"/>
                <w:highlight w:val="none"/>
              </w:rPr>
            </w:pPr>
          </w:p>
        </w:tc>
        <w:tc>
          <w:tcPr>
            <w:tcW w:w="1340" w:type="dxa"/>
            <w:noWrap w:val="0"/>
            <w:vAlign w:val="center"/>
          </w:tcPr>
          <w:p>
            <w:pPr>
              <w:jc w:val="center"/>
              <w:rPr>
                <w:rFonts w:hint="eastAsia"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 w:val="22"/>
                <w:szCs w:val="22"/>
                <w:highlight w:val="none"/>
              </w:rPr>
            </w:pPr>
          </w:p>
        </w:tc>
        <w:tc>
          <w:tcPr>
            <w:tcW w:w="7470" w:type="dxa"/>
            <w:noWrap w:val="0"/>
            <w:vAlign w:val="center"/>
          </w:tcPr>
          <w:p>
            <w:pPr>
              <w:pStyle w:val="9"/>
              <w:spacing w:line="300" w:lineRule="exact"/>
              <w:rPr>
                <w:rFonts w:hint="eastAsia" w:hAnsi="宋体"/>
                <w:color w:val="auto"/>
                <w:sz w:val="22"/>
                <w:szCs w:val="22"/>
                <w:highlight w:val="none"/>
              </w:rPr>
            </w:pPr>
          </w:p>
        </w:tc>
        <w:tc>
          <w:tcPr>
            <w:tcW w:w="1340" w:type="dxa"/>
            <w:noWrap w:val="0"/>
            <w:vAlign w:val="center"/>
          </w:tcPr>
          <w:p>
            <w:pPr>
              <w:jc w:val="center"/>
              <w:rPr>
                <w:rFonts w:hint="eastAsia" w:ascii="宋体" w:hAnsi="宋体" w:cs="宋体"/>
                <w:color w:val="auto"/>
                <w:sz w:val="22"/>
                <w:szCs w:val="22"/>
                <w:highlight w:val="none"/>
              </w:rPr>
            </w:pPr>
          </w:p>
        </w:tc>
      </w:tr>
    </w:tbl>
    <w:p>
      <w:pPr>
        <w:rPr>
          <w:color w:val="auto"/>
          <w:highlight w:val="none"/>
        </w:rPr>
      </w:pPr>
    </w:p>
    <w:p>
      <w:pPr>
        <w:spacing w:line="400" w:lineRule="exact"/>
        <w:ind w:right="561"/>
        <w:rPr>
          <w:rFonts w:hint="eastAsia" w:ascii="仿宋_GB2312" w:hAnsi="宋体" w:eastAsia="仿宋_GB2312" w:cs="Tahoma"/>
          <w:color w:val="auto"/>
          <w:spacing w:val="15"/>
          <w:sz w:val="32"/>
          <w:szCs w:val="32"/>
          <w:highlight w:val="none"/>
        </w:rPr>
      </w:pPr>
    </w:p>
    <w:p>
      <w:pPr>
        <w:jc w:val="center"/>
        <w:outlineLvl w:val="1"/>
        <w:rPr>
          <w:rFonts w:hint="eastAsia" w:ascii="宋体" w:hAnsi="宋体"/>
          <w:b/>
          <w:color w:val="auto"/>
          <w:sz w:val="32"/>
          <w:highlight w:val="none"/>
        </w:rPr>
      </w:pPr>
    </w:p>
    <w:p>
      <w:pPr>
        <w:jc w:val="center"/>
        <w:outlineLvl w:val="1"/>
        <w:rPr>
          <w:rFonts w:hint="eastAsia" w:ascii="宋体" w:hAnsi="宋体"/>
          <w:b/>
          <w:color w:val="auto"/>
          <w:sz w:val="32"/>
          <w:highlight w:val="none"/>
        </w:rPr>
      </w:pPr>
    </w:p>
    <w:p>
      <w:pPr>
        <w:jc w:val="center"/>
        <w:outlineLvl w:val="1"/>
        <w:rPr>
          <w:rFonts w:hint="eastAsia" w:ascii="宋体" w:hAnsi="宋体"/>
          <w:b/>
          <w:color w:val="auto"/>
          <w:sz w:val="32"/>
          <w:highlight w:val="none"/>
        </w:rPr>
      </w:pPr>
    </w:p>
    <w:p>
      <w:pPr>
        <w:jc w:val="center"/>
        <w:outlineLvl w:val="1"/>
        <w:rPr>
          <w:rFonts w:hint="eastAsia" w:ascii="宋体" w:hAnsi="宋体"/>
          <w:b/>
          <w:color w:val="auto"/>
          <w:sz w:val="32"/>
          <w:highlight w:val="none"/>
        </w:rPr>
      </w:pPr>
    </w:p>
    <w:p>
      <w:pPr>
        <w:jc w:val="center"/>
        <w:outlineLvl w:val="1"/>
        <w:rPr>
          <w:rFonts w:hint="eastAsia" w:ascii="宋体" w:hAnsi="宋体"/>
          <w:b/>
          <w:color w:val="auto"/>
          <w:sz w:val="32"/>
          <w:highlight w:val="none"/>
        </w:rPr>
      </w:pPr>
    </w:p>
    <w:p>
      <w:pPr>
        <w:jc w:val="center"/>
        <w:outlineLvl w:val="1"/>
        <w:rPr>
          <w:rFonts w:hint="eastAsia" w:ascii="宋体" w:hAnsi="宋体"/>
          <w:b/>
          <w:color w:val="auto"/>
          <w:sz w:val="32"/>
          <w:highlight w:val="none"/>
        </w:rPr>
      </w:pPr>
    </w:p>
    <w:p>
      <w:pPr>
        <w:jc w:val="center"/>
        <w:outlineLvl w:val="1"/>
        <w:rPr>
          <w:rFonts w:hint="eastAsia" w:ascii="宋体" w:hAnsi="宋体"/>
          <w:b/>
          <w:color w:val="auto"/>
          <w:sz w:val="32"/>
          <w:highlight w:val="none"/>
        </w:rPr>
      </w:pPr>
    </w:p>
    <w:p>
      <w:pPr>
        <w:jc w:val="center"/>
        <w:outlineLvl w:val="1"/>
        <w:rPr>
          <w:rFonts w:hint="eastAsia" w:ascii="宋体" w:hAnsi="宋体"/>
          <w:b/>
          <w:color w:val="auto"/>
          <w:sz w:val="32"/>
          <w:highlight w:val="none"/>
        </w:rPr>
      </w:pPr>
    </w:p>
    <w:p>
      <w:pPr>
        <w:jc w:val="center"/>
        <w:outlineLvl w:val="1"/>
        <w:rPr>
          <w:rFonts w:hint="eastAsia" w:ascii="宋体" w:hAnsi="宋体"/>
          <w:b/>
          <w:color w:val="auto"/>
          <w:sz w:val="32"/>
          <w:highlight w:val="none"/>
        </w:rPr>
      </w:pPr>
    </w:p>
    <w:bookmarkEnd w:id="1625"/>
    <w:p>
      <w:pPr>
        <w:jc w:val="center"/>
        <w:outlineLvl w:val="1"/>
        <w:rPr>
          <w:rFonts w:ascii="宋体" w:hAnsi="宋体"/>
          <w:b/>
          <w:color w:val="auto"/>
          <w:sz w:val="36"/>
          <w:highlight w:val="none"/>
        </w:rPr>
      </w:pPr>
      <w:bookmarkStart w:id="1626" w:name="_Toc24277"/>
      <w:bookmarkStart w:id="1627" w:name="_Toc471843904"/>
      <w:r>
        <w:rPr>
          <w:rFonts w:hint="eastAsia" w:ascii="宋体" w:hAnsi="宋体"/>
          <w:b/>
          <w:color w:val="auto"/>
          <w:sz w:val="36"/>
          <w:highlight w:val="none"/>
        </w:rPr>
        <w:t>目</w:t>
      </w:r>
      <w:r>
        <w:rPr>
          <w:rFonts w:hint="eastAsia" w:ascii="宋体" w:hAnsi="宋体"/>
          <w:b/>
          <w:color w:val="auto"/>
          <w:sz w:val="36"/>
          <w:highlight w:val="none"/>
        </w:rPr>
        <w:tab/>
      </w:r>
      <w:r>
        <w:rPr>
          <w:rFonts w:hint="eastAsia" w:ascii="宋体" w:hAnsi="宋体"/>
          <w:b/>
          <w:color w:val="auto"/>
          <w:sz w:val="36"/>
          <w:highlight w:val="none"/>
        </w:rPr>
        <w:t>录</w:t>
      </w:r>
      <w:bookmarkEnd w:id="1626"/>
      <w:bookmarkEnd w:id="1627"/>
    </w:p>
    <w:p>
      <w:pPr>
        <w:rPr>
          <w:rFonts w:ascii="宋体" w:hAnsi="宋体"/>
          <w:color w:val="auto"/>
          <w:sz w:val="24"/>
          <w:highlight w:val="none"/>
        </w:rPr>
      </w:pPr>
    </w:p>
    <w:p>
      <w:pPr>
        <w:spacing w:line="340" w:lineRule="exact"/>
        <w:ind w:firstLine="1438" w:firstLineChars="685"/>
        <w:rPr>
          <w:rFonts w:hint="eastAsia" w:ascii="宋体" w:hAnsi="宋体"/>
          <w:color w:val="auto"/>
          <w:highlight w:val="none"/>
        </w:rPr>
      </w:pPr>
      <w:r>
        <w:rPr>
          <w:rFonts w:hint="eastAsia" w:ascii="宋体" w:hAnsi="宋体"/>
          <w:color w:val="auto"/>
          <w:highlight w:val="none"/>
        </w:rPr>
        <w:t>一、投标函及投标函附录</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（一）投标函</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（二）投标函附录</w:t>
      </w:r>
    </w:p>
    <w:p>
      <w:pPr>
        <w:spacing w:line="340" w:lineRule="exact"/>
        <w:ind w:firstLine="1438" w:firstLineChars="685"/>
        <w:rPr>
          <w:rFonts w:hint="eastAsia" w:ascii="宋体" w:hAnsi="宋体"/>
          <w:color w:val="auto"/>
          <w:highlight w:val="none"/>
        </w:rPr>
      </w:pPr>
      <w:r>
        <w:rPr>
          <w:rFonts w:hint="eastAsia" w:ascii="宋体" w:hAnsi="宋体"/>
          <w:color w:val="auto"/>
          <w:highlight w:val="none"/>
        </w:rPr>
        <w:t>二、法定代表人身份证明或附有法定代表人身份证明的授权委托书</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（一）法定代表人身份证明</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（二）授权委托书</w:t>
      </w:r>
    </w:p>
    <w:p>
      <w:pPr>
        <w:spacing w:line="340" w:lineRule="exact"/>
        <w:ind w:firstLine="1438" w:firstLineChars="685"/>
        <w:rPr>
          <w:rFonts w:hint="eastAsia" w:ascii="宋体" w:hAnsi="宋体"/>
          <w:color w:val="auto"/>
          <w:highlight w:val="none"/>
        </w:rPr>
      </w:pPr>
      <w:r>
        <w:rPr>
          <w:rFonts w:hint="eastAsia" w:ascii="宋体" w:hAnsi="宋体"/>
          <w:color w:val="auto"/>
          <w:highlight w:val="none"/>
        </w:rPr>
        <w:t>三、投标保证金</w:t>
      </w:r>
    </w:p>
    <w:p>
      <w:pPr>
        <w:spacing w:line="340" w:lineRule="exact"/>
        <w:ind w:firstLine="1438" w:firstLineChars="685"/>
        <w:rPr>
          <w:rFonts w:hint="eastAsia" w:ascii="宋体" w:hAnsi="宋体"/>
          <w:color w:val="auto"/>
          <w:highlight w:val="none"/>
        </w:rPr>
      </w:pPr>
      <w:r>
        <w:rPr>
          <w:rFonts w:hint="eastAsia" w:ascii="宋体" w:hAnsi="宋体"/>
          <w:color w:val="auto"/>
          <w:highlight w:val="none"/>
        </w:rPr>
        <w:t>四、施工组织设计</w:t>
      </w:r>
    </w:p>
    <w:p>
      <w:pPr>
        <w:spacing w:line="420" w:lineRule="exact"/>
        <w:ind w:firstLine="1898" w:firstLineChars="904"/>
        <w:rPr>
          <w:rFonts w:hint="eastAsia"/>
          <w:color w:val="auto"/>
          <w:highlight w:val="none"/>
        </w:rPr>
      </w:pPr>
      <w:r>
        <w:rPr>
          <w:rFonts w:hint="eastAsia"/>
          <w:color w:val="auto"/>
          <w:highlight w:val="none"/>
        </w:rPr>
        <w:t>（1）总体施工组织布置及规划</w:t>
      </w:r>
    </w:p>
    <w:p>
      <w:pPr>
        <w:spacing w:line="420" w:lineRule="exact"/>
        <w:ind w:firstLine="1898" w:firstLineChars="904"/>
        <w:rPr>
          <w:rFonts w:hint="eastAsia"/>
          <w:color w:val="auto"/>
          <w:highlight w:val="none"/>
        </w:rPr>
      </w:pPr>
      <w:r>
        <w:rPr>
          <w:rFonts w:hint="eastAsia"/>
          <w:color w:val="auto"/>
          <w:highlight w:val="none"/>
        </w:rPr>
        <w:t>（2）主要工程项目的施工方案、方法与技术措施</w:t>
      </w:r>
    </w:p>
    <w:p>
      <w:pPr>
        <w:spacing w:line="420" w:lineRule="exact"/>
        <w:ind w:firstLine="1898" w:firstLineChars="904"/>
        <w:rPr>
          <w:rFonts w:hint="eastAsia"/>
          <w:color w:val="auto"/>
          <w:highlight w:val="none"/>
        </w:rPr>
      </w:pPr>
      <w:r>
        <w:rPr>
          <w:rFonts w:hint="eastAsia"/>
          <w:color w:val="auto"/>
          <w:highlight w:val="none"/>
        </w:rPr>
        <w:t>（3）工期保证体系及保证措施</w:t>
      </w:r>
    </w:p>
    <w:p>
      <w:pPr>
        <w:spacing w:line="420" w:lineRule="exact"/>
        <w:ind w:firstLine="1898" w:firstLineChars="904"/>
        <w:rPr>
          <w:rFonts w:hint="eastAsia"/>
          <w:color w:val="auto"/>
          <w:highlight w:val="none"/>
        </w:rPr>
      </w:pPr>
      <w:r>
        <w:rPr>
          <w:rFonts w:hint="eastAsia"/>
          <w:color w:val="auto"/>
          <w:highlight w:val="none"/>
        </w:rPr>
        <w:t>（4）工程质量管理体系及保证措施</w:t>
      </w:r>
    </w:p>
    <w:p>
      <w:pPr>
        <w:spacing w:line="420" w:lineRule="exact"/>
        <w:ind w:firstLine="1898" w:firstLineChars="904"/>
        <w:rPr>
          <w:rFonts w:hint="eastAsia"/>
          <w:color w:val="auto"/>
          <w:highlight w:val="none"/>
        </w:rPr>
      </w:pPr>
      <w:r>
        <w:rPr>
          <w:rFonts w:hint="eastAsia"/>
          <w:color w:val="auto"/>
          <w:highlight w:val="none"/>
        </w:rPr>
        <w:t>（5）安全生产管理体系及保证措施</w:t>
      </w:r>
    </w:p>
    <w:p>
      <w:pPr>
        <w:spacing w:line="420" w:lineRule="exact"/>
        <w:ind w:firstLine="1898" w:firstLineChars="904"/>
        <w:rPr>
          <w:rFonts w:hint="eastAsia"/>
          <w:color w:val="auto"/>
          <w:highlight w:val="none"/>
        </w:rPr>
      </w:pPr>
      <w:r>
        <w:rPr>
          <w:rFonts w:hint="eastAsia"/>
          <w:color w:val="auto"/>
          <w:highlight w:val="none"/>
        </w:rPr>
        <w:t>（6）环境保护、水土保持保证体系及保证措施</w:t>
      </w:r>
    </w:p>
    <w:p>
      <w:pPr>
        <w:spacing w:line="420" w:lineRule="exact"/>
        <w:ind w:firstLine="1898" w:firstLineChars="904"/>
        <w:rPr>
          <w:rFonts w:hint="eastAsia"/>
          <w:color w:val="auto"/>
          <w:highlight w:val="none"/>
        </w:rPr>
      </w:pPr>
      <w:r>
        <w:rPr>
          <w:rFonts w:hint="eastAsia"/>
          <w:color w:val="auto"/>
          <w:highlight w:val="none"/>
        </w:rPr>
        <w:t>（7）文明施工、文物保护保证体系及保证措施</w:t>
      </w:r>
    </w:p>
    <w:p>
      <w:pPr>
        <w:spacing w:line="420" w:lineRule="exact"/>
        <w:ind w:firstLine="1898" w:firstLineChars="904"/>
        <w:rPr>
          <w:rFonts w:hint="eastAsia"/>
          <w:color w:val="auto"/>
          <w:highlight w:val="none"/>
        </w:rPr>
      </w:pPr>
      <w:r>
        <w:rPr>
          <w:rFonts w:hint="eastAsia"/>
          <w:color w:val="auto"/>
          <w:highlight w:val="none"/>
        </w:rPr>
        <w:t>（8）项目风险预测与防范，事故应急预案</w:t>
      </w:r>
    </w:p>
    <w:p>
      <w:pPr>
        <w:spacing w:line="420" w:lineRule="exact"/>
        <w:ind w:firstLine="1898" w:firstLineChars="904"/>
        <w:rPr>
          <w:rFonts w:hint="eastAsia" w:ascii="宋体" w:hAnsi="宋体"/>
          <w:color w:val="auto"/>
          <w:highlight w:val="none"/>
        </w:rPr>
      </w:pPr>
      <w:r>
        <w:rPr>
          <w:rFonts w:hint="eastAsia"/>
          <w:color w:val="auto"/>
          <w:highlight w:val="none"/>
        </w:rPr>
        <w:t>（9）其他应说明的事项</w:t>
      </w:r>
    </w:p>
    <w:p>
      <w:pPr>
        <w:spacing w:line="340" w:lineRule="exact"/>
        <w:ind w:firstLine="1438" w:firstLineChars="685"/>
        <w:rPr>
          <w:rFonts w:hint="eastAsia" w:ascii="宋体" w:hAnsi="宋体"/>
          <w:color w:val="auto"/>
          <w:highlight w:val="none"/>
        </w:rPr>
      </w:pPr>
      <w:r>
        <w:rPr>
          <w:rFonts w:hint="eastAsia" w:ascii="宋体" w:hAnsi="宋体"/>
          <w:color w:val="auto"/>
          <w:highlight w:val="none"/>
        </w:rPr>
        <w:t>五、项目管理机构</w:t>
      </w:r>
    </w:p>
    <w:p>
      <w:pPr>
        <w:spacing w:line="340" w:lineRule="exact"/>
        <w:ind w:firstLine="1438" w:firstLineChars="685"/>
        <w:rPr>
          <w:rFonts w:hint="eastAsia" w:ascii="宋体" w:hAnsi="宋体"/>
          <w:color w:val="auto"/>
          <w:highlight w:val="none"/>
        </w:rPr>
      </w:pPr>
      <w:r>
        <w:rPr>
          <w:rFonts w:hint="eastAsia" w:ascii="宋体" w:hAnsi="宋体"/>
          <w:color w:val="auto"/>
          <w:highlight w:val="none"/>
        </w:rPr>
        <w:t>六、拟分包项目情况表</w:t>
      </w:r>
    </w:p>
    <w:p>
      <w:pPr>
        <w:spacing w:line="340" w:lineRule="exact"/>
        <w:ind w:firstLine="1438" w:firstLineChars="685"/>
        <w:rPr>
          <w:rFonts w:hint="eastAsia" w:ascii="宋体" w:hAnsi="宋体"/>
          <w:color w:val="auto"/>
          <w:highlight w:val="none"/>
        </w:rPr>
      </w:pPr>
      <w:r>
        <w:rPr>
          <w:rFonts w:hint="eastAsia" w:ascii="宋体" w:hAnsi="宋体"/>
          <w:color w:val="auto"/>
          <w:highlight w:val="none"/>
        </w:rPr>
        <w:t>七、资格审查资料</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（一）投标人基本情况表</w:t>
      </w:r>
      <w:r>
        <w:rPr>
          <w:rFonts w:hint="eastAsia" w:ascii="宋体" w:hAnsi="宋体"/>
          <w:color w:val="auto"/>
          <w:highlight w:val="none"/>
        </w:rPr>
        <w:tab/>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（二）投标人企业组织机构框图</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（三）拟委任的项目经理和项目总工资历表</w:t>
      </w:r>
      <w:r>
        <w:rPr>
          <w:rFonts w:hint="eastAsia" w:ascii="宋体" w:hAnsi="宋体"/>
          <w:color w:val="auto"/>
          <w:highlight w:val="none"/>
        </w:rPr>
        <w:tab/>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（四）财务状况表（银行信贷证明或财务能力承诺书）</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（五）正在施工的和新承接的主要项目情况表</w:t>
      </w:r>
      <w:r>
        <w:rPr>
          <w:rFonts w:hint="eastAsia" w:ascii="宋体" w:hAnsi="宋体"/>
          <w:color w:val="auto"/>
          <w:highlight w:val="none"/>
        </w:rPr>
        <w:tab/>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（六）</w:t>
      </w:r>
      <w:r>
        <w:rPr>
          <w:rFonts w:hint="eastAsia" w:ascii="宋体" w:hAnsi="宋体"/>
          <w:color w:val="auto"/>
          <w:highlight w:val="none"/>
          <w:lang w:eastAsia="zh-CN"/>
        </w:rPr>
        <w:t>2020年1月1日</w:t>
      </w:r>
      <w:r>
        <w:rPr>
          <w:rFonts w:hint="eastAsia" w:ascii="宋体" w:hAnsi="宋体"/>
          <w:color w:val="auto"/>
          <w:highlight w:val="none"/>
        </w:rPr>
        <w:t>以来发生的诉讼及仲裁情况</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（七）诚信系统信息表</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（八）信用评价结果使用承诺书</w:t>
      </w:r>
    </w:p>
    <w:p>
      <w:pPr>
        <w:spacing w:line="340" w:lineRule="exact"/>
        <w:ind w:firstLine="1984" w:firstLineChars="945"/>
        <w:rPr>
          <w:rFonts w:hint="eastAsia" w:ascii="宋体" w:hAnsi="宋体"/>
          <w:color w:val="auto"/>
          <w:highlight w:val="none"/>
        </w:rPr>
      </w:pPr>
      <w:r>
        <w:rPr>
          <w:rFonts w:hint="eastAsia" w:ascii="宋体" w:hAnsi="宋体"/>
          <w:color w:val="auto"/>
          <w:highlight w:val="none"/>
        </w:rPr>
        <w:t>（九）履 约 行 为 表</w:t>
      </w:r>
      <w:r>
        <w:rPr>
          <w:rFonts w:hint="eastAsia" w:ascii="宋体" w:hAnsi="宋体"/>
          <w:color w:val="auto"/>
          <w:highlight w:val="none"/>
        </w:rPr>
        <w:tab/>
      </w:r>
    </w:p>
    <w:p>
      <w:pPr>
        <w:spacing w:line="340" w:lineRule="exact"/>
        <w:ind w:firstLine="1438" w:firstLineChars="685"/>
        <w:rPr>
          <w:rFonts w:hint="eastAsia" w:ascii="宋体" w:hAnsi="宋体"/>
          <w:color w:val="auto"/>
          <w:highlight w:val="none"/>
        </w:rPr>
      </w:pPr>
      <w:r>
        <w:rPr>
          <w:rFonts w:hint="eastAsia" w:ascii="宋体" w:hAnsi="宋体"/>
          <w:color w:val="auto"/>
          <w:highlight w:val="none"/>
        </w:rPr>
        <w:t>八、承诺函</w:t>
      </w:r>
    </w:p>
    <w:p>
      <w:pPr>
        <w:spacing w:line="440" w:lineRule="exact"/>
        <w:ind w:firstLine="1438" w:firstLineChars="685"/>
        <w:rPr>
          <w:rFonts w:ascii="宋体" w:hAnsi="宋体"/>
          <w:color w:val="auto"/>
          <w:highlight w:val="none"/>
        </w:rPr>
      </w:pPr>
      <w:r>
        <w:rPr>
          <w:rFonts w:hint="eastAsia" w:ascii="宋体" w:hAnsi="宋体"/>
          <w:color w:val="auto"/>
          <w:highlight w:val="none"/>
        </w:rPr>
        <w:t>九、投标人须知前附表规定的其他材料</w:t>
      </w:r>
    </w:p>
    <w:p>
      <w:pPr>
        <w:spacing w:line="340" w:lineRule="exact"/>
        <w:ind w:firstLine="1438" w:firstLineChars="685"/>
        <w:rPr>
          <w:rFonts w:ascii="宋体" w:hAnsi="宋体"/>
          <w:color w:val="auto"/>
          <w:highlight w:val="none"/>
        </w:rPr>
      </w:pPr>
    </w:p>
    <w:p>
      <w:pPr>
        <w:spacing w:line="440" w:lineRule="exact"/>
        <w:ind w:firstLine="1438" w:firstLineChars="685"/>
        <w:rPr>
          <w:rFonts w:ascii="宋体" w:hAnsi="宋体"/>
          <w:color w:val="auto"/>
          <w:highlight w:val="none"/>
        </w:rPr>
      </w:pPr>
    </w:p>
    <w:p>
      <w:pPr>
        <w:jc w:val="left"/>
        <w:rPr>
          <w:rFonts w:hint="eastAsia" w:ascii="黑体" w:eastAsia="黑体"/>
          <w:color w:val="auto"/>
          <w:sz w:val="24"/>
          <w:highlight w:val="none"/>
        </w:rPr>
      </w:pPr>
      <w:r>
        <w:rPr>
          <w:color w:val="auto"/>
          <w:highlight w:val="none"/>
        </w:rPr>
        <w:br w:type="page"/>
      </w:r>
    </w:p>
    <w:p>
      <w:pPr>
        <w:pStyle w:val="5"/>
        <w:spacing w:before="120" w:after="120" w:line="240" w:lineRule="auto"/>
        <w:jc w:val="center"/>
        <w:rPr>
          <w:rFonts w:hint="eastAsia" w:ascii="黑体"/>
          <w:b w:val="0"/>
          <w:color w:val="auto"/>
          <w:highlight w:val="none"/>
        </w:rPr>
      </w:pPr>
      <w:bookmarkStart w:id="1628" w:name="_Toc292754877"/>
      <w:bookmarkStart w:id="1629" w:name="_Toc237255183"/>
      <w:bookmarkStart w:id="1630" w:name="_Toc466"/>
      <w:bookmarkStart w:id="1631" w:name="_Toc10833"/>
      <w:bookmarkStart w:id="1632" w:name="_Toc237400242"/>
      <w:bookmarkStart w:id="1633" w:name="_Toc13297"/>
      <w:bookmarkStart w:id="1634" w:name="_Toc233429872"/>
      <w:bookmarkStart w:id="1635" w:name="_Toc233423355"/>
      <w:bookmarkStart w:id="1636" w:name="_Toc235846535"/>
      <w:bookmarkStart w:id="1637" w:name="_Toc233290470"/>
      <w:bookmarkStart w:id="1638" w:name="_Toc262646488"/>
      <w:bookmarkStart w:id="1639" w:name="_Toc360486017"/>
      <w:bookmarkStart w:id="1640" w:name="_Toc233436013"/>
      <w:bookmarkStart w:id="1641" w:name="_Toc233215025"/>
      <w:bookmarkStart w:id="1642" w:name="_Toc466366135"/>
      <w:r>
        <w:rPr>
          <w:rFonts w:hint="eastAsia" w:ascii="黑体"/>
          <w:b w:val="0"/>
          <w:color w:val="auto"/>
          <w:highlight w:val="none"/>
        </w:rPr>
        <w:t>一、投标函及投标函附录</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6"/>
        <w:jc w:val="center"/>
        <w:rPr>
          <w:rFonts w:hint="eastAsia" w:ascii="黑体" w:eastAsia="黑体"/>
          <w:b w:val="0"/>
          <w:color w:val="auto"/>
          <w:sz w:val="28"/>
          <w:szCs w:val="28"/>
          <w:highlight w:val="none"/>
        </w:rPr>
      </w:pPr>
      <w:bookmarkStart w:id="1643" w:name="_Toc233429873"/>
      <w:bookmarkStart w:id="1644" w:name="_Toc360486018"/>
      <w:bookmarkStart w:id="1645" w:name="_Toc7513"/>
      <w:bookmarkStart w:id="1646" w:name="_Toc21671"/>
      <w:bookmarkStart w:id="1647" w:name="_Toc235846536"/>
      <w:bookmarkStart w:id="1648" w:name="_Toc292754878"/>
      <w:bookmarkStart w:id="1649" w:name="_Toc233290471"/>
      <w:bookmarkStart w:id="1650" w:name="_Toc237255184"/>
      <w:bookmarkStart w:id="1651" w:name="_Toc237400243"/>
      <w:bookmarkStart w:id="1652" w:name="_Toc466366136"/>
      <w:bookmarkStart w:id="1653" w:name="_Toc233423356"/>
      <w:bookmarkStart w:id="1654" w:name="_Toc15017"/>
      <w:bookmarkStart w:id="1655" w:name="_Toc262646489"/>
      <w:bookmarkStart w:id="1656" w:name="_Toc233215026"/>
      <w:bookmarkStart w:id="1657" w:name="_Toc233436014"/>
      <w:r>
        <w:rPr>
          <w:rFonts w:hint="eastAsia" w:ascii="黑体" w:eastAsia="黑体"/>
          <w:b w:val="0"/>
          <w:color w:val="auto"/>
          <w:sz w:val="28"/>
          <w:szCs w:val="28"/>
          <w:highlight w:val="none"/>
        </w:rPr>
        <w:t>（一）投 标 函</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spacing w:line="420" w:lineRule="exact"/>
        <w:rPr>
          <w:color w:val="auto"/>
          <w:szCs w:val="21"/>
          <w:highlight w:val="none"/>
        </w:rPr>
      </w:pPr>
      <w:r>
        <w:rPr>
          <w:color w:val="auto"/>
          <w:szCs w:val="21"/>
          <w:highlight w:val="none"/>
          <w:u w:val="single"/>
        </w:rPr>
        <w:t xml:space="preserve">                    </w:t>
      </w:r>
      <w:r>
        <w:rPr>
          <w:rFonts w:hAnsi="宋体"/>
          <w:color w:val="auto"/>
          <w:szCs w:val="21"/>
          <w:highlight w:val="none"/>
        </w:rPr>
        <w:t>（招标人名称）：</w:t>
      </w:r>
    </w:p>
    <w:p>
      <w:pPr>
        <w:spacing w:line="240" w:lineRule="exact"/>
        <w:rPr>
          <w:color w:val="auto"/>
          <w:szCs w:val="21"/>
          <w:highlight w:val="none"/>
        </w:rPr>
      </w:pPr>
    </w:p>
    <w:p>
      <w:pPr>
        <w:spacing w:line="360" w:lineRule="exact"/>
        <w:ind w:firstLine="420" w:firstLineChars="200"/>
        <w:rPr>
          <w:color w:val="auto"/>
          <w:szCs w:val="21"/>
          <w:highlight w:val="none"/>
        </w:rPr>
      </w:pPr>
      <w:r>
        <w:rPr>
          <w:color w:val="auto"/>
          <w:szCs w:val="21"/>
          <w:highlight w:val="none"/>
        </w:rPr>
        <w:t>1</w:t>
      </w:r>
      <w:r>
        <w:rPr>
          <w:rFonts w:hAnsi="宋体"/>
          <w:color w:val="auto"/>
          <w:szCs w:val="21"/>
          <w:highlight w:val="none"/>
        </w:rPr>
        <w:t>．我方已仔细研究</w:t>
      </w:r>
      <w:r>
        <w:rPr>
          <w:color w:val="auto"/>
          <w:szCs w:val="21"/>
          <w:highlight w:val="none"/>
          <w:u w:val="single"/>
        </w:rPr>
        <w:t xml:space="preserve">  </w:t>
      </w:r>
      <w:r>
        <w:rPr>
          <w:rFonts w:hint="eastAsia"/>
          <w:color w:val="auto"/>
          <w:szCs w:val="21"/>
          <w:highlight w:val="none"/>
          <w:u w:val="single"/>
          <w:lang w:eastAsia="zh-CN"/>
        </w:rPr>
        <w:t>南麂镇新码头自然村到国姓岙自然村道路提升工程</w:t>
      </w:r>
      <w:r>
        <w:rPr>
          <w:rFonts w:hint="eastAsia"/>
          <w:color w:val="auto"/>
          <w:szCs w:val="21"/>
          <w:highlight w:val="none"/>
        </w:rPr>
        <w:t>施工</w:t>
      </w:r>
      <w:r>
        <w:rPr>
          <w:rFonts w:hAnsi="宋体"/>
          <w:color w:val="auto"/>
          <w:szCs w:val="21"/>
          <w:highlight w:val="none"/>
        </w:rPr>
        <w:t>招标文件的全部内容（含补遗书第</w:t>
      </w:r>
      <w:r>
        <w:rPr>
          <w:color w:val="auto"/>
          <w:szCs w:val="21"/>
          <w:highlight w:val="none"/>
          <w:u w:val="single"/>
        </w:rPr>
        <w:t xml:space="preserve">   </w:t>
      </w:r>
      <w:r>
        <w:rPr>
          <w:rFonts w:hAnsi="宋体"/>
          <w:color w:val="auto"/>
          <w:szCs w:val="21"/>
          <w:highlight w:val="none"/>
        </w:rPr>
        <w:t>号至第</w:t>
      </w:r>
      <w:r>
        <w:rPr>
          <w:color w:val="auto"/>
          <w:szCs w:val="21"/>
          <w:highlight w:val="none"/>
          <w:u w:val="single"/>
        </w:rPr>
        <w:t xml:space="preserve">   </w:t>
      </w:r>
      <w:r>
        <w:rPr>
          <w:rFonts w:hAnsi="宋体"/>
          <w:color w:val="auto"/>
          <w:szCs w:val="21"/>
          <w:highlight w:val="none"/>
        </w:rPr>
        <w:t>号），</w:t>
      </w:r>
      <w:r>
        <w:rPr>
          <w:rFonts w:hint="eastAsia" w:hAnsi="宋体"/>
          <w:color w:val="auto"/>
          <w:highlight w:val="none"/>
        </w:rPr>
        <w:t>愿意按报价函中的投标报价（或根据招标文件规定修正核实后确定的另一金额）</w:t>
      </w:r>
      <w:r>
        <w:rPr>
          <w:rFonts w:hAnsi="宋体"/>
          <w:color w:val="auto"/>
          <w:highlight w:val="none"/>
        </w:rPr>
        <w:t>，工期</w:t>
      </w:r>
      <w:r>
        <w:rPr>
          <w:rFonts w:hint="eastAsia"/>
          <w:color w:val="auto"/>
          <w:highlight w:val="none"/>
          <w:u w:val="single"/>
        </w:rPr>
        <w:t xml:space="preserve">      </w:t>
      </w:r>
      <w:r>
        <w:rPr>
          <w:rFonts w:hint="eastAsia"/>
          <w:color w:val="auto"/>
          <w:highlight w:val="none"/>
          <w:lang w:val="en-US" w:eastAsia="zh-CN"/>
        </w:rPr>
        <w:t>日历天</w:t>
      </w:r>
      <w:r>
        <w:rPr>
          <w:rFonts w:hAnsi="宋体"/>
          <w:color w:val="auto"/>
          <w:highlight w:val="none"/>
        </w:rPr>
        <w:t>，</w:t>
      </w:r>
      <w:r>
        <w:rPr>
          <w:rFonts w:hint="eastAsia" w:ascii="宋体" w:hAnsi="宋体" w:cs="宋体"/>
          <w:color w:val="auto"/>
          <w:szCs w:val="21"/>
          <w:highlight w:val="none"/>
        </w:rPr>
        <w:t>缺陷责任期24 个月。</w:t>
      </w:r>
      <w:r>
        <w:rPr>
          <w:rFonts w:hAnsi="宋体"/>
          <w:color w:val="auto"/>
          <w:highlight w:val="none"/>
        </w:rPr>
        <w:t>按合同约定实施和完成承包工程，修补工程中的任何缺陷，工程质量</w:t>
      </w:r>
      <w:r>
        <w:rPr>
          <w:rFonts w:hint="eastAsia" w:hAnsi="宋体"/>
          <w:color w:val="auto"/>
          <w:highlight w:val="none"/>
        </w:rPr>
        <w:t>目标达到</w:t>
      </w:r>
      <w:r>
        <w:rPr>
          <w:rFonts w:hint="eastAsia" w:ascii="宋体" w:hAnsi="宋体"/>
          <w:b/>
          <w:color w:val="auto"/>
          <w:highlight w:val="none"/>
          <w:u w:val="single"/>
        </w:rPr>
        <w:t>标段工程交（竣）工验收的质量评定：合格</w:t>
      </w:r>
      <w:r>
        <w:rPr>
          <w:rFonts w:hint="eastAsia" w:ascii="宋体" w:hAnsi="宋体"/>
          <w:b/>
          <w:color w:val="auto"/>
          <w:highlight w:val="none"/>
        </w:rPr>
        <w:t xml:space="preserve">。         </w:t>
      </w:r>
    </w:p>
    <w:p>
      <w:pPr>
        <w:spacing w:line="360" w:lineRule="exact"/>
        <w:ind w:firstLine="420" w:firstLineChars="200"/>
        <w:rPr>
          <w:color w:val="auto"/>
          <w:szCs w:val="21"/>
          <w:highlight w:val="none"/>
        </w:rPr>
      </w:pPr>
      <w:r>
        <w:rPr>
          <w:color w:val="auto"/>
          <w:szCs w:val="21"/>
          <w:highlight w:val="none"/>
        </w:rPr>
        <w:t>2</w:t>
      </w:r>
      <w:r>
        <w:rPr>
          <w:rFonts w:hAnsi="宋体"/>
          <w:color w:val="auto"/>
          <w:szCs w:val="21"/>
          <w:highlight w:val="none"/>
        </w:rPr>
        <w:t>．我方承诺在投标有效期内不修改、撤销投标文件。</w:t>
      </w:r>
    </w:p>
    <w:p>
      <w:pPr>
        <w:spacing w:line="360" w:lineRule="exact"/>
        <w:ind w:firstLine="420" w:firstLineChars="200"/>
        <w:rPr>
          <w:color w:val="auto"/>
          <w:szCs w:val="21"/>
          <w:highlight w:val="none"/>
        </w:rPr>
      </w:pPr>
      <w:r>
        <w:rPr>
          <w:color w:val="auto"/>
          <w:szCs w:val="21"/>
          <w:highlight w:val="none"/>
        </w:rPr>
        <w:t>3</w:t>
      </w:r>
      <w:r>
        <w:rPr>
          <w:rFonts w:hAnsi="宋体"/>
          <w:color w:val="auto"/>
          <w:szCs w:val="21"/>
          <w:highlight w:val="none"/>
        </w:rPr>
        <w:t>．随同本投标函提交投标保证金一份，金额为人民币（大写）</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元（</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w:t>
      </w:r>
    </w:p>
    <w:p>
      <w:pPr>
        <w:spacing w:line="360" w:lineRule="exact"/>
        <w:ind w:firstLine="420" w:firstLineChars="200"/>
        <w:rPr>
          <w:color w:val="auto"/>
          <w:szCs w:val="21"/>
          <w:highlight w:val="none"/>
        </w:rPr>
      </w:pPr>
      <w:r>
        <w:rPr>
          <w:color w:val="auto"/>
          <w:szCs w:val="21"/>
          <w:highlight w:val="none"/>
        </w:rPr>
        <w:t>4</w:t>
      </w:r>
      <w:r>
        <w:rPr>
          <w:rFonts w:hAnsi="宋体"/>
          <w:color w:val="auto"/>
          <w:szCs w:val="21"/>
          <w:highlight w:val="none"/>
        </w:rPr>
        <w:t>．如我方中标：</w:t>
      </w:r>
    </w:p>
    <w:p>
      <w:pPr>
        <w:spacing w:line="360" w:lineRule="exact"/>
        <w:ind w:firstLine="420" w:firstLineChars="200"/>
        <w:rPr>
          <w:color w:val="auto"/>
          <w:szCs w:val="21"/>
          <w:highlight w:val="none"/>
        </w:rPr>
      </w:pPr>
      <w:r>
        <w:rPr>
          <w:rFonts w:hAnsi="宋体"/>
          <w:color w:val="auto"/>
          <w:szCs w:val="21"/>
          <w:highlight w:val="none"/>
        </w:rPr>
        <w:t>（</w:t>
      </w:r>
      <w:r>
        <w:rPr>
          <w:color w:val="auto"/>
          <w:szCs w:val="21"/>
          <w:highlight w:val="none"/>
        </w:rPr>
        <w:t>1</w:t>
      </w:r>
      <w:r>
        <w:rPr>
          <w:rFonts w:hAnsi="宋体"/>
          <w:color w:val="auto"/>
          <w:szCs w:val="21"/>
          <w:highlight w:val="none"/>
        </w:rPr>
        <w:t>）我方承诺在收到中标通知书后，在中标通知书规定的期限内与你方签订合同。</w:t>
      </w:r>
    </w:p>
    <w:p>
      <w:pPr>
        <w:spacing w:line="360" w:lineRule="exact"/>
        <w:ind w:firstLine="420" w:firstLineChars="200"/>
        <w:rPr>
          <w:color w:val="auto"/>
          <w:szCs w:val="21"/>
          <w:highlight w:val="none"/>
        </w:rPr>
      </w:pPr>
      <w:r>
        <w:rPr>
          <w:rFonts w:hAnsi="宋体"/>
          <w:color w:val="auto"/>
          <w:szCs w:val="21"/>
          <w:highlight w:val="none"/>
        </w:rPr>
        <w:t>（</w:t>
      </w:r>
      <w:r>
        <w:rPr>
          <w:color w:val="auto"/>
          <w:szCs w:val="21"/>
          <w:highlight w:val="none"/>
        </w:rPr>
        <w:t>2</w:t>
      </w:r>
      <w:r>
        <w:rPr>
          <w:rFonts w:hAnsi="宋体"/>
          <w:color w:val="auto"/>
          <w:szCs w:val="21"/>
          <w:highlight w:val="none"/>
        </w:rPr>
        <w:t>）随同本投标函递交的投标函附录属于合同文件的组成部分。</w:t>
      </w:r>
    </w:p>
    <w:p>
      <w:pPr>
        <w:spacing w:line="360" w:lineRule="exact"/>
        <w:ind w:firstLine="420" w:firstLineChars="200"/>
        <w:rPr>
          <w:color w:val="auto"/>
          <w:szCs w:val="21"/>
          <w:highlight w:val="none"/>
        </w:rPr>
      </w:pPr>
      <w:r>
        <w:rPr>
          <w:rFonts w:hAnsi="宋体"/>
          <w:color w:val="auto"/>
          <w:szCs w:val="21"/>
          <w:highlight w:val="none"/>
        </w:rPr>
        <w:t>（</w:t>
      </w:r>
      <w:r>
        <w:rPr>
          <w:color w:val="auto"/>
          <w:szCs w:val="21"/>
          <w:highlight w:val="none"/>
        </w:rPr>
        <w:t>3</w:t>
      </w:r>
      <w:r>
        <w:rPr>
          <w:rFonts w:hAnsi="宋体"/>
          <w:color w:val="auto"/>
          <w:szCs w:val="21"/>
          <w:highlight w:val="none"/>
        </w:rPr>
        <w:t>）我方承诺</w:t>
      </w:r>
      <w:r>
        <w:rPr>
          <w:rFonts w:hint="eastAsia" w:hAnsi="宋体"/>
          <w:color w:val="auto"/>
          <w:szCs w:val="21"/>
          <w:highlight w:val="none"/>
        </w:rPr>
        <w:t>按照招标文件规定</w:t>
      </w:r>
      <w:r>
        <w:rPr>
          <w:rFonts w:hAnsi="宋体"/>
          <w:color w:val="auto"/>
          <w:szCs w:val="21"/>
          <w:highlight w:val="none"/>
        </w:rPr>
        <w:t>向你方递交履约担保。</w:t>
      </w:r>
    </w:p>
    <w:p>
      <w:pPr>
        <w:spacing w:line="360" w:lineRule="exact"/>
        <w:ind w:firstLine="420" w:firstLineChars="200"/>
        <w:rPr>
          <w:color w:val="auto"/>
          <w:szCs w:val="21"/>
          <w:highlight w:val="none"/>
        </w:rPr>
      </w:pPr>
      <w:r>
        <w:rPr>
          <w:rFonts w:hAnsi="宋体"/>
          <w:color w:val="auto"/>
          <w:szCs w:val="21"/>
          <w:highlight w:val="none"/>
        </w:rPr>
        <w:t>（</w:t>
      </w:r>
      <w:r>
        <w:rPr>
          <w:color w:val="auto"/>
          <w:szCs w:val="21"/>
          <w:highlight w:val="none"/>
        </w:rPr>
        <w:t>4</w:t>
      </w:r>
      <w:r>
        <w:rPr>
          <w:rFonts w:hAnsi="宋体"/>
          <w:color w:val="auto"/>
          <w:szCs w:val="21"/>
          <w:highlight w:val="none"/>
        </w:rPr>
        <w:t>）我方承诺在合同约定的期限内完成并移交全部合同工程。</w:t>
      </w:r>
    </w:p>
    <w:p>
      <w:pPr>
        <w:spacing w:line="360" w:lineRule="exact"/>
        <w:ind w:firstLine="420" w:firstLineChars="200"/>
        <w:rPr>
          <w:color w:val="auto"/>
          <w:szCs w:val="21"/>
          <w:highlight w:val="none"/>
        </w:rPr>
      </w:pPr>
      <w:r>
        <w:rPr>
          <w:color w:val="auto"/>
          <w:szCs w:val="21"/>
          <w:highlight w:val="none"/>
        </w:rPr>
        <w:t>5</w:t>
      </w:r>
      <w:r>
        <w:rPr>
          <w:rFonts w:hAnsi="宋体"/>
          <w:color w:val="auto"/>
          <w:szCs w:val="21"/>
          <w:highlight w:val="none"/>
        </w:rPr>
        <w:t>．我方在此声明，所递交的投标文件及有关资料内容完整、真实和准确，且不存在第二章</w:t>
      </w:r>
      <w:r>
        <w:rPr>
          <w:color w:val="auto"/>
          <w:szCs w:val="21"/>
          <w:highlight w:val="none"/>
        </w:rPr>
        <w:t>“</w:t>
      </w:r>
      <w:r>
        <w:rPr>
          <w:rFonts w:hAnsi="宋体"/>
          <w:color w:val="auto"/>
          <w:szCs w:val="21"/>
          <w:highlight w:val="none"/>
        </w:rPr>
        <w:t>投标人须知</w:t>
      </w:r>
      <w:r>
        <w:rPr>
          <w:color w:val="auto"/>
          <w:szCs w:val="21"/>
          <w:highlight w:val="none"/>
        </w:rPr>
        <w:t>”</w:t>
      </w:r>
      <w:r>
        <w:rPr>
          <w:rFonts w:hAnsi="宋体"/>
          <w:color w:val="auto"/>
          <w:szCs w:val="21"/>
          <w:highlight w:val="none"/>
        </w:rPr>
        <w:t>第</w:t>
      </w:r>
      <w:r>
        <w:rPr>
          <w:color w:val="auto"/>
          <w:szCs w:val="21"/>
          <w:highlight w:val="none"/>
        </w:rPr>
        <w:t>1.4.3</w:t>
      </w:r>
      <w:r>
        <w:rPr>
          <w:rFonts w:hAnsi="宋体"/>
          <w:color w:val="auto"/>
          <w:szCs w:val="21"/>
          <w:highlight w:val="none"/>
        </w:rPr>
        <w:t>项规定的任何一种情形。</w:t>
      </w:r>
    </w:p>
    <w:p>
      <w:pPr>
        <w:spacing w:line="360" w:lineRule="exact"/>
        <w:ind w:firstLine="420" w:firstLineChars="200"/>
        <w:rPr>
          <w:color w:val="auto"/>
          <w:szCs w:val="21"/>
          <w:highlight w:val="none"/>
        </w:rPr>
      </w:pPr>
      <w:r>
        <w:rPr>
          <w:color w:val="auto"/>
          <w:szCs w:val="21"/>
          <w:highlight w:val="none"/>
        </w:rPr>
        <w:t>6</w:t>
      </w:r>
      <w:r>
        <w:rPr>
          <w:rFonts w:hAnsi="宋体"/>
          <w:color w:val="auto"/>
          <w:szCs w:val="21"/>
          <w:highlight w:val="none"/>
        </w:rPr>
        <w:t>．在合同协议书正式签署生效之前，本投标函连同你方的中标通知书将构成我们双方之间共同遵守的文件，对双方具有约束力。</w:t>
      </w:r>
    </w:p>
    <w:p>
      <w:pPr>
        <w:spacing w:line="360" w:lineRule="exact"/>
        <w:ind w:firstLine="420" w:firstLineChars="200"/>
        <w:rPr>
          <w:rFonts w:hint="eastAsia" w:hAnsi="宋体"/>
          <w:color w:val="auto"/>
          <w:szCs w:val="21"/>
          <w:highlight w:val="none"/>
        </w:rPr>
      </w:pPr>
      <w:r>
        <w:rPr>
          <w:color w:val="auto"/>
          <w:szCs w:val="21"/>
          <w:highlight w:val="none"/>
        </w:rPr>
        <w:t>7</w:t>
      </w:r>
      <w:r>
        <w:rPr>
          <w:rFonts w:hAnsi="宋体"/>
          <w:color w:val="auto"/>
          <w:szCs w:val="21"/>
          <w:highlight w:val="none"/>
        </w:rPr>
        <w:t>．</w:t>
      </w:r>
      <w:r>
        <w:rPr>
          <w:color w:val="auto"/>
          <w:szCs w:val="21"/>
          <w:highlight w:val="none"/>
          <w:u w:val="single"/>
        </w:rPr>
        <w:t xml:space="preserve">                  </w:t>
      </w:r>
      <w:r>
        <w:rPr>
          <w:rFonts w:hint="eastAsia"/>
          <w:color w:val="auto"/>
          <w:szCs w:val="21"/>
          <w:highlight w:val="none"/>
          <w:u w:val="single"/>
        </w:rPr>
        <w:t>（</w:t>
      </w:r>
      <w:r>
        <w:rPr>
          <w:rFonts w:hint="eastAsia" w:hAnsi="宋体"/>
          <w:color w:val="auto"/>
          <w:szCs w:val="21"/>
          <w:highlight w:val="none"/>
        </w:rPr>
        <w:t>其他补充说明）。</w:t>
      </w:r>
    </w:p>
    <w:p>
      <w:pPr>
        <w:spacing w:line="360" w:lineRule="exact"/>
        <w:ind w:firstLine="420" w:firstLineChars="200"/>
        <w:rPr>
          <w:color w:val="auto"/>
          <w:szCs w:val="21"/>
          <w:highlight w:val="none"/>
        </w:rPr>
      </w:pPr>
    </w:p>
    <w:p>
      <w:pPr>
        <w:spacing w:line="420" w:lineRule="exact"/>
        <w:ind w:firstLine="2730" w:firstLineChars="1300"/>
        <w:rPr>
          <w:color w:val="auto"/>
          <w:szCs w:val="21"/>
          <w:highlight w:val="none"/>
        </w:rPr>
      </w:pPr>
      <w:r>
        <w:rPr>
          <w:rFonts w:hAnsi="宋体"/>
          <w:color w:val="auto"/>
          <w:szCs w:val="21"/>
          <w:highlight w:val="none"/>
        </w:rPr>
        <w:t>投标人：</w:t>
      </w:r>
      <w:r>
        <w:rPr>
          <w:color w:val="auto"/>
          <w:szCs w:val="21"/>
          <w:highlight w:val="none"/>
          <w:u w:val="single"/>
        </w:rPr>
        <w:t xml:space="preserve">                         </w:t>
      </w:r>
      <w:r>
        <w:rPr>
          <w:rFonts w:hAnsi="宋体"/>
          <w:color w:val="auto"/>
          <w:szCs w:val="21"/>
          <w:highlight w:val="none"/>
        </w:rPr>
        <w:t>（盖单位章）</w:t>
      </w:r>
    </w:p>
    <w:p>
      <w:pPr>
        <w:spacing w:line="420" w:lineRule="exact"/>
        <w:ind w:firstLine="2730" w:firstLineChars="1300"/>
        <w:rPr>
          <w:color w:val="auto"/>
          <w:szCs w:val="21"/>
          <w:highlight w:val="none"/>
        </w:rPr>
      </w:pPr>
      <w:r>
        <w:rPr>
          <w:rFonts w:hAnsi="宋体"/>
          <w:color w:val="auto"/>
          <w:szCs w:val="21"/>
          <w:highlight w:val="none"/>
        </w:rPr>
        <w:t>法定代表人或其委托代理人：</w:t>
      </w:r>
      <w:r>
        <w:rPr>
          <w:color w:val="auto"/>
          <w:szCs w:val="21"/>
          <w:highlight w:val="none"/>
          <w:u w:val="single"/>
        </w:rPr>
        <w:t xml:space="preserve">           </w:t>
      </w:r>
      <w:r>
        <w:rPr>
          <w:rFonts w:hAnsi="宋体"/>
          <w:color w:val="auto"/>
          <w:szCs w:val="21"/>
          <w:highlight w:val="none"/>
        </w:rPr>
        <w:t>（签字）</w:t>
      </w:r>
    </w:p>
    <w:p>
      <w:pPr>
        <w:spacing w:line="420" w:lineRule="exact"/>
        <w:ind w:firstLine="2730" w:firstLineChars="1300"/>
        <w:rPr>
          <w:color w:val="auto"/>
          <w:szCs w:val="21"/>
          <w:highlight w:val="none"/>
        </w:rPr>
      </w:pPr>
      <w:r>
        <w:rPr>
          <w:rFonts w:hAnsi="宋体"/>
          <w:color w:val="auto"/>
          <w:szCs w:val="21"/>
          <w:highlight w:val="none"/>
        </w:rPr>
        <w:t>地址：</w:t>
      </w:r>
      <w:r>
        <w:rPr>
          <w:color w:val="auto"/>
          <w:szCs w:val="21"/>
          <w:highlight w:val="none"/>
          <w:u w:val="single"/>
        </w:rPr>
        <w:t xml:space="preserve">                                      </w:t>
      </w:r>
    </w:p>
    <w:p>
      <w:pPr>
        <w:spacing w:line="420" w:lineRule="exact"/>
        <w:ind w:firstLine="2730" w:firstLineChars="1300"/>
        <w:rPr>
          <w:color w:val="auto"/>
          <w:szCs w:val="21"/>
          <w:highlight w:val="none"/>
        </w:rPr>
      </w:pPr>
      <w:r>
        <w:rPr>
          <w:rFonts w:hAnsi="宋体"/>
          <w:color w:val="auto"/>
          <w:szCs w:val="21"/>
          <w:highlight w:val="none"/>
        </w:rPr>
        <w:t>网址：</w:t>
      </w:r>
      <w:r>
        <w:rPr>
          <w:color w:val="auto"/>
          <w:szCs w:val="21"/>
          <w:highlight w:val="none"/>
          <w:u w:val="single"/>
        </w:rPr>
        <w:t xml:space="preserve">                                      </w:t>
      </w:r>
    </w:p>
    <w:p>
      <w:pPr>
        <w:spacing w:line="420" w:lineRule="exact"/>
        <w:ind w:firstLine="2730" w:firstLineChars="1300"/>
        <w:rPr>
          <w:color w:val="auto"/>
          <w:szCs w:val="21"/>
          <w:highlight w:val="none"/>
        </w:rPr>
      </w:pPr>
      <w:r>
        <w:rPr>
          <w:rFonts w:hAnsi="宋体"/>
          <w:color w:val="auto"/>
          <w:szCs w:val="21"/>
          <w:highlight w:val="none"/>
        </w:rPr>
        <w:t>电话：</w:t>
      </w:r>
      <w:r>
        <w:rPr>
          <w:color w:val="auto"/>
          <w:szCs w:val="21"/>
          <w:highlight w:val="none"/>
          <w:u w:val="single"/>
        </w:rPr>
        <w:t xml:space="preserve">                                      </w:t>
      </w:r>
    </w:p>
    <w:p>
      <w:pPr>
        <w:spacing w:line="420" w:lineRule="exact"/>
        <w:ind w:firstLine="2730" w:firstLineChars="1300"/>
        <w:rPr>
          <w:color w:val="auto"/>
          <w:szCs w:val="21"/>
          <w:highlight w:val="none"/>
        </w:rPr>
      </w:pPr>
      <w:r>
        <w:rPr>
          <w:rFonts w:hAnsi="宋体"/>
          <w:color w:val="auto"/>
          <w:szCs w:val="21"/>
          <w:highlight w:val="none"/>
        </w:rPr>
        <w:t>传真：</w:t>
      </w:r>
      <w:r>
        <w:rPr>
          <w:color w:val="auto"/>
          <w:szCs w:val="21"/>
          <w:highlight w:val="none"/>
          <w:u w:val="single"/>
        </w:rPr>
        <w:t xml:space="preserve">                                      </w:t>
      </w:r>
    </w:p>
    <w:p>
      <w:pPr>
        <w:spacing w:line="420" w:lineRule="exact"/>
        <w:ind w:firstLine="2730" w:firstLineChars="1300"/>
        <w:rPr>
          <w:color w:val="auto"/>
          <w:szCs w:val="21"/>
          <w:highlight w:val="none"/>
        </w:rPr>
      </w:pPr>
      <w:r>
        <w:rPr>
          <w:rFonts w:hAnsi="宋体"/>
          <w:color w:val="auto"/>
          <w:szCs w:val="21"/>
          <w:highlight w:val="none"/>
        </w:rPr>
        <w:t>邮政编码：</w:t>
      </w:r>
      <w:r>
        <w:rPr>
          <w:color w:val="auto"/>
          <w:szCs w:val="21"/>
          <w:highlight w:val="none"/>
          <w:u w:val="single"/>
        </w:rPr>
        <w:t xml:space="preserve">                                  </w:t>
      </w:r>
    </w:p>
    <w:p>
      <w:pPr>
        <w:spacing w:line="240" w:lineRule="exact"/>
        <w:ind w:firstLine="420" w:firstLineChars="200"/>
        <w:rPr>
          <w:color w:val="auto"/>
          <w:szCs w:val="21"/>
          <w:highlight w:val="none"/>
        </w:rPr>
      </w:pPr>
    </w:p>
    <w:p>
      <w:pPr>
        <w:spacing w:line="360" w:lineRule="exact"/>
        <w:ind w:firstLine="5386" w:firstLineChars="2565"/>
        <w:rPr>
          <w:rFonts w:ascii="宋体" w:hAnsi="宋体"/>
          <w:color w:val="auto"/>
          <w:highlight w:val="none"/>
        </w:rPr>
      </w:pP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Ansi="宋体"/>
          <w:color w:val="auto"/>
          <w:szCs w:val="21"/>
          <w:highlight w:val="none"/>
        </w:rPr>
        <w:t>月</w:t>
      </w:r>
      <w:r>
        <w:rPr>
          <w:color w:val="auto"/>
          <w:szCs w:val="21"/>
          <w:highlight w:val="none"/>
          <w:u w:val="single"/>
        </w:rPr>
        <w:t xml:space="preserve">     </w:t>
      </w:r>
      <w:r>
        <w:rPr>
          <w:rFonts w:hAnsi="宋体"/>
          <w:color w:val="auto"/>
          <w:szCs w:val="21"/>
          <w:highlight w:val="none"/>
        </w:rPr>
        <w:t>日</w:t>
      </w:r>
    </w:p>
    <w:p>
      <w:pPr>
        <w:jc w:val="center"/>
        <w:outlineLvl w:val="2"/>
        <w:rPr>
          <w:rFonts w:ascii="宋体" w:hAnsi="宋体"/>
          <w:color w:val="auto"/>
          <w:sz w:val="24"/>
          <w:highlight w:val="none"/>
        </w:rPr>
      </w:pPr>
      <w:r>
        <w:rPr>
          <w:rFonts w:ascii="宋体" w:hAnsi="宋体"/>
          <w:color w:val="auto"/>
          <w:highlight w:val="none"/>
        </w:rPr>
        <w:br w:type="page"/>
      </w:r>
      <w:bookmarkStart w:id="1658" w:name="_Toc19007"/>
      <w:bookmarkStart w:id="1659" w:name="_Toc245477484"/>
      <w:bookmarkStart w:id="1660" w:name="_Toc11951"/>
      <w:bookmarkStart w:id="1661" w:name="_Toc234382959"/>
      <w:bookmarkStart w:id="1662" w:name="_Toc466366137"/>
      <w:bookmarkStart w:id="1663" w:name="_Toc22400"/>
      <w:bookmarkStart w:id="1664" w:name="_Toc262895600"/>
      <w:r>
        <w:rPr>
          <w:rFonts w:hint="eastAsia" w:ascii="宋体" w:hAnsi="宋体"/>
          <w:color w:val="auto"/>
          <w:sz w:val="28"/>
          <w:highlight w:val="none"/>
        </w:rPr>
        <w:t>（二）投标函附录</w:t>
      </w:r>
      <w:bookmarkEnd w:id="1658"/>
      <w:bookmarkEnd w:id="1659"/>
      <w:bookmarkEnd w:id="1660"/>
      <w:bookmarkEnd w:id="1661"/>
      <w:bookmarkEnd w:id="1662"/>
      <w:bookmarkEnd w:id="1663"/>
      <w:bookmarkEnd w:id="1664"/>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3"/>
        <w:gridCol w:w="2433"/>
        <w:gridCol w:w="1471"/>
        <w:gridCol w:w="3632"/>
        <w:gridCol w:w="107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序号</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条款名称</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合同条目号</w:t>
            </w:r>
          </w:p>
        </w:tc>
        <w:tc>
          <w:tcPr>
            <w:tcW w:w="3632" w:type="dxa"/>
            <w:noWrap w:val="0"/>
            <w:vAlign w:val="center"/>
          </w:tcPr>
          <w:p>
            <w:pPr>
              <w:jc w:val="center"/>
              <w:rPr>
                <w:rFonts w:ascii="宋体" w:hAnsi="宋体"/>
                <w:color w:val="auto"/>
                <w:highlight w:val="none"/>
              </w:rPr>
            </w:pPr>
            <w:r>
              <w:rPr>
                <w:rFonts w:hint="eastAsia" w:ascii="宋体" w:hAnsi="宋体"/>
                <w:color w:val="auto"/>
                <w:highlight w:val="none"/>
              </w:rPr>
              <w:t>约定内容</w:t>
            </w:r>
          </w:p>
        </w:tc>
        <w:tc>
          <w:tcPr>
            <w:tcW w:w="1074" w:type="dxa"/>
            <w:noWrap w:val="0"/>
            <w:vAlign w:val="center"/>
          </w:tcPr>
          <w:p>
            <w:pPr>
              <w:jc w:val="center"/>
              <w:rPr>
                <w:rFonts w:ascii="宋体" w:hAnsi="宋体"/>
                <w:color w:val="auto"/>
                <w:highlight w:val="none"/>
              </w:rPr>
            </w:pPr>
            <w:r>
              <w:rPr>
                <w:rFonts w:hint="eastAsia" w:ascii="宋体" w:hAnsi="宋体"/>
                <w:color w:val="auto"/>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2" w:hRule="atLeas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1</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缺陷责任期</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1.1.4.5</w:t>
            </w:r>
          </w:p>
        </w:tc>
        <w:tc>
          <w:tcPr>
            <w:tcW w:w="3632" w:type="dxa"/>
            <w:noWrap w:val="0"/>
            <w:vAlign w:val="center"/>
          </w:tcPr>
          <w:p>
            <w:pPr>
              <w:rPr>
                <w:rFonts w:ascii="宋体" w:hAnsi="宋体"/>
                <w:color w:val="auto"/>
                <w:highlight w:val="none"/>
              </w:rPr>
            </w:pPr>
            <w:r>
              <w:rPr>
                <w:rFonts w:hint="eastAsia"/>
                <w:color w:val="auto"/>
                <w:szCs w:val="21"/>
                <w:highlight w:val="none"/>
              </w:rPr>
              <w:t>自实际交工日期（交工证书颁发之日）起计算24个月</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2</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逾期交工违约金</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11.5</w:t>
            </w:r>
          </w:p>
        </w:tc>
        <w:tc>
          <w:tcPr>
            <w:tcW w:w="3632" w:type="dxa"/>
            <w:noWrap w:val="0"/>
            <w:vAlign w:val="center"/>
          </w:tcPr>
          <w:p>
            <w:pPr>
              <w:rPr>
                <w:rFonts w:ascii="宋体" w:hAnsi="宋体"/>
                <w:color w:val="auto"/>
                <w:highlight w:val="none"/>
              </w:rPr>
            </w:pPr>
            <w:r>
              <w:rPr>
                <w:rFonts w:hint="eastAsia" w:ascii="宋体" w:hAnsi="宋体"/>
                <w:color w:val="auto"/>
                <w:highlight w:val="none"/>
                <w:u w:val="single"/>
              </w:rPr>
              <w:t>1000</w:t>
            </w:r>
            <w:r>
              <w:rPr>
                <w:rFonts w:hint="eastAsia" w:ascii="宋体" w:hAnsi="宋体"/>
                <w:color w:val="auto"/>
                <w:highlight w:val="none"/>
              </w:rPr>
              <w:t>元/天</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3</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逾期交工违约金限额</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11.5</w:t>
            </w:r>
          </w:p>
        </w:tc>
        <w:tc>
          <w:tcPr>
            <w:tcW w:w="3632" w:type="dxa"/>
            <w:noWrap w:val="0"/>
            <w:vAlign w:val="center"/>
          </w:tcPr>
          <w:p>
            <w:pPr>
              <w:rPr>
                <w:rFonts w:ascii="宋体" w:hAnsi="宋体"/>
                <w:color w:val="auto"/>
                <w:highlight w:val="none"/>
              </w:rPr>
            </w:pPr>
            <w:r>
              <w:rPr>
                <w:rFonts w:hint="eastAsia" w:ascii="宋体" w:hAnsi="宋体"/>
                <w:color w:val="auto"/>
                <w:highlight w:val="none"/>
                <w:u w:val="single"/>
              </w:rPr>
              <w:t>10</w:t>
            </w:r>
            <w:r>
              <w:rPr>
                <w:rFonts w:hint="eastAsia" w:ascii="宋体" w:hAnsi="宋体"/>
                <w:color w:val="auto"/>
                <w:highlight w:val="none"/>
              </w:rPr>
              <w:t>%签约合同价</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2" w:hRule="atLeas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4</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提前交工的奖金</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11.6</w:t>
            </w:r>
          </w:p>
        </w:tc>
        <w:tc>
          <w:tcPr>
            <w:tcW w:w="3632" w:type="dxa"/>
            <w:noWrap w:val="0"/>
            <w:vAlign w:val="center"/>
          </w:tcPr>
          <w:p>
            <w:pPr>
              <w:spacing w:line="240" w:lineRule="exact"/>
              <w:rPr>
                <w:color w:val="auto"/>
                <w:szCs w:val="21"/>
                <w:highlight w:val="none"/>
              </w:rPr>
            </w:pPr>
            <w:r>
              <w:rPr>
                <w:rFonts w:hint="eastAsia"/>
                <w:color w:val="auto"/>
                <w:szCs w:val="21"/>
                <w:highlight w:val="none"/>
              </w:rPr>
              <w:t>无</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2" w:hRule="atLeas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5</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提前交工的奖金限额</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11.6</w:t>
            </w:r>
          </w:p>
        </w:tc>
        <w:tc>
          <w:tcPr>
            <w:tcW w:w="3632" w:type="dxa"/>
            <w:noWrap w:val="0"/>
            <w:vAlign w:val="center"/>
          </w:tcPr>
          <w:p>
            <w:pPr>
              <w:spacing w:line="240" w:lineRule="exact"/>
              <w:rPr>
                <w:color w:val="auto"/>
                <w:szCs w:val="21"/>
                <w:highlight w:val="none"/>
              </w:rPr>
            </w:pPr>
            <w:r>
              <w:rPr>
                <w:rFonts w:hint="eastAsia"/>
                <w:color w:val="auto"/>
                <w:szCs w:val="21"/>
                <w:highlight w:val="none"/>
              </w:rPr>
              <w:t>无</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6</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价格调整的差额计算</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16.1</w:t>
            </w:r>
          </w:p>
        </w:tc>
        <w:tc>
          <w:tcPr>
            <w:tcW w:w="3632" w:type="dxa"/>
            <w:noWrap w:val="0"/>
            <w:vAlign w:val="center"/>
          </w:tcPr>
          <w:p>
            <w:pPr>
              <w:spacing w:line="240" w:lineRule="exact"/>
              <w:rPr>
                <w:rFonts w:hint="eastAsia" w:ascii="宋体" w:hAnsi="宋体"/>
                <w:color w:val="auto"/>
                <w:highlight w:val="none"/>
              </w:rPr>
            </w:pPr>
            <w:r>
              <w:rPr>
                <w:rFonts w:hint="eastAsia" w:ascii="宋体" w:hAnsi="宋体"/>
                <w:color w:val="auto"/>
                <w:highlight w:val="none"/>
              </w:rPr>
              <w:t>因物价波动引起的价格调整按照第16.1.2项约定的原则处理</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7</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开工预付款金额</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17.2.1</w:t>
            </w:r>
          </w:p>
        </w:tc>
        <w:tc>
          <w:tcPr>
            <w:tcW w:w="3632" w:type="dxa"/>
            <w:noWrap w:val="0"/>
            <w:vAlign w:val="center"/>
          </w:tcPr>
          <w:p>
            <w:pPr>
              <w:rPr>
                <w:rFonts w:hint="eastAsia" w:ascii="宋体" w:hAnsi="宋体"/>
                <w:color w:val="auto"/>
                <w:highlight w:val="none"/>
              </w:rPr>
            </w:pPr>
            <w:r>
              <w:rPr>
                <w:rFonts w:hint="eastAsia" w:ascii="宋体" w:hAnsi="宋体"/>
                <w:color w:val="auto"/>
                <w:szCs w:val="22"/>
                <w:highlight w:val="none"/>
              </w:rPr>
              <w:t>10%签约合同价</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8</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材料、设备预付款</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17.2.1</w:t>
            </w:r>
          </w:p>
        </w:tc>
        <w:tc>
          <w:tcPr>
            <w:tcW w:w="3632" w:type="dxa"/>
            <w:noWrap w:val="0"/>
            <w:vAlign w:val="center"/>
          </w:tcPr>
          <w:p>
            <w:pPr>
              <w:rPr>
                <w:rFonts w:ascii="宋体" w:hAnsi="宋体"/>
                <w:color w:val="auto"/>
                <w:highlight w:val="none"/>
              </w:rPr>
            </w:pPr>
            <w:r>
              <w:rPr>
                <w:rFonts w:hint="eastAsia" w:ascii="宋体" w:hAnsi="宋体"/>
                <w:color w:val="auto"/>
                <w:highlight w:val="none"/>
              </w:rPr>
              <w:t>本项目不适用</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653" w:type="dxa"/>
            <w:noWrap w:val="0"/>
            <w:vAlign w:val="center"/>
          </w:tcPr>
          <w:p>
            <w:pPr>
              <w:jc w:val="center"/>
              <w:rPr>
                <w:rFonts w:ascii="宋体" w:hAnsi="宋体"/>
                <w:color w:val="auto"/>
                <w:highlight w:val="none"/>
              </w:rPr>
            </w:pPr>
            <w:r>
              <w:rPr>
                <w:rFonts w:hint="eastAsia" w:ascii="宋体" w:hAnsi="宋体"/>
                <w:color w:val="auto"/>
                <w:highlight w:val="none"/>
              </w:rPr>
              <w:t>9</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进度付款证书最低限额</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17.3.3(1)</w:t>
            </w:r>
          </w:p>
        </w:tc>
        <w:tc>
          <w:tcPr>
            <w:tcW w:w="3632" w:type="dxa"/>
            <w:noWrap w:val="0"/>
            <w:vAlign w:val="center"/>
          </w:tcPr>
          <w:p>
            <w:pPr>
              <w:rPr>
                <w:rFonts w:ascii="宋体" w:hAnsi="宋体"/>
                <w:color w:val="auto"/>
                <w:highlight w:val="none"/>
              </w:rPr>
            </w:pPr>
            <w:r>
              <w:rPr>
                <w:rFonts w:hint="eastAsia" w:ascii="宋体" w:hAnsi="宋体"/>
                <w:color w:val="auto"/>
                <w:highlight w:val="none"/>
              </w:rPr>
              <w:t>50万元</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653" w:type="dxa"/>
            <w:noWrap w:val="0"/>
            <w:vAlign w:val="center"/>
          </w:tcPr>
          <w:p>
            <w:pPr>
              <w:jc w:val="center"/>
              <w:rPr>
                <w:rFonts w:hint="eastAsia" w:ascii="宋体" w:hAnsi="宋体"/>
                <w:color w:val="auto"/>
                <w:highlight w:val="none"/>
              </w:rPr>
            </w:pPr>
            <w:r>
              <w:rPr>
                <w:rFonts w:hint="eastAsia" w:ascii="宋体" w:hAnsi="宋体"/>
                <w:color w:val="auto"/>
                <w:highlight w:val="none"/>
              </w:rPr>
              <w:t>10</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质量保证金限额</w:t>
            </w:r>
          </w:p>
        </w:tc>
        <w:tc>
          <w:tcPr>
            <w:tcW w:w="1471" w:type="dxa"/>
            <w:noWrap w:val="0"/>
            <w:vAlign w:val="center"/>
          </w:tcPr>
          <w:p>
            <w:pPr>
              <w:spacing w:line="300" w:lineRule="exact"/>
              <w:jc w:val="center"/>
              <w:rPr>
                <w:rFonts w:ascii="宋体" w:hAnsi="宋体"/>
                <w:color w:val="auto"/>
                <w:highlight w:val="none"/>
              </w:rPr>
            </w:pPr>
            <w:r>
              <w:rPr>
                <w:rFonts w:hint="eastAsia"/>
                <w:color w:val="auto"/>
                <w:szCs w:val="21"/>
                <w:highlight w:val="none"/>
              </w:rPr>
              <w:t>17.4.1</w:t>
            </w:r>
          </w:p>
        </w:tc>
        <w:tc>
          <w:tcPr>
            <w:tcW w:w="3632" w:type="dxa"/>
            <w:noWrap w:val="0"/>
            <w:vAlign w:val="center"/>
          </w:tcPr>
          <w:p>
            <w:pPr>
              <w:spacing w:line="300" w:lineRule="exact"/>
              <w:jc w:val="left"/>
              <w:rPr>
                <w:rFonts w:hint="eastAsia"/>
                <w:color w:val="auto"/>
                <w:szCs w:val="21"/>
                <w:highlight w:val="none"/>
              </w:rPr>
            </w:pPr>
            <w:r>
              <w:rPr>
                <w:rFonts w:hint="eastAsia"/>
                <w:color w:val="auto"/>
                <w:szCs w:val="21"/>
                <w:highlight w:val="none"/>
              </w:rPr>
              <w:t>工程完工审价结算后支付工程款98.5%，留1.5%的质量保证金。</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653" w:type="dxa"/>
            <w:noWrap w:val="0"/>
            <w:vAlign w:val="center"/>
          </w:tcPr>
          <w:p>
            <w:pPr>
              <w:jc w:val="center"/>
              <w:rPr>
                <w:rFonts w:hint="eastAsia" w:ascii="宋体" w:hAnsi="宋体"/>
                <w:color w:val="auto"/>
                <w:highlight w:val="none"/>
              </w:rPr>
            </w:pPr>
            <w:r>
              <w:rPr>
                <w:rFonts w:hint="eastAsia" w:ascii="宋体" w:hAnsi="宋体"/>
                <w:color w:val="auto"/>
                <w:highlight w:val="none"/>
              </w:rPr>
              <w:t>11</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保留金比例</w:t>
            </w:r>
          </w:p>
        </w:tc>
        <w:tc>
          <w:tcPr>
            <w:tcW w:w="1471" w:type="dxa"/>
            <w:noWrap w:val="0"/>
            <w:vAlign w:val="center"/>
          </w:tcPr>
          <w:p>
            <w:pPr>
              <w:spacing w:line="300" w:lineRule="exact"/>
              <w:jc w:val="center"/>
              <w:rPr>
                <w:rFonts w:ascii="宋体" w:hAnsi="宋体"/>
                <w:color w:val="auto"/>
                <w:highlight w:val="none"/>
              </w:rPr>
            </w:pPr>
            <w:r>
              <w:rPr>
                <w:rFonts w:hint="eastAsia"/>
                <w:color w:val="auto"/>
                <w:szCs w:val="21"/>
                <w:highlight w:val="none"/>
              </w:rPr>
              <w:t>17.4.4</w:t>
            </w:r>
          </w:p>
        </w:tc>
        <w:tc>
          <w:tcPr>
            <w:tcW w:w="3632" w:type="dxa"/>
            <w:noWrap w:val="0"/>
            <w:vAlign w:val="center"/>
          </w:tcPr>
          <w:p>
            <w:pPr>
              <w:spacing w:line="300" w:lineRule="exact"/>
              <w:jc w:val="left"/>
              <w:rPr>
                <w:rFonts w:hint="eastAsia" w:ascii="宋体" w:hAnsi="宋体"/>
                <w:color w:val="auto"/>
                <w:highlight w:val="none"/>
              </w:rPr>
            </w:pPr>
            <w:r>
              <w:rPr>
                <w:rFonts w:hint="eastAsia"/>
                <w:color w:val="auto"/>
                <w:szCs w:val="21"/>
                <w:highlight w:val="none"/>
              </w:rPr>
              <w:t>月支付额的</w:t>
            </w:r>
            <w:r>
              <w:rPr>
                <w:rFonts w:hint="eastAsia"/>
                <w:color w:val="auto"/>
                <w:szCs w:val="21"/>
                <w:highlight w:val="none"/>
                <w:u w:val="single"/>
              </w:rPr>
              <w:t xml:space="preserve">  15  </w:t>
            </w:r>
            <w:r>
              <w:rPr>
                <w:rFonts w:hint="eastAsia"/>
                <w:color w:val="auto"/>
                <w:szCs w:val="21"/>
                <w:highlight w:val="none"/>
              </w:rPr>
              <w:t>%。</w:t>
            </w:r>
          </w:p>
        </w:tc>
        <w:tc>
          <w:tcPr>
            <w:tcW w:w="1074"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9" w:hRule="atLeast"/>
          <w:jc w:val="center"/>
        </w:trPr>
        <w:tc>
          <w:tcPr>
            <w:tcW w:w="653" w:type="dxa"/>
            <w:noWrap w:val="0"/>
            <w:vAlign w:val="center"/>
          </w:tcPr>
          <w:p>
            <w:pPr>
              <w:jc w:val="center"/>
              <w:rPr>
                <w:rFonts w:hint="eastAsia" w:ascii="宋体" w:hAnsi="宋体"/>
                <w:color w:val="auto"/>
                <w:highlight w:val="none"/>
              </w:rPr>
            </w:pPr>
            <w:r>
              <w:rPr>
                <w:rFonts w:hint="eastAsia" w:ascii="宋体" w:hAnsi="宋体"/>
                <w:color w:val="auto"/>
                <w:highlight w:val="none"/>
              </w:rPr>
              <w:t>12</w:t>
            </w:r>
          </w:p>
        </w:tc>
        <w:tc>
          <w:tcPr>
            <w:tcW w:w="2433" w:type="dxa"/>
            <w:noWrap w:val="0"/>
            <w:vAlign w:val="center"/>
          </w:tcPr>
          <w:p>
            <w:pPr>
              <w:jc w:val="center"/>
              <w:rPr>
                <w:rFonts w:ascii="宋体" w:hAnsi="宋体"/>
                <w:color w:val="auto"/>
                <w:highlight w:val="none"/>
              </w:rPr>
            </w:pPr>
            <w:r>
              <w:rPr>
                <w:rFonts w:hint="eastAsia" w:ascii="宋体" w:hAnsi="宋体"/>
                <w:color w:val="auto"/>
                <w:highlight w:val="none"/>
              </w:rPr>
              <w:t>保修期</w:t>
            </w:r>
          </w:p>
        </w:tc>
        <w:tc>
          <w:tcPr>
            <w:tcW w:w="1471" w:type="dxa"/>
            <w:noWrap w:val="0"/>
            <w:vAlign w:val="center"/>
          </w:tcPr>
          <w:p>
            <w:pPr>
              <w:jc w:val="center"/>
              <w:rPr>
                <w:rFonts w:ascii="宋体" w:hAnsi="宋体"/>
                <w:color w:val="auto"/>
                <w:highlight w:val="none"/>
              </w:rPr>
            </w:pPr>
            <w:r>
              <w:rPr>
                <w:rFonts w:hint="eastAsia" w:ascii="宋体" w:hAnsi="宋体"/>
                <w:color w:val="auto"/>
                <w:highlight w:val="none"/>
              </w:rPr>
              <w:t>19.7</w:t>
            </w:r>
          </w:p>
        </w:tc>
        <w:tc>
          <w:tcPr>
            <w:tcW w:w="3632" w:type="dxa"/>
            <w:noWrap w:val="0"/>
            <w:vAlign w:val="center"/>
          </w:tcPr>
          <w:p>
            <w:pPr>
              <w:rPr>
                <w:rFonts w:ascii="宋体" w:hAnsi="宋体"/>
                <w:color w:val="auto"/>
                <w:highlight w:val="none"/>
              </w:rPr>
            </w:pPr>
            <w:r>
              <w:rPr>
                <w:rFonts w:hint="eastAsia"/>
                <w:color w:val="auto"/>
                <w:szCs w:val="21"/>
                <w:highlight w:val="none"/>
              </w:rPr>
              <w:t>自实际交工日期（交工证书颁发之日）起计算24个月</w:t>
            </w:r>
          </w:p>
        </w:tc>
        <w:tc>
          <w:tcPr>
            <w:tcW w:w="1074" w:type="dxa"/>
            <w:noWrap w:val="0"/>
            <w:vAlign w:val="center"/>
          </w:tcPr>
          <w:p>
            <w:pPr>
              <w:jc w:val="center"/>
              <w:rPr>
                <w:rFonts w:ascii="宋体" w:hAnsi="宋体"/>
                <w:color w:val="auto"/>
                <w:highlight w:val="none"/>
              </w:rPr>
            </w:pPr>
          </w:p>
        </w:tc>
      </w:tr>
    </w:tbl>
    <w:p>
      <w:pPr>
        <w:spacing w:before="240" w:beforeLines="100" w:line="500" w:lineRule="exact"/>
        <w:rPr>
          <w:rFonts w:ascii="宋体" w:hAnsi="宋体"/>
          <w:color w:val="auto"/>
          <w:sz w:val="24"/>
          <w:highlight w:val="none"/>
        </w:rPr>
      </w:pPr>
      <w:r>
        <w:rPr>
          <w:rFonts w:hint="eastAsia" w:ascii="宋体" w:hAnsi="宋体"/>
          <w:color w:val="auto"/>
          <w:sz w:val="24"/>
          <w:highlight w:val="none"/>
        </w:rPr>
        <w:t xml:space="preserve">                             投 标 人:</w:t>
      </w:r>
      <w:r>
        <w:rPr>
          <w:rFonts w:hint="eastAsia" w:ascii="宋体" w:hAnsi="宋体"/>
          <w:color w:val="auto"/>
          <w:sz w:val="24"/>
          <w:highlight w:val="none"/>
          <w:u w:val="single"/>
        </w:rPr>
        <w:t xml:space="preserve">                       (</w:t>
      </w:r>
      <w:r>
        <w:rPr>
          <w:rFonts w:hint="eastAsia" w:ascii="宋体" w:hAnsi="宋体"/>
          <w:color w:val="auto"/>
          <w:sz w:val="24"/>
          <w:highlight w:val="none"/>
        </w:rPr>
        <w:t>盖单位章)</w:t>
      </w:r>
    </w:p>
    <w:p>
      <w:pPr>
        <w:spacing w:line="440" w:lineRule="exact"/>
        <w:ind w:firstLine="3444" w:firstLineChars="1435"/>
        <w:rPr>
          <w:rFonts w:ascii="宋体" w:hAnsi="宋体"/>
          <w:color w:val="auto"/>
          <w:sz w:val="24"/>
          <w:highlight w:val="none"/>
        </w:rPr>
      </w:pPr>
      <w:r>
        <w:rPr>
          <w:rFonts w:hint="eastAsia" w:ascii="宋体" w:hAnsi="宋体"/>
          <w:color w:val="auto"/>
          <w:sz w:val="24"/>
          <w:highlight w:val="none"/>
        </w:rPr>
        <w:t>投标文件签署人签名:</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pPr>
        <w:pStyle w:val="5"/>
        <w:jc w:val="center"/>
        <w:rPr>
          <w:rFonts w:hint="eastAsia" w:ascii="黑体"/>
          <w:b w:val="0"/>
          <w:color w:val="auto"/>
          <w:highlight w:val="none"/>
        </w:rPr>
      </w:pPr>
      <w:r>
        <w:rPr>
          <w:rFonts w:ascii="宋体" w:hAnsi="宋体"/>
          <w:color w:val="auto"/>
          <w:sz w:val="24"/>
          <w:highlight w:val="none"/>
        </w:rPr>
        <w:br w:type="page"/>
      </w:r>
      <w:bookmarkStart w:id="1665" w:name="_Toc233215028"/>
      <w:bookmarkStart w:id="1666" w:name="_Toc233423358"/>
      <w:bookmarkStart w:id="1667" w:name="_Toc360486020"/>
      <w:bookmarkStart w:id="1668" w:name="_Toc466366138"/>
      <w:bookmarkStart w:id="1669" w:name="_Toc5620"/>
      <w:bookmarkStart w:id="1670" w:name="_Toc233436016"/>
      <w:bookmarkStart w:id="1671" w:name="_Toc237255186"/>
      <w:bookmarkStart w:id="1672" w:name="_Toc292754880"/>
      <w:bookmarkStart w:id="1673" w:name="_Toc31413"/>
      <w:bookmarkStart w:id="1674" w:name="_Toc262646491"/>
      <w:bookmarkStart w:id="1675" w:name="_Toc233429875"/>
      <w:bookmarkStart w:id="1676" w:name="_Toc237400245"/>
      <w:bookmarkStart w:id="1677" w:name="_Toc235846538"/>
      <w:bookmarkStart w:id="1678" w:name="_Toc233290473"/>
      <w:bookmarkStart w:id="1679" w:name="_Toc32234"/>
      <w:r>
        <w:rPr>
          <w:rFonts w:hint="eastAsia" w:ascii="黑体"/>
          <w:b w:val="0"/>
          <w:color w:val="auto"/>
          <w:highlight w:val="none"/>
        </w:rPr>
        <w:t>二、法定代表人身份证明及授权委托书</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6"/>
        <w:jc w:val="center"/>
        <w:rPr>
          <w:rFonts w:hint="eastAsia" w:ascii="黑体" w:eastAsia="黑体"/>
          <w:b w:val="0"/>
          <w:color w:val="auto"/>
          <w:sz w:val="28"/>
          <w:szCs w:val="28"/>
          <w:highlight w:val="none"/>
        </w:rPr>
      </w:pPr>
      <w:bookmarkStart w:id="1680" w:name="_Toc262646492"/>
      <w:bookmarkStart w:id="1681" w:name="_Toc22148"/>
      <w:bookmarkStart w:id="1682" w:name="_Toc235846539"/>
      <w:bookmarkStart w:id="1683" w:name="_Toc233290474"/>
      <w:bookmarkStart w:id="1684" w:name="_Toc233429876"/>
      <w:bookmarkStart w:id="1685" w:name="_Toc237255187"/>
      <w:bookmarkStart w:id="1686" w:name="_Toc360486021"/>
      <w:bookmarkStart w:id="1687" w:name="_Toc233423359"/>
      <w:bookmarkStart w:id="1688" w:name="_Toc292754881"/>
      <w:bookmarkStart w:id="1689" w:name="_Toc466366139"/>
      <w:bookmarkStart w:id="1690" w:name="_Toc14901"/>
      <w:bookmarkStart w:id="1691" w:name="_Toc237400246"/>
      <w:bookmarkStart w:id="1692" w:name="_Toc233215029"/>
      <w:bookmarkStart w:id="1693" w:name="_Toc17385"/>
      <w:bookmarkStart w:id="1694" w:name="_Toc233436017"/>
      <w:r>
        <w:rPr>
          <w:rFonts w:hint="eastAsia" w:ascii="黑体" w:eastAsia="黑体"/>
          <w:b w:val="0"/>
          <w:color w:val="auto"/>
          <w:sz w:val="28"/>
          <w:szCs w:val="28"/>
          <w:highlight w:val="none"/>
        </w:rPr>
        <w:t>（一）法定代表人身份证明</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spacing w:line="420" w:lineRule="exact"/>
        <w:ind w:firstLine="480" w:firstLineChars="200"/>
        <w:rPr>
          <w:rFonts w:hint="eastAsia" w:ascii="黑体" w:eastAsia="黑体"/>
          <w:color w:val="auto"/>
          <w:sz w:val="24"/>
          <w:highlight w:val="none"/>
        </w:rPr>
      </w:pPr>
    </w:p>
    <w:p>
      <w:pPr>
        <w:spacing w:line="420" w:lineRule="exact"/>
        <w:ind w:firstLine="480" w:firstLineChars="200"/>
        <w:rPr>
          <w:color w:val="auto"/>
          <w:sz w:val="24"/>
          <w:highlight w:val="none"/>
        </w:rPr>
      </w:pPr>
      <w:r>
        <w:rPr>
          <w:rFonts w:hAnsi="宋体"/>
          <w:color w:val="auto"/>
          <w:sz w:val="24"/>
          <w:highlight w:val="none"/>
        </w:rPr>
        <w:t>投标人名称：</w:t>
      </w:r>
      <w:r>
        <w:rPr>
          <w:color w:val="auto"/>
          <w:sz w:val="24"/>
          <w:highlight w:val="none"/>
          <w:u w:val="single"/>
        </w:rPr>
        <w:t xml:space="preserve">                           </w:t>
      </w:r>
      <w:r>
        <w:rPr>
          <w:color w:val="auto"/>
          <w:sz w:val="24"/>
          <w:highlight w:val="none"/>
        </w:rPr>
        <w:t xml:space="preserve"> </w:t>
      </w:r>
    </w:p>
    <w:p>
      <w:pPr>
        <w:spacing w:line="420" w:lineRule="exact"/>
        <w:ind w:firstLine="480" w:firstLineChars="200"/>
        <w:rPr>
          <w:color w:val="auto"/>
          <w:sz w:val="24"/>
          <w:highlight w:val="none"/>
        </w:rPr>
      </w:pPr>
      <w:r>
        <w:rPr>
          <w:rFonts w:hAnsi="宋体"/>
          <w:color w:val="auto"/>
          <w:sz w:val="24"/>
          <w:highlight w:val="none"/>
        </w:rPr>
        <w:t>单位性质：</w:t>
      </w:r>
      <w:r>
        <w:rPr>
          <w:color w:val="auto"/>
          <w:sz w:val="24"/>
          <w:highlight w:val="none"/>
          <w:u w:val="single"/>
        </w:rPr>
        <w:t xml:space="preserve">                             </w:t>
      </w:r>
    </w:p>
    <w:p>
      <w:pPr>
        <w:spacing w:line="420" w:lineRule="exact"/>
        <w:ind w:firstLine="480" w:firstLineChars="200"/>
        <w:rPr>
          <w:color w:val="auto"/>
          <w:sz w:val="24"/>
          <w:highlight w:val="none"/>
        </w:rPr>
      </w:pPr>
      <w:r>
        <w:rPr>
          <w:rFonts w:hAnsi="宋体"/>
          <w:color w:val="auto"/>
          <w:sz w:val="24"/>
          <w:highlight w:val="none"/>
        </w:rPr>
        <w:t>地址：</w:t>
      </w:r>
      <w:r>
        <w:rPr>
          <w:color w:val="auto"/>
          <w:sz w:val="24"/>
          <w:highlight w:val="none"/>
          <w:u w:val="single"/>
        </w:rPr>
        <w:t xml:space="preserve">                                 </w:t>
      </w:r>
      <w:r>
        <w:rPr>
          <w:color w:val="auto"/>
          <w:sz w:val="24"/>
          <w:highlight w:val="none"/>
        </w:rPr>
        <w:t xml:space="preserve"> </w:t>
      </w:r>
    </w:p>
    <w:p>
      <w:pPr>
        <w:spacing w:line="420" w:lineRule="exact"/>
        <w:ind w:firstLine="480" w:firstLineChars="200"/>
        <w:rPr>
          <w:color w:val="auto"/>
          <w:sz w:val="24"/>
          <w:highlight w:val="none"/>
        </w:rPr>
      </w:pPr>
      <w:r>
        <w:rPr>
          <w:rFonts w:hAnsi="宋体"/>
          <w:color w:val="auto"/>
          <w:sz w:val="24"/>
          <w:highlight w:val="none"/>
        </w:rPr>
        <w:t>成立时间：</w:t>
      </w:r>
      <w:r>
        <w:rPr>
          <w:color w:val="auto"/>
          <w:sz w:val="24"/>
          <w:highlight w:val="none"/>
          <w:u w:val="single"/>
        </w:rPr>
        <w:t xml:space="preserve">       </w:t>
      </w:r>
      <w:r>
        <w:rPr>
          <w:rFonts w:hAnsi="宋体"/>
          <w:color w:val="auto"/>
          <w:sz w:val="24"/>
          <w:highlight w:val="none"/>
        </w:rPr>
        <w:t>年</w:t>
      </w:r>
      <w:r>
        <w:rPr>
          <w:color w:val="auto"/>
          <w:sz w:val="24"/>
          <w:highlight w:val="none"/>
          <w:u w:val="single"/>
        </w:rPr>
        <w:t xml:space="preserve">    </w:t>
      </w:r>
      <w:r>
        <w:rPr>
          <w:rFonts w:hAnsi="宋体"/>
          <w:color w:val="auto"/>
          <w:sz w:val="24"/>
          <w:highlight w:val="none"/>
        </w:rPr>
        <w:t>月</w:t>
      </w:r>
      <w:r>
        <w:rPr>
          <w:color w:val="auto"/>
          <w:sz w:val="24"/>
          <w:highlight w:val="none"/>
          <w:u w:val="single"/>
        </w:rPr>
        <w:t xml:space="preserve">    </w:t>
      </w:r>
      <w:r>
        <w:rPr>
          <w:rFonts w:hAnsi="宋体"/>
          <w:color w:val="auto"/>
          <w:sz w:val="24"/>
          <w:highlight w:val="none"/>
        </w:rPr>
        <w:t>日</w:t>
      </w:r>
    </w:p>
    <w:p>
      <w:pPr>
        <w:spacing w:line="420" w:lineRule="exact"/>
        <w:ind w:firstLine="480" w:firstLineChars="200"/>
        <w:rPr>
          <w:color w:val="auto"/>
          <w:sz w:val="24"/>
          <w:highlight w:val="none"/>
        </w:rPr>
      </w:pPr>
      <w:r>
        <w:rPr>
          <w:rFonts w:hAnsi="宋体"/>
          <w:color w:val="auto"/>
          <w:sz w:val="24"/>
          <w:highlight w:val="none"/>
        </w:rPr>
        <w:t>经营期限：</w:t>
      </w:r>
    </w:p>
    <w:p>
      <w:pPr>
        <w:spacing w:line="420" w:lineRule="exact"/>
        <w:ind w:firstLine="480" w:firstLineChars="200"/>
        <w:rPr>
          <w:color w:val="auto"/>
          <w:sz w:val="24"/>
          <w:highlight w:val="none"/>
        </w:rPr>
      </w:pPr>
      <w:r>
        <w:rPr>
          <w:rFonts w:hAnsi="宋体"/>
          <w:color w:val="auto"/>
          <w:sz w:val="24"/>
          <w:highlight w:val="none"/>
        </w:rPr>
        <w:t>姓名：</w:t>
      </w:r>
      <w:r>
        <w:rPr>
          <w:rFonts w:hAnsi="宋体"/>
          <w:color w:val="auto"/>
          <w:sz w:val="24"/>
          <w:highlight w:val="none"/>
          <w:u w:val="single"/>
        </w:rPr>
        <w:t>（法定代表人签字）</w:t>
      </w:r>
      <w:r>
        <w:rPr>
          <w:rFonts w:hAnsi="宋体"/>
          <w:color w:val="auto"/>
          <w:sz w:val="24"/>
          <w:highlight w:val="none"/>
        </w:rPr>
        <w:t>性别：</w:t>
      </w:r>
      <w:r>
        <w:rPr>
          <w:color w:val="auto"/>
          <w:sz w:val="24"/>
          <w:highlight w:val="none"/>
          <w:u w:val="single"/>
        </w:rPr>
        <w:t xml:space="preserve">    </w:t>
      </w:r>
      <w:r>
        <w:rPr>
          <w:rFonts w:hAnsi="宋体"/>
          <w:color w:val="auto"/>
          <w:sz w:val="24"/>
          <w:highlight w:val="none"/>
        </w:rPr>
        <w:t>年龄：</w:t>
      </w:r>
      <w:r>
        <w:rPr>
          <w:color w:val="auto"/>
          <w:sz w:val="24"/>
          <w:highlight w:val="none"/>
          <w:u w:val="single"/>
        </w:rPr>
        <w:t xml:space="preserve">    </w:t>
      </w:r>
      <w:r>
        <w:rPr>
          <w:rFonts w:hAnsi="宋体"/>
          <w:color w:val="auto"/>
          <w:sz w:val="24"/>
          <w:highlight w:val="none"/>
        </w:rPr>
        <w:t>职务：</w:t>
      </w:r>
      <w:r>
        <w:rPr>
          <w:color w:val="auto"/>
          <w:sz w:val="24"/>
          <w:highlight w:val="none"/>
          <w:u w:val="single"/>
        </w:rPr>
        <w:t xml:space="preserve">        </w:t>
      </w:r>
      <w:r>
        <w:rPr>
          <w:rFonts w:hAnsi="宋体"/>
          <w:color w:val="auto"/>
          <w:sz w:val="24"/>
          <w:highlight w:val="none"/>
        </w:rPr>
        <w:t>系</w:t>
      </w:r>
      <w:r>
        <w:rPr>
          <w:rFonts w:hAnsi="宋体"/>
          <w:color w:val="auto"/>
          <w:sz w:val="24"/>
          <w:highlight w:val="none"/>
          <w:u w:val="single"/>
        </w:rPr>
        <w:t>（投标人名称）</w:t>
      </w:r>
      <w:r>
        <w:rPr>
          <w:rFonts w:hAnsi="宋体"/>
          <w:color w:val="auto"/>
          <w:sz w:val="24"/>
          <w:highlight w:val="none"/>
        </w:rPr>
        <w:t>的法定代表人。</w:t>
      </w:r>
    </w:p>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r>
        <w:rPr>
          <w:rFonts w:hAnsi="宋体"/>
          <w:color w:val="auto"/>
          <w:sz w:val="24"/>
          <w:highlight w:val="none"/>
        </w:rPr>
        <w:t>特此证明</w:t>
      </w:r>
    </w:p>
    <w:p>
      <w:pPr>
        <w:spacing w:line="420" w:lineRule="exact"/>
        <w:ind w:firstLine="480" w:firstLineChars="200"/>
        <w:rPr>
          <w:color w:val="auto"/>
          <w:sz w:val="24"/>
          <w:highlight w:val="none"/>
        </w:rPr>
      </w:pPr>
    </w:p>
    <w:p>
      <w:pPr>
        <w:spacing w:line="420" w:lineRule="exact"/>
        <w:ind w:firstLine="5040" w:firstLineChars="2100"/>
        <w:rPr>
          <w:color w:val="auto"/>
          <w:sz w:val="24"/>
          <w:highlight w:val="none"/>
        </w:rPr>
      </w:pPr>
      <w:r>
        <w:rPr>
          <w:rFonts w:hAnsi="宋体"/>
          <w:color w:val="auto"/>
          <w:sz w:val="24"/>
          <w:highlight w:val="none"/>
        </w:rPr>
        <w:t>投标人：</w:t>
      </w:r>
      <w:r>
        <w:rPr>
          <w:color w:val="auto"/>
          <w:sz w:val="24"/>
          <w:highlight w:val="none"/>
          <w:u w:val="single"/>
        </w:rPr>
        <w:t xml:space="preserve">               </w:t>
      </w:r>
      <w:r>
        <w:rPr>
          <w:rFonts w:hAnsi="宋体"/>
          <w:color w:val="auto"/>
          <w:sz w:val="24"/>
          <w:highlight w:val="none"/>
        </w:rPr>
        <w:t>（盖单位章）</w:t>
      </w:r>
    </w:p>
    <w:p>
      <w:pPr>
        <w:spacing w:line="420" w:lineRule="exact"/>
        <w:ind w:firstLine="6360" w:firstLineChars="2650"/>
        <w:rPr>
          <w:color w:val="auto"/>
          <w:sz w:val="24"/>
          <w:highlight w:val="none"/>
          <w:u w:val="single"/>
        </w:rPr>
      </w:pPr>
    </w:p>
    <w:p>
      <w:pPr>
        <w:spacing w:line="420" w:lineRule="exact"/>
        <w:ind w:firstLine="6360" w:firstLineChars="2650"/>
        <w:rPr>
          <w:rFonts w:hint="eastAsia" w:hAnsi="宋体"/>
          <w:color w:val="auto"/>
          <w:sz w:val="24"/>
          <w:highlight w:val="none"/>
        </w:rPr>
      </w:pPr>
      <w:r>
        <w:rPr>
          <w:color w:val="auto"/>
          <w:sz w:val="24"/>
          <w:highlight w:val="none"/>
          <w:u w:val="single"/>
        </w:rPr>
        <w:t xml:space="preserve">      </w:t>
      </w:r>
      <w:r>
        <w:rPr>
          <w:rFonts w:hAnsi="宋体"/>
          <w:color w:val="auto"/>
          <w:sz w:val="24"/>
          <w:highlight w:val="none"/>
        </w:rPr>
        <w:t>年</w:t>
      </w:r>
      <w:r>
        <w:rPr>
          <w:color w:val="auto"/>
          <w:sz w:val="24"/>
          <w:highlight w:val="none"/>
          <w:u w:val="single"/>
        </w:rPr>
        <w:t xml:space="preserve">    </w:t>
      </w:r>
      <w:r>
        <w:rPr>
          <w:rFonts w:hAnsi="宋体"/>
          <w:color w:val="auto"/>
          <w:sz w:val="24"/>
          <w:highlight w:val="none"/>
        </w:rPr>
        <w:t>月</w:t>
      </w:r>
      <w:r>
        <w:rPr>
          <w:color w:val="auto"/>
          <w:sz w:val="24"/>
          <w:highlight w:val="none"/>
          <w:u w:val="single"/>
        </w:rPr>
        <w:t xml:space="preserve">    </w:t>
      </w:r>
      <w:r>
        <w:rPr>
          <w:rFonts w:hAnsi="宋体"/>
          <w:color w:val="auto"/>
          <w:sz w:val="24"/>
          <w:highlight w:val="none"/>
        </w:rPr>
        <w:t>日</w:t>
      </w:r>
    </w:p>
    <w:p>
      <w:pPr>
        <w:spacing w:line="420" w:lineRule="exact"/>
        <w:ind w:firstLine="6360" w:firstLineChars="2650"/>
        <w:rPr>
          <w:rFonts w:hint="eastAsia" w:hAnsi="宋体"/>
          <w:color w:val="auto"/>
          <w:sz w:val="24"/>
          <w:highlight w:val="none"/>
        </w:rPr>
      </w:pPr>
    </w:p>
    <w:p>
      <w:pPr>
        <w:spacing w:line="420" w:lineRule="exact"/>
        <w:ind w:firstLine="6360" w:firstLineChars="2650"/>
        <w:rPr>
          <w:rFonts w:hint="eastAsia" w:hAnsi="宋体"/>
          <w:color w:val="auto"/>
          <w:sz w:val="24"/>
          <w:highlight w:val="none"/>
        </w:rPr>
      </w:pPr>
    </w:p>
    <w:p>
      <w:pPr>
        <w:spacing w:line="420" w:lineRule="exact"/>
        <w:ind w:firstLine="6360" w:firstLineChars="2650"/>
        <w:rPr>
          <w:rFonts w:hint="eastAsia" w:hAnsi="宋体"/>
          <w:color w:val="auto"/>
          <w:sz w:val="24"/>
          <w:highlight w:val="none"/>
        </w:rPr>
      </w:pPr>
    </w:p>
    <w:p>
      <w:pPr>
        <w:spacing w:line="420" w:lineRule="exact"/>
        <w:ind w:firstLine="6360" w:firstLineChars="2650"/>
        <w:rPr>
          <w:rFonts w:hint="eastAsia" w:hAnsi="宋体"/>
          <w:color w:val="auto"/>
          <w:sz w:val="24"/>
          <w:highlight w:val="none"/>
        </w:rPr>
      </w:pPr>
    </w:p>
    <w:p>
      <w:pPr>
        <w:spacing w:line="420" w:lineRule="exact"/>
        <w:rPr>
          <w:color w:val="auto"/>
          <w:sz w:val="24"/>
          <w:highlight w:val="none"/>
        </w:rPr>
        <w:sectPr>
          <w:headerReference r:id="rId6" w:type="first"/>
          <w:footerReference r:id="rId8" w:type="first"/>
          <w:headerReference r:id="rId5" w:type="default"/>
          <w:footerReference r:id="rId7" w:type="default"/>
          <w:pgSz w:w="11906" w:h="16838"/>
          <w:pgMar w:top="1474" w:right="1418" w:bottom="1247" w:left="1418" w:header="851" w:footer="992" w:gutter="0"/>
          <w:cols w:space="720" w:num="1"/>
          <w:docGrid w:linePitch="312" w:charSpace="0"/>
        </w:sectPr>
      </w:pPr>
      <w:r>
        <w:rPr>
          <w:rFonts w:hint="eastAsia" w:hAnsi="宋体"/>
          <w:color w:val="auto"/>
          <w:szCs w:val="21"/>
          <w:highlight w:val="none"/>
        </w:rPr>
        <w:t>注：法定代表人的签字必须是亲笔签名，不得使用印章、签名章或其他电子制版签名。</w:t>
      </w:r>
    </w:p>
    <w:p>
      <w:pPr>
        <w:pStyle w:val="6"/>
        <w:jc w:val="center"/>
        <w:rPr>
          <w:rFonts w:hint="eastAsia" w:ascii="黑体" w:eastAsia="黑体"/>
          <w:b w:val="0"/>
          <w:color w:val="auto"/>
          <w:sz w:val="28"/>
          <w:szCs w:val="28"/>
          <w:highlight w:val="none"/>
        </w:rPr>
      </w:pPr>
      <w:bookmarkStart w:id="1695" w:name="_Toc6901"/>
      <w:bookmarkStart w:id="1696" w:name="_Toc235846540"/>
      <w:bookmarkStart w:id="1697" w:name="_Toc233215030"/>
      <w:bookmarkStart w:id="1698" w:name="_Toc24209"/>
      <w:bookmarkStart w:id="1699" w:name="_Toc360486022"/>
      <w:bookmarkStart w:id="1700" w:name="_Toc237255188"/>
      <w:bookmarkStart w:id="1701" w:name="_Toc466366140"/>
      <w:bookmarkStart w:id="1702" w:name="_Toc233423360"/>
      <w:bookmarkStart w:id="1703" w:name="_Toc292754882"/>
      <w:bookmarkStart w:id="1704" w:name="_Toc20692"/>
      <w:bookmarkStart w:id="1705" w:name="_Toc237400247"/>
      <w:bookmarkStart w:id="1706" w:name="_Toc233436018"/>
      <w:bookmarkStart w:id="1707" w:name="_Toc262646493"/>
      <w:bookmarkStart w:id="1708" w:name="_Toc233429877"/>
      <w:bookmarkStart w:id="1709" w:name="_Toc233290475"/>
      <w:r>
        <w:rPr>
          <w:rFonts w:hint="eastAsia" w:ascii="黑体" w:eastAsia="黑体"/>
          <w:b w:val="0"/>
          <w:color w:val="auto"/>
          <w:sz w:val="28"/>
          <w:szCs w:val="28"/>
          <w:highlight w:val="none"/>
        </w:rPr>
        <w:t>（二）授权委托书</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spacing w:line="420" w:lineRule="exact"/>
        <w:ind w:firstLine="420" w:firstLineChars="200"/>
        <w:rPr>
          <w:color w:val="auto"/>
          <w:szCs w:val="21"/>
          <w:highlight w:val="none"/>
        </w:rPr>
      </w:pPr>
      <w:r>
        <w:rPr>
          <w:rFonts w:hAnsi="宋体"/>
          <w:color w:val="auto"/>
          <w:szCs w:val="21"/>
          <w:highlight w:val="none"/>
        </w:rPr>
        <w:t>本人</w:t>
      </w:r>
      <w:r>
        <w:rPr>
          <w:color w:val="auto"/>
          <w:szCs w:val="21"/>
          <w:highlight w:val="none"/>
          <w:u w:val="single"/>
        </w:rPr>
        <w:t xml:space="preserve">         </w:t>
      </w:r>
      <w:r>
        <w:rPr>
          <w:rFonts w:hAnsi="宋体"/>
          <w:color w:val="auto"/>
          <w:szCs w:val="21"/>
          <w:highlight w:val="none"/>
        </w:rPr>
        <w:t>（姓名）系</w:t>
      </w:r>
      <w:r>
        <w:rPr>
          <w:color w:val="auto"/>
          <w:szCs w:val="21"/>
          <w:highlight w:val="none"/>
          <w:u w:val="single"/>
        </w:rPr>
        <w:t xml:space="preserve">                 </w:t>
      </w:r>
      <w:r>
        <w:rPr>
          <w:rFonts w:hAnsi="宋体"/>
          <w:color w:val="auto"/>
          <w:szCs w:val="21"/>
          <w:highlight w:val="none"/>
        </w:rPr>
        <w:t>（投标人名称）的法定代表人，现委托</w:t>
      </w:r>
      <w:r>
        <w:rPr>
          <w:color w:val="auto"/>
          <w:szCs w:val="21"/>
          <w:highlight w:val="none"/>
          <w:u w:val="single"/>
        </w:rPr>
        <w:t xml:space="preserve">          </w:t>
      </w:r>
      <w:r>
        <w:rPr>
          <w:rFonts w:hAnsi="宋体"/>
          <w:color w:val="auto"/>
          <w:szCs w:val="21"/>
          <w:highlight w:val="none"/>
        </w:rPr>
        <w:t>（姓名）为我方代理人。代理人根据授权，以我方名义签署、澄清、说明、补正、递交、撤回、修改</w:t>
      </w:r>
      <w:r>
        <w:rPr>
          <w:rFonts w:hint="eastAsia" w:hAnsi="宋体"/>
          <w:color w:val="auto"/>
          <w:szCs w:val="21"/>
          <w:highlight w:val="none"/>
          <w:u w:val="single"/>
          <w:lang w:eastAsia="zh-CN"/>
        </w:rPr>
        <w:t>南麂镇新码头自然村到国姓岙自然村道路提升工程</w:t>
      </w:r>
      <w:r>
        <w:rPr>
          <w:rFonts w:hint="eastAsia" w:hAnsi="宋体"/>
          <w:color w:val="auto"/>
          <w:szCs w:val="21"/>
          <w:highlight w:val="none"/>
        </w:rPr>
        <w:t>施工</w:t>
      </w:r>
      <w:r>
        <w:rPr>
          <w:rFonts w:hAnsi="宋体"/>
          <w:color w:val="auto"/>
          <w:szCs w:val="21"/>
          <w:highlight w:val="none"/>
        </w:rPr>
        <w:t>投标文件、签订合同和处理有关事宜，其法律后果由我方承担。</w:t>
      </w:r>
    </w:p>
    <w:p>
      <w:pPr>
        <w:spacing w:line="420" w:lineRule="exact"/>
        <w:ind w:firstLine="420" w:firstLineChars="200"/>
        <w:rPr>
          <w:color w:val="auto"/>
          <w:szCs w:val="21"/>
          <w:highlight w:val="none"/>
        </w:rPr>
      </w:pPr>
      <w:r>
        <w:rPr>
          <w:rFonts w:hAnsi="宋体"/>
          <w:color w:val="auto"/>
          <w:szCs w:val="21"/>
          <w:highlight w:val="none"/>
        </w:rPr>
        <w:t>委托期限：</w:t>
      </w:r>
      <w:r>
        <w:rPr>
          <w:color w:val="auto"/>
          <w:szCs w:val="21"/>
          <w:highlight w:val="none"/>
          <w:u w:val="single"/>
        </w:rPr>
        <w:t xml:space="preserve">               </w:t>
      </w:r>
      <w:r>
        <w:rPr>
          <w:rFonts w:hAnsi="宋体"/>
          <w:color w:val="auto"/>
          <w:szCs w:val="21"/>
          <w:highlight w:val="none"/>
        </w:rPr>
        <w:t>。</w:t>
      </w:r>
    </w:p>
    <w:p>
      <w:pPr>
        <w:spacing w:line="420" w:lineRule="exact"/>
        <w:ind w:firstLine="420" w:firstLineChars="200"/>
        <w:rPr>
          <w:color w:val="auto"/>
          <w:szCs w:val="21"/>
          <w:highlight w:val="none"/>
        </w:rPr>
      </w:pPr>
      <w:r>
        <w:rPr>
          <w:rFonts w:hAnsi="宋体"/>
          <w:color w:val="auto"/>
          <w:szCs w:val="21"/>
          <w:highlight w:val="none"/>
        </w:rPr>
        <w:t>代理人无转委托权。</w:t>
      </w:r>
    </w:p>
    <w:p>
      <w:pPr>
        <w:spacing w:line="420" w:lineRule="exact"/>
        <w:ind w:firstLine="420" w:firstLineChars="200"/>
        <w:rPr>
          <w:color w:val="auto"/>
          <w:szCs w:val="21"/>
          <w:highlight w:val="none"/>
        </w:rPr>
      </w:pPr>
      <w:r>
        <w:rPr>
          <w:rFonts w:hAnsi="宋体"/>
          <w:color w:val="auto"/>
          <w:szCs w:val="21"/>
          <w:highlight w:val="none"/>
        </w:rPr>
        <w:t>附：法定代表人身份证明</w:t>
      </w:r>
      <w:r>
        <w:rPr>
          <w:rFonts w:hint="eastAsia" w:hAnsi="宋体"/>
          <w:color w:val="auto"/>
          <w:szCs w:val="21"/>
          <w:highlight w:val="none"/>
        </w:rPr>
        <w:t>和授权代理人身份证正反面复印件</w:t>
      </w:r>
    </w:p>
    <w:p>
      <w:pPr>
        <w:spacing w:line="420" w:lineRule="exact"/>
        <w:ind w:firstLine="420" w:firstLineChars="200"/>
        <w:rPr>
          <w:color w:val="auto"/>
          <w:szCs w:val="21"/>
          <w:highlight w:val="none"/>
        </w:rPr>
      </w:pPr>
    </w:p>
    <w:p>
      <w:pPr>
        <w:spacing w:line="420" w:lineRule="exact"/>
        <w:ind w:firstLine="4410" w:firstLineChars="2100"/>
        <w:rPr>
          <w:color w:val="auto"/>
          <w:szCs w:val="21"/>
          <w:highlight w:val="none"/>
        </w:rPr>
      </w:pPr>
      <w:r>
        <w:rPr>
          <w:rFonts w:hAnsi="宋体"/>
          <w:color w:val="auto"/>
          <w:szCs w:val="21"/>
          <w:highlight w:val="none"/>
        </w:rPr>
        <w:t>投标人：</w:t>
      </w:r>
      <w:r>
        <w:rPr>
          <w:color w:val="auto"/>
          <w:szCs w:val="21"/>
          <w:highlight w:val="none"/>
          <w:u w:val="single"/>
        </w:rPr>
        <w:t xml:space="preserve">               </w:t>
      </w:r>
      <w:r>
        <w:rPr>
          <w:rFonts w:hAnsi="宋体"/>
          <w:color w:val="auto"/>
          <w:szCs w:val="21"/>
          <w:highlight w:val="none"/>
        </w:rPr>
        <w:t>（盖单位章）</w:t>
      </w:r>
    </w:p>
    <w:p>
      <w:pPr>
        <w:spacing w:line="420" w:lineRule="exact"/>
        <w:ind w:firstLine="4410" w:firstLineChars="2100"/>
        <w:rPr>
          <w:color w:val="auto"/>
          <w:szCs w:val="21"/>
          <w:highlight w:val="none"/>
        </w:rPr>
      </w:pPr>
      <w:r>
        <w:rPr>
          <w:rFonts w:hAnsi="宋体"/>
          <w:color w:val="auto"/>
          <w:szCs w:val="21"/>
          <w:highlight w:val="none"/>
        </w:rPr>
        <w:t>法定代表人：</w:t>
      </w:r>
      <w:r>
        <w:rPr>
          <w:color w:val="auto"/>
          <w:szCs w:val="21"/>
          <w:highlight w:val="none"/>
          <w:u w:val="single"/>
        </w:rPr>
        <w:t xml:space="preserve">               </w:t>
      </w:r>
      <w:r>
        <w:rPr>
          <w:rFonts w:hAnsi="宋体"/>
          <w:color w:val="auto"/>
          <w:szCs w:val="21"/>
          <w:highlight w:val="none"/>
        </w:rPr>
        <w:t>（签字）</w:t>
      </w:r>
    </w:p>
    <w:p>
      <w:pPr>
        <w:spacing w:line="420" w:lineRule="exact"/>
        <w:ind w:firstLine="4410" w:firstLineChars="2100"/>
        <w:rPr>
          <w:color w:val="auto"/>
          <w:szCs w:val="21"/>
          <w:highlight w:val="none"/>
        </w:rPr>
      </w:pPr>
      <w:r>
        <w:rPr>
          <w:rFonts w:hAnsi="宋体"/>
          <w:color w:val="auto"/>
          <w:szCs w:val="21"/>
          <w:highlight w:val="none"/>
        </w:rPr>
        <w:t>身份证号码：</w:t>
      </w:r>
      <w:r>
        <w:rPr>
          <w:color w:val="auto"/>
          <w:szCs w:val="21"/>
          <w:highlight w:val="none"/>
          <w:u w:val="single"/>
        </w:rPr>
        <w:t xml:space="preserve">                     </w:t>
      </w:r>
      <w:r>
        <w:rPr>
          <w:color w:val="auto"/>
          <w:szCs w:val="21"/>
          <w:highlight w:val="none"/>
        </w:rPr>
        <w:t xml:space="preserve"> </w:t>
      </w:r>
    </w:p>
    <w:p>
      <w:pPr>
        <w:spacing w:line="420" w:lineRule="exact"/>
        <w:ind w:firstLine="4410" w:firstLineChars="2100"/>
        <w:rPr>
          <w:color w:val="auto"/>
          <w:szCs w:val="21"/>
          <w:highlight w:val="none"/>
        </w:rPr>
      </w:pPr>
      <w:r>
        <w:rPr>
          <w:rFonts w:hAnsi="宋体"/>
          <w:color w:val="auto"/>
          <w:szCs w:val="21"/>
          <w:highlight w:val="none"/>
        </w:rPr>
        <w:t>委托代理人：</w:t>
      </w:r>
      <w:r>
        <w:rPr>
          <w:color w:val="auto"/>
          <w:szCs w:val="21"/>
          <w:highlight w:val="none"/>
          <w:u w:val="single"/>
        </w:rPr>
        <w:t xml:space="preserve">               </w:t>
      </w:r>
      <w:r>
        <w:rPr>
          <w:rFonts w:hAnsi="宋体"/>
          <w:color w:val="auto"/>
          <w:szCs w:val="21"/>
          <w:highlight w:val="none"/>
        </w:rPr>
        <w:t>（签字）</w:t>
      </w:r>
    </w:p>
    <w:p>
      <w:pPr>
        <w:spacing w:line="420" w:lineRule="exact"/>
        <w:ind w:firstLine="4410" w:firstLineChars="2100"/>
        <w:rPr>
          <w:color w:val="auto"/>
          <w:szCs w:val="21"/>
          <w:highlight w:val="none"/>
        </w:rPr>
      </w:pPr>
      <w:r>
        <w:rPr>
          <w:rFonts w:hAnsi="宋体"/>
          <w:color w:val="auto"/>
          <w:szCs w:val="21"/>
          <w:highlight w:val="none"/>
        </w:rPr>
        <w:t>身份证号码：</w:t>
      </w:r>
      <w:r>
        <w:rPr>
          <w:color w:val="auto"/>
          <w:szCs w:val="21"/>
          <w:highlight w:val="none"/>
          <w:u w:val="single"/>
        </w:rPr>
        <w:t xml:space="preserve">                     </w:t>
      </w:r>
    </w:p>
    <w:p>
      <w:pPr>
        <w:spacing w:line="420" w:lineRule="exact"/>
        <w:ind w:firstLine="5565" w:firstLineChars="2650"/>
        <w:rPr>
          <w:color w:val="auto"/>
          <w:szCs w:val="21"/>
          <w:highlight w:val="none"/>
          <w:u w:val="single"/>
        </w:rPr>
      </w:pPr>
    </w:p>
    <w:p>
      <w:pPr>
        <w:spacing w:line="420" w:lineRule="exact"/>
        <w:ind w:firstLine="5565" w:firstLineChars="2650"/>
        <w:rPr>
          <w:color w:val="auto"/>
          <w:sz w:val="24"/>
          <w:highlight w:val="none"/>
          <w:u w:val="single"/>
        </w:rPr>
      </w:pP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Ansi="宋体"/>
          <w:color w:val="auto"/>
          <w:szCs w:val="21"/>
          <w:highlight w:val="none"/>
        </w:rPr>
        <w:t>月</w:t>
      </w:r>
      <w:r>
        <w:rPr>
          <w:color w:val="auto"/>
          <w:szCs w:val="21"/>
          <w:highlight w:val="none"/>
          <w:u w:val="single"/>
        </w:rPr>
        <w:t xml:space="preserve">    </w:t>
      </w:r>
      <w:r>
        <w:rPr>
          <w:rFonts w:hAnsi="宋体"/>
          <w:color w:val="auto"/>
          <w:szCs w:val="21"/>
          <w:highlight w:val="none"/>
        </w:rPr>
        <w:t>日</w:t>
      </w:r>
    </w:p>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p>
    <w:p>
      <w:pPr>
        <w:spacing w:line="360" w:lineRule="exact"/>
        <w:ind w:firstLine="420" w:firstLineChars="200"/>
        <w:rPr>
          <w:rFonts w:hAnsi="宋体"/>
          <w:color w:val="auto"/>
          <w:szCs w:val="21"/>
          <w:highlight w:val="none"/>
        </w:rPr>
      </w:pPr>
      <w:r>
        <w:rPr>
          <w:rFonts w:hAnsi="宋体"/>
          <w:color w:val="auto"/>
          <w:szCs w:val="21"/>
          <w:highlight w:val="none"/>
        </w:rPr>
        <w:t>注：</w:t>
      </w:r>
      <w:r>
        <w:rPr>
          <w:color w:val="auto"/>
          <w:szCs w:val="21"/>
          <w:highlight w:val="none"/>
        </w:rPr>
        <w:t>1</w:t>
      </w:r>
      <w:r>
        <w:rPr>
          <w:rFonts w:hAnsi="宋体"/>
          <w:color w:val="auto"/>
          <w:szCs w:val="21"/>
          <w:highlight w:val="none"/>
        </w:rPr>
        <w:t>．法定代表人和委托代理人必须在授权书上亲笔签名，不得使用印章、签名章或其他电子制版签名；</w:t>
      </w:r>
    </w:p>
    <w:p>
      <w:pPr>
        <w:pStyle w:val="2"/>
        <w:spacing w:before="120"/>
        <w:ind w:firstLine="210"/>
        <w:rPr>
          <w:color w:val="auto"/>
          <w:highlight w:val="none"/>
        </w:rPr>
      </w:pPr>
    </w:p>
    <w:p>
      <w:pPr>
        <w:spacing w:line="420" w:lineRule="exact"/>
        <w:ind w:firstLine="420" w:firstLineChars="200"/>
        <w:rPr>
          <w:rFonts w:ascii="宋体" w:hAnsi="宋体"/>
          <w:color w:val="auto"/>
          <w:highlight w:val="none"/>
        </w:rPr>
      </w:pPr>
    </w:p>
    <w:p>
      <w:pPr>
        <w:spacing w:line="300" w:lineRule="exact"/>
        <w:ind w:firstLine="420" w:firstLineChars="200"/>
        <w:textAlignment w:val="baseline"/>
        <w:rPr>
          <w:rFonts w:ascii="宋体" w:hAnsi="宋体"/>
          <w:color w:val="auto"/>
          <w:highlight w:val="none"/>
        </w:rPr>
        <w:sectPr>
          <w:headerReference r:id="rId10" w:type="first"/>
          <w:headerReference r:id="rId9" w:type="default"/>
          <w:footerReference r:id="rId11" w:type="default"/>
          <w:footnotePr>
            <w:numFmt w:val="decimalEnclosedCircleChinese"/>
            <w:numRestart w:val="eachPage"/>
          </w:footnotePr>
          <w:pgSz w:w="11906" w:h="16838"/>
          <w:pgMar w:top="1474" w:right="1418" w:bottom="1247" w:left="1418" w:header="851" w:footer="992" w:gutter="0"/>
          <w:cols w:space="720" w:num="1"/>
          <w:titlePg/>
          <w:docGrid w:linePitch="312" w:charSpace="0"/>
        </w:sectPr>
      </w:pPr>
    </w:p>
    <w:p>
      <w:pPr>
        <w:rPr>
          <w:rFonts w:hint="eastAsia"/>
          <w:color w:val="auto"/>
          <w:highlight w:val="none"/>
        </w:rPr>
      </w:pPr>
      <w:bookmarkStart w:id="1710" w:name="_Toc28534"/>
      <w:bookmarkStart w:id="1711" w:name="_Toc262895605"/>
      <w:bookmarkStart w:id="1712" w:name="_Toc15091"/>
      <w:bookmarkStart w:id="1713" w:name="_Toc245477488"/>
      <w:bookmarkStart w:id="1714" w:name="_Toc28750"/>
      <w:bookmarkStart w:id="1715" w:name="_Toc239671878"/>
      <w:bookmarkStart w:id="1716" w:name="_Toc12935"/>
      <w:bookmarkStart w:id="1717" w:name="_Toc30344"/>
      <w:bookmarkStart w:id="1718" w:name="_Toc234382966"/>
    </w:p>
    <w:p>
      <w:pPr>
        <w:pStyle w:val="14"/>
        <w:ind w:left="283" w:hanging="282" w:hangingChars="157"/>
        <w:rPr>
          <w:color w:val="auto"/>
          <w:highlight w:val="none"/>
        </w:rPr>
      </w:pPr>
    </w:p>
    <w:p>
      <w:pPr>
        <w:pStyle w:val="14"/>
        <w:ind w:left="283" w:hanging="282" w:hangingChars="157"/>
        <w:rPr>
          <w:color w:val="auto"/>
          <w:highlight w:val="none"/>
        </w:rPr>
      </w:pPr>
    </w:p>
    <w:p>
      <w:pPr>
        <w:pStyle w:val="14"/>
        <w:ind w:left="283" w:hanging="282" w:hangingChars="157"/>
        <w:rPr>
          <w:rFonts w:hint="eastAsia"/>
          <w:color w:val="auto"/>
          <w:highlight w:val="none"/>
        </w:rPr>
      </w:pPr>
      <w:r>
        <w:rPr>
          <w:color w:val="auto"/>
          <w:highlight w:val="none"/>
        </w:rPr>
        <w:t xml:space="preserve"> </w:t>
      </w:r>
      <w:r>
        <w:rPr>
          <w:rFonts w:hint="eastAsia"/>
          <w:color w:val="auto"/>
          <w:highlight w:val="none"/>
          <w:lang w:val="en-US" w:eastAsia="zh-CN"/>
        </w:rPr>
        <w:t>1、</w:t>
      </w:r>
      <w:r>
        <w:rPr>
          <w:rFonts w:hint="eastAsia"/>
          <w:color w:val="auto"/>
          <w:highlight w:val="none"/>
        </w:rPr>
        <w:t>如果由投标人的法定代表人签署投标文件，则不需提交授权委托书。</w:t>
      </w:r>
    </w:p>
    <w:p>
      <w:pPr>
        <w:pStyle w:val="14"/>
        <w:rPr>
          <w:rFonts w:hint="eastAsia"/>
          <w:color w:val="auto"/>
          <w:highlight w:val="none"/>
          <w:lang w:eastAsia="zh-CN"/>
        </w:rPr>
      </w:pPr>
      <w:r>
        <w:rPr>
          <w:color w:val="auto"/>
          <w:highlight w:val="none"/>
        </w:rPr>
        <w:t xml:space="preserve"> </w:t>
      </w:r>
      <w:r>
        <w:rPr>
          <w:rFonts w:hint="eastAsia"/>
          <w:color w:val="auto"/>
          <w:highlight w:val="none"/>
          <w:lang w:val="en-US" w:eastAsia="zh-CN"/>
        </w:rPr>
        <w:t>2、</w:t>
      </w:r>
      <w:r>
        <w:rPr>
          <w:rFonts w:hint="eastAsia"/>
          <w:color w:val="auto"/>
          <w:highlight w:val="none"/>
        </w:rPr>
        <w:t>委托期限在满足开标评标所需合理时间前提下由投标人自行确定，建议不少于投标有效期。</w:t>
      </w:r>
    </w:p>
    <w:p>
      <w:pPr>
        <w:rPr>
          <w:rFonts w:hint="eastAsia"/>
          <w:color w:val="auto"/>
          <w:highlight w:val="none"/>
        </w:rPr>
      </w:pPr>
    </w:p>
    <w:p>
      <w:pPr>
        <w:pStyle w:val="5"/>
        <w:jc w:val="center"/>
        <w:rPr>
          <w:rFonts w:hint="eastAsia" w:ascii="黑体"/>
          <w:b w:val="0"/>
          <w:bCs/>
          <w:color w:val="auto"/>
          <w:highlight w:val="none"/>
        </w:rPr>
      </w:pPr>
      <w:bookmarkStart w:id="1719" w:name="_Toc21156"/>
      <w:bookmarkStart w:id="1720" w:name="_Toc262646495"/>
      <w:bookmarkStart w:id="1721" w:name="_Toc3531"/>
      <w:bookmarkStart w:id="1722" w:name="_Toc292754884"/>
      <w:bookmarkStart w:id="1723" w:name="_Toc466366141"/>
      <w:bookmarkStart w:id="1724" w:name="_Toc360486024"/>
      <w:bookmarkStart w:id="1725" w:name="_Toc13869"/>
      <w:r>
        <w:rPr>
          <w:rFonts w:hint="eastAsia"/>
          <w:b w:val="0"/>
          <w:bCs/>
          <w:color w:val="auto"/>
          <w:highlight w:val="none"/>
        </w:rPr>
        <w:t>三、投标保证金</w:t>
      </w:r>
      <w:bookmarkEnd w:id="1719"/>
      <w:bookmarkEnd w:id="1720"/>
      <w:bookmarkEnd w:id="1721"/>
      <w:bookmarkEnd w:id="1722"/>
      <w:bookmarkEnd w:id="1723"/>
      <w:bookmarkEnd w:id="1724"/>
      <w:bookmarkEnd w:id="1725"/>
    </w:p>
    <w:p>
      <w:pPr>
        <w:spacing w:line="420" w:lineRule="exact"/>
        <w:ind w:firstLine="420" w:firstLineChars="200"/>
        <w:jc w:val="left"/>
        <w:rPr>
          <w:rFonts w:hint="eastAsia"/>
          <w:color w:val="auto"/>
          <w:sz w:val="24"/>
          <w:highlight w:val="none"/>
        </w:rPr>
      </w:pPr>
      <w:r>
        <w:rPr>
          <w:rFonts w:hAnsi="宋体"/>
          <w:color w:val="auto"/>
          <w:szCs w:val="21"/>
          <w:highlight w:val="none"/>
        </w:rPr>
        <w:t>无需提供凭证，评委将根据交易中心保证金汇入明细、投标单位开户许可证等核查投标保证金有效性。</w:t>
      </w:r>
    </w:p>
    <w:p>
      <w:pPr>
        <w:spacing w:line="420" w:lineRule="exact"/>
        <w:ind w:firstLine="480" w:firstLineChars="200"/>
        <w:jc w:val="left"/>
        <w:rPr>
          <w:rFonts w:hint="eastAsia"/>
          <w:color w:val="auto"/>
          <w:sz w:val="24"/>
          <w:highlight w:val="none"/>
        </w:rPr>
      </w:pPr>
    </w:p>
    <w:p>
      <w:pPr>
        <w:spacing w:line="420" w:lineRule="exact"/>
        <w:ind w:firstLine="600" w:firstLineChars="250"/>
        <w:rPr>
          <w:rFonts w:hint="eastAsia"/>
          <w:color w:val="auto"/>
          <w:sz w:val="24"/>
          <w:highlight w:val="none"/>
        </w:rPr>
      </w:pPr>
    </w:p>
    <w:p>
      <w:pPr>
        <w:spacing w:line="420" w:lineRule="exact"/>
        <w:ind w:firstLine="600" w:firstLineChars="250"/>
        <w:rPr>
          <w:rFonts w:hint="eastAsia"/>
          <w:color w:val="auto"/>
          <w:sz w:val="24"/>
          <w:highlight w:val="none"/>
        </w:rPr>
      </w:pPr>
    </w:p>
    <w:p>
      <w:pPr>
        <w:spacing w:line="420" w:lineRule="exact"/>
        <w:ind w:firstLine="600" w:firstLineChars="250"/>
        <w:rPr>
          <w:rFonts w:hint="eastAsia"/>
          <w:color w:val="auto"/>
          <w:sz w:val="24"/>
          <w:highlight w:val="none"/>
        </w:rPr>
      </w:pPr>
    </w:p>
    <w:p>
      <w:pPr>
        <w:spacing w:line="420" w:lineRule="exact"/>
        <w:ind w:firstLine="600" w:firstLineChars="250"/>
        <w:rPr>
          <w:rFonts w:hint="eastAsia"/>
          <w:color w:val="auto"/>
          <w:sz w:val="24"/>
          <w:highlight w:val="none"/>
        </w:rPr>
      </w:pPr>
    </w:p>
    <w:p>
      <w:pPr>
        <w:spacing w:line="420" w:lineRule="exact"/>
        <w:ind w:firstLine="600" w:firstLineChars="250"/>
        <w:rPr>
          <w:rFonts w:hint="eastAsia" w:hAnsi="宋体"/>
          <w:color w:val="auto"/>
          <w:sz w:val="24"/>
          <w:highlight w:val="none"/>
        </w:rPr>
      </w:pPr>
    </w:p>
    <w:p>
      <w:pPr>
        <w:spacing w:line="420" w:lineRule="exact"/>
        <w:ind w:firstLine="600" w:firstLineChars="250"/>
        <w:rPr>
          <w:rFonts w:hint="eastAsia" w:hAnsi="宋体"/>
          <w:color w:val="auto"/>
          <w:sz w:val="24"/>
          <w:highlight w:val="none"/>
        </w:rPr>
      </w:pPr>
    </w:p>
    <w:p>
      <w:pPr>
        <w:spacing w:line="420" w:lineRule="exact"/>
        <w:ind w:firstLine="600" w:firstLineChars="250"/>
        <w:rPr>
          <w:rFonts w:hint="eastAsia" w:hAnsi="宋体"/>
          <w:color w:val="auto"/>
          <w:sz w:val="24"/>
          <w:highlight w:val="none"/>
        </w:rPr>
      </w:pPr>
    </w:p>
    <w:p>
      <w:pPr>
        <w:spacing w:line="420" w:lineRule="exact"/>
        <w:ind w:firstLine="600" w:firstLineChars="250"/>
        <w:rPr>
          <w:rFonts w:hint="eastAsia" w:hAnsi="宋体"/>
          <w:color w:val="auto"/>
          <w:sz w:val="24"/>
          <w:highlight w:val="none"/>
        </w:rPr>
      </w:pPr>
    </w:p>
    <w:p>
      <w:pPr>
        <w:spacing w:line="420" w:lineRule="exact"/>
        <w:ind w:firstLine="600" w:firstLineChars="250"/>
        <w:rPr>
          <w:rFonts w:hint="eastAsia" w:hAnsi="宋体"/>
          <w:color w:val="auto"/>
          <w:sz w:val="24"/>
          <w:highlight w:val="none"/>
        </w:rPr>
      </w:pPr>
    </w:p>
    <w:p>
      <w:pPr>
        <w:spacing w:line="420" w:lineRule="exact"/>
        <w:ind w:firstLine="600" w:firstLineChars="250"/>
        <w:rPr>
          <w:rFonts w:hint="eastAsia" w:hAnsi="宋体"/>
          <w:color w:val="auto"/>
          <w:sz w:val="24"/>
          <w:highlight w:val="none"/>
        </w:rPr>
      </w:pPr>
    </w:p>
    <w:p>
      <w:pPr>
        <w:spacing w:line="420" w:lineRule="exact"/>
        <w:ind w:firstLine="700" w:firstLineChars="250"/>
        <w:rPr>
          <w:color w:val="auto"/>
          <w:sz w:val="24"/>
          <w:highlight w:val="none"/>
        </w:rPr>
      </w:pPr>
      <w:r>
        <w:rPr>
          <w:rFonts w:ascii="宋体" w:hAnsi="宋体"/>
          <w:color w:val="auto"/>
          <w:sz w:val="28"/>
          <w:highlight w:val="none"/>
        </w:rPr>
        <w:br w:type="page"/>
      </w:r>
      <w:bookmarkEnd w:id="1710"/>
      <w:bookmarkEnd w:id="1711"/>
      <w:bookmarkEnd w:id="1712"/>
      <w:bookmarkEnd w:id="1713"/>
      <w:bookmarkEnd w:id="1714"/>
      <w:bookmarkEnd w:id="1715"/>
      <w:bookmarkEnd w:id="1716"/>
      <w:bookmarkEnd w:id="1717"/>
      <w:bookmarkEnd w:id="1718"/>
    </w:p>
    <w:p>
      <w:pPr>
        <w:pStyle w:val="5"/>
        <w:jc w:val="center"/>
        <w:rPr>
          <w:rFonts w:hint="eastAsia" w:ascii="黑体"/>
          <w:b w:val="0"/>
          <w:color w:val="auto"/>
          <w:highlight w:val="none"/>
        </w:rPr>
      </w:pPr>
      <w:bookmarkStart w:id="1726" w:name="_Toc233436022"/>
      <w:bookmarkStart w:id="1727" w:name="_Toc292754886"/>
      <w:bookmarkStart w:id="1728" w:name="_Toc233215034"/>
      <w:bookmarkStart w:id="1729" w:name="_Toc235846545"/>
      <w:bookmarkStart w:id="1730" w:name="_Toc20924"/>
      <w:bookmarkStart w:id="1731" w:name="_Toc233429881"/>
      <w:bookmarkStart w:id="1732" w:name="_Toc233423364"/>
      <w:bookmarkStart w:id="1733" w:name="_Toc237255193"/>
      <w:bookmarkStart w:id="1734" w:name="_Toc237400251"/>
      <w:bookmarkStart w:id="1735" w:name="_Toc23151"/>
      <w:bookmarkStart w:id="1736" w:name="_Toc262646497"/>
      <w:bookmarkStart w:id="1737" w:name="_Toc3305"/>
      <w:bookmarkStart w:id="1738" w:name="_Toc360486026"/>
      <w:bookmarkStart w:id="1739" w:name="_Toc233290479"/>
      <w:bookmarkStart w:id="1740" w:name="_Toc466366143"/>
      <w:r>
        <w:rPr>
          <w:rFonts w:hint="eastAsia" w:ascii="黑体"/>
          <w:b w:val="0"/>
          <w:color w:val="auto"/>
          <w:highlight w:val="none"/>
        </w:rPr>
        <w:t>四、施工组织设计</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spacing w:line="420" w:lineRule="exact"/>
        <w:ind w:firstLine="420" w:firstLineChars="200"/>
        <w:rPr>
          <w:rFonts w:hint="eastAsia"/>
          <w:color w:val="auto"/>
          <w:highlight w:val="none"/>
        </w:rPr>
      </w:pPr>
      <w:r>
        <w:rPr>
          <w:rFonts w:hint="eastAsia"/>
          <w:color w:val="auto"/>
          <w:highlight w:val="none"/>
        </w:rPr>
        <w:t>1．投标人应按以下要点编制施工组织设计（文字宜精练、内容具有针对性，总体控制在30000字以内）：</w:t>
      </w:r>
    </w:p>
    <w:p>
      <w:pPr>
        <w:spacing w:line="420" w:lineRule="exact"/>
        <w:ind w:firstLine="420" w:firstLineChars="200"/>
        <w:rPr>
          <w:rFonts w:hint="eastAsia"/>
          <w:color w:val="auto"/>
          <w:highlight w:val="none"/>
        </w:rPr>
      </w:pPr>
      <w:r>
        <w:rPr>
          <w:rFonts w:hint="eastAsia"/>
          <w:color w:val="auto"/>
          <w:highlight w:val="none"/>
        </w:rPr>
        <w:t>（1）总体施工组织布置及规划</w:t>
      </w:r>
    </w:p>
    <w:p>
      <w:pPr>
        <w:spacing w:line="420" w:lineRule="exact"/>
        <w:ind w:firstLine="420" w:firstLineChars="200"/>
        <w:rPr>
          <w:rFonts w:hint="eastAsia"/>
          <w:color w:val="auto"/>
          <w:highlight w:val="none"/>
        </w:rPr>
      </w:pPr>
      <w:r>
        <w:rPr>
          <w:rFonts w:hint="eastAsia"/>
          <w:color w:val="auto"/>
          <w:highlight w:val="none"/>
        </w:rPr>
        <w:t>（2）主要工程项目的施工方案、方法与技术措施（尤其对重点、关键和难点工程的施工方案、方法及其措施）</w:t>
      </w:r>
    </w:p>
    <w:p>
      <w:pPr>
        <w:spacing w:line="420" w:lineRule="exact"/>
        <w:ind w:firstLine="420" w:firstLineChars="200"/>
        <w:rPr>
          <w:rFonts w:hint="eastAsia"/>
          <w:color w:val="auto"/>
          <w:highlight w:val="none"/>
        </w:rPr>
      </w:pPr>
      <w:r>
        <w:rPr>
          <w:rFonts w:hint="eastAsia"/>
          <w:color w:val="auto"/>
          <w:highlight w:val="none"/>
        </w:rPr>
        <w:t>（3）工期保证体系及保证措施</w:t>
      </w:r>
    </w:p>
    <w:p>
      <w:pPr>
        <w:spacing w:line="420" w:lineRule="exact"/>
        <w:ind w:firstLine="420" w:firstLineChars="200"/>
        <w:rPr>
          <w:rFonts w:hint="eastAsia"/>
          <w:color w:val="auto"/>
          <w:highlight w:val="none"/>
        </w:rPr>
      </w:pPr>
      <w:r>
        <w:rPr>
          <w:rFonts w:hint="eastAsia"/>
          <w:color w:val="auto"/>
          <w:highlight w:val="none"/>
        </w:rPr>
        <w:t>（4）工程质量管理体系及保证措施</w:t>
      </w:r>
    </w:p>
    <w:p>
      <w:pPr>
        <w:spacing w:line="420" w:lineRule="exact"/>
        <w:ind w:firstLine="420" w:firstLineChars="200"/>
        <w:rPr>
          <w:rFonts w:hint="eastAsia"/>
          <w:color w:val="auto"/>
          <w:highlight w:val="none"/>
        </w:rPr>
      </w:pPr>
      <w:r>
        <w:rPr>
          <w:rFonts w:hint="eastAsia"/>
          <w:color w:val="auto"/>
          <w:highlight w:val="none"/>
        </w:rPr>
        <w:t>（5）安全生产管理体系及保证措施</w:t>
      </w:r>
    </w:p>
    <w:p>
      <w:pPr>
        <w:spacing w:line="420" w:lineRule="exact"/>
        <w:ind w:firstLine="420" w:firstLineChars="200"/>
        <w:rPr>
          <w:rFonts w:hint="eastAsia"/>
          <w:color w:val="auto"/>
          <w:highlight w:val="none"/>
        </w:rPr>
      </w:pPr>
      <w:r>
        <w:rPr>
          <w:rFonts w:hint="eastAsia"/>
          <w:color w:val="auto"/>
          <w:highlight w:val="none"/>
        </w:rPr>
        <w:t>（6）环境保护、水土保持保证体系及保证措施</w:t>
      </w:r>
    </w:p>
    <w:p>
      <w:pPr>
        <w:spacing w:line="420" w:lineRule="exact"/>
        <w:ind w:firstLine="420" w:firstLineChars="200"/>
        <w:rPr>
          <w:rFonts w:hint="eastAsia"/>
          <w:color w:val="auto"/>
          <w:highlight w:val="none"/>
        </w:rPr>
      </w:pPr>
      <w:r>
        <w:rPr>
          <w:rFonts w:hint="eastAsia"/>
          <w:color w:val="auto"/>
          <w:highlight w:val="none"/>
        </w:rPr>
        <w:t>（7）文明施工、文物保护保证体系及保证措施</w:t>
      </w:r>
    </w:p>
    <w:p>
      <w:pPr>
        <w:spacing w:line="420" w:lineRule="exact"/>
        <w:ind w:firstLine="420" w:firstLineChars="200"/>
        <w:rPr>
          <w:rFonts w:hint="eastAsia"/>
          <w:color w:val="auto"/>
          <w:highlight w:val="none"/>
        </w:rPr>
      </w:pPr>
      <w:r>
        <w:rPr>
          <w:rFonts w:hint="eastAsia"/>
          <w:color w:val="auto"/>
          <w:highlight w:val="none"/>
        </w:rPr>
        <w:t>（8）项目风险预测与防范，事故应急预案</w:t>
      </w:r>
    </w:p>
    <w:p>
      <w:pPr>
        <w:spacing w:line="420" w:lineRule="exact"/>
        <w:ind w:firstLine="420" w:firstLineChars="200"/>
        <w:rPr>
          <w:rFonts w:hAnsi="宋体"/>
          <w:color w:val="auto"/>
          <w:highlight w:val="none"/>
        </w:rPr>
      </w:pPr>
      <w:r>
        <w:rPr>
          <w:rFonts w:hint="eastAsia"/>
          <w:color w:val="auto"/>
          <w:highlight w:val="none"/>
        </w:rPr>
        <w:t>（9）其他应说明的事项</w:t>
      </w:r>
    </w:p>
    <w:p>
      <w:pPr>
        <w:spacing w:line="420" w:lineRule="exact"/>
        <w:ind w:firstLine="420" w:firstLineChars="200"/>
        <w:rPr>
          <w:rFonts w:hAnsi="宋体"/>
          <w:color w:val="auto"/>
          <w:highlight w:val="none"/>
        </w:rPr>
      </w:pPr>
      <w:bookmarkStart w:id="1741" w:name="_Toc234382974"/>
      <w:r>
        <w:rPr>
          <w:rFonts w:hAnsi="宋体"/>
          <w:color w:val="auto"/>
          <w:highlight w:val="none"/>
        </w:rPr>
        <w:t>2．施工组织设计除采用文字表述外可附下列图表，图表及格式要求附后。</w:t>
      </w:r>
    </w:p>
    <w:p>
      <w:pPr>
        <w:spacing w:line="420" w:lineRule="exact"/>
        <w:ind w:firstLine="735" w:firstLineChars="350"/>
        <w:rPr>
          <w:rFonts w:hint="eastAsia" w:hAnsi="宋体"/>
          <w:color w:val="auto"/>
          <w:highlight w:val="none"/>
        </w:rPr>
      </w:pPr>
      <w:r>
        <w:rPr>
          <w:rFonts w:hint="eastAsia" w:hAnsi="宋体"/>
          <w:color w:val="auto"/>
          <w:highlight w:val="none"/>
        </w:rPr>
        <w:t>附表一  施工总体计划表</w:t>
      </w:r>
    </w:p>
    <w:p>
      <w:pPr>
        <w:spacing w:line="420" w:lineRule="exact"/>
        <w:ind w:firstLine="735" w:firstLineChars="350"/>
        <w:rPr>
          <w:rFonts w:hint="eastAsia" w:hAnsi="宋体"/>
          <w:color w:val="auto"/>
          <w:highlight w:val="none"/>
        </w:rPr>
      </w:pPr>
      <w:r>
        <w:rPr>
          <w:rFonts w:hint="eastAsia" w:hAnsi="宋体"/>
          <w:color w:val="auto"/>
          <w:highlight w:val="none"/>
        </w:rPr>
        <w:t>附表二  分项工程进度率计划（斜率图）</w:t>
      </w:r>
    </w:p>
    <w:p>
      <w:pPr>
        <w:spacing w:line="420" w:lineRule="exact"/>
        <w:ind w:firstLine="735" w:firstLineChars="350"/>
        <w:rPr>
          <w:rFonts w:hint="eastAsia" w:hAnsi="宋体"/>
          <w:color w:val="auto"/>
          <w:highlight w:val="none"/>
        </w:rPr>
      </w:pPr>
      <w:r>
        <w:rPr>
          <w:rFonts w:hint="eastAsia" w:hAnsi="宋体"/>
          <w:color w:val="auto"/>
          <w:highlight w:val="none"/>
        </w:rPr>
        <w:t>附表三  工程管理曲线</w:t>
      </w:r>
    </w:p>
    <w:p>
      <w:pPr>
        <w:spacing w:line="420" w:lineRule="exact"/>
        <w:ind w:firstLine="735" w:firstLineChars="350"/>
        <w:rPr>
          <w:rFonts w:hint="eastAsia" w:hAnsi="宋体"/>
          <w:color w:val="auto"/>
          <w:highlight w:val="none"/>
        </w:rPr>
      </w:pPr>
      <w:r>
        <w:rPr>
          <w:rFonts w:hint="eastAsia" w:hAnsi="宋体"/>
          <w:color w:val="auto"/>
          <w:highlight w:val="none"/>
        </w:rPr>
        <w:t>附表四  分项工程生产率和施工周期表</w:t>
      </w:r>
    </w:p>
    <w:p>
      <w:pPr>
        <w:spacing w:line="420" w:lineRule="exact"/>
        <w:ind w:firstLine="735" w:firstLineChars="350"/>
        <w:rPr>
          <w:rFonts w:hint="eastAsia" w:hAnsi="宋体"/>
          <w:color w:val="auto"/>
          <w:highlight w:val="none"/>
        </w:rPr>
      </w:pPr>
      <w:r>
        <w:rPr>
          <w:rFonts w:hint="eastAsia" w:hAnsi="宋体"/>
          <w:color w:val="auto"/>
          <w:highlight w:val="none"/>
        </w:rPr>
        <w:t>附表五  施工总平面图</w:t>
      </w:r>
    </w:p>
    <w:p>
      <w:pPr>
        <w:spacing w:line="420" w:lineRule="exact"/>
        <w:ind w:firstLine="735" w:firstLineChars="350"/>
        <w:rPr>
          <w:rFonts w:hint="eastAsia" w:hAnsi="宋体"/>
          <w:color w:val="auto"/>
          <w:highlight w:val="none"/>
        </w:rPr>
      </w:pPr>
      <w:r>
        <w:rPr>
          <w:rFonts w:hint="eastAsia" w:hAnsi="宋体"/>
          <w:color w:val="auto"/>
          <w:highlight w:val="none"/>
        </w:rPr>
        <w:t>附表六  劳动力计划表</w:t>
      </w:r>
    </w:p>
    <w:p>
      <w:pPr>
        <w:spacing w:line="420" w:lineRule="exact"/>
        <w:ind w:firstLine="735" w:firstLineChars="350"/>
        <w:rPr>
          <w:rFonts w:hint="eastAsia" w:hAnsi="宋体"/>
          <w:color w:val="auto"/>
          <w:highlight w:val="none"/>
        </w:rPr>
      </w:pPr>
      <w:r>
        <w:rPr>
          <w:rFonts w:hint="eastAsia" w:hAnsi="宋体"/>
          <w:color w:val="auto"/>
          <w:highlight w:val="none"/>
        </w:rPr>
        <w:t>附表七  临时占地计划表</w:t>
      </w:r>
    </w:p>
    <w:p>
      <w:pPr>
        <w:spacing w:line="420" w:lineRule="exact"/>
        <w:ind w:firstLine="735" w:firstLineChars="350"/>
        <w:rPr>
          <w:rFonts w:hint="eastAsia" w:hAnsi="宋体"/>
          <w:color w:val="auto"/>
          <w:highlight w:val="none"/>
        </w:rPr>
      </w:pPr>
      <w:r>
        <w:rPr>
          <w:rFonts w:hint="eastAsia" w:hAnsi="宋体"/>
          <w:color w:val="auto"/>
          <w:highlight w:val="none"/>
        </w:rPr>
        <w:t>附表八  外供电力需求计划表</w:t>
      </w: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highlight w:val="none"/>
        </w:rPr>
      </w:pPr>
    </w:p>
    <w:p>
      <w:pPr>
        <w:rPr>
          <w:rFonts w:hint="eastAsia"/>
          <w:color w:val="auto"/>
          <w:sz w:val="10"/>
          <w:highlight w:val="none"/>
        </w:rPr>
      </w:pPr>
    </w:p>
    <w:p>
      <w:pPr>
        <w:spacing w:line="420" w:lineRule="exact"/>
        <w:rPr>
          <w:rFonts w:hint="eastAsia" w:ascii="黑体" w:hAnsi="黑体" w:eastAsia="黑体"/>
          <w:color w:val="auto"/>
          <w:sz w:val="24"/>
          <w:szCs w:val="24"/>
          <w:highlight w:val="none"/>
        </w:rPr>
      </w:pPr>
      <w:bookmarkStart w:id="1742" w:name="_Toc29146"/>
      <w:bookmarkStart w:id="1743" w:name="_Toc233290480"/>
      <w:bookmarkStart w:id="1744" w:name="_Toc375000609"/>
      <w:bookmarkStart w:id="1745" w:name="_Toc233436023"/>
      <w:bookmarkStart w:id="1746" w:name="_Toc233423365"/>
      <w:bookmarkStart w:id="1747" w:name="_Toc233622936"/>
      <w:bookmarkStart w:id="1748" w:name="_Toc32207"/>
      <w:bookmarkStart w:id="1749" w:name="_Toc11849"/>
      <w:bookmarkStart w:id="1750" w:name="_Toc233429882"/>
      <w:bookmarkStart w:id="1751" w:name="_Toc233215035"/>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r>
        <w:rPr>
          <w:rFonts w:hint="eastAsia" w:ascii="黑体" w:hAnsi="黑体" w:eastAsia="黑体"/>
          <w:color w:val="auto"/>
          <w:sz w:val="24"/>
          <w:szCs w:val="24"/>
          <w:highlight w:val="none"/>
        </w:rPr>
        <w:t>附表一  施工总体计划</w:t>
      </w:r>
      <w:bookmarkEnd w:id="1742"/>
      <w:bookmarkEnd w:id="1743"/>
      <w:bookmarkEnd w:id="1744"/>
      <w:bookmarkEnd w:id="1745"/>
      <w:bookmarkEnd w:id="1746"/>
      <w:bookmarkEnd w:id="1747"/>
      <w:bookmarkEnd w:id="1748"/>
      <w:bookmarkEnd w:id="1749"/>
      <w:bookmarkEnd w:id="1750"/>
      <w:bookmarkEnd w:id="1751"/>
    </w:p>
    <w:tbl>
      <w:tblPr>
        <w:tblStyle w:val="17"/>
        <w:tblpPr w:leftFromText="180" w:rightFromText="180" w:vertAnchor="text" w:horzAnchor="margin" w:tblpXSpec="center" w:tblpY="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90"/>
        <w:gridCol w:w="794"/>
        <w:gridCol w:w="403"/>
        <w:gridCol w:w="404"/>
        <w:gridCol w:w="404"/>
        <w:gridCol w:w="403"/>
        <w:gridCol w:w="404"/>
        <w:gridCol w:w="404"/>
        <w:gridCol w:w="404"/>
        <w:gridCol w:w="403"/>
        <w:gridCol w:w="404"/>
        <w:gridCol w:w="404"/>
        <w:gridCol w:w="404"/>
        <w:gridCol w:w="403"/>
        <w:gridCol w:w="404"/>
        <w:gridCol w:w="404"/>
        <w:gridCol w:w="404"/>
        <w:gridCol w:w="403"/>
        <w:gridCol w:w="404"/>
        <w:gridCol w:w="404"/>
        <w:gridCol w:w="40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restart"/>
            <w:noWrap w:val="0"/>
            <w:textDirection w:val="btLr"/>
            <w:vAlign w:val="center"/>
          </w:tcPr>
          <w:p>
            <w:pPr>
              <w:spacing w:line="200" w:lineRule="exact"/>
              <w:ind w:left="113" w:leftChars="54" w:right="113" w:firstLine="180" w:firstLineChars="100"/>
              <w:rPr>
                <w:color w:val="auto"/>
                <w:sz w:val="18"/>
                <w:szCs w:val="18"/>
                <w:highlight w:val="none"/>
              </w:rPr>
            </w:pPr>
            <w:r>
              <w:rPr>
                <w:color w:val="auto"/>
                <w:sz w:val="18"/>
                <w:szCs w:val="18"/>
                <w:highlight w:val="none"/>
              </w:rPr>
              <w:t xml:space="preserve">    </w:t>
            </w:r>
            <w:r>
              <w:rPr>
                <w:color w:val="auto"/>
                <w:sz w:val="18"/>
                <w:szCs w:val="18"/>
                <w:highlight w:val="none"/>
                <w:u w:val="single"/>
              </w:rPr>
              <w:t xml:space="preserve">       </w:t>
            </w:r>
            <w:r>
              <w:rPr>
                <w:rFonts w:hAnsi="宋体"/>
                <w:color w:val="auto"/>
                <w:sz w:val="18"/>
                <w:szCs w:val="18"/>
                <w:highlight w:val="none"/>
              </w:rPr>
              <w:t>年</w:t>
            </w:r>
          </w:p>
        </w:tc>
        <w:tc>
          <w:tcPr>
            <w:tcW w:w="794" w:type="dxa"/>
            <w:noWrap w:val="0"/>
            <w:textDirection w:val="btLr"/>
            <w:vAlign w:val="center"/>
          </w:tcPr>
          <w:p>
            <w:pPr>
              <w:spacing w:line="200" w:lineRule="exact"/>
              <w:ind w:left="113" w:right="113"/>
              <w:jc w:val="center"/>
              <w:rPr>
                <w:color w:val="auto"/>
                <w:szCs w:val="21"/>
                <w:highlight w:val="none"/>
              </w:rPr>
            </w:pPr>
            <w:r>
              <w:rPr>
                <w:color w:val="auto"/>
                <w:szCs w:val="21"/>
                <w:highlight w:val="none"/>
              </w:rPr>
              <w:t>…</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jc w:val="center"/>
              <w:rPr>
                <w:color w:val="auto"/>
                <w:szCs w:val="21"/>
                <w:highlight w:val="none"/>
              </w:rPr>
            </w:pPr>
            <w:r>
              <w:rPr>
                <w:color w:val="auto"/>
                <w:szCs w:val="21"/>
                <w:highlight w:val="none"/>
              </w:rPr>
              <w:t>5</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jc w:val="center"/>
              <w:rPr>
                <w:color w:val="auto"/>
                <w:szCs w:val="21"/>
                <w:highlight w:val="none"/>
              </w:rPr>
            </w:pPr>
            <w:r>
              <w:rPr>
                <w:color w:val="auto"/>
                <w:szCs w:val="21"/>
                <w:highlight w:val="none"/>
              </w:rPr>
              <w:t>4</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jc w:val="center"/>
              <w:rPr>
                <w:color w:val="auto"/>
                <w:szCs w:val="21"/>
                <w:highlight w:val="none"/>
              </w:rPr>
            </w:pPr>
            <w:r>
              <w:rPr>
                <w:color w:val="auto"/>
                <w:szCs w:val="21"/>
                <w:highlight w:val="none"/>
              </w:rPr>
              <w:t>3</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jc w:val="center"/>
              <w:rPr>
                <w:color w:val="auto"/>
                <w:szCs w:val="21"/>
                <w:highlight w:val="none"/>
              </w:rPr>
            </w:pPr>
            <w:r>
              <w:rPr>
                <w:color w:val="auto"/>
                <w:szCs w:val="21"/>
                <w:highlight w:val="none"/>
              </w:rPr>
              <w:t>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jc w:val="center"/>
              <w:rPr>
                <w:color w:val="auto"/>
                <w:szCs w:val="21"/>
                <w:highlight w:val="none"/>
              </w:rPr>
            </w:pPr>
            <w:r>
              <w:rPr>
                <w:color w:val="auto"/>
                <w:szCs w:val="21"/>
                <w:highlight w:val="none"/>
              </w:rPr>
              <w:t>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restart"/>
            <w:noWrap w:val="0"/>
            <w:textDirection w:val="btLr"/>
            <w:vAlign w:val="center"/>
          </w:tcPr>
          <w:p>
            <w:pPr>
              <w:spacing w:line="200" w:lineRule="exact"/>
              <w:ind w:left="113" w:leftChars="54" w:right="113" w:firstLine="180" w:firstLineChars="100"/>
              <w:rPr>
                <w:color w:val="auto"/>
                <w:sz w:val="18"/>
                <w:szCs w:val="18"/>
                <w:highlight w:val="none"/>
              </w:rPr>
            </w:pPr>
            <w:r>
              <w:rPr>
                <w:color w:val="auto"/>
                <w:sz w:val="18"/>
                <w:szCs w:val="18"/>
                <w:highlight w:val="none"/>
              </w:rPr>
              <w:t xml:space="preserve">                 </w:t>
            </w:r>
            <w:r>
              <w:rPr>
                <w:color w:val="auto"/>
                <w:sz w:val="18"/>
                <w:szCs w:val="18"/>
                <w:highlight w:val="none"/>
                <w:u w:val="single"/>
              </w:rPr>
              <w:t xml:space="preserve">        </w:t>
            </w:r>
            <w:r>
              <w:rPr>
                <w:rFonts w:hAnsi="宋体"/>
                <w:color w:val="auto"/>
                <w:sz w:val="18"/>
                <w:szCs w:val="18"/>
                <w:highlight w:val="none"/>
              </w:rPr>
              <w:t>年</w:t>
            </w: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10</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9</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8</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7</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6</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5</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4</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3</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restart"/>
            <w:noWrap w:val="0"/>
            <w:textDirection w:val="btLr"/>
            <w:vAlign w:val="center"/>
          </w:tcPr>
          <w:p>
            <w:pPr>
              <w:spacing w:line="200" w:lineRule="exact"/>
              <w:ind w:left="113" w:leftChars="54" w:right="113" w:firstLine="180" w:firstLineChars="100"/>
              <w:rPr>
                <w:color w:val="auto"/>
                <w:sz w:val="18"/>
                <w:szCs w:val="18"/>
                <w:highlight w:val="none"/>
              </w:rPr>
            </w:pPr>
            <w:r>
              <w:rPr>
                <w:color w:val="auto"/>
                <w:sz w:val="18"/>
                <w:szCs w:val="18"/>
                <w:highlight w:val="none"/>
              </w:rPr>
              <w:t xml:space="preserve">                  </w:t>
            </w:r>
            <w:r>
              <w:rPr>
                <w:color w:val="auto"/>
                <w:sz w:val="18"/>
                <w:szCs w:val="18"/>
                <w:highlight w:val="none"/>
                <w:u w:val="single"/>
              </w:rPr>
              <w:t xml:space="preserve">        </w:t>
            </w:r>
            <w:r>
              <w:rPr>
                <w:rFonts w:hAnsi="宋体"/>
                <w:color w:val="auto"/>
                <w:sz w:val="18"/>
                <w:szCs w:val="18"/>
                <w:highlight w:val="none"/>
              </w:rPr>
              <w:t>年</w:t>
            </w: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10</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9</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8</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7</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6</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5</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4</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3</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490" w:type="dxa"/>
            <w:vMerge w:val="continue"/>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01" w:hRule="atLeast"/>
        </w:trPr>
        <w:tc>
          <w:tcPr>
            <w:tcW w:w="490" w:type="dxa"/>
            <w:noWrap w:val="0"/>
            <w:textDirection w:val="lrTbV"/>
            <w:vAlign w:val="center"/>
          </w:tcPr>
          <w:p>
            <w:pPr>
              <w:spacing w:line="200" w:lineRule="exact"/>
              <w:jc w:val="center"/>
              <w:rPr>
                <w:color w:val="auto"/>
                <w:sz w:val="18"/>
                <w:szCs w:val="18"/>
                <w:highlight w:val="none"/>
              </w:rPr>
            </w:pPr>
          </w:p>
          <w:p>
            <w:pPr>
              <w:spacing w:line="200" w:lineRule="exact"/>
              <w:jc w:val="center"/>
              <w:rPr>
                <w:color w:val="auto"/>
                <w:sz w:val="18"/>
                <w:szCs w:val="18"/>
                <w:highlight w:val="none"/>
              </w:rPr>
            </w:pPr>
          </w:p>
          <w:p>
            <w:pPr>
              <w:spacing w:line="200" w:lineRule="exact"/>
              <w:jc w:val="center"/>
              <w:rPr>
                <w:color w:val="auto"/>
                <w:sz w:val="18"/>
                <w:szCs w:val="18"/>
                <w:highlight w:val="none"/>
              </w:rPr>
            </w:pPr>
            <w:r>
              <w:rPr>
                <w:rFonts w:hAnsi="宋体"/>
                <w:color w:val="auto"/>
                <w:sz w:val="18"/>
                <w:szCs w:val="18"/>
                <w:highlight w:val="none"/>
              </w:rPr>
              <w:t>度</w:t>
            </w:r>
          </w:p>
          <w:p>
            <w:pPr>
              <w:spacing w:line="200" w:lineRule="exact"/>
              <w:jc w:val="center"/>
              <w:rPr>
                <w:color w:val="auto"/>
                <w:sz w:val="18"/>
                <w:szCs w:val="18"/>
                <w:highlight w:val="none"/>
              </w:rPr>
            </w:pPr>
          </w:p>
          <w:p>
            <w:pPr>
              <w:spacing w:line="200" w:lineRule="exact"/>
              <w:jc w:val="center"/>
              <w:rPr>
                <w:color w:val="auto"/>
                <w:sz w:val="18"/>
                <w:szCs w:val="18"/>
                <w:highlight w:val="none"/>
              </w:rPr>
            </w:pPr>
            <w:r>
              <w:rPr>
                <w:rFonts w:hAnsi="宋体"/>
                <w:color w:val="auto"/>
                <w:sz w:val="18"/>
                <w:szCs w:val="18"/>
                <w:highlight w:val="none"/>
              </w:rPr>
              <w:t>年</w:t>
            </w:r>
          </w:p>
          <w:p>
            <w:pPr>
              <w:spacing w:line="200" w:lineRule="exact"/>
              <w:jc w:val="center"/>
              <w:rPr>
                <w:color w:val="auto"/>
                <w:sz w:val="18"/>
                <w:szCs w:val="18"/>
                <w:highlight w:val="none"/>
              </w:rPr>
            </w:pPr>
          </w:p>
          <w:p>
            <w:pPr>
              <w:spacing w:line="200" w:lineRule="exact"/>
              <w:jc w:val="center"/>
              <w:rPr>
                <w:color w:val="auto"/>
                <w:sz w:val="18"/>
                <w:szCs w:val="18"/>
                <w:highlight w:val="none"/>
              </w:rPr>
            </w:pPr>
          </w:p>
        </w:tc>
        <w:tc>
          <w:tcPr>
            <w:tcW w:w="794" w:type="dxa"/>
            <w:tcBorders>
              <w:tr2bl w:val="single" w:color="auto" w:sz="4" w:space="0"/>
            </w:tcBorders>
            <w:noWrap w:val="0"/>
            <w:textDirection w:val="lrTbV"/>
            <w:vAlign w:val="center"/>
          </w:tcPr>
          <w:p>
            <w:pPr>
              <w:spacing w:line="200" w:lineRule="exact"/>
              <w:rPr>
                <w:rFonts w:hint="eastAsia" w:hAnsi="宋体"/>
                <w:color w:val="auto"/>
                <w:sz w:val="18"/>
                <w:szCs w:val="18"/>
                <w:highlight w:val="none"/>
              </w:rPr>
            </w:pPr>
            <w:r>
              <w:rPr>
                <w:rFonts w:hAnsi="宋体"/>
                <w:color w:val="auto"/>
                <w:sz w:val="18"/>
                <w:szCs w:val="18"/>
                <w:highlight w:val="none"/>
              </w:rPr>
              <w:t>份</w:t>
            </w:r>
          </w:p>
          <w:p>
            <w:pPr>
              <w:spacing w:line="200" w:lineRule="exact"/>
              <w:rPr>
                <w:color w:val="auto"/>
                <w:sz w:val="18"/>
                <w:szCs w:val="18"/>
                <w:highlight w:val="none"/>
              </w:rPr>
            </w:pPr>
            <w:r>
              <w:rPr>
                <w:rFonts w:hAnsi="宋体"/>
                <w:color w:val="auto"/>
                <w:sz w:val="18"/>
                <w:szCs w:val="18"/>
                <w:highlight w:val="none"/>
              </w:rPr>
              <w:t>月</w:t>
            </w:r>
          </w:p>
          <w:p>
            <w:pPr>
              <w:spacing w:line="200" w:lineRule="exact"/>
              <w:ind w:left="270" w:hanging="270" w:hangingChars="150"/>
              <w:rPr>
                <w:color w:val="auto"/>
                <w:sz w:val="18"/>
                <w:szCs w:val="18"/>
                <w:highlight w:val="none"/>
              </w:rPr>
            </w:pPr>
            <w:r>
              <w:rPr>
                <w:color w:val="auto"/>
                <w:sz w:val="18"/>
                <w:szCs w:val="18"/>
                <w:highlight w:val="none"/>
              </w:rPr>
              <w:t xml:space="preserve">  </w:t>
            </w:r>
          </w:p>
          <w:p>
            <w:pPr>
              <w:spacing w:line="200" w:lineRule="exact"/>
              <w:ind w:left="-105" w:leftChars="-50" w:right="-105" w:rightChars="-50" w:firstLine="360" w:firstLineChars="200"/>
              <w:rPr>
                <w:color w:val="auto"/>
                <w:sz w:val="18"/>
                <w:szCs w:val="18"/>
                <w:highlight w:val="none"/>
              </w:rPr>
            </w:pP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目</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项</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程</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工</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要</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主</w:t>
            </w:r>
          </w:p>
        </w:tc>
        <w:tc>
          <w:tcPr>
            <w:tcW w:w="403" w:type="dxa"/>
            <w:noWrap w:val="0"/>
            <w:textDirection w:val="btLr"/>
            <w:vAlign w:val="center"/>
          </w:tcPr>
          <w:p>
            <w:pPr>
              <w:spacing w:line="200" w:lineRule="exact"/>
              <w:ind w:left="113" w:right="113"/>
              <w:rPr>
                <w:color w:val="auto"/>
                <w:sz w:val="18"/>
                <w:szCs w:val="18"/>
                <w:highlight w:val="none"/>
              </w:rPr>
            </w:pPr>
          </w:p>
        </w:tc>
        <w:tc>
          <w:tcPr>
            <w:tcW w:w="404" w:type="dxa"/>
            <w:noWrap w:val="0"/>
            <w:textDirection w:val="btLr"/>
            <w:vAlign w:val="center"/>
          </w:tcPr>
          <w:p>
            <w:pPr>
              <w:spacing w:line="200" w:lineRule="exact"/>
              <w:ind w:left="113" w:right="113"/>
              <w:rPr>
                <w:rFonts w:hint="eastAsia"/>
                <w:color w:val="auto"/>
                <w:sz w:val="18"/>
                <w:szCs w:val="18"/>
                <w:highlight w:val="none"/>
              </w:rPr>
            </w:pPr>
          </w:p>
        </w:tc>
        <w:tc>
          <w:tcPr>
            <w:tcW w:w="404" w:type="dxa"/>
            <w:noWrap w:val="0"/>
            <w:textDirection w:val="btLr"/>
            <w:vAlign w:val="center"/>
          </w:tcPr>
          <w:p>
            <w:pPr>
              <w:spacing w:line="200" w:lineRule="exact"/>
              <w:ind w:left="113" w:right="113"/>
              <w:rPr>
                <w:rFonts w:hint="eastAsia"/>
                <w:color w:val="auto"/>
                <w:sz w:val="18"/>
                <w:szCs w:val="18"/>
                <w:highlight w:val="none"/>
              </w:rPr>
            </w:pPr>
          </w:p>
        </w:tc>
        <w:tc>
          <w:tcPr>
            <w:tcW w:w="403" w:type="dxa"/>
            <w:noWrap w:val="0"/>
            <w:textDirection w:val="btLr"/>
            <w:vAlign w:val="center"/>
          </w:tcPr>
          <w:p>
            <w:pPr>
              <w:spacing w:line="200" w:lineRule="exact"/>
              <w:ind w:left="113" w:right="113"/>
              <w:rPr>
                <w:rFonts w:hint="eastAsia"/>
                <w:color w:val="auto"/>
                <w:sz w:val="18"/>
                <w:szCs w:val="18"/>
                <w:highlight w:val="none"/>
              </w:rPr>
            </w:pPr>
          </w:p>
        </w:tc>
        <w:tc>
          <w:tcPr>
            <w:tcW w:w="404" w:type="dxa"/>
            <w:noWrap w:val="0"/>
            <w:textDirection w:val="btLr"/>
            <w:vAlign w:val="center"/>
          </w:tcPr>
          <w:p>
            <w:pPr>
              <w:spacing w:line="200" w:lineRule="exact"/>
              <w:ind w:left="113" w:right="113"/>
              <w:rPr>
                <w:rFonts w:hint="eastAsia"/>
                <w:color w:val="auto"/>
                <w:sz w:val="18"/>
                <w:szCs w:val="18"/>
                <w:highlight w:val="none"/>
              </w:rPr>
            </w:pPr>
          </w:p>
        </w:tc>
        <w:tc>
          <w:tcPr>
            <w:tcW w:w="404" w:type="dxa"/>
            <w:noWrap w:val="0"/>
            <w:textDirection w:val="btLr"/>
            <w:vAlign w:val="center"/>
          </w:tcPr>
          <w:p>
            <w:pPr>
              <w:spacing w:line="200" w:lineRule="exact"/>
              <w:ind w:left="113" w:right="113"/>
              <w:rPr>
                <w:rFonts w:hint="eastAsia"/>
                <w:color w:val="auto"/>
                <w:sz w:val="18"/>
                <w:szCs w:val="18"/>
                <w:highlight w:val="none"/>
              </w:rPr>
            </w:pPr>
          </w:p>
        </w:tc>
        <w:tc>
          <w:tcPr>
            <w:tcW w:w="404" w:type="dxa"/>
            <w:noWrap w:val="0"/>
            <w:textDirection w:val="btLr"/>
            <w:vAlign w:val="center"/>
          </w:tcPr>
          <w:p>
            <w:pPr>
              <w:spacing w:line="200" w:lineRule="exact"/>
              <w:ind w:left="113" w:right="113"/>
              <w:rPr>
                <w:rFonts w:hint="eastAsia"/>
                <w:color w:val="auto"/>
                <w:sz w:val="18"/>
                <w:szCs w:val="18"/>
                <w:highlight w:val="none"/>
              </w:rPr>
            </w:pPr>
          </w:p>
        </w:tc>
        <w:tc>
          <w:tcPr>
            <w:tcW w:w="403" w:type="dxa"/>
            <w:noWrap w:val="0"/>
            <w:textDirection w:val="btLr"/>
            <w:vAlign w:val="center"/>
          </w:tcPr>
          <w:p>
            <w:pPr>
              <w:spacing w:line="200" w:lineRule="exact"/>
              <w:ind w:left="113" w:right="113"/>
              <w:rPr>
                <w:rFonts w:hint="eastAsia"/>
                <w:color w:val="auto"/>
                <w:sz w:val="18"/>
                <w:szCs w:val="18"/>
                <w:highlight w:val="none"/>
              </w:rPr>
            </w:pPr>
          </w:p>
        </w:tc>
        <w:tc>
          <w:tcPr>
            <w:tcW w:w="404" w:type="dxa"/>
            <w:noWrap w:val="0"/>
            <w:textDirection w:val="btLr"/>
            <w:vAlign w:val="center"/>
          </w:tcPr>
          <w:p>
            <w:pPr>
              <w:spacing w:line="200" w:lineRule="exact"/>
              <w:ind w:left="113" w:right="113"/>
              <w:rPr>
                <w:rFonts w:hint="eastAsia"/>
                <w:color w:val="auto"/>
                <w:sz w:val="18"/>
                <w:szCs w:val="18"/>
                <w:highlight w:val="none"/>
              </w:rPr>
            </w:pPr>
          </w:p>
        </w:tc>
        <w:tc>
          <w:tcPr>
            <w:tcW w:w="404" w:type="dxa"/>
            <w:noWrap w:val="0"/>
            <w:textDirection w:val="btLr"/>
            <w:vAlign w:val="center"/>
          </w:tcPr>
          <w:p>
            <w:pPr>
              <w:spacing w:line="200" w:lineRule="exact"/>
              <w:ind w:left="113" w:right="113"/>
              <w:rPr>
                <w:rFonts w:hint="eastAsia"/>
                <w:color w:val="auto"/>
                <w:sz w:val="18"/>
                <w:szCs w:val="18"/>
                <w:highlight w:val="none"/>
              </w:rPr>
            </w:pPr>
          </w:p>
        </w:tc>
        <w:tc>
          <w:tcPr>
            <w:tcW w:w="404" w:type="dxa"/>
            <w:noWrap w:val="0"/>
            <w:textDirection w:val="btLr"/>
            <w:vAlign w:val="center"/>
          </w:tcPr>
          <w:p>
            <w:pPr>
              <w:spacing w:line="200" w:lineRule="exact"/>
              <w:ind w:left="113" w:right="113"/>
              <w:rPr>
                <w:rFonts w:hint="eastAsia"/>
                <w:color w:val="auto"/>
                <w:sz w:val="18"/>
                <w:szCs w:val="18"/>
                <w:highlight w:val="none"/>
              </w:rPr>
            </w:pPr>
          </w:p>
        </w:tc>
        <w:tc>
          <w:tcPr>
            <w:tcW w:w="403" w:type="dxa"/>
            <w:noWrap w:val="0"/>
            <w:textDirection w:val="btLr"/>
            <w:vAlign w:val="center"/>
          </w:tcPr>
          <w:p>
            <w:pPr>
              <w:spacing w:line="200" w:lineRule="exact"/>
              <w:ind w:left="113" w:right="113"/>
              <w:rPr>
                <w:rFonts w:hint="eastAsia"/>
                <w:color w:val="auto"/>
                <w:sz w:val="18"/>
                <w:szCs w:val="18"/>
                <w:highlight w:val="none"/>
              </w:rPr>
            </w:pPr>
          </w:p>
        </w:tc>
        <w:tc>
          <w:tcPr>
            <w:tcW w:w="404" w:type="dxa"/>
            <w:noWrap w:val="0"/>
            <w:textDirection w:val="btLr"/>
            <w:vAlign w:val="center"/>
          </w:tcPr>
          <w:p>
            <w:pPr>
              <w:spacing w:line="200" w:lineRule="exact"/>
              <w:ind w:left="113" w:right="113"/>
              <w:rPr>
                <w:rFonts w:hint="eastAsia"/>
                <w:color w:val="auto"/>
                <w:sz w:val="18"/>
                <w:szCs w:val="18"/>
                <w:highlight w:val="none"/>
              </w:rPr>
            </w:pPr>
          </w:p>
        </w:tc>
        <w:tc>
          <w:tcPr>
            <w:tcW w:w="404" w:type="dxa"/>
            <w:noWrap w:val="0"/>
            <w:textDirection w:val="btLr"/>
            <w:vAlign w:val="center"/>
          </w:tcPr>
          <w:p>
            <w:pPr>
              <w:spacing w:line="200" w:lineRule="exact"/>
              <w:ind w:left="113" w:right="113"/>
              <w:rPr>
                <w:color w:val="auto"/>
                <w:sz w:val="18"/>
                <w:szCs w:val="18"/>
                <w:highlight w:val="none"/>
              </w:rPr>
            </w:pPr>
          </w:p>
        </w:tc>
        <w:tc>
          <w:tcPr>
            <w:tcW w:w="404" w:type="dxa"/>
            <w:noWrap w:val="0"/>
            <w:textDirection w:val="btLr"/>
            <w:vAlign w:val="center"/>
          </w:tcPr>
          <w:p>
            <w:pPr>
              <w:spacing w:line="200" w:lineRule="exact"/>
              <w:ind w:left="113" w:right="113"/>
              <w:rPr>
                <w:color w:val="auto"/>
                <w:sz w:val="18"/>
                <w:szCs w:val="18"/>
                <w:highlight w:val="none"/>
              </w:rPr>
            </w:pPr>
          </w:p>
        </w:tc>
        <w:tc>
          <w:tcPr>
            <w:tcW w:w="403" w:type="dxa"/>
            <w:noWrap w:val="0"/>
            <w:textDirection w:val="btLr"/>
            <w:vAlign w:val="center"/>
          </w:tcPr>
          <w:p>
            <w:pPr>
              <w:spacing w:line="200" w:lineRule="exact"/>
              <w:ind w:left="113" w:right="113"/>
              <w:rPr>
                <w:color w:val="auto"/>
                <w:sz w:val="18"/>
                <w:szCs w:val="18"/>
                <w:highlight w:val="none"/>
              </w:rPr>
            </w:pPr>
          </w:p>
        </w:tc>
        <w:tc>
          <w:tcPr>
            <w:tcW w:w="404" w:type="dxa"/>
            <w:noWrap w:val="0"/>
            <w:textDirection w:val="btLr"/>
            <w:vAlign w:val="center"/>
          </w:tcPr>
          <w:p>
            <w:pPr>
              <w:spacing w:line="200" w:lineRule="exact"/>
              <w:ind w:left="113" w:right="113"/>
              <w:rPr>
                <w:color w:val="auto"/>
                <w:sz w:val="18"/>
                <w:szCs w:val="18"/>
                <w:highlight w:val="none"/>
              </w:rPr>
            </w:pPr>
          </w:p>
        </w:tc>
        <w:tc>
          <w:tcPr>
            <w:tcW w:w="404" w:type="dxa"/>
            <w:noWrap w:val="0"/>
            <w:textDirection w:val="btLr"/>
            <w:vAlign w:val="center"/>
          </w:tcPr>
          <w:p>
            <w:pPr>
              <w:spacing w:line="200" w:lineRule="exact"/>
              <w:ind w:left="113" w:right="113"/>
              <w:rPr>
                <w:color w:val="auto"/>
                <w:sz w:val="18"/>
                <w:szCs w:val="18"/>
                <w:highlight w:val="none"/>
              </w:rPr>
            </w:pPr>
          </w:p>
        </w:tc>
        <w:tc>
          <w:tcPr>
            <w:tcW w:w="404" w:type="dxa"/>
            <w:noWrap w:val="0"/>
            <w:textDirection w:val="btLr"/>
            <w:vAlign w:val="center"/>
          </w:tcPr>
          <w:p>
            <w:pPr>
              <w:spacing w:line="200" w:lineRule="exact"/>
              <w:ind w:left="113" w:right="113"/>
              <w:rPr>
                <w:color w:val="auto"/>
                <w:sz w:val="18"/>
                <w:szCs w:val="18"/>
                <w:highlight w:val="none"/>
              </w:rPr>
            </w:pPr>
          </w:p>
        </w:tc>
      </w:tr>
    </w:tbl>
    <w:p>
      <w:pPr>
        <w:rPr>
          <w:rFonts w:hint="eastAsia"/>
          <w:color w:val="auto"/>
          <w:highlight w:val="none"/>
        </w:rPr>
        <w:sectPr>
          <w:type w:val="continuous"/>
          <w:pgSz w:w="11906" w:h="16838"/>
          <w:pgMar w:top="1474" w:right="1418" w:bottom="1247" w:left="1418" w:header="850" w:footer="992" w:gutter="0"/>
          <w:cols w:space="720" w:num="1"/>
          <w:titlePg/>
          <w:docGrid w:linePitch="312" w:charSpace="0"/>
        </w:sectPr>
      </w:pPr>
    </w:p>
    <w:p>
      <w:pPr>
        <w:spacing w:line="420" w:lineRule="exact"/>
        <w:rPr>
          <w:rFonts w:hint="eastAsia" w:ascii="黑体" w:hAnsi="黑体" w:eastAsia="黑体"/>
          <w:color w:val="auto"/>
          <w:sz w:val="24"/>
          <w:szCs w:val="24"/>
          <w:highlight w:val="none"/>
        </w:rPr>
      </w:pPr>
      <w:bookmarkStart w:id="1752" w:name="_Toc375000610"/>
      <w:bookmarkStart w:id="1753" w:name="_Toc233423369"/>
      <w:bookmarkStart w:id="1754" w:name="_Toc233622940"/>
      <w:bookmarkStart w:id="1755" w:name="_Toc8670"/>
      <w:bookmarkStart w:id="1756" w:name="_Toc233436027"/>
      <w:bookmarkStart w:id="1757" w:name="_Toc19918"/>
      <w:bookmarkStart w:id="1758" w:name="_Toc233429886"/>
      <w:bookmarkStart w:id="1759" w:name="_Toc233290484"/>
      <w:bookmarkStart w:id="1760" w:name="_Toc1441"/>
      <w:bookmarkStart w:id="1761" w:name="_Toc233215039"/>
      <w:r>
        <w:rPr>
          <w:rFonts w:hint="eastAsia" w:ascii="黑体" w:hAnsi="黑体" w:eastAsia="黑体"/>
          <w:color w:val="auto"/>
          <w:sz w:val="24"/>
          <w:szCs w:val="24"/>
          <w:highlight w:val="none"/>
        </w:rPr>
        <w:t xml:space="preserve">附表二 </w:t>
      </w:r>
      <w:r>
        <w:rPr>
          <w:rFonts w:ascii="黑体" w:hAnsi="黑体" w:eastAsia="黑体"/>
          <w:color w:val="auto"/>
          <w:sz w:val="24"/>
          <w:szCs w:val="24"/>
          <w:highlight w:val="none"/>
        </w:rPr>
        <w:t>分项工程进度率计划（斜率图）</w:t>
      </w:r>
      <w:bookmarkEnd w:id="1752"/>
    </w:p>
    <w:tbl>
      <w:tblPr>
        <w:tblStyle w:val="17"/>
        <w:tblpPr w:leftFromText="180" w:rightFromText="180" w:vertAnchor="text" w:horzAnchor="margin" w:tblpXSpec="center" w:tblpY="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3"/>
        <w:gridCol w:w="393"/>
        <w:gridCol w:w="391"/>
        <w:gridCol w:w="391"/>
        <w:gridCol w:w="391"/>
        <w:gridCol w:w="391"/>
        <w:gridCol w:w="391"/>
        <w:gridCol w:w="391"/>
        <w:gridCol w:w="391"/>
        <w:gridCol w:w="391"/>
        <w:gridCol w:w="391"/>
        <w:gridCol w:w="391"/>
        <w:gridCol w:w="391"/>
        <w:gridCol w:w="391"/>
        <w:gridCol w:w="391"/>
        <w:gridCol w:w="391"/>
        <w:gridCol w:w="391"/>
        <w:gridCol w:w="391"/>
        <w:gridCol w:w="395"/>
        <w:gridCol w:w="394"/>
        <w:gridCol w:w="396"/>
        <w:gridCol w:w="391"/>
        <w:gridCol w:w="41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restart"/>
            <w:tcBorders>
              <w:top w:val="single" w:color="auto" w:sz="12" w:space="0"/>
              <w:bottom w:val="single" w:color="auto" w:sz="6" w:space="0"/>
            </w:tcBorders>
            <w:noWrap w:val="0"/>
            <w:textDirection w:val="btLr"/>
            <w:vAlign w:val="center"/>
          </w:tcPr>
          <w:p>
            <w:pPr>
              <w:spacing w:line="200" w:lineRule="exact"/>
              <w:ind w:left="113" w:leftChars="54" w:right="113" w:firstLine="210" w:firstLineChars="100"/>
              <w:rPr>
                <w:color w:val="auto"/>
                <w:szCs w:val="21"/>
                <w:highlight w:val="none"/>
              </w:rPr>
            </w:pPr>
            <w:r>
              <w:rPr>
                <w:color w:val="auto"/>
                <w:szCs w:val="21"/>
                <w:highlight w:val="none"/>
              </w:rPr>
              <w:t xml:space="preserve">                 </w:t>
            </w:r>
            <w:r>
              <w:rPr>
                <w:color w:val="auto"/>
                <w:szCs w:val="21"/>
                <w:highlight w:val="none"/>
                <w:u w:val="single"/>
              </w:rPr>
              <w:t xml:space="preserve">        </w:t>
            </w:r>
            <w:r>
              <w:rPr>
                <w:rFonts w:hAnsi="宋体"/>
                <w:color w:val="auto"/>
                <w:szCs w:val="21"/>
                <w:highlight w:val="none"/>
              </w:rPr>
              <w:t>年</w:t>
            </w:r>
          </w:p>
        </w:tc>
        <w:tc>
          <w:tcPr>
            <w:tcW w:w="393" w:type="dxa"/>
            <w:vMerge w:val="restart"/>
            <w:tcBorders>
              <w:top w:val="single" w:color="auto" w:sz="12" w:space="0"/>
              <w:bottom w:val="single" w:color="auto" w:sz="6" w:space="0"/>
              <w:right w:val="single" w:color="auto" w:sz="4" w:space="0"/>
            </w:tcBorders>
            <w:noWrap w:val="0"/>
            <w:textDirection w:val="btLr"/>
            <w:vAlign w:val="center"/>
          </w:tcPr>
          <w:p>
            <w:pPr>
              <w:spacing w:line="200" w:lineRule="exact"/>
              <w:jc w:val="center"/>
              <w:rPr>
                <w:color w:val="auto"/>
                <w:szCs w:val="21"/>
                <w:highlight w:val="none"/>
              </w:rPr>
            </w:pPr>
            <w:r>
              <w:rPr>
                <w:rFonts w:hAnsi="宋体"/>
                <w:color w:val="auto"/>
                <w:szCs w:val="21"/>
                <w:highlight w:val="none"/>
              </w:rPr>
              <w:t>四</w:t>
            </w:r>
          </w:p>
        </w:tc>
        <w:tc>
          <w:tcPr>
            <w:tcW w:w="391" w:type="dxa"/>
            <w:tcBorders>
              <w:top w:val="single" w:color="auto" w:sz="12" w:space="0"/>
              <w:left w:val="single" w:color="auto" w:sz="4" w:space="0"/>
              <w:bottom w:val="single" w:color="auto" w:sz="6" w:space="0"/>
            </w:tcBorders>
            <w:noWrap w:val="0"/>
            <w:textDirection w:val="btLr"/>
            <w:vAlign w:val="center"/>
          </w:tcPr>
          <w:p>
            <w:pPr>
              <w:spacing w:line="200" w:lineRule="exact"/>
              <w:jc w:val="center"/>
              <w:rPr>
                <w:color w:val="auto"/>
                <w:szCs w:val="21"/>
                <w:highlight w:val="none"/>
              </w:rPr>
            </w:pPr>
            <w:r>
              <w:rPr>
                <w:color w:val="auto"/>
                <w:szCs w:val="21"/>
                <w:highlight w:val="none"/>
              </w:rPr>
              <w:t>…</w:t>
            </w: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12"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12"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12"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12" w:space="0"/>
              <w:bottom w:val="single" w:color="auto" w:sz="6" w:space="0"/>
              <w:right w:val="single" w:color="auto" w:sz="12" w:space="0"/>
            </w:tcBorders>
            <w:noWrap w:val="0"/>
            <w:textDirection w:val="lrTbV"/>
            <w:vAlign w:val="center"/>
          </w:tcPr>
          <w:p>
            <w:pPr>
              <w:spacing w:line="200" w:lineRule="exact"/>
              <w:rPr>
                <w:color w:val="auto"/>
                <w:szCs w:val="21"/>
                <w:highlight w:val="none"/>
              </w:rPr>
            </w:pPr>
            <w:r>
              <w:rPr>
                <w:color w:val="auto"/>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jc w:val="center"/>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jc w:val="center"/>
              <w:rPr>
                <w:color w:val="auto"/>
                <w:szCs w:val="21"/>
                <w:highlight w:val="none"/>
              </w:rPr>
            </w:pPr>
            <w:r>
              <w:rPr>
                <w:color w:val="auto"/>
                <w:szCs w:val="21"/>
                <w:highlight w:val="none"/>
              </w:rPr>
              <w:t>10</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restart"/>
            <w:tcBorders>
              <w:top w:val="single" w:color="auto" w:sz="6" w:space="0"/>
              <w:bottom w:val="single" w:color="auto" w:sz="6" w:space="0"/>
              <w:right w:val="single" w:color="auto" w:sz="4" w:space="0"/>
            </w:tcBorders>
            <w:noWrap w:val="0"/>
            <w:textDirection w:val="btLr"/>
            <w:vAlign w:val="center"/>
          </w:tcPr>
          <w:p>
            <w:pPr>
              <w:spacing w:line="200" w:lineRule="exact"/>
              <w:ind w:left="113" w:leftChars="54" w:right="113" w:firstLine="315" w:firstLineChars="150"/>
              <w:rPr>
                <w:color w:val="auto"/>
                <w:szCs w:val="21"/>
                <w:highlight w:val="none"/>
              </w:rPr>
            </w:pPr>
            <w:r>
              <w:rPr>
                <w:color w:val="auto"/>
                <w:szCs w:val="21"/>
                <w:highlight w:val="none"/>
              </w:rPr>
              <w:t xml:space="preserve">  </w:t>
            </w:r>
            <w:r>
              <w:rPr>
                <w:rFonts w:hAnsi="宋体"/>
                <w:color w:val="auto"/>
                <w:szCs w:val="21"/>
                <w:highlight w:val="none"/>
              </w:rPr>
              <w:t>三</w:t>
            </w: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9</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113" w:right="113"/>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8</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113" w:right="113"/>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7</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restart"/>
            <w:tcBorders>
              <w:top w:val="single" w:color="auto" w:sz="6" w:space="0"/>
              <w:bottom w:val="single" w:color="auto" w:sz="6" w:space="0"/>
              <w:right w:val="single" w:color="auto" w:sz="4" w:space="0"/>
            </w:tcBorders>
            <w:noWrap w:val="0"/>
            <w:textDirection w:val="btLr"/>
            <w:vAlign w:val="center"/>
          </w:tcPr>
          <w:p>
            <w:pPr>
              <w:spacing w:line="200" w:lineRule="exact"/>
              <w:ind w:left="113" w:leftChars="54" w:right="113" w:firstLine="315" w:firstLineChars="150"/>
              <w:rPr>
                <w:color w:val="auto"/>
                <w:szCs w:val="21"/>
                <w:highlight w:val="none"/>
              </w:rPr>
            </w:pPr>
            <w:r>
              <w:rPr>
                <w:color w:val="auto"/>
                <w:szCs w:val="21"/>
                <w:highlight w:val="none"/>
              </w:rPr>
              <w:t xml:space="preserve"> </w:t>
            </w:r>
            <w:r>
              <w:rPr>
                <w:rFonts w:hAnsi="宋体"/>
                <w:color w:val="auto"/>
                <w:szCs w:val="21"/>
                <w:highlight w:val="none"/>
              </w:rPr>
              <w:t>二</w:t>
            </w: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6</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113" w:right="113"/>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5</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113" w:right="113"/>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4</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restart"/>
            <w:tcBorders>
              <w:top w:val="single" w:color="auto" w:sz="6" w:space="0"/>
              <w:bottom w:val="single" w:color="auto" w:sz="6" w:space="0"/>
              <w:right w:val="single" w:color="auto" w:sz="4" w:space="0"/>
            </w:tcBorders>
            <w:noWrap w:val="0"/>
            <w:textDirection w:val="btLr"/>
            <w:vAlign w:val="center"/>
          </w:tcPr>
          <w:p>
            <w:pPr>
              <w:spacing w:line="200" w:lineRule="exact"/>
              <w:ind w:left="113" w:leftChars="54" w:right="113" w:firstLine="315" w:firstLineChars="150"/>
              <w:rPr>
                <w:color w:val="auto"/>
                <w:szCs w:val="21"/>
                <w:highlight w:val="none"/>
              </w:rPr>
            </w:pPr>
            <w:r>
              <w:rPr>
                <w:color w:val="auto"/>
                <w:szCs w:val="21"/>
                <w:highlight w:val="none"/>
              </w:rPr>
              <w:t xml:space="preserve"> </w:t>
            </w:r>
            <w:r>
              <w:rPr>
                <w:rFonts w:hAnsi="宋体"/>
                <w:color w:val="auto"/>
                <w:szCs w:val="21"/>
                <w:highlight w:val="none"/>
              </w:rPr>
              <w:t>一</w:t>
            </w: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3</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113" w:right="113"/>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2</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btLr"/>
            <w:vAlign w:val="center"/>
          </w:tcPr>
          <w:p>
            <w:pPr>
              <w:spacing w:line="200" w:lineRule="exact"/>
              <w:ind w:left="113" w:right="113"/>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113" w:right="113"/>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1</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restart"/>
            <w:tcBorders>
              <w:top w:val="single" w:color="auto" w:sz="6" w:space="0"/>
              <w:bottom w:val="single" w:color="auto" w:sz="6" w:space="0"/>
            </w:tcBorders>
            <w:noWrap w:val="0"/>
            <w:textDirection w:val="btLr"/>
            <w:vAlign w:val="center"/>
          </w:tcPr>
          <w:p>
            <w:pPr>
              <w:spacing w:line="200" w:lineRule="exact"/>
              <w:ind w:left="113" w:leftChars="54" w:right="113" w:firstLine="210" w:firstLineChars="100"/>
              <w:rPr>
                <w:color w:val="auto"/>
                <w:szCs w:val="21"/>
                <w:highlight w:val="none"/>
              </w:rPr>
            </w:pPr>
            <w:r>
              <w:rPr>
                <w:color w:val="auto"/>
                <w:szCs w:val="21"/>
                <w:highlight w:val="none"/>
              </w:rPr>
              <w:t xml:space="preserve">                  </w:t>
            </w:r>
            <w:r>
              <w:rPr>
                <w:color w:val="auto"/>
                <w:szCs w:val="21"/>
                <w:highlight w:val="none"/>
                <w:u w:val="single"/>
              </w:rPr>
              <w:t xml:space="preserve">        </w:t>
            </w:r>
            <w:r>
              <w:rPr>
                <w:rFonts w:hAnsi="宋体"/>
                <w:color w:val="auto"/>
                <w:szCs w:val="21"/>
                <w:highlight w:val="none"/>
              </w:rPr>
              <w:t>年</w:t>
            </w:r>
          </w:p>
        </w:tc>
        <w:tc>
          <w:tcPr>
            <w:tcW w:w="393" w:type="dxa"/>
            <w:vMerge w:val="restart"/>
            <w:tcBorders>
              <w:top w:val="single" w:color="auto" w:sz="6" w:space="0"/>
              <w:bottom w:val="single" w:color="auto" w:sz="6" w:space="0"/>
              <w:right w:val="single" w:color="auto" w:sz="4" w:space="0"/>
            </w:tcBorders>
            <w:noWrap w:val="0"/>
            <w:textDirection w:val="btLr"/>
            <w:vAlign w:val="center"/>
          </w:tcPr>
          <w:p>
            <w:pPr>
              <w:spacing w:line="200" w:lineRule="exact"/>
              <w:jc w:val="center"/>
              <w:rPr>
                <w:color w:val="auto"/>
                <w:szCs w:val="21"/>
                <w:highlight w:val="none"/>
              </w:rPr>
            </w:pPr>
            <w:r>
              <w:rPr>
                <w:rFonts w:hAnsi="宋体"/>
                <w:color w:val="auto"/>
                <w:szCs w:val="21"/>
                <w:highlight w:val="none"/>
              </w:rPr>
              <w:t>四</w:t>
            </w: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jc w:val="center"/>
              <w:rPr>
                <w:color w:val="auto"/>
                <w:szCs w:val="21"/>
                <w:highlight w:val="none"/>
              </w:rPr>
            </w:pPr>
            <w:r>
              <w:rPr>
                <w:color w:val="auto"/>
                <w:szCs w:val="21"/>
                <w:highlight w:val="none"/>
              </w:rPr>
              <w:t>12</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jc w:val="center"/>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jc w:val="center"/>
              <w:rPr>
                <w:color w:val="auto"/>
                <w:szCs w:val="21"/>
                <w:highlight w:val="none"/>
              </w:rPr>
            </w:pPr>
            <w:r>
              <w:rPr>
                <w:color w:val="auto"/>
                <w:szCs w:val="21"/>
                <w:highlight w:val="none"/>
              </w:rPr>
              <w:t>11</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jc w:val="center"/>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jc w:val="center"/>
              <w:rPr>
                <w:color w:val="auto"/>
                <w:szCs w:val="21"/>
                <w:highlight w:val="none"/>
              </w:rPr>
            </w:pPr>
            <w:r>
              <w:rPr>
                <w:color w:val="auto"/>
                <w:szCs w:val="21"/>
                <w:highlight w:val="none"/>
              </w:rPr>
              <w:t>10</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restart"/>
            <w:tcBorders>
              <w:top w:val="single" w:color="auto" w:sz="6" w:space="0"/>
              <w:bottom w:val="single" w:color="auto" w:sz="6" w:space="0"/>
              <w:right w:val="single" w:color="auto" w:sz="4" w:space="0"/>
            </w:tcBorders>
            <w:noWrap w:val="0"/>
            <w:textDirection w:val="btLr"/>
            <w:vAlign w:val="center"/>
          </w:tcPr>
          <w:p>
            <w:pPr>
              <w:spacing w:line="200" w:lineRule="exact"/>
              <w:jc w:val="center"/>
              <w:rPr>
                <w:color w:val="auto"/>
                <w:szCs w:val="21"/>
                <w:highlight w:val="none"/>
              </w:rPr>
            </w:pPr>
            <w:r>
              <w:rPr>
                <w:rFonts w:hAnsi="宋体"/>
                <w:color w:val="auto"/>
                <w:szCs w:val="21"/>
                <w:highlight w:val="none"/>
              </w:rPr>
              <w:t>三</w:t>
            </w: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jc w:val="center"/>
              <w:rPr>
                <w:color w:val="auto"/>
                <w:szCs w:val="21"/>
                <w:highlight w:val="none"/>
              </w:rPr>
            </w:pPr>
            <w:r>
              <w:rPr>
                <w:color w:val="auto"/>
                <w:szCs w:val="21"/>
                <w:highlight w:val="none"/>
              </w:rPr>
              <w:t>9</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jc w:val="center"/>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jc w:val="center"/>
              <w:rPr>
                <w:color w:val="auto"/>
                <w:szCs w:val="21"/>
                <w:highlight w:val="none"/>
              </w:rPr>
            </w:pPr>
            <w:r>
              <w:rPr>
                <w:color w:val="auto"/>
                <w:szCs w:val="21"/>
                <w:highlight w:val="none"/>
              </w:rPr>
              <w:t>8</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jc w:val="center"/>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jc w:val="center"/>
              <w:rPr>
                <w:color w:val="auto"/>
                <w:szCs w:val="21"/>
                <w:highlight w:val="none"/>
              </w:rPr>
            </w:pPr>
            <w:r>
              <w:rPr>
                <w:color w:val="auto"/>
                <w:szCs w:val="21"/>
                <w:highlight w:val="none"/>
              </w:rPr>
              <w:t>7</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restart"/>
            <w:tcBorders>
              <w:top w:val="single" w:color="auto" w:sz="6" w:space="0"/>
              <w:bottom w:val="single" w:color="auto" w:sz="6" w:space="0"/>
              <w:right w:val="single" w:color="auto" w:sz="4" w:space="0"/>
            </w:tcBorders>
            <w:noWrap w:val="0"/>
            <w:textDirection w:val="btLr"/>
            <w:vAlign w:val="center"/>
          </w:tcPr>
          <w:p>
            <w:pPr>
              <w:spacing w:line="200" w:lineRule="exact"/>
              <w:ind w:left="113" w:leftChars="54" w:right="113" w:firstLine="315" w:firstLineChars="150"/>
              <w:rPr>
                <w:color w:val="auto"/>
                <w:szCs w:val="21"/>
                <w:highlight w:val="none"/>
              </w:rPr>
            </w:pPr>
            <w:r>
              <w:rPr>
                <w:color w:val="auto"/>
                <w:szCs w:val="21"/>
                <w:highlight w:val="none"/>
              </w:rPr>
              <w:t xml:space="preserve">  </w:t>
            </w:r>
            <w:r>
              <w:rPr>
                <w:rFonts w:hAnsi="宋体"/>
                <w:color w:val="auto"/>
                <w:szCs w:val="21"/>
                <w:highlight w:val="none"/>
              </w:rPr>
              <w:t>二</w:t>
            </w: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6</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113" w:right="113"/>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5</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113" w:right="113"/>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rPr>
                <w:color w:val="auto"/>
                <w:szCs w:val="21"/>
                <w:highlight w:val="none"/>
              </w:rPr>
            </w:pPr>
            <w:r>
              <w:rPr>
                <w:color w:val="auto"/>
                <w:szCs w:val="21"/>
                <w:highlight w:val="none"/>
              </w:rPr>
              <w:t>4</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restart"/>
            <w:tcBorders>
              <w:top w:val="single" w:color="auto" w:sz="6" w:space="0"/>
              <w:bottom w:val="single" w:color="auto" w:sz="6" w:space="0"/>
              <w:right w:val="single" w:color="auto" w:sz="4" w:space="0"/>
            </w:tcBorders>
            <w:noWrap w:val="0"/>
            <w:textDirection w:val="btLr"/>
            <w:vAlign w:val="center"/>
          </w:tcPr>
          <w:p>
            <w:pPr>
              <w:spacing w:line="200" w:lineRule="exact"/>
              <w:ind w:left="113" w:right="113"/>
              <w:jc w:val="center"/>
              <w:rPr>
                <w:color w:val="auto"/>
                <w:szCs w:val="21"/>
                <w:highlight w:val="none"/>
              </w:rPr>
            </w:pPr>
            <w:r>
              <w:rPr>
                <w:rFonts w:hAnsi="宋体"/>
                <w:color w:val="auto"/>
                <w:szCs w:val="21"/>
                <w:highlight w:val="none"/>
              </w:rPr>
              <w:t>一</w:t>
            </w: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113" w:right="113"/>
              <w:jc w:val="center"/>
              <w:rPr>
                <w:color w:val="auto"/>
                <w:szCs w:val="21"/>
                <w:highlight w:val="none"/>
              </w:rPr>
            </w:pPr>
            <w:r>
              <w:rPr>
                <w:color w:val="auto"/>
                <w:szCs w:val="21"/>
                <w:highlight w:val="none"/>
              </w:rPr>
              <w:t>3</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5"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413"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42" w:leftChars="20" w:right="42" w:rightChars="20"/>
              <w:jc w:val="center"/>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42" w:leftChars="20" w:right="42" w:rightChars="20"/>
              <w:jc w:val="center"/>
              <w:rPr>
                <w:color w:val="auto"/>
                <w:szCs w:val="21"/>
                <w:highlight w:val="none"/>
              </w:rPr>
            </w:pPr>
            <w:r>
              <w:rPr>
                <w:color w:val="auto"/>
                <w:szCs w:val="21"/>
                <w:highlight w:val="none"/>
              </w:rPr>
              <w:t>2</w:t>
            </w: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5"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c>
          <w:tcPr>
            <w:tcW w:w="396" w:type="dxa"/>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1"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413"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93" w:type="dxa"/>
            <w:vMerge w:val="continue"/>
            <w:tcBorders>
              <w:top w:val="single" w:color="auto" w:sz="6" w:space="0"/>
              <w:bottom w:val="single" w:color="auto" w:sz="6" w:space="0"/>
            </w:tcBorders>
            <w:noWrap w:val="0"/>
            <w:textDirection w:val="lrTbV"/>
            <w:vAlign w:val="center"/>
          </w:tcPr>
          <w:p>
            <w:pPr>
              <w:spacing w:line="200" w:lineRule="exact"/>
              <w:rPr>
                <w:color w:val="auto"/>
                <w:szCs w:val="21"/>
                <w:highlight w:val="none"/>
              </w:rPr>
            </w:pPr>
          </w:p>
        </w:tc>
        <w:tc>
          <w:tcPr>
            <w:tcW w:w="393" w:type="dxa"/>
            <w:vMerge w:val="continue"/>
            <w:tcBorders>
              <w:top w:val="single" w:color="auto" w:sz="6" w:space="0"/>
              <w:bottom w:val="single" w:color="auto" w:sz="6" w:space="0"/>
              <w:right w:val="single" w:color="auto" w:sz="4" w:space="0"/>
            </w:tcBorders>
            <w:noWrap w:val="0"/>
            <w:textDirection w:val="btLr"/>
            <w:vAlign w:val="center"/>
          </w:tcPr>
          <w:p>
            <w:pPr>
              <w:spacing w:line="200" w:lineRule="exact"/>
              <w:ind w:left="42" w:leftChars="20" w:right="42" w:rightChars="20"/>
              <w:jc w:val="center"/>
              <w:rPr>
                <w:color w:val="auto"/>
                <w:szCs w:val="21"/>
                <w:highlight w:val="none"/>
              </w:rPr>
            </w:pPr>
          </w:p>
        </w:tc>
        <w:tc>
          <w:tcPr>
            <w:tcW w:w="391" w:type="dxa"/>
            <w:tcBorders>
              <w:top w:val="single" w:color="auto" w:sz="6" w:space="0"/>
              <w:left w:val="single" w:color="auto" w:sz="4" w:space="0"/>
              <w:bottom w:val="single" w:color="auto" w:sz="6" w:space="0"/>
            </w:tcBorders>
            <w:noWrap w:val="0"/>
            <w:textDirection w:val="btLr"/>
            <w:vAlign w:val="center"/>
          </w:tcPr>
          <w:p>
            <w:pPr>
              <w:spacing w:line="200" w:lineRule="exact"/>
              <w:ind w:left="42" w:leftChars="20" w:right="42" w:rightChars="20"/>
              <w:jc w:val="center"/>
              <w:rPr>
                <w:color w:val="auto"/>
                <w:szCs w:val="21"/>
                <w:highlight w:val="none"/>
              </w:rPr>
            </w:pPr>
            <w:r>
              <w:rPr>
                <w:color w:val="auto"/>
                <w:szCs w:val="21"/>
                <w:highlight w:val="none"/>
              </w:rPr>
              <w:t>1</w:t>
            </w:r>
          </w:p>
        </w:tc>
        <w:tc>
          <w:tcPr>
            <w:tcW w:w="391" w:type="dxa"/>
            <w:tcBorders>
              <w:top w:val="single" w:color="auto" w:sz="6"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5"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4"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6"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391" w:type="dxa"/>
            <w:tcBorders>
              <w:top w:val="single" w:color="auto" w:sz="6" w:space="0"/>
              <w:left w:val="single" w:color="auto" w:sz="4" w:space="0"/>
              <w:bottom w:val="single" w:color="auto" w:sz="6" w:space="0"/>
              <w:right w:val="single" w:color="auto" w:sz="4" w:space="0"/>
            </w:tcBorders>
            <w:noWrap w:val="0"/>
            <w:textDirection w:val="lrTbV"/>
            <w:vAlign w:val="center"/>
          </w:tcPr>
          <w:p>
            <w:pPr>
              <w:spacing w:line="200" w:lineRule="exact"/>
              <w:rPr>
                <w:color w:val="auto"/>
                <w:szCs w:val="21"/>
                <w:highlight w:val="none"/>
              </w:rPr>
            </w:pPr>
          </w:p>
        </w:tc>
        <w:tc>
          <w:tcPr>
            <w:tcW w:w="413" w:type="dxa"/>
            <w:tcBorders>
              <w:top w:val="single" w:color="auto" w:sz="6" w:space="0"/>
              <w:left w:val="single" w:color="auto" w:sz="4" w:space="0"/>
              <w:bottom w:val="single" w:color="auto" w:sz="6" w:space="0"/>
            </w:tcBorders>
            <w:noWrap w:val="0"/>
            <w:textDirection w:val="lrTbV"/>
            <w:vAlign w:val="center"/>
          </w:tcPr>
          <w:p>
            <w:pPr>
              <w:spacing w:line="20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40" w:hRule="atLeast"/>
        </w:trPr>
        <w:tc>
          <w:tcPr>
            <w:tcW w:w="393" w:type="dxa"/>
            <w:tcBorders>
              <w:top w:val="single" w:color="auto" w:sz="6" w:space="0"/>
              <w:bottom w:val="single" w:color="auto" w:sz="12" w:space="0"/>
            </w:tcBorders>
            <w:noWrap w:val="0"/>
            <w:textDirection w:val="lrTbV"/>
            <w:vAlign w:val="center"/>
          </w:tcPr>
          <w:p>
            <w:pPr>
              <w:spacing w:line="240" w:lineRule="exact"/>
              <w:jc w:val="center"/>
              <w:rPr>
                <w:color w:val="auto"/>
                <w:szCs w:val="21"/>
                <w:highlight w:val="none"/>
              </w:rPr>
            </w:pPr>
          </w:p>
          <w:p>
            <w:pPr>
              <w:spacing w:line="240" w:lineRule="exact"/>
              <w:jc w:val="center"/>
              <w:rPr>
                <w:color w:val="auto"/>
                <w:szCs w:val="21"/>
                <w:highlight w:val="none"/>
              </w:rPr>
            </w:pPr>
          </w:p>
          <w:p>
            <w:pPr>
              <w:spacing w:line="240" w:lineRule="exact"/>
              <w:jc w:val="center"/>
              <w:rPr>
                <w:color w:val="auto"/>
                <w:szCs w:val="21"/>
                <w:highlight w:val="none"/>
              </w:rPr>
            </w:pPr>
            <w:r>
              <w:rPr>
                <w:rFonts w:hAnsi="宋体"/>
                <w:color w:val="auto"/>
                <w:szCs w:val="21"/>
                <w:highlight w:val="none"/>
              </w:rPr>
              <w:t>度</w:t>
            </w:r>
          </w:p>
          <w:p>
            <w:pPr>
              <w:spacing w:line="240" w:lineRule="exact"/>
              <w:jc w:val="center"/>
              <w:rPr>
                <w:color w:val="auto"/>
                <w:szCs w:val="21"/>
                <w:highlight w:val="none"/>
              </w:rPr>
            </w:pPr>
          </w:p>
          <w:p>
            <w:pPr>
              <w:spacing w:line="240" w:lineRule="exact"/>
              <w:jc w:val="center"/>
              <w:rPr>
                <w:color w:val="auto"/>
                <w:szCs w:val="21"/>
                <w:highlight w:val="none"/>
              </w:rPr>
            </w:pPr>
            <w:r>
              <w:rPr>
                <w:rFonts w:hAnsi="宋体"/>
                <w:color w:val="auto"/>
                <w:szCs w:val="21"/>
                <w:highlight w:val="none"/>
              </w:rPr>
              <w:t>年</w:t>
            </w:r>
          </w:p>
          <w:p>
            <w:pPr>
              <w:spacing w:line="240" w:lineRule="exact"/>
              <w:jc w:val="center"/>
              <w:rPr>
                <w:color w:val="auto"/>
                <w:szCs w:val="21"/>
                <w:highlight w:val="none"/>
              </w:rPr>
            </w:pPr>
          </w:p>
          <w:p>
            <w:pPr>
              <w:spacing w:line="240" w:lineRule="exact"/>
              <w:jc w:val="center"/>
              <w:rPr>
                <w:color w:val="auto"/>
                <w:szCs w:val="21"/>
                <w:highlight w:val="none"/>
              </w:rPr>
            </w:pPr>
          </w:p>
        </w:tc>
        <w:tc>
          <w:tcPr>
            <w:tcW w:w="393" w:type="dxa"/>
            <w:tcBorders>
              <w:top w:val="single" w:color="auto" w:sz="6" w:space="0"/>
              <w:bottom w:val="single" w:color="auto" w:sz="12" w:space="0"/>
              <w:right w:val="single" w:color="auto" w:sz="4" w:space="0"/>
            </w:tcBorders>
            <w:noWrap w:val="0"/>
            <w:textDirection w:val="lrTbV"/>
            <w:vAlign w:val="center"/>
          </w:tcPr>
          <w:p>
            <w:pPr>
              <w:spacing w:line="240" w:lineRule="exact"/>
              <w:jc w:val="center"/>
              <w:rPr>
                <w:color w:val="auto"/>
                <w:szCs w:val="21"/>
                <w:highlight w:val="none"/>
              </w:rPr>
            </w:pPr>
          </w:p>
          <w:p>
            <w:pPr>
              <w:spacing w:line="240" w:lineRule="exact"/>
              <w:jc w:val="center"/>
              <w:rPr>
                <w:color w:val="auto"/>
                <w:szCs w:val="21"/>
                <w:highlight w:val="none"/>
              </w:rPr>
            </w:pPr>
          </w:p>
          <w:p>
            <w:pPr>
              <w:spacing w:line="240" w:lineRule="exact"/>
              <w:jc w:val="center"/>
              <w:rPr>
                <w:color w:val="auto"/>
                <w:szCs w:val="21"/>
                <w:highlight w:val="none"/>
              </w:rPr>
            </w:pPr>
            <w:r>
              <w:rPr>
                <w:rFonts w:hAnsi="宋体"/>
                <w:color w:val="auto"/>
                <w:szCs w:val="21"/>
                <w:highlight w:val="none"/>
              </w:rPr>
              <w:t>度</w:t>
            </w:r>
          </w:p>
          <w:p>
            <w:pPr>
              <w:spacing w:line="240" w:lineRule="exact"/>
              <w:jc w:val="center"/>
              <w:rPr>
                <w:color w:val="auto"/>
                <w:szCs w:val="21"/>
                <w:highlight w:val="none"/>
              </w:rPr>
            </w:pPr>
          </w:p>
          <w:p>
            <w:pPr>
              <w:spacing w:line="240" w:lineRule="exact"/>
              <w:jc w:val="center"/>
              <w:rPr>
                <w:color w:val="auto"/>
                <w:szCs w:val="21"/>
                <w:highlight w:val="none"/>
              </w:rPr>
            </w:pPr>
            <w:r>
              <w:rPr>
                <w:rFonts w:hAnsi="宋体"/>
                <w:color w:val="auto"/>
                <w:szCs w:val="21"/>
                <w:highlight w:val="none"/>
              </w:rPr>
              <w:t>季</w:t>
            </w:r>
          </w:p>
          <w:p>
            <w:pPr>
              <w:spacing w:line="240" w:lineRule="exact"/>
              <w:jc w:val="center"/>
              <w:rPr>
                <w:color w:val="auto"/>
                <w:szCs w:val="21"/>
                <w:highlight w:val="none"/>
              </w:rPr>
            </w:pPr>
          </w:p>
          <w:p>
            <w:pPr>
              <w:spacing w:line="240" w:lineRule="exact"/>
              <w:ind w:left="-105" w:leftChars="-50" w:right="-105" w:rightChars="-50" w:firstLine="525" w:firstLineChars="250"/>
              <w:rPr>
                <w:color w:val="auto"/>
                <w:szCs w:val="21"/>
                <w:highlight w:val="none"/>
              </w:rPr>
            </w:pPr>
          </w:p>
        </w:tc>
        <w:tc>
          <w:tcPr>
            <w:tcW w:w="391" w:type="dxa"/>
            <w:tcBorders>
              <w:top w:val="single" w:color="auto" w:sz="6" w:space="0"/>
              <w:left w:val="single" w:color="auto" w:sz="4" w:space="0"/>
              <w:bottom w:val="single" w:color="auto" w:sz="12" w:space="0"/>
            </w:tcBorders>
            <w:noWrap w:val="0"/>
            <w:textDirection w:val="lrTbV"/>
            <w:vAlign w:val="center"/>
          </w:tcPr>
          <w:p>
            <w:pPr>
              <w:spacing w:line="240" w:lineRule="exact"/>
              <w:jc w:val="center"/>
              <w:rPr>
                <w:color w:val="auto"/>
                <w:szCs w:val="21"/>
                <w:highlight w:val="none"/>
              </w:rPr>
            </w:pPr>
          </w:p>
          <w:p>
            <w:pPr>
              <w:spacing w:line="240" w:lineRule="exact"/>
              <w:jc w:val="center"/>
              <w:rPr>
                <w:color w:val="auto"/>
                <w:szCs w:val="21"/>
                <w:highlight w:val="none"/>
              </w:rPr>
            </w:pPr>
          </w:p>
          <w:p>
            <w:pPr>
              <w:spacing w:line="240" w:lineRule="exact"/>
              <w:jc w:val="center"/>
              <w:rPr>
                <w:color w:val="auto"/>
                <w:szCs w:val="21"/>
                <w:highlight w:val="none"/>
              </w:rPr>
            </w:pPr>
            <w:r>
              <w:rPr>
                <w:rFonts w:hAnsi="宋体"/>
                <w:color w:val="auto"/>
                <w:szCs w:val="21"/>
                <w:highlight w:val="none"/>
              </w:rPr>
              <w:t>份</w:t>
            </w:r>
          </w:p>
          <w:p>
            <w:pPr>
              <w:spacing w:line="240" w:lineRule="exact"/>
              <w:jc w:val="center"/>
              <w:rPr>
                <w:color w:val="auto"/>
                <w:szCs w:val="21"/>
                <w:highlight w:val="none"/>
              </w:rPr>
            </w:pPr>
          </w:p>
          <w:p>
            <w:pPr>
              <w:spacing w:line="240" w:lineRule="exact"/>
              <w:jc w:val="center"/>
              <w:rPr>
                <w:color w:val="auto"/>
                <w:szCs w:val="21"/>
                <w:highlight w:val="none"/>
              </w:rPr>
            </w:pPr>
            <w:r>
              <w:rPr>
                <w:rFonts w:hAnsi="宋体"/>
                <w:color w:val="auto"/>
                <w:szCs w:val="21"/>
                <w:highlight w:val="none"/>
              </w:rPr>
              <w:t>月</w:t>
            </w:r>
          </w:p>
          <w:p>
            <w:pPr>
              <w:spacing w:line="240" w:lineRule="exact"/>
              <w:jc w:val="center"/>
              <w:rPr>
                <w:color w:val="auto"/>
                <w:szCs w:val="21"/>
                <w:highlight w:val="none"/>
              </w:rPr>
            </w:pPr>
          </w:p>
          <w:p>
            <w:pPr>
              <w:spacing w:line="240" w:lineRule="exact"/>
              <w:ind w:left="-105" w:leftChars="-50" w:right="-105" w:rightChars="-50" w:firstLine="525" w:firstLineChars="250"/>
              <w:rPr>
                <w:color w:val="auto"/>
                <w:szCs w:val="21"/>
                <w:highlight w:val="none"/>
              </w:rPr>
            </w:pPr>
          </w:p>
        </w:tc>
        <w:tc>
          <w:tcPr>
            <w:tcW w:w="391" w:type="dxa"/>
            <w:tcBorders>
              <w:top w:val="single" w:color="auto" w:sz="6" w:space="0"/>
              <w:bottom w:val="single" w:color="auto" w:sz="12" w:space="0"/>
              <w:right w:val="nil"/>
            </w:tcBorders>
            <w:noWrap w:val="0"/>
            <w:textDirection w:val="btLr"/>
            <w:vAlign w:val="bottom"/>
          </w:tcPr>
          <w:p>
            <w:pPr>
              <w:spacing w:before="120" w:beforeLines="50" w:line="240" w:lineRule="exact"/>
              <w:ind w:firstLine="105" w:firstLineChars="50"/>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280" w:lineRule="exact"/>
              <w:ind w:left="113"/>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280" w:lineRule="exact"/>
              <w:ind w:firstLine="1155" w:firstLineChars="550"/>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200" w:lineRule="exact"/>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center"/>
          </w:tcPr>
          <w:p>
            <w:pPr>
              <w:spacing w:after="120" w:afterLines="50" w:line="280" w:lineRule="exact"/>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top"/>
          </w:tcPr>
          <w:p>
            <w:pPr>
              <w:spacing w:before="100" w:beforeAutospacing="1" w:after="100" w:afterAutospacing="1" w:line="200" w:lineRule="exact"/>
              <w:jc w:val="center"/>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280" w:lineRule="exact"/>
              <w:ind w:firstLine="1155" w:firstLineChars="550"/>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60" w:lineRule="exact"/>
              <w:ind w:left="113" w:right="113"/>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280" w:lineRule="exact"/>
              <w:ind w:firstLine="1155" w:firstLineChars="550"/>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before="100" w:beforeAutospacing="1" w:after="100" w:afterAutospacing="1" w:line="200" w:lineRule="exact"/>
              <w:ind w:left="113" w:right="113"/>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280" w:lineRule="exact"/>
              <w:ind w:firstLine="1050" w:firstLineChars="500"/>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60" w:lineRule="exact"/>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280" w:lineRule="exact"/>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60" w:lineRule="exact"/>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280" w:lineRule="exact"/>
              <w:ind w:firstLine="945" w:firstLineChars="450"/>
              <w:rPr>
                <w:color w:val="auto"/>
                <w:szCs w:val="21"/>
                <w:highlight w:val="none"/>
              </w:rPr>
            </w:pPr>
          </w:p>
        </w:tc>
        <w:tc>
          <w:tcPr>
            <w:tcW w:w="395" w:type="dxa"/>
            <w:tcBorders>
              <w:top w:val="single" w:color="auto" w:sz="6" w:space="0"/>
              <w:left w:val="nil"/>
              <w:bottom w:val="single" w:color="auto" w:sz="12" w:space="0"/>
              <w:right w:val="nil"/>
            </w:tcBorders>
            <w:noWrap w:val="0"/>
            <w:textDirection w:val="btLr"/>
            <w:vAlign w:val="bottom"/>
          </w:tcPr>
          <w:p>
            <w:pPr>
              <w:spacing w:line="200" w:lineRule="exact"/>
              <w:rPr>
                <w:color w:val="auto"/>
                <w:szCs w:val="21"/>
                <w:highlight w:val="none"/>
              </w:rPr>
            </w:pPr>
          </w:p>
        </w:tc>
        <w:tc>
          <w:tcPr>
            <w:tcW w:w="394" w:type="dxa"/>
            <w:tcBorders>
              <w:top w:val="single" w:color="auto" w:sz="6" w:space="0"/>
              <w:left w:val="nil"/>
              <w:bottom w:val="single" w:color="auto" w:sz="12" w:space="0"/>
              <w:right w:val="nil"/>
            </w:tcBorders>
            <w:noWrap w:val="0"/>
            <w:textDirection w:val="btLr"/>
            <w:vAlign w:val="bottom"/>
          </w:tcPr>
          <w:p>
            <w:pPr>
              <w:spacing w:line="280" w:lineRule="exact"/>
              <w:ind w:firstLine="945" w:firstLineChars="450"/>
              <w:rPr>
                <w:color w:val="auto"/>
                <w:szCs w:val="21"/>
                <w:highlight w:val="none"/>
              </w:rPr>
            </w:pPr>
          </w:p>
        </w:tc>
        <w:tc>
          <w:tcPr>
            <w:tcW w:w="396" w:type="dxa"/>
            <w:tcBorders>
              <w:top w:val="single" w:color="auto" w:sz="6" w:space="0"/>
              <w:left w:val="nil"/>
              <w:bottom w:val="single" w:color="auto" w:sz="12" w:space="0"/>
              <w:right w:val="nil"/>
            </w:tcBorders>
            <w:noWrap w:val="0"/>
            <w:textDirection w:val="btLr"/>
            <w:vAlign w:val="bottom"/>
          </w:tcPr>
          <w:p>
            <w:pPr>
              <w:spacing w:line="200" w:lineRule="exact"/>
              <w:rPr>
                <w:color w:val="auto"/>
                <w:szCs w:val="21"/>
                <w:highlight w:val="none"/>
              </w:rPr>
            </w:pPr>
          </w:p>
        </w:tc>
        <w:tc>
          <w:tcPr>
            <w:tcW w:w="391" w:type="dxa"/>
            <w:tcBorders>
              <w:top w:val="single" w:color="auto" w:sz="6" w:space="0"/>
              <w:left w:val="nil"/>
              <w:bottom w:val="single" w:color="auto" w:sz="12" w:space="0"/>
              <w:right w:val="nil"/>
            </w:tcBorders>
            <w:noWrap w:val="0"/>
            <w:textDirection w:val="btLr"/>
            <w:vAlign w:val="bottom"/>
          </w:tcPr>
          <w:p>
            <w:pPr>
              <w:spacing w:line="280" w:lineRule="exact"/>
              <w:ind w:firstLine="1365" w:firstLineChars="650"/>
              <w:rPr>
                <w:color w:val="auto"/>
                <w:szCs w:val="21"/>
                <w:highlight w:val="none"/>
              </w:rPr>
            </w:pPr>
          </w:p>
        </w:tc>
        <w:tc>
          <w:tcPr>
            <w:tcW w:w="413" w:type="dxa"/>
            <w:tcBorders>
              <w:top w:val="single" w:color="auto" w:sz="6" w:space="0"/>
              <w:left w:val="nil"/>
              <w:bottom w:val="single" w:color="auto" w:sz="12" w:space="0"/>
            </w:tcBorders>
            <w:noWrap w:val="0"/>
            <w:textDirection w:val="btLr"/>
            <w:vAlign w:val="bottom"/>
          </w:tcPr>
          <w:p>
            <w:pPr>
              <w:spacing w:before="100" w:beforeAutospacing="1" w:after="100" w:afterAutospacing="1" w:line="200" w:lineRule="exact"/>
              <w:ind w:left="113" w:right="113"/>
              <w:rPr>
                <w:color w:val="auto"/>
                <w:szCs w:val="21"/>
                <w:highlight w:val="none"/>
              </w:rPr>
            </w:pPr>
          </w:p>
        </w:tc>
      </w:tr>
    </w:tbl>
    <w:p>
      <w:pPr>
        <w:spacing w:line="420" w:lineRule="exact"/>
        <w:rPr>
          <w:rFonts w:hint="eastAsia" w:ascii="黑体" w:hAnsi="黑体" w:eastAsia="黑体"/>
          <w:color w:val="auto"/>
          <w:sz w:val="24"/>
          <w:szCs w:val="24"/>
          <w:highlight w:val="none"/>
        </w:rPr>
      </w:pPr>
      <w:bookmarkStart w:id="1762" w:name="_Toc375000611"/>
    </w:p>
    <w:p>
      <w:pPr>
        <w:spacing w:line="420" w:lineRule="exact"/>
        <w:rPr>
          <w:rFonts w:hint="eastAsia" w:ascii="黑体" w:hAnsi="黑体" w:eastAsia="黑体"/>
          <w:color w:val="auto"/>
          <w:sz w:val="24"/>
          <w:szCs w:val="24"/>
          <w:highlight w:val="none"/>
        </w:rPr>
      </w:pPr>
      <w:r>
        <w:rPr>
          <w:rFonts w:hint="eastAsia" w:ascii="黑体" w:hAnsi="黑体" w:eastAsia="黑体"/>
          <w:color w:val="auto"/>
          <w:sz w:val="24"/>
          <w:szCs w:val="24"/>
          <w:highlight w:val="none"/>
        </w:rPr>
        <w:t xml:space="preserve">附表三 </w:t>
      </w:r>
      <w:r>
        <w:rPr>
          <w:rFonts w:ascii="黑体" w:hAnsi="黑体" w:eastAsia="黑体"/>
          <w:color w:val="auto"/>
          <w:sz w:val="24"/>
          <w:szCs w:val="24"/>
          <w:highlight w:val="none"/>
        </w:rPr>
        <w:t>工程管理曲线</w:t>
      </w:r>
      <w:bookmarkEnd w:id="1762"/>
    </w:p>
    <w:p>
      <w:pPr>
        <w:spacing w:line="420" w:lineRule="exact"/>
        <w:rPr>
          <w:rFonts w:hint="eastAsia" w:ascii="黑体" w:hAnsi="黑体" w:eastAsia="黑体"/>
          <w:color w:val="auto"/>
          <w:sz w:val="24"/>
          <w:szCs w:val="24"/>
          <w:highlight w:val="none"/>
        </w:rPr>
      </w:pP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801"/>
        <w:gridCol w:w="359"/>
        <w:gridCol w:w="359"/>
        <w:gridCol w:w="359"/>
        <w:gridCol w:w="359"/>
        <w:gridCol w:w="359"/>
        <w:gridCol w:w="359"/>
        <w:gridCol w:w="360"/>
        <w:gridCol w:w="361"/>
        <w:gridCol w:w="361"/>
        <w:gridCol w:w="361"/>
        <w:gridCol w:w="361"/>
        <w:gridCol w:w="362"/>
        <w:gridCol w:w="361"/>
        <w:gridCol w:w="361"/>
        <w:gridCol w:w="361"/>
        <w:gridCol w:w="361"/>
        <w:gridCol w:w="361"/>
        <w:gridCol w:w="361"/>
        <w:gridCol w:w="361"/>
        <w:gridCol w:w="406"/>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159" w:hRule="atLeast"/>
          <w:jc w:val="center"/>
        </w:trPr>
        <w:tc>
          <w:tcPr>
            <w:tcW w:w="1801" w:type="dxa"/>
            <w:vMerge w:val="restart"/>
            <w:tcBorders>
              <w:right w:val="single" w:color="auto" w:sz="4" w:space="0"/>
            </w:tcBorders>
            <w:noWrap w:val="0"/>
            <w:vAlign w:val="top"/>
          </w:tcPr>
          <w:p>
            <w:pPr>
              <w:spacing w:before="48" w:beforeLines="20" w:line="240" w:lineRule="exact"/>
              <w:ind w:firstLine="1050" w:firstLineChars="500"/>
              <w:rPr>
                <w:color w:val="auto"/>
                <w:szCs w:val="21"/>
                <w:highlight w:val="none"/>
              </w:rPr>
            </w:pPr>
            <w:r>
              <w:rPr>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-68580</wp:posOffset>
                      </wp:positionH>
                      <wp:positionV relativeFrom="paragraph">
                        <wp:posOffset>-5715</wp:posOffset>
                      </wp:positionV>
                      <wp:extent cx="1133475" cy="247650"/>
                      <wp:effectExtent l="1270" t="4445" r="8255" b="6985"/>
                      <wp:wrapNone/>
                      <wp:docPr id="4" name="任意多边形 4"/>
                      <wp:cNvGraphicFramePr/>
                      <a:graphic xmlns:a="http://schemas.openxmlformats.org/drawingml/2006/main">
                        <a:graphicData uri="http://schemas.microsoft.com/office/word/2010/wordprocessingShape">
                          <wps:wsp>
                            <wps:cNvSpPr/>
                            <wps:spPr>
                              <a:xfrm>
                                <a:off x="0" y="0"/>
                                <a:ext cx="1133475" cy="247650"/>
                              </a:xfrm>
                              <a:custGeom>
                                <a:avLst/>
                                <a:gdLst/>
                                <a:ahLst/>
                                <a:cxnLst/>
                                <a:pathLst>
                                  <a:path w="1785" h="390">
                                    <a:moveTo>
                                      <a:pt x="0" y="0"/>
                                    </a:moveTo>
                                    <a:lnTo>
                                      <a:pt x="1785" y="390"/>
                                    </a:lnTo>
                                  </a:path>
                                </a:pathLst>
                              </a:custGeom>
                              <a:no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5.4pt;margin-top:-0.45pt;height:19.5pt;width:89.25pt;z-index:251659264;mso-width-relative:page;mso-height-relative:page;" filled="f" stroked="t" coordsize="1785,390" o:gfxdata="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qwoUnUAAAACAEAAA8AAAAAAAAAAQAgAAAAIgAAAGRycy9kb3ducmV2Lnht&#10;bFBLAQIUABQAAAAIAIdO4kAIzYDONgIAAJEEAAAOAAAAAAAAAAEAIAAAACMBAABkcnMvZTJvRG9j&#10;LnhtbFBLBQYAAAAABgAGAFkBAADLBQAAAAA=&#10;" path="m0,0l1785,390e">
                      <v:fill on="f" focussize="0,0"/>
                      <v:stroke color="#000000" joinstyle="round"/>
                      <v:imagedata o:title=""/>
                      <o:lock v:ext="edit" aspectratio="f"/>
                    </v:shape>
                  </w:pict>
                </mc:Fallback>
              </mc:AlternateContent>
            </w:r>
            <w:r>
              <w:rPr>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-5715</wp:posOffset>
                      </wp:positionV>
                      <wp:extent cx="1136015" cy="533400"/>
                      <wp:effectExtent l="1905" t="4445" r="5080" b="10795"/>
                      <wp:wrapNone/>
                      <wp:docPr id="5" name="任意多边形 5"/>
                      <wp:cNvGraphicFramePr/>
                      <a:graphic xmlns:a="http://schemas.openxmlformats.org/drawingml/2006/main">
                        <a:graphicData uri="http://schemas.microsoft.com/office/word/2010/wordprocessingShape">
                          <wps:wsp>
                            <wps:cNvSpPr/>
                            <wps:spPr>
                              <a:xfrm>
                                <a:off x="0" y="0"/>
                                <a:ext cx="1136015" cy="533400"/>
                              </a:xfrm>
                              <a:custGeom>
                                <a:avLst/>
                                <a:gdLst/>
                                <a:ahLst/>
                                <a:cxnLst/>
                                <a:pathLst>
                                  <a:path w="1789" h="840">
                                    <a:moveTo>
                                      <a:pt x="0" y="0"/>
                                    </a:moveTo>
                                    <a:lnTo>
                                      <a:pt x="1789" y="840"/>
                                    </a:lnTo>
                                  </a:path>
                                </a:pathLst>
                              </a:custGeom>
                              <a:no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5.6pt;margin-top:-0.45pt;height:42pt;width:89.45pt;z-index:251660288;mso-width-relative:page;mso-height-relative:page;" filled="f" stroked="t" coordsize="1789,840" o:gfxdata="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nKpII1wAAAAgBAAAPAAAAAAAAAAEAIAAAACIAAABkcnMvZG93bnJl&#10;di54bWxQSwECFAAUAAAACACHTuJAveNYtDcCAACRBAAADgAAAAAAAAABACAAAAAmAQAAZHJzL2Uy&#10;b0RvYy54bWxQSwUGAAAAAAYABgBZAQAAzwUAAAAA&#10;" path="m0,0l1789,840e">
                      <v:fill on="f" focussize="0,0"/>
                      <v:stroke color="#000000" joinstyle="round"/>
                      <v:imagedata o:title=""/>
                      <o:lock v:ext="edit" aspectratio="f"/>
                    </v:shape>
                  </w:pict>
                </mc:Fallback>
              </mc:AlternateContent>
            </w:r>
            <w:r>
              <w:rPr>
                <w:rFonts w:hAnsi="宋体"/>
                <w:color w:val="auto"/>
                <w:szCs w:val="21"/>
                <w:highlight w:val="none"/>
              </w:rPr>
              <w:t>年</w:t>
            </w:r>
            <w:r>
              <w:rPr>
                <w:color w:val="auto"/>
                <w:szCs w:val="21"/>
                <w:highlight w:val="none"/>
              </w:rPr>
              <w:t xml:space="preserve"> </w:t>
            </w:r>
            <w:r>
              <w:rPr>
                <w:rFonts w:hAnsi="宋体"/>
                <w:color w:val="auto"/>
                <w:szCs w:val="21"/>
                <w:highlight w:val="none"/>
              </w:rPr>
              <w:t>度</w:t>
            </w:r>
          </w:p>
          <w:p>
            <w:pPr>
              <w:spacing w:before="96" w:beforeLines="40" w:line="240" w:lineRule="exact"/>
              <w:ind w:firstLine="1155" w:firstLineChars="550"/>
              <w:rPr>
                <w:color w:val="auto"/>
                <w:szCs w:val="21"/>
                <w:highlight w:val="none"/>
              </w:rPr>
            </w:pPr>
            <w:r>
              <w:rPr>
                <w:rFonts w:hAnsi="宋体"/>
                <w:color w:val="auto"/>
                <w:szCs w:val="21"/>
                <w:highlight w:val="none"/>
              </w:rPr>
              <w:t>季度</w:t>
            </w:r>
          </w:p>
          <w:p>
            <w:pPr>
              <w:spacing w:before="120" w:beforeLines="50" w:line="240" w:lineRule="exact"/>
              <w:ind w:firstLine="420" w:firstLineChars="200"/>
              <w:rPr>
                <w:color w:val="auto"/>
                <w:szCs w:val="21"/>
                <w:highlight w:val="none"/>
              </w:rPr>
            </w:pPr>
            <w:r>
              <w:rPr>
                <w:rFonts w:hAnsi="宋体"/>
                <w:color w:val="auto"/>
                <w:szCs w:val="21"/>
                <w:highlight w:val="none"/>
              </w:rPr>
              <w:t>进度</w:t>
            </w:r>
          </w:p>
        </w:tc>
        <w:tc>
          <w:tcPr>
            <w:tcW w:w="4320" w:type="dxa"/>
            <w:gridSpan w:val="12"/>
            <w:tcBorders>
              <w:left w:val="single" w:color="auto" w:sz="4" w:space="0"/>
              <w:bottom w:val="single" w:color="auto" w:sz="4" w:space="0"/>
              <w:right w:val="single" w:color="auto" w:sz="4" w:space="0"/>
            </w:tcBorders>
            <w:noWrap w:val="0"/>
            <w:vAlign w:val="top"/>
          </w:tcPr>
          <w:p>
            <w:pPr>
              <w:spacing w:after="48" w:afterLines="20"/>
              <w:jc w:val="center"/>
              <w:rPr>
                <w:color w:val="auto"/>
                <w:szCs w:val="21"/>
                <w:highlight w:val="none"/>
              </w:rPr>
            </w:pPr>
            <w:r>
              <w:rPr>
                <w:color w:val="auto"/>
                <w:szCs w:val="21"/>
                <w:highlight w:val="none"/>
                <w:u w:val="single"/>
              </w:rPr>
              <w:t xml:space="preserve">       </w:t>
            </w:r>
            <w:r>
              <w:rPr>
                <w:rFonts w:hAnsi="宋体"/>
                <w:color w:val="auto"/>
                <w:szCs w:val="21"/>
                <w:highlight w:val="none"/>
              </w:rPr>
              <w:t>年</w:t>
            </w:r>
          </w:p>
        </w:tc>
        <w:tc>
          <w:tcPr>
            <w:tcW w:w="2933" w:type="dxa"/>
            <w:gridSpan w:val="8"/>
            <w:tcBorders>
              <w:left w:val="single" w:color="auto" w:sz="4" w:space="0"/>
              <w:bottom w:val="single" w:color="auto" w:sz="4" w:space="0"/>
            </w:tcBorders>
            <w:noWrap w:val="0"/>
            <w:vAlign w:val="center"/>
          </w:tcPr>
          <w:p>
            <w:pPr>
              <w:spacing w:after="48" w:afterLines="20"/>
              <w:jc w:val="center"/>
              <w:rPr>
                <w:color w:val="auto"/>
                <w:szCs w:val="21"/>
                <w:highlight w:val="none"/>
              </w:rPr>
            </w:pPr>
            <w:r>
              <w:rPr>
                <w:color w:val="auto"/>
                <w:szCs w:val="21"/>
                <w:highlight w:val="none"/>
                <w:u w:val="single"/>
              </w:rPr>
              <w:t xml:space="preserve">       </w:t>
            </w:r>
            <w:r>
              <w:rPr>
                <w:rFonts w:hAnsi="宋体"/>
                <w:color w:val="auto"/>
                <w:szCs w:val="21"/>
                <w:highlight w:val="none"/>
              </w:rPr>
              <w:t>年</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430" w:hRule="atLeast"/>
          <w:jc w:val="center"/>
        </w:trPr>
        <w:tc>
          <w:tcPr>
            <w:tcW w:w="1801" w:type="dxa"/>
            <w:vMerge w:val="continue"/>
            <w:tcBorders>
              <w:right w:val="single" w:color="auto" w:sz="4" w:space="0"/>
              <w:tl2br w:val="single" w:color="auto" w:sz="4" w:space="0"/>
            </w:tcBorders>
            <w:noWrap w:val="0"/>
            <w:vAlign w:val="top"/>
          </w:tcPr>
          <w:p>
            <w:pPr>
              <w:spacing w:line="420" w:lineRule="exact"/>
              <w:rPr>
                <w:color w:val="auto"/>
                <w:szCs w:val="21"/>
                <w:highlight w:val="none"/>
              </w:rPr>
            </w:pPr>
          </w:p>
        </w:tc>
        <w:tc>
          <w:tcPr>
            <w:tcW w:w="1077"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color w:val="auto"/>
                <w:szCs w:val="21"/>
                <w:highlight w:val="none"/>
              </w:rPr>
            </w:pPr>
            <w:r>
              <w:rPr>
                <w:rFonts w:hAnsi="宋体"/>
                <w:color w:val="auto"/>
                <w:szCs w:val="21"/>
                <w:highlight w:val="none"/>
              </w:rPr>
              <w:t>一</w:t>
            </w:r>
          </w:p>
        </w:tc>
        <w:tc>
          <w:tcPr>
            <w:tcW w:w="1077"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color w:val="auto"/>
                <w:szCs w:val="21"/>
                <w:highlight w:val="none"/>
              </w:rPr>
            </w:pPr>
            <w:r>
              <w:rPr>
                <w:rFonts w:hAnsi="宋体"/>
                <w:color w:val="auto"/>
                <w:szCs w:val="21"/>
                <w:highlight w:val="none"/>
              </w:rPr>
              <w:t>二</w:t>
            </w:r>
          </w:p>
        </w:tc>
        <w:tc>
          <w:tcPr>
            <w:tcW w:w="1082"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color w:val="auto"/>
                <w:szCs w:val="21"/>
                <w:highlight w:val="none"/>
              </w:rPr>
            </w:pPr>
            <w:r>
              <w:rPr>
                <w:rFonts w:hAnsi="宋体"/>
                <w:color w:val="auto"/>
                <w:szCs w:val="21"/>
                <w:highlight w:val="none"/>
              </w:rPr>
              <w:t>三</w:t>
            </w:r>
          </w:p>
        </w:tc>
        <w:tc>
          <w:tcPr>
            <w:tcW w:w="1084"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color w:val="auto"/>
                <w:szCs w:val="21"/>
                <w:highlight w:val="none"/>
              </w:rPr>
            </w:pPr>
            <w:r>
              <w:rPr>
                <w:rFonts w:hAnsi="宋体"/>
                <w:color w:val="auto"/>
                <w:szCs w:val="21"/>
                <w:highlight w:val="none"/>
              </w:rPr>
              <w:t>四</w:t>
            </w:r>
          </w:p>
        </w:tc>
        <w:tc>
          <w:tcPr>
            <w:tcW w:w="1083"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color w:val="auto"/>
                <w:szCs w:val="21"/>
                <w:highlight w:val="none"/>
              </w:rPr>
            </w:pPr>
            <w:r>
              <w:rPr>
                <w:rFonts w:hAnsi="宋体"/>
                <w:color w:val="auto"/>
                <w:szCs w:val="21"/>
                <w:highlight w:val="none"/>
              </w:rPr>
              <w:t>一</w:t>
            </w:r>
          </w:p>
        </w:tc>
        <w:tc>
          <w:tcPr>
            <w:tcW w:w="1083"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color w:val="auto"/>
                <w:szCs w:val="21"/>
                <w:highlight w:val="none"/>
              </w:rPr>
            </w:pPr>
            <w:r>
              <w:rPr>
                <w:rFonts w:hAnsi="宋体"/>
                <w:color w:val="auto"/>
                <w:szCs w:val="21"/>
                <w:highlight w:val="none"/>
              </w:rPr>
              <w:t>二</w:t>
            </w:r>
          </w:p>
        </w:tc>
        <w:tc>
          <w:tcPr>
            <w:tcW w:w="767" w:type="dxa"/>
            <w:gridSpan w:val="2"/>
            <w:tcBorders>
              <w:top w:val="single" w:color="auto" w:sz="4" w:space="0"/>
              <w:left w:val="single" w:color="auto" w:sz="4" w:space="0"/>
              <w:bottom w:val="single" w:color="auto" w:sz="4" w:space="0"/>
            </w:tcBorders>
            <w:noWrap w:val="0"/>
            <w:vAlign w:val="center"/>
          </w:tcPr>
          <w:p>
            <w:pPr>
              <w:spacing w:line="240" w:lineRule="exact"/>
              <w:jc w:val="center"/>
              <w:rPr>
                <w:color w:val="auto"/>
                <w:szCs w:val="21"/>
                <w:highlight w:val="none"/>
              </w:rPr>
            </w:pPr>
            <w:r>
              <w:rPr>
                <w:color w:val="auto"/>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208" w:hRule="atLeast"/>
          <w:jc w:val="center"/>
        </w:trPr>
        <w:tc>
          <w:tcPr>
            <w:tcW w:w="1801" w:type="dxa"/>
            <w:vMerge w:val="continue"/>
            <w:tcBorders>
              <w:bottom w:val="single" w:color="auto" w:sz="4" w:space="0"/>
              <w:right w:val="single" w:color="auto" w:sz="4" w:space="0"/>
              <w:tl2br w:val="single" w:color="auto" w:sz="4" w:space="0"/>
            </w:tcBorders>
            <w:noWrap w:val="0"/>
            <w:vAlign w:val="top"/>
          </w:tcPr>
          <w:p>
            <w:pPr>
              <w:spacing w:line="4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single" w:color="auto" w:sz="4" w:space="0"/>
              <w:bottom w:val="nil"/>
              <w:right w:val="single" w:color="auto" w:sz="4" w:space="0"/>
            </w:tcBorders>
            <w:noWrap w:val="0"/>
            <w:vAlign w:val="center"/>
          </w:tcPr>
          <w:p>
            <w:pPr>
              <w:spacing w:line="420" w:lineRule="exact"/>
              <w:jc w:val="right"/>
              <w:rPr>
                <w:color w:val="auto"/>
                <w:szCs w:val="21"/>
                <w:highlight w:val="none"/>
              </w:rPr>
            </w:pPr>
            <w:r>
              <w:rPr>
                <w:color w:val="auto"/>
                <w:szCs w:val="21"/>
                <w:highlight w:val="none"/>
              </w:rPr>
              <w:t>100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jc w:val="righ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jc w:val="right"/>
              <w:rPr>
                <w:color w:val="auto"/>
                <w:szCs w:val="21"/>
                <w:highlight w:val="none"/>
              </w:rPr>
            </w:pPr>
            <w:r>
              <w:rPr>
                <w:color w:val="auto"/>
                <w:szCs w:val="21"/>
                <w:highlight w:val="none"/>
              </w:rPr>
              <w:t>90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jc w:val="righ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jc w:val="right"/>
              <w:rPr>
                <w:color w:val="auto"/>
                <w:szCs w:val="21"/>
                <w:highlight w:val="none"/>
              </w:rPr>
            </w:pPr>
            <w:r>
              <w:rPr>
                <w:color w:val="auto"/>
                <w:szCs w:val="21"/>
                <w:highlight w:val="none"/>
              </w:rPr>
              <w:t>80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ind w:firstLine="525" w:firstLineChars="250"/>
              <w:rPr>
                <w:color w:val="auto"/>
                <w:szCs w:val="21"/>
                <w:highlight w:val="none"/>
              </w:rPr>
            </w:pPr>
            <w:r>
              <w:rPr>
                <w:rFonts w:hAnsi="宋体"/>
                <w:color w:val="auto"/>
                <w:szCs w:val="21"/>
                <w:highlight w:val="none"/>
              </w:rPr>
              <w:t>工</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ind w:firstLine="525" w:firstLineChars="250"/>
              <w:jc w:val="center"/>
              <w:rPr>
                <w:color w:val="auto"/>
                <w:szCs w:val="21"/>
                <w:highlight w:val="none"/>
              </w:rPr>
            </w:pPr>
            <w:r>
              <w:rPr>
                <w:rFonts w:hAnsi="宋体"/>
                <w:color w:val="auto"/>
                <w:szCs w:val="21"/>
                <w:highlight w:val="none"/>
              </w:rPr>
              <w:t>程</w:t>
            </w:r>
            <w:r>
              <w:rPr>
                <w:color w:val="auto"/>
                <w:szCs w:val="21"/>
                <w:highlight w:val="none"/>
              </w:rPr>
              <w:t xml:space="preserve">    </w:t>
            </w:r>
            <w:r>
              <w:rPr>
                <w:rFonts w:hint="eastAsia"/>
                <w:color w:val="auto"/>
                <w:szCs w:val="21"/>
                <w:highlight w:val="none"/>
              </w:rPr>
              <w:t xml:space="preserve"> </w:t>
            </w:r>
            <w:r>
              <w:rPr>
                <w:color w:val="auto"/>
                <w:szCs w:val="21"/>
                <w:highlight w:val="none"/>
              </w:rPr>
              <w:t xml:space="preserve"> 70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ind w:right="420" w:firstLine="525" w:firstLineChars="250"/>
              <w:rPr>
                <w:color w:val="auto"/>
                <w:szCs w:val="21"/>
                <w:highlight w:val="none"/>
              </w:rPr>
            </w:pPr>
            <w:r>
              <w:rPr>
                <w:rFonts w:hAnsi="宋体"/>
                <w:color w:val="auto"/>
                <w:szCs w:val="21"/>
                <w:highlight w:val="none"/>
              </w:rPr>
              <w:t>完</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ind w:firstLine="525" w:firstLineChars="250"/>
              <w:rPr>
                <w:color w:val="auto"/>
                <w:szCs w:val="21"/>
                <w:highlight w:val="none"/>
              </w:rPr>
            </w:pPr>
            <w:r>
              <w:rPr>
                <w:rFonts w:hAnsi="宋体"/>
                <w:color w:val="auto"/>
                <w:szCs w:val="21"/>
                <w:highlight w:val="none"/>
              </w:rPr>
              <w:t>成</w:t>
            </w:r>
            <w:r>
              <w:rPr>
                <w:color w:val="auto"/>
                <w:szCs w:val="21"/>
                <w:highlight w:val="none"/>
              </w:rPr>
              <w:t xml:space="preserve">      60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ind w:right="420" w:firstLine="525" w:firstLineChars="250"/>
              <w:rPr>
                <w:color w:val="auto"/>
                <w:szCs w:val="21"/>
                <w:highlight w:val="none"/>
              </w:rPr>
            </w:pPr>
            <w:r>
              <w:rPr>
                <w:rFonts w:hAnsi="宋体"/>
                <w:color w:val="auto"/>
                <w:szCs w:val="21"/>
                <w:highlight w:val="none"/>
              </w:rPr>
              <w:t>的</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ind w:firstLine="525" w:firstLineChars="250"/>
              <w:rPr>
                <w:color w:val="auto"/>
                <w:szCs w:val="21"/>
                <w:highlight w:val="none"/>
              </w:rPr>
            </w:pPr>
            <w:r>
              <w:rPr>
                <w:rFonts w:hAnsi="宋体"/>
                <w:color w:val="auto"/>
                <w:szCs w:val="21"/>
                <w:highlight w:val="none"/>
              </w:rPr>
              <w:t>百</w:t>
            </w:r>
            <w:r>
              <w:rPr>
                <w:color w:val="auto"/>
                <w:szCs w:val="21"/>
                <w:highlight w:val="none"/>
              </w:rPr>
              <w:t xml:space="preserve">      50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ind w:right="420" w:firstLine="525" w:firstLineChars="250"/>
              <w:rPr>
                <w:color w:val="auto"/>
                <w:szCs w:val="21"/>
                <w:highlight w:val="none"/>
              </w:rPr>
            </w:pPr>
            <w:r>
              <w:rPr>
                <w:rFonts w:hAnsi="宋体"/>
                <w:color w:val="auto"/>
                <w:szCs w:val="21"/>
                <w:highlight w:val="none"/>
              </w:rPr>
              <w:t>分</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ind w:firstLine="525" w:firstLineChars="250"/>
              <w:rPr>
                <w:color w:val="auto"/>
                <w:szCs w:val="21"/>
                <w:highlight w:val="none"/>
              </w:rPr>
            </w:pPr>
            <w:r>
              <w:rPr>
                <w:rFonts w:hAnsi="宋体"/>
                <w:color w:val="auto"/>
                <w:szCs w:val="21"/>
                <w:highlight w:val="none"/>
              </w:rPr>
              <w:t>比</w:t>
            </w:r>
            <w:r>
              <w:rPr>
                <w:color w:val="auto"/>
                <w:szCs w:val="21"/>
                <w:highlight w:val="none"/>
              </w:rPr>
              <w:t xml:space="preserve">      40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ind w:firstLine="315" w:firstLineChars="150"/>
              <w:rPr>
                <w:color w:val="auto"/>
                <w:szCs w:val="21"/>
                <w:highlight w:val="none"/>
              </w:rPr>
            </w:pPr>
            <w:r>
              <w:rPr>
                <w:rFonts w:hAnsi="宋体"/>
                <w:color w:val="auto"/>
                <w:szCs w:val="21"/>
                <w:highlight w:val="none"/>
              </w:rPr>
              <w:t>（</w:t>
            </w:r>
            <w:r>
              <w:rPr>
                <w:color w:val="auto"/>
                <w:szCs w:val="21"/>
                <w:highlight w:val="none"/>
              </w:rPr>
              <w:t>%</w:t>
            </w:r>
            <w:r>
              <w:rPr>
                <w:rFonts w:hAnsi="宋体"/>
                <w:color w:val="auto"/>
                <w:szCs w:val="21"/>
                <w:highlight w:val="none"/>
              </w:rPr>
              <w:t>）</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jc w:val="right"/>
              <w:rPr>
                <w:color w:val="auto"/>
                <w:szCs w:val="21"/>
                <w:highlight w:val="none"/>
              </w:rPr>
            </w:pPr>
            <w:r>
              <w:rPr>
                <w:color w:val="auto"/>
                <w:szCs w:val="21"/>
                <w:highlight w:val="none"/>
              </w:rPr>
              <w:t>30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jc w:val="righ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jc w:val="right"/>
              <w:rPr>
                <w:color w:val="auto"/>
                <w:szCs w:val="21"/>
                <w:highlight w:val="none"/>
              </w:rPr>
            </w:pPr>
            <w:r>
              <w:rPr>
                <w:color w:val="auto"/>
                <w:szCs w:val="21"/>
                <w:highlight w:val="none"/>
              </w:rPr>
              <w:t>20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jc w:val="righ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bottom w:val="nil"/>
              <w:right w:val="single" w:color="auto" w:sz="4" w:space="0"/>
            </w:tcBorders>
            <w:noWrap w:val="0"/>
            <w:vAlign w:val="center"/>
          </w:tcPr>
          <w:p>
            <w:pPr>
              <w:spacing w:line="420" w:lineRule="exact"/>
              <w:jc w:val="right"/>
              <w:rPr>
                <w:color w:val="auto"/>
                <w:szCs w:val="21"/>
                <w:highlight w:val="none"/>
              </w:rPr>
            </w:pPr>
            <w:r>
              <w:rPr>
                <w:color w:val="auto"/>
                <w:szCs w:val="21"/>
                <w:highlight w:val="none"/>
              </w:rPr>
              <w:t>10</w:t>
            </w: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bottom w:val="single" w:color="auto" w:sz="4" w:space="0"/>
            </w:tcBorders>
            <w:noWrap w:val="0"/>
            <w:vAlign w:val="top"/>
          </w:tcPr>
          <w:p>
            <w:pPr>
              <w:spacing w:line="320" w:lineRule="exac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8" w:hRule="atLeast"/>
          <w:jc w:val="center"/>
        </w:trPr>
        <w:tc>
          <w:tcPr>
            <w:tcW w:w="1801" w:type="dxa"/>
            <w:tcBorders>
              <w:top w:val="nil"/>
              <w:right w:val="single" w:color="auto" w:sz="4" w:space="0"/>
            </w:tcBorders>
            <w:noWrap w:val="0"/>
            <w:vAlign w:val="center"/>
          </w:tcPr>
          <w:p>
            <w:pPr>
              <w:spacing w:line="420" w:lineRule="exact"/>
              <w:jc w:val="right"/>
              <w:rPr>
                <w:color w:val="auto"/>
                <w:szCs w:val="21"/>
                <w:highlight w:val="none"/>
              </w:rPr>
            </w:pPr>
          </w:p>
        </w:tc>
        <w:tc>
          <w:tcPr>
            <w:tcW w:w="359"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59"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0"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2"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361" w:type="dxa"/>
            <w:tcBorders>
              <w:top w:val="single" w:color="auto" w:sz="4" w:space="0"/>
              <w:left w:val="single" w:color="auto" w:sz="4" w:space="0"/>
              <w:right w:val="single" w:color="auto" w:sz="4" w:space="0"/>
            </w:tcBorders>
            <w:noWrap w:val="0"/>
            <w:vAlign w:val="top"/>
          </w:tcPr>
          <w:p>
            <w:pPr>
              <w:spacing w:line="320" w:lineRule="exact"/>
              <w:rPr>
                <w:color w:val="auto"/>
                <w:szCs w:val="21"/>
                <w:highlight w:val="none"/>
              </w:rPr>
            </w:pPr>
          </w:p>
        </w:tc>
        <w:tc>
          <w:tcPr>
            <w:tcW w:w="406" w:type="dxa"/>
            <w:tcBorders>
              <w:top w:val="single" w:color="auto" w:sz="4" w:space="0"/>
              <w:left w:val="single" w:color="auto" w:sz="4" w:space="0"/>
            </w:tcBorders>
            <w:noWrap w:val="0"/>
            <w:vAlign w:val="top"/>
          </w:tcPr>
          <w:p>
            <w:pPr>
              <w:spacing w:line="320" w:lineRule="exact"/>
              <w:rPr>
                <w:color w:val="auto"/>
                <w:szCs w:val="21"/>
                <w:highlight w:val="none"/>
              </w:rPr>
            </w:pPr>
          </w:p>
        </w:tc>
      </w:tr>
    </w:tbl>
    <w:p>
      <w:pPr>
        <w:jc w:val="left"/>
        <w:rPr>
          <w:rFonts w:hint="eastAsia"/>
          <w:b/>
          <w:bCs/>
          <w:color w:val="auto"/>
          <w:highlight w:val="none"/>
        </w:rPr>
      </w:pPr>
      <w:bookmarkStart w:id="1763" w:name="_Toc309084298"/>
      <w:r>
        <w:rPr>
          <w:rFonts w:hint="eastAsia" w:ascii="宋体" w:hAnsi="宋体"/>
          <w:color w:val="auto"/>
          <w:highlight w:val="none"/>
        </w:rPr>
        <w:t xml:space="preserve">                 0     10     20     30     40     50     60     70     80     90  100</w:t>
      </w:r>
      <w:bookmarkEnd w:id="1763"/>
    </w:p>
    <w:p>
      <w:pPr>
        <w:jc w:val="center"/>
        <w:rPr>
          <w:rFonts w:ascii="宋体" w:hAnsi="宋体"/>
          <w:color w:val="auto"/>
          <w:highlight w:val="none"/>
        </w:rPr>
      </w:pPr>
      <w:r>
        <w:rPr>
          <w:rFonts w:hint="eastAsia" w:ascii="宋体" w:hAnsi="宋体"/>
          <w:color w:val="auto"/>
          <w:highlight w:val="none"/>
        </w:rPr>
        <w:t>工期历程的百分比（%）</w:t>
      </w:r>
    </w:p>
    <w:p>
      <w:pPr>
        <w:spacing w:line="420" w:lineRule="exact"/>
        <w:rPr>
          <w:rFonts w:hint="eastAsia" w:ascii="黑体" w:hAnsi="黑体" w:eastAsia="黑体"/>
          <w:color w:val="auto"/>
          <w:sz w:val="24"/>
          <w:szCs w:val="24"/>
          <w:highlight w:val="none"/>
        </w:rPr>
      </w:pPr>
      <w:bookmarkStart w:id="1764" w:name="_Toc375000612"/>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r>
        <w:rPr>
          <w:rFonts w:hint="eastAsia" w:ascii="黑体" w:hAnsi="黑体" w:eastAsia="黑体"/>
          <w:color w:val="auto"/>
          <w:sz w:val="24"/>
          <w:szCs w:val="24"/>
          <w:highlight w:val="none"/>
        </w:rPr>
        <w:t>附表四 分项工程生产率和施工周期表</w:t>
      </w:r>
      <w:bookmarkEnd w:id="1764"/>
    </w:p>
    <w:p>
      <w:pPr>
        <w:rPr>
          <w:rFonts w:hint="eastAsia" w:ascii="宋体" w:hAnsi="宋体"/>
          <w:color w:val="auto"/>
          <w:highlight w:val="none"/>
        </w:rPr>
      </w:pPr>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1"/>
        <w:gridCol w:w="677"/>
        <w:gridCol w:w="777"/>
        <w:gridCol w:w="777"/>
        <w:gridCol w:w="777"/>
        <w:gridCol w:w="777"/>
        <w:gridCol w:w="777"/>
        <w:gridCol w:w="777"/>
        <w:gridCol w:w="777"/>
        <w:gridCol w:w="777"/>
        <w:gridCol w:w="7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1564" w:hRule="atLeast"/>
        </w:trPr>
        <w:tc>
          <w:tcPr>
            <w:tcW w:w="1261" w:type="dxa"/>
            <w:noWrap w:val="0"/>
            <w:textDirection w:val="btLr"/>
            <w:vAlign w:val="top"/>
          </w:tcPr>
          <w:p>
            <w:pPr>
              <w:spacing w:line="420" w:lineRule="exact"/>
              <w:ind w:left="113" w:right="113"/>
              <w:jc w:val="center"/>
              <w:rPr>
                <w:color w:val="auto"/>
                <w:szCs w:val="21"/>
                <w:highlight w:val="none"/>
              </w:rPr>
            </w:pPr>
            <w:r>
              <w:rPr>
                <w:rFonts w:hAnsi="宋体"/>
                <w:color w:val="auto"/>
                <w:szCs w:val="21"/>
                <w:highlight w:val="none"/>
              </w:rPr>
              <w:t>生产单位总数</w:t>
            </w:r>
          </w:p>
          <w:p>
            <w:pPr>
              <w:spacing w:line="420" w:lineRule="exact"/>
              <w:ind w:left="113" w:right="113"/>
              <w:jc w:val="center"/>
              <w:rPr>
                <w:color w:val="auto"/>
                <w:szCs w:val="21"/>
                <w:highlight w:val="none"/>
              </w:rPr>
            </w:pPr>
            <w:r>
              <w:rPr>
                <w:rFonts w:hAnsi="宋体"/>
                <w:color w:val="auto"/>
                <w:szCs w:val="21"/>
                <w:highlight w:val="none"/>
              </w:rPr>
              <w:t>（个）</w:t>
            </w:r>
          </w:p>
        </w:tc>
        <w:tc>
          <w:tcPr>
            <w:tcW w:w="6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26" w:hRule="atLeast"/>
        </w:trPr>
        <w:tc>
          <w:tcPr>
            <w:tcW w:w="1261" w:type="dxa"/>
            <w:noWrap w:val="0"/>
            <w:textDirection w:val="btLr"/>
            <w:vAlign w:val="top"/>
          </w:tcPr>
          <w:p>
            <w:pPr>
              <w:spacing w:line="420" w:lineRule="exact"/>
              <w:ind w:left="113" w:right="113"/>
              <w:jc w:val="center"/>
              <w:rPr>
                <w:color w:val="auto"/>
                <w:szCs w:val="21"/>
                <w:highlight w:val="none"/>
              </w:rPr>
            </w:pPr>
            <w:r>
              <w:rPr>
                <w:rFonts w:hAnsi="宋体"/>
                <w:color w:val="auto"/>
                <w:szCs w:val="21"/>
                <w:highlight w:val="none"/>
              </w:rPr>
              <w:t>每生产单位</w:t>
            </w:r>
          </w:p>
          <w:p>
            <w:pPr>
              <w:spacing w:line="420" w:lineRule="exact"/>
              <w:ind w:left="113" w:right="113"/>
              <w:jc w:val="center"/>
              <w:rPr>
                <w:color w:val="auto"/>
                <w:szCs w:val="21"/>
                <w:highlight w:val="none"/>
              </w:rPr>
            </w:pPr>
            <w:r>
              <w:rPr>
                <w:rFonts w:hAnsi="宋体"/>
                <w:color w:val="auto"/>
                <w:szCs w:val="21"/>
                <w:highlight w:val="none"/>
              </w:rPr>
              <w:t>平均施工时间（周）</w:t>
            </w:r>
          </w:p>
        </w:tc>
        <w:tc>
          <w:tcPr>
            <w:tcW w:w="6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08" w:hRule="atLeast"/>
        </w:trPr>
        <w:tc>
          <w:tcPr>
            <w:tcW w:w="1261" w:type="dxa"/>
            <w:noWrap w:val="0"/>
            <w:textDirection w:val="btLr"/>
            <w:vAlign w:val="top"/>
          </w:tcPr>
          <w:p>
            <w:pPr>
              <w:spacing w:line="420" w:lineRule="exact"/>
              <w:ind w:left="113" w:right="113"/>
              <w:jc w:val="center"/>
              <w:rPr>
                <w:color w:val="auto"/>
                <w:szCs w:val="21"/>
                <w:highlight w:val="none"/>
              </w:rPr>
            </w:pPr>
            <w:r>
              <w:rPr>
                <w:rFonts w:hAnsi="宋体"/>
                <w:color w:val="auto"/>
                <w:szCs w:val="21"/>
                <w:highlight w:val="none"/>
              </w:rPr>
              <w:t>平均每单位生产率</w:t>
            </w:r>
          </w:p>
          <w:p>
            <w:pPr>
              <w:spacing w:line="420" w:lineRule="exact"/>
              <w:ind w:left="113" w:right="113"/>
              <w:jc w:val="center"/>
              <w:rPr>
                <w:color w:val="auto"/>
                <w:szCs w:val="21"/>
                <w:highlight w:val="none"/>
              </w:rPr>
            </w:pPr>
            <w:r>
              <w:rPr>
                <w:rFonts w:hAnsi="宋体"/>
                <w:color w:val="auto"/>
                <w:szCs w:val="21"/>
                <w:highlight w:val="none"/>
              </w:rPr>
              <w:t>（数量、每周）</w:t>
            </w:r>
          </w:p>
        </w:tc>
        <w:tc>
          <w:tcPr>
            <w:tcW w:w="6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267" w:hRule="atLeast"/>
        </w:trPr>
        <w:tc>
          <w:tcPr>
            <w:tcW w:w="1261" w:type="dxa"/>
            <w:noWrap w:val="0"/>
            <w:textDirection w:val="btLr"/>
            <w:vAlign w:val="top"/>
          </w:tcPr>
          <w:p>
            <w:pPr>
              <w:spacing w:line="420" w:lineRule="exact"/>
              <w:ind w:left="113" w:right="113"/>
              <w:jc w:val="center"/>
              <w:rPr>
                <w:color w:val="auto"/>
                <w:szCs w:val="21"/>
                <w:highlight w:val="none"/>
              </w:rPr>
            </w:pPr>
            <w:r>
              <w:rPr>
                <w:rFonts w:hAnsi="宋体"/>
                <w:color w:val="auto"/>
                <w:szCs w:val="21"/>
                <w:highlight w:val="none"/>
              </w:rPr>
              <w:t>平均每单位规模</w:t>
            </w:r>
          </w:p>
          <w:p>
            <w:pPr>
              <w:spacing w:line="420" w:lineRule="exact"/>
              <w:ind w:left="113" w:right="113"/>
              <w:jc w:val="center"/>
              <w:rPr>
                <w:color w:val="auto"/>
                <w:szCs w:val="21"/>
                <w:highlight w:val="none"/>
              </w:rPr>
            </w:pPr>
            <w:r>
              <w:rPr>
                <w:rFonts w:hAnsi="宋体"/>
                <w:color w:val="auto"/>
                <w:szCs w:val="21"/>
                <w:highlight w:val="none"/>
              </w:rPr>
              <w:t>（</w:t>
            </w:r>
            <w:r>
              <w:rPr>
                <w:color w:val="auto"/>
                <w:szCs w:val="21"/>
                <w:highlight w:val="none"/>
                <w:u w:val="single"/>
              </w:rPr>
              <w:t xml:space="preserve">  </w:t>
            </w:r>
            <w:r>
              <w:rPr>
                <w:rFonts w:hAnsi="宋体"/>
                <w:color w:val="auto"/>
                <w:szCs w:val="21"/>
                <w:highlight w:val="none"/>
              </w:rPr>
              <w:t>人，各种机械</w:t>
            </w:r>
            <w:r>
              <w:rPr>
                <w:color w:val="auto"/>
                <w:szCs w:val="21"/>
                <w:highlight w:val="none"/>
                <w:u w:val="single"/>
              </w:rPr>
              <w:t xml:space="preserve">   </w:t>
            </w:r>
            <w:r>
              <w:rPr>
                <w:rFonts w:hAnsi="宋体"/>
                <w:color w:val="auto"/>
                <w:szCs w:val="21"/>
                <w:highlight w:val="none"/>
              </w:rPr>
              <w:t>台）</w:t>
            </w:r>
          </w:p>
          <w:p>
            <w:pPr>
              <w:spacing w:line="420" w:lineRule="exact"/>
              <w:ind w:left="113" w:right="113"/>
              <w:jc w:val="center"/>
              <w:rPr>
                <w:color w:val="auto"/>
                <w:szCs w:val="21"/>
                <w:highlight w:val="none"/>
              </w:rPr>
            </w:pPr>
          </w:p>
        </w:tc>
        <w:tc>
          <w:tcPr>
            <w:tcW w:w="6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20" w:hRule="atLeast"/>
        </w:trPr>
        <w:tc>
          <w:tcPr>
            <w:tcW w:w="1261" w:type="dxa"/>
            <w:noWrap w:val="0"/>
            <w:textDirection w:val="btLr"/>
            <w:vAlign w:val="center"/>
          </w:tcPr>
          <w:p>
            <w:pPr>
              <w:spacing w:line="420" w:lineRule="exact"/>
              <w:ind w:left="113" w:right="113"/>
              <w:jc w:val="center"/>
              <w:rPr>
                <w:color w:val="auto"/>
                <w:szCs w:val="21"/>
                <w:highlight w:val="none"/>
              </w:rPr>
            </w:pPr>
            <w:r>
              <w:rPr>
                <w:rFonts w:hAnsi="宋体"/>
                <w:color w:val="auto"/>
                <w:szCs w:val="21"/>
                <w:highlight w:val="none"/>
              </w:rPr>
              <w:t>数量</w:t>
            </w:r>
          </w:p>
        </w:tc>
        <w:tc>
          <w:tcPr>
            <w:tcW w:w="6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c>
          <w:tcPr>
            <w:tcW w:w="777" w:type="dxa"/>
            <w:noWrap w:val="0"/>
            <w:vAlign w:val="top"/>
          </w:tcPr>
          <w:p>
            <w:pPr>
              <w:spacing w:line="420" w:lineRule="exact"/>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9" w:hRule="atLeast"/>
        </w:trPr>
        <w:tc>
          <w:tcPr>
            <w:tcW w:w="1261" w:type="dxa"/>
            <w:noWrap w:val="0"/>
            <w:textDirection w:val="btLr"/>
            <w:vAlign w:val="center"/>
          </w:tcPr>
          <w:p>
            <w:pPr>
              <w:spacing w:line="420" w:lineRule="exact"/>
              <w:ind w:left="113" w:right="113"/>
              <w:jc w:val="center"/>
              <w:rPr>
                <w:color w:val="auto"/>
                <w:szCs w:val="21"/>
                <w:highlight w:val="none"/>
              </w:rPr>
            </w:pPr>
            <w:r>
              <w:rPr>
                <w:rFonts w:hAnsi="宋体"/>
                <w:color w:val="auto"/>
                <w:szCs w:val="21"/>
                <w:highlight w:val="none"/>
              </w:rPr>
              <w:t>单位</w:t>
            </w:r>
          </w:p>
        </w:tc>
        <w:tc>
          <w:tcPr>
            <w:tcW w:w="6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468" w:hRule="atLeast"/>
        </w:trPr>
        <w:tc>
          <w:tcPr>
            <w:tcW w:w="1261" w:type="dxa"/>
            <w:noWrap w:val="0"/>
            <w:textDirection w:val="btLr"/>
            <w:vAlign w:val="center"/>
          </w:tcPr>
          <w:p>
            <w:pPr>
              <w:spacing w:line="420" w:lineRule="exact"/>
              <w:ind w:left="113" w:right="113"/>
              <w:jc w:val="center"/>
              <w:rPr>
                <w:color w:val="auto"/>
                <w:szCs w:val="21"/>
                <w:highlight w:val="none"/>
              </w:rPr>
            </w:pPr>
            <w:r>
              <w:rPr>
                <w:rFonts w:hAnsi="宋体"/>
                <w:color w:val="auto"/>
                <w:szCs w:val="21"/>
                <w:highlight w:val="none"/>
              </w:rPr>
              <w:t>工程项目</w:t>
            </w:r>
          </w:p>
        </w:tc>
        <w:tc>
          <w:tcPr>
            <w:tcW w:w="677" w:type="dxa"/>
            <w:noWrap w:val="0"/>
            <w:textDirection w:val="btLr"/>
            <w:vAlign w:val="center"/>
          </w:tcPr>
          <w:p>
            <w:pPr>
              <w:spacing w:line="420" w:lineRule="exact"/>
              <w:ind w:left="113" w:right="113"/>
              <w:jc w:val="left"/>
              <w:rPr>
                <w:rFonts w:hint="eastAsia"/>
                <w:color w:val="auto"/>
                <w:szCs w:val="21"/>
                <w:highlight w:val="none"/>
              </w:rPr>
            </w:pPr>
          </w:p>
        </w:tc>
        <w:tc>
          <w:tcPr>
            <w:tcW w:w="777" w:type="dxa"/>
            <w:noWrap w:val="0"/>
            <w:textDirection w:val="btLr"/>
            <w:vAlign w:val="center"/>
          </w:tcPr>
          <w:p>
            <w:pPr>
              <w:spacing w:line="420" w:lineRule="exact"/>
              <w:ind w:left="113" w:right="113"/>
              <w:jc w:val="left"/>
              <w:rPr>
                <w:rFonts w:hint="eastAsia"/>
                <w:color w:val="auto"/>
                <w:szCs w:val="21"/>
                <w:highlight w:val="none"/>
              </w:rPr>
            </w:pPr>
          </w:p>
        </w:tc>
        <w:tc>
          <w:tcPr>
            <w:tcW w:w="777" w:type="dxa"/>
            <w:noWrap w:val="0"/>
            <w:textDirection w:val="btLr"/>
            <w:vAlign w:val="center"/>
          </w:tcPr>
          <w:p>
            <w:pPr>
              <w:spacing w:line="420" w:lineRule="exact"/>
              <w:ind w:left="113" w:right="113"/>
              <w:jc w:val="left"/>
              <w:rPr>
                <w:rFonts w:hint="eastAsia"/>
                <w:color w:val="auto"/>
                <w:szCs w:val="21"/>
                <w:highlight w:val="none"/>
              </w:rPr>
            </w:pPr>
          </w:p>
        </w:tc>
        <w:tc>
          <w:tcPr>
            <w:tcW w:w="777" w:type="dxa"/>
            <w:noWrap w:val="0"/>
            <w:textDirection w:val="btLr"/>
            <w:vAlign w:val="center"/>
          </w:tcPr>
          <w:p>
            <w:pPr>
              <w:spacing w:line="420" w:lineRule="exact"/>
              <w:ind w:left="113" w:right="113"/>
              <w:jc w:val="left"/>
              <w:rPr>
                <w:color w:val="auto"/>
                <w:szCs w:val="21"/>
                <w:highlight w:val="none"/>
              </w:rPr>
            </w:pPr>
          </w:p>
        </w:tc>
        <w:tc>
          <w:tcPr>
            <w:tcW w:w="777" w:type="dxa"/>
            <w:noWrap w:val="0"/>
            <w:textDirection w:val="btLr"/>
            <w:vAlign w:val="center"/>
          </w:tcPr>
          <w:p>
            <w:pPr>
              <w:spacing w:line="420" w:lineRule="exact"/>
              <w:ind w:left="113" w:right="113"/>
              <w:jc w:val="left"/>
              <w:rPr>
                <w:color w:val="auto"/>
                <w:szCs w:val="21"/>
                <w:highlight w:val="none"/>
              </w:rPr>
            </w:pPr>
          </w:p>
        </w:tc>
        <w:tc>
          <w:tcPr>
            <w:tcW w:w="777" w:type="dxa"/>
            <w:noWrap w:val="0"/>
            <w:textDirection w:val="btLr"/>
            <w:vAlign w:val="center"/>
          </w:tcPr>
          <w:p>
            <w:pPr>
              <w:spacing w:line="420" w:lineRule="exact"/>
              <w:ind w:left="113" w:right="113"/>
              <w:jc w:val="left"/>
              <w:rPr>
                <w:color w:val="auto"/>
                <w:szCs w:val="21"/>
                <w:highlight w:val="none"/>
              </w:rPr>
            </w:pPr>
          </w:p>
        </w:tc>
        <w:tc>
          <w:tcPr>
            <w:tcW w:w="777" w:type="dxa"/>
            <w:noWrap w:val="0"/>
            <w:textDirection w:val="btLr"/>
            <w:vAlign w:val="center"/>
          </w:tcPr>
          <w:p>
            <w:pPr>
              <w:spacing w:line="420" w:lineRule="exact"/>
              <w:ind w:left="113" w:right="113"/>
              <w:jc w:val="left"/>
              <w:rPr>
                <w:color w:val="auto"/>
                <w:szCs w:val="21"/>
                <w:highlight w:val="none"/>
              </w:rPr>
            </w:pPr>
          </w:p>
        </w:tc>
        <w:tc>
          <w:tcPr>
            <w:tcW w:w="777" w:type="dxa"/>
            <w:noWrap w:val="0"/>
            <w:textDirection w:val="btLr"/>
            <w:vAlign w:val="center"/>
          </w:tcPr>
          <w:p>
            <w:pPr>
              <w:spacing w:line="420" w:lineRule="exact"/>
              <w:ind w:left="113" w:right="113"/>
              <w:jc w:val="left"/>
              <w:rPr>
                <w:color w:val="auto"/>
                <w:szCs w:val="21"/>
                <w:highlight w:val="none"/>
              </w:rPr>
            </w:pPr>
          </w:p>
        </w:tc>
        <w:tc>
          <w:tcPr>
            <w:tcW w:w="777" w:type="dxa"/>
            <w:noWrap w:val="0"/>
            <w:textDirection w:val="btLr"/>
            <w:vAlign w:val="center"/>
          </w:tcPr>
          <w:p>
            <w:pPr>
              <w:spacing w:line="420" w:lineRule="exact"/>
              <w:ind w:left="113" w:right="113"/>
              <w:jc w:val="left"/>
              <w:rPr>
                <w:color w:val="auto"/>
                <w:szCs w:val="21"/>
                <w:highlight w:val="none"/>
              </w:rPr>
            </w:pPr>
          </w:p>
        </w:tc>
        <w:tc>
          <w:tcPr>
            <w:tcW w:w="777" w:type="dxa"/>
            <w:noWrap w:val="0"/>
            <w:textDirection w:val="btLr"/>
            <w:vAlign w:val="center"/>
          </w:tcPr>
          <w:p>
            <w:pPr>
              <w:spacing w:line="420" w:lineRule="exact"/>
              <w:ind w:left="113" w:right="113"/>
              <w:jc w:val="left"/>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4" w:hRule="atLeast"/>
        </w:trPr>
        <w:tc>
          <w:tcPr>
            <w:tcW w:w="1261" w:type="dxa"/>
            <w:noWrap w:val="0"/>
            <w:textDirection w:val="btLr"/>
            <w:vAlign w:val="center"/>
          </w:tcPr>
          <w:p>
            <w:pPr>
              <w:spacing w:line="420" w:lineRule="exact"/>
              <w:ind w:left="113" w:right="113"/>
              <w:jc w:val="center"/>
              <w:rPr>
                <w:color w:val="auto"/>
                <w:szCs w:val="21"/>
                <w:highlight w:val="none"/>
              </w:rPr>
            </w:pPr>
            <w:r>
              <w:rPr>
                <w:rFonts w:hAnsi="宋体"/>
                <w:color w:val="auto"/>
                <w:szCs w:val="21"/>
                <w:highlight w:val="none"/>
              </w:rPr>
              <w:t>序号</w:t>
            </w:r>
          </w:p>
        </w:tc>
        <w:tc>
          <w:tcPr>
            <w:tcW w:w="6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rFonts w:hint="eastAsia"/>
                <w:color w:val="auto"/>
                <w:szCs w:val="21"/>
                <w:highlight w:val="none"/>
              </w:rPr>
            </w:pPr>
          </w:p>
        </w:tc>
        <w:tc>
          <w:tcPr>
            <w:tcW w:w="777" w:type="dxa"/>
            <w:noWrap w:val="0"/>
            <w:textDirection w:val="btLr"/>
            <w:vAlign w:val="top"/>
          </w:tcPr>
          <w:p>
            <w:pPr>
              <w:spacing w:line="420" w:lineRule="exact"/>
              <w:ind w:left="113" w:right="113"/>
              <w:jc w:val="center"/>
              <w:rPr>
                <w:rFonts w:hint="eastAsia"/>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c>
          <w:tcPr>
            <w:tcW w:w="777" w:type="dxa"/>
            <w:noWrap w:val="0"/>
            <w:textDirection w:val="btLr"/>
            <w:vAlign w:val="top"/>
          </w:tcPr>
          <w:p>
            <w:pPr>
              <w:spacing w:line="420" w:lineRule="exact"/>
              <w:ind w:left="113" w:right="113"/>
              <w:jc w:val="center"/>
              <w:rPr>
                <w:color w:val="auto"/>
                <w:szCs w:val="21"/>
                <w:highlight w:val="none"/>
              </w:rPr>
            </w:pPr>
          </w:p>
        </w:tc>
      </w:tr>
    </w:tbl>
    <w:p>
      <w:pPr>
        <w:spacing w:line="420" w:lineRule="exact"/>
        <w:rPr>
          <w:rFonts w:hint="eastAsia" w:ascii="黑体" w:hAnsi="黑体" w:eastAsia="黑体"/>
          <w:color w:val="auto"/>
          <w:sz w:val="24"/>
          <w:szCs w:val="24"/>
          <w:highlight w:val="none"/>
        </w:rPr>
      </w:pPr>
      <w:bookmarkStart w:id="1765" w:name="_Toc375000613"/>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r>
        <w:rPr>
          <w:rFonts w:hint="eastAsia" w:ascii="黑体" w:hAnsi="黑体" w:eastAsia="黑体"/>
          <w:color w:val="auto"/>
          <w:sz w:val="24"/>
          <w:szCs w:val="24"/>
          <w:highlight w:val="none"/>
        </w:rPr>
        <w:t>附表五 施工总平面图</w:t>
      </w:r>
      <w:bookmarkEnd w:id="1753"/>
      <w:bookmarkEnd w:id="1754"/>
      <w:bookmarkEnd w:id="1755"/>
      <w:bookmarkEnd w:id="1756"/>
      <w:bookmarkEnd w:id="1757"/>
      <w:bookmarkEnd w:id="1758"/>
      <w:bookmarkEnd w:id="1759"/>
      <w:bookmarkEnd w:id="1760"/>
      <w:bookmarkEnd w:id="1761"/>
      <w:bookmarkEnd w:id="1765"/>
    </w:p>
    <w:p>
      <w:pPr>
        <w:spacing w:line="420" w:lineRule="exact"/>
        <w:ind w:firstLine="420" w:firstLineChars="200"/>
        <w:rPr>
          <w:rFonts w:hint="eastAsia"/>
          <w:color w:val="auto"/>
          <w:highlight w:val="none"/>
        </w:rPr>
      </w:pPr>
      <w:r>
        <w:rPr>
          <w:rFonts w:hint="eastAsia"/>
          <w:color w:val="auto"/>
          <w:highlight w:val="none"/>
        </w:rPr>
        <w:t>投标人应递交一份施工总平面图，绘出现场临时设施布置图表并附文字说明，说明施工营地、料场、临时设施、加工车间、现场办公、设备及仓储、供电、卫生、生活、道路、消防等设施的情况和布置。</w:t>
      </w: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ind w:firstLine="420" w:firstLineChars="200"/>
        <w:rPr>
          <w:rFonts w:hint="eastAsia"/>
          <w:color w:val="auto"/>
          <w:highlight w:val="none"/>
        </w:rPr>
      </w:pPr>
    </w:p>
    <w:p>
      <w:pPr>
        <w:spacing w:line="420" w:lineRule="exact"/>
        <w:rPr>
          <w:rFonts w:hint="eastAsia" w:ascii="黑体" w:hAnsi="黑体" w:eastAsia="黑体"/>
          <w:color w:val="auto"/>
          <w:sz w:val="24"/>
          <w:szCs w:val="24"/>
          <w:highlight w:val="none"/>
        </w:rPr>
      </w:pPr>
      <w:bookmarkStart w:id="1766" w:name="_Toc233423370"/>
      <w:bookmarkStart w:id="1767" w:name="_Toc233436028"/>
      <w:bookmarkStart w:id="1768" w:name="_Toc233215040"/>
      <w:bookmarkStart w:id="1769" w:name="_Toc233429887"/>
      <w:bookmarkStart w:id="1770" w:name="_Toc7686"/>
      <w:bookmarkStart w:id="1771" w:name="_Toc233290485"/>
      <w:bookmarkStart w:id="1772" w:name="_Toc5243"/>
      <w:bookmarkStart w:id="1773" w:name="_Toc25130"/>
      <w:bookmarkStart w:id="1774" w:name="_Toc233622941"/>
      <w:bookmarkStart w:id="1775" w:name="_Toc375000614"/>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r>
        <w:rPr>
          <w:rFonts w:hint="eastAsia" w:ascii="黑体" w:hAnsi="黑体" w:eastAsia="黑体"/>
          <w:color w:val="auto"/>
          <w:sz w:val="24"/>
          <w:szCs w:val="24"/>
          <w:highlight w:val="none"/>
        </w:rPr>
        <w:t>附表六  劳动力计划表</w:t>
      </w:r>
      <w:bookmarkEnd w:id="1766"/>
      <w:bookmarkEnd w:id="1767"/>
      <w:bookmarkEnd w:id="1768"/>
      <w:bookmarkEnd w:id="1769"/>
      <w:bookmarkEnd w:id="1770"/>
      <w:bookmarkEnd w:id="1771"/>
      <w:bookmarkEnd w:id="1772"/>
      <w:bookmarkEnd w:id="1773"/>
      <w:bookmarkEnd w:id="1774"/>
      <w:bookmarkEnd w:id="1775"/>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260"/>
        <w:gridCol w:w="964"/>
        <w:gridCol w:w="964"/>
        <w:gridCol w:w="964"/>
        <w:gridCol w:w="964"/>
        <w:gridCol w:w="964"/>
        <w:gridCol w:w="964"/>
        <w:gridCol w:w="964"/>
        <w:gridCol w:w="96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78" w:hRule="atLeast"/>
        </w:trPr>
        <w:tc>
          <w:tcPr>
            <w:tcW w:w="1260" w:type="dxa"/>
            <w:tcBorders>
              <w:bottom w:val="single" w:color="auto" w:sz="4" w:space="0"/>
              <w:right w:val="single" w:color="auto" w:sz="4" w:space="0"/>
            </w:tcBorders>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工种</w:t>
            </w:r>
          </w:p>
        </w:tc>
        <w:tc>
          <w:tcPr>
            <w:tcW w:w="7713" w:type="dxa"/>
            <w:gridSpan w:val="8"/>
            <w:tcBorders>
              <w:left w:val="single" w:color="auto" w:sz="4" w:space="0"/>
              <w:bottom w:val="single" w:color="auto" w:sz="4" w:space="0"/>
            </w:tcBorders>
            <w:noWrap w:val="0"/>
            <w:vAlign w:val="center"/>
          </w:tcPr>
          <w:p>
            <w:pPr>
              <w:spacing w:line="240" w:lineRule="exact"/>
              <w:jc w:val="center"/>
              <w:rPr>
                <w:rFonts w:hint="eastAsia" w:ascii="宋体" w:hAnsi="宋体"/>
                <w:color w:val="auto"/>
                <w:highlight w:val="none"/>
              </w:rPr>
            </w:pPr>
            <w:r>
              <w:rPr>
                <w:rFonts w:hint="eastAsia" w:ascii="宋体" w:hAnsi="宋体"/>
                <w:color w:val="auto"/>
                <w:highlight w:val="none"/>
              </w:rPr>
              <w:t>按工程施工阶段投入劳动力情况</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60" w:hRule="atLeast"/>
        </w:trPr>
        <w:tc>
          <w:tcPr>
            <w:tcW w:w="1260" w:type="dxa"/>
            <w:tcBorders>
              <w:top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5" w:type="dxa"/>
            <w:tcBorders>
              <w:top w:val="single" w:color="auto" w:sz="4" w:space="0"/>
              <w:left w:val="single" w:color="auto" w:sz="4" w:space="0"/>
              <w:bottom w:val="single" w:color="auto" w:sz="4" w:space="0"/>
            </w:tcBorders>
            <w:noWrap w:val="0"/>
            <w:vAlign w:val="top"/>
          </w:tcPr>
          <w:p>
            <w:pPr>
              <w:spacing w:line="420" w:lineRule="exact"/>
              <w:rPr>
                <w:rFonts w:hint="eastAsia"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60" w:hRule="atLeast"/>
        </w:trPr>
        <w:tc>
          <w:tcPr>
            <w:tcW w:w="1260" w:type="dxa"/>
            <w:tcBorders>
              <w:top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5" w:type="dxa"/>
            <w:tcBorders>
              <w:top w:val="single" w:color="auto" w:sz="4" w:space="0"/>
              <w:left w:val="single" w:color="auto" w:sz="4" w:space="0"/>
              <w:bottom w:val="single" w:color="auto" w:sz="4" w:space="0"/>
            </w:tcBorders>
            <w:noWrap w:val="0"/>
            <w:vAlign w:val="top"/>
          </w:tcPr>
          <w:p>
            <w:pPr>
              <w:spacing w:line="420" w:lineRule="exact"/>
              <w:rPr>
                <w:rFonts w:hint="eastAsia"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60" w:hRule="atLeast"/>
        </w:trPr>
        <w:tc>
          <w:tcPr>
            <w:tcW w:w="1260" w:type="dxa"/>
            <w:tcBorders>
              <w:top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5" w:type="dxa"/>
            <w:tcBorders>
              <w:top w:val="single" w:color="auto" w:sz="4" w:space="0"/>
              <w:left w:val="single" w:color="auto" w:sz="4" w:space="0"/>
              <w:bottom w:val="single" w:color="auto" w:sz="4" w:space="0"/>
            </w:tcBorders>
            <w:noWrap w:val="0"/>
            <w:vAlign w:val="top"/>
          </w:tcPr>
          <w:p>
            <w:pPr>
              <w:spacing w:line="420" w:lineRule="exact"/>
              <w:rPr>
                <w:rFonts w:hint="eastAsia"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60" w:hRule="atLeast"/>
        </w:trPr>
        <w:tc>
          <w:tcPr>
            <w:tcW w:w="1260" w:type="dxa"/>
            <w:tcBorders>
              <w:top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5" w:type="dxa"/>
            <w:tcBorders>
              <w:top w:val="single" w:color="auto" w:sz="4" w:space="0"/>
              <w:left w:val="single" w:color="auto" w:sz="4" w:space="0"/>
              <w:bottom w:val="single" w:color="auto" w:sz="4" w:space="0"/>
            </w:tcBorders>
            <w:noWrap w:val="0"/>
            <w:vAlign w:val="top"/>
          </w:tcPr>
          <w:p>
            <w:pPr>
              <w:spacing w:line="420" w:lineRule="exact"/>
              <w:rPr>
                <w:rFonts w:hint="eastAsia"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05" w:hRule="atLeast"/>
        </w:trPr>
        <w:tc>
          <w:tcPr>
            <w:tcW w:w="1260" w:type="dxa"/>
            <w:tcBorders>
              <w:top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5" w:type="dxa"/>
            <w:tcBorders>
              <w:top w:val="single" w:color="auto" w:sz="4" w:space="0"/>
              <w:left w:val="single" w:color="auto" w:sz="4" w:space="0"/>
              <w:bottom w:val="single" w:color="auto" w:sz="4" w:space="0"/>
            </w:tcBorders>
            <w:noWrap w:val="0"/>
            <w:vAlign w:val="top"/>
          </w:tcPr>
          <w:p>
            <w:pPr>
              <w:spacing w:line="420" w:lineRule="exact"/>
              <w:rPr>
                <w:rFonts w:hint="eastAsia"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05" w:hRule="atLeast"/>
        </w:trPr>
        <w:tc>
          <w:tcPr>
            <w:tcW w:w="1260" w:type="dxa"/>
            <w:tcBorders>
              <w:top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5" w:type="dxa"/>
            <w:tcBorders>
              <w:top w:val="single" w:color="auto" w:sz="4" w:space="0"/>
              <w:left w:val="single" w:color="auto" w:sz="4" w:space="0"/>
              <w:bottom w:val="single" w:color="auto" w:sz="4" w:space="0"/>
            </w:tcBorders>
            <w:noWrap w:val="0"/>
            <w:vAlign w:val="top"/>
          </w:tcPr>
          <w:p>
            <w:pPr>
              <w:spacing w:line="420" w:lineRule="exact"/>
              <w:rPr>
                <w:rFonts w:hint="eastAsia"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05" w:hRule="atLeast"/>
        </w:trPr>
        <w:tc>
          <w:tcPr>
            <w:tcW w:w="1260" w:type="dxa"/>
            <w:tcBorders>
              <w:top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5" w:type="dxa"/>
            <w:tcBorders>
              <w:top w:val="single" w:color="auto" w:sz="4" w:space="0"/>
              <w:left w:val="single" w:color="auto" w:sz="4" w:space="0"/>
              <w:bottom w:val="single" w:color="auto" w:sz="4" w:space="0"/>
            </w:tcBorders>
            <w:noWrap w:val="0"/>
            <w:vAlign w:val="top"/>
          </w:tcPr>
          <w:p>
            <w:pPr>
              <w:spacing w:line="420" w:lineRule="exact"/>
              <w:rPr>
                <w:rFonts w:hint="eastAsia"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5" w:hRule="atLeast"/>
        </w:trPr>
        <w:tc>
          <w:tcPr>
            <w:tcW w:w="1260" w:type="dxa"/>
            <w:tcBorders>
              <w:top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5" w:type="dxa"/>
            <w:tcBorders>
              <w:top w:val="single" w:color="auto" w:sz="4" w:space="0"/>
              <w:left w:val="single" w:color="auto" w:sz="4" w:space="0"/>
              <w:bottom w:val="single" w:color="auto" w:sz="4" w:space="0"/>
            </w:tcBorders>
            <w:noWrap w:val="0"/>
            <w:vAlign w:val="top"/>
          </w:tcPr>
          <w:p>
            <w:pPr>
              <w:spacing w:line="420" w:lineRule="exact"/>
              <w:rPr>
                <w:rFonts w:hint="eastAsia"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03" w:hRule="atLeast"/>
        </w:trPr>
        <w:tc>
          <w:tcPr>
            <w:tcW w:w="1260" w:type="dxa"/>
            <w:tcBorders>
              <w:top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4" w:type="dxa"/>
            <w:tcBorders>
              <w:top w:val="single" w:color="auto" w:sz="4" w:space="0"/>
              <w:left w:val="single" w:color="auto" w:sz="4" w:space="0"/>
              <w:right w:val="single" w:color="auto" w:sz="4" w:space="0"/>
            </w:tcBorders>
            <w:noWrap w:val="0"/>
            <w:vAlign w:val="top"/>
          </w:tcPr>
          <w:p>
            <w:pPr>
              <w:spacing w:line="420" w:lineRule="exact"/>
              <w:rPr>
                <w:rFonts w:hint="eastAsia" w:ascii="宋体" w:hAnsi="宋体"/>
                <w:color w:val="auto"/>
                <w:highlight w:val="none"/>
              </w:rPr>
            </w:pPr>
          </w:p>
        </w:tc>
        <w:tc>
          <w:tcPr>
            <w:tcW w:w="965" w:type="dxa"/>
            <w:tcBorders>
              <w:top w:val="single" w:color="auto" w:sz="4" w:space="0"/>
              <w:left w:val="single" w:color="auto" w:sz="4" w:space="0"/>
            </w:tcBorders>
            <w:noWrap w:val="0"/>
            <w:vAlign w:val="top"/>
          </w:tcPr>
          <w:p>
            <w:pPr>
              <w:spacing w:line="420" w:lineRule="exact"/>
              <w:rPr>
                <w:rFonts w:hint="eastAsia" w:ascii="宋体" w:hAnsi="宋体"/>
                <w:color w:val="auto"/>
                <w:highlight w:val="none"/>
              </w:rPr>
            </w:pPr>
          </w:p>
        </w:tc>
      </w:tr>
    </w:tbl>
    <w:p>
      <w:pPr>
        <w:spacing w:line="420" w:lineRule="exact"/>
        <w:rPr>
          <w:rFonts w:hint="eastAsia" w:ascii="黑体" w:hAnsi="黑体" w:eastAsia="黑体"/>
          <w:color w:val="auto"/>
          <w:sz w:val="24"/>
          <w:szCs w:val="24"/>
          <w:highlight w:val="none"/>
        </w:rPr>
      </w:pPr>
      <w:bookmarkStart w:id="1776" w:name="_Toc375000615"/>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r>
        <w:rPr>
          <w:rFonts w:hint="eastAsia" w:ascii="黑体" w:hAnsi="黑体" w:eastAsia="黑体"/>
          <w:color w:val="auto"/>
          <w:sz w:val="24"/>
          <w:szCs w:val="24"/>
          <w:highlight w:val="none"/>
        </w:rPr>
        <w:t>附表七  临时占地计划表</w:t>
      </w:r>
      <w:bookmarkEnd w:id="1776"/>
    </w:p>
    <w:p>
      <w:pPr>
        <w:spacing w:line="420" w:lineRule="exact"/>
        <w:rPr>
          <w:rFonts w:ascii="黑体" w:hAnsi="黑体" w:eastAsia="黑体"/>
          <w:color w:val="auto"/>
          <w:sz w:val="24"/>
          <w:szCs w:val="24"/>
          <w:highlight w:val="none"/>
        </w:rPr>
      </w:pPr>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80"/>
        <w:gridCol w:w="540"/>
        <w:gridCol w:w="462"/>
        <w:gridCol w:w="618"/>
        <w:gridCol w:w="540"/>
        <w:gridCol w:w="540"/>
        <w:gridCol w:w="1914"/>
        <w:gridCol w:w="793"/>
        <w:gridCol w:w="793"/>
        <w:gridCol w:w="79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8" w:hRule="atLeast"/>
        </w:trPr>
        <w:tc>
          <w:tcPr>
            <w:tcW w:w="1980" w:type="dxa"/>
            <w:vMerge w:val="restart"/>
            <w:noWrap w:val="0"/>
            <w:vAlign w:val="center"/>
          </w:tcPr>
          <w:p>
            <w:pPr>
              <w:spacing w:line="420" w:lineRule="exact"/>
              <w:jc w:val="center"/>
              <w:rPr>
                <w:color w:val="auto"/>
                <w:highlight w:val="none"/>
              </w:rPr>
            </w:pPr>
            <w:r>
              <w:rPr>
                <w:rFonts w:hAnsi="宋体"/>
                <w:color w:val="auto"/>
                <w:highlight w:val="none"/>
              </w:rPr>
              <w:t>用</w:t>
            </w:r>
            <w:r>
              <w:rPr>
                <w:color w:val="auto"/>
                <w:highlight w:val="none"/>
              </w:rPr>
              <w:t xml:space="preserve">  </w:t>
            </w:r>
            <w:r>
              <w:rPr>
                <w:rFonts w:hAnsi="宋体"/>
                <w:color w:val="auto"/>
                <w:highlight w:val="none"/>
              </w:rPr>
              <w:t>途</w:t>
            </w:r>
          </w:p>
        </w:tc>
        <w:tc>
          <w:tcPr>
            <w:tcW w:w="2700" w:type="dxa"/>
            <w:gridSpan w:val="5"/>
            <w:noWrap w:val="0"/>
            <w:vAlign w:val="center"/>
          </w:tcPr>
          <w:p>
            <w:pPr>
              <w:jc w:val="center"/>
              <w:rPr>
                <w:color w:val="auto"/>
                <w:highlight w:val="none"/>
              </w:rPr>
            </w:pPr>
            <w:r>
              <w:rPr>
                <w:rFonts w:hAnsi="宋体"/>
                <w:color w:val="auto"/>
                <w:highlight w:val="none"/>
              </w:rPr>
              <w:t>面积（</w:t>
            </w:r>
            <w:r>
              <w:rPr>
                <w:color w:val="auto"/>
                <w:highlight w:val="none"/>
              </w:rPr>
              <w:t>m</w:t>
            </w:r>
            <w:r>
              <w:rPr>
                <w:color w:val="auto"/>
                <w:highlight w:val="none"/>
                <w:vertAlign w:val="superscript"/>
              </w:rPr>
              <w:t>2</w:t>
            </w:r>
            <w:r>
              <w:rPr>
                <w:rFonts w:hAnsi="宋体"/>
                <w:color w:val="auto"/>
                <w:highlight w:val="none"/>
              </w:rPr>
              <w:t>）</w:t>
            </w:r>
          </w:p>
        </w:tc>
        <w:tc>
          <w:tcPr>
            <w:tcW w:w="1914" w:type="dxa"/>
            <w:vMerge w:val="restart"/>
            <w:noWrap w:val="0"/>
            <w:vAlign w:val="center"/>
          </w:tcPr>
          <w:p>
            <w:pPr>
              <w:jc w:val="center"/>
              <w:rPr>
                <w:color w:val="auto"/>
                <w:highlight w:val="none"/>
              </w:rPr>
            </w:pPr>
            <w:r>
              <w:rPr>
                <w:rFonts w:hAnsi="宋体"/>
                <w:color w:val="auto"/>
                <w:highlight w:val="none"/>
              </w:rPr>
              <w:t>需用时间</w:t>
            </w:r>
          </w:p>
          <w:p>
            <w:pPr>
              <w:jc w:val="center"/>
              <w:rPr>
                <w:color w:val="auto"/>
                <w:highlight w:val="none"/>
              </w:rPr>
            </w:pPr>
            <w:r>
              <w:rPr>
                <w:color w:val="auto"/>
                <w:highlight w:val="none"/>
                <w:u w:val="single"/>
              </w:rPr>
              <w:t xml:space="preserve">      </w:t>
            </w:r>
            <w:r>
              <w:rPr>
                <w:rFonts w:hAnsi="宋体"/>
                <w:color w:val="auto"/>
                <w:highlight w:val="none"/>
              </w:rPr>
              <w:t>年</w:t>
            </w:r>
            <w:r>
              <w:rPr>
                <w:color w:val="auto"/>
                <w:highlight w:val="none"/>
                <w:u w:val="single"/>
              </w:rPr>
              <w:t xml:space="preserve">   </w:t>
            </w:r>
            <w:r>
              <w:rPr>
                <w:rFonts w:hAnsi="宋体"/>
                <w:color w:val="auto"/>
                <w:highlight w:val="none"/>
              </w:rPr>
              <w:t>月至</w:t>
            </w:r>
          </w:p>
          <w:p>
            <w:pPr>
              <w:jc w:val="center"/>
              <w:rPr>
                <w:color w:val="auto"/>
                <w:highlight w:val="none"/>
              </w:rPr>
            </w:pPr>
            <w:r>
              <w:rPr>
                <w:color w:val="auto"/>
                <w:highlight w:val="none"/>
                <w:u w:val="single"/>
              </w:rPr>
              <w:t xml:space="preserve">      </w:t>
            </w:r>
            <w:r>
              <w:rPr>
                <w:rFonts w:hAnsi="宋体"/>
                <w:color w:val="auto"/>
                <w:highlight w:val="none"/>
              </w:rPr>
              <w:t>年</w:t>
            </w:r>
            <w:r>
              <w:rPr>
                <w:color w:val="auto"/>
                <w:highlight w:val="none"/>
                <w:u w:val="single"/>
              </w:rPr>
              <w:t xml:space="preserve">   </w:t>
            </w:r>
            <w:r>
              <w:rPr>
                <w:rFonts w:hAnsi="宋体"/>
                <w:color w:val="auto"/>
                <w:highlight w:val="none"/>
              </w:rPr>
              <w:t>月</w:t>
            </w:r>
          </w:p>
        </w:tc>
        <w:tc>
          <w:tcPr>
            <w:tcW w:w="2379" w:type="dxa"/>
            <w:gridSpan w:val="3"/>
            <w:noWrap w:val="0"/>
            <w:vAlign w:val="center"/>
          </w:tcPr>
          <w:p>
            <w:pPr>
              <w:spacing w:line="240" w:lineRule="exact"/>
              <w:jc w:val="center"/>
              <w:rPr>
                <w:color w:val="auto"/>
                <w:highlight w:val="none"/>
              </w:rPr>
            </w:pPr>
            <w:r>
              <w:rPr>
                <w:rFonts w:hAnsi="宋体"/>
                <w:color w:val="auto"/>
                <w:highlight w:val="none"/>
              </w:rPr>
              <w:t>用地位置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5" w:hRule="atLeast"/>
        </w:trPr>
        <w:tc>
          <w:tcPr>
            <w:tcW w:w="1980" w:type="dxa"/>
            <w:vMerge w:val="continue"/>
            <w:noWrap w:val="0"/>
            <w:vAlign w:val="top"/>
          </w:tcPr>
          <w:p>
            <w:pPr>
              <w:spacing w:line="420" w:lineRule="exact"/>
              <w:rPr>
                <w:color w:val="auto"/>
                <w:highlight w:val="none"/>
              </w:rPr>
            </w:pPr>
          </w:p>
        </w:tc>
        <w:tc>
          <w:tcPr>
            <w:tcW w:w="540" w:type="dxa"/>
            <w:noWrap w:val="0"/>
            <w:vAlign w:val="center"/>
          </w:tcPr>
          <w:p>
            <w:pPr>
              <w:jc w:val="center"/>
              <w:rPr>
                <w:color w:val="auto"/>
                <w:highlight w:val="none"/>
              </w:rPr>
            </w:pPr>
            <w:r>
              <w:rPr>
                <w:rFonts w:hAnsi="宋体"/>
                <w:color w:val="auto"/>
                <w:highlight w:val="none"/>
              </w:rPr>
              <w:t>菜地</w:t>
            </w:r>
          </w:p>
        </w:tc>
        <w:tc>
          <w:tcPr>
            <w:tcW w:w="462" w:type="dxa"/>
            <w:noWrap w:val="0"/>
            <w:vAlign w:val="center"/>
          </w:tcPr>
          <w:p>
            <w:pPr>
              <w:jc w:val="center"/>
              <w:rPr>
                <w:color w:val="auto"/>
                <w:highlight w:val="none"/>
              </w:rPr>
            </w:pPr>
            <w:r>
              <w:rPr>
                <w:rFonts w:hAnsi="宋体"/>
                <w:color w:val="auto"/>
                <w:highlight w:val="none"/>
              </w:rPr>
              <w:t>水田</w:t>
            </w:r>
          </w:p>
        </w:tc>
        <w:tc>
          <w:tcPr>
            <w:tcW w:w="618" w:type="dxa"/>
            <w:noWrap w:val="0"/>
            <w:vAlign w:val="center"/>
          </w:tcPr>
          <w:p>
            <w:pPr>
              <w:jc w:val="center"/>
              <w:rPr>
                <w:color w:val="auto"/>
                <w:highlight w:val="none"/>
              </w:rPr>
            </w:pPr>
            <w:r>
              <w:rPr>
                <w:rFonts w:hAnsi="宋体"/>
                <w:color w:val="auto"/>
                <w:highlight w:val="none"/>
              </w:rPr>
              <w:t>旱地</w:t>
            </w:r>
          </w:p>
        </w:tc>
        <w:tc>
          <w:tcPr>
            <w:tcW w:w="540" w:type="dxa"/>
            <w:noWrap w:val="0"/>
            <w:vAlign w:val="center"/>
          </w:tcPr>
          <w:p>
            <w:pPr>
              <w:widowControl/>
              <w:jc w:val="center"/>
              <w:rPr>
                <w:color w:val="auto"/>
                <w:highlight w:val="none"/>
              </w:rPr>
            </w:pPr>
            <w:r>
              <w:rPr>
                <w:rFonts w:hAnsi="宋体"/>
                <w:color w:val="auto"/>
                <w:highlight w:val="none"/>
              </w:rPr>
              <w:t>果园</w:t>
            </w:r>
          </w:p>
        </w:tc>
        <w:tc>
          <w:tcPr>
            <w:tcW w:w="540" w:type="dxa"/>
            <w:noWrap w:val="0"/>
            <w:vAlign w:val="center"/>
          </w:tcPr>
          <w:p>
            <w:pPr>
              <w:jc w:val="center"/>
              <w:rPr>
                <w:color w:val="auto"/>
                <w:highlight w:val="none"/>
              </w:rPr>
            </w:pPr>
            <w:r>
              <w:rPr>
                <w:rFonts w:hAnsi="宋体"/>
                <w:color w:val="auto"/>
                <w:highlight w:val="none"/>
              </w:rPr>
              <w:t>荒地</w:t>
            </w:r>
          </w:p>
        </w:tc>
        <w:tc>
          <w:tcPr>
            <w:tcW w:w="1914" w:type="dxa"/>
            <w:vMerge w:val="continue"/>
            <w:noWrap w:val="0"/>
            <w:vAlign w:val="top"/>
          </w:tcPr>
          <w:p>
            <w:pPr>
              <w:spacing w:line="420" w:lineRule="exact"/>
              <w:rPr>
                <w:color w:val="auto"/>
                <w:highlight w:val="none"/>
              </w:rPr>
            </w:pPr>
          </w:p>
        </w:tc>
        <w:tc>
          <w:tcPr>
            <w:tcW w:w="793" w:type="dxa"/>
            <w:noWrap w:val="0"/>
            <w:vAlign w:val="center"/>
          </w:tcPr>
          <w:p>
            <w:pPr>
              <w:widowControl/>
              <w:jc w:val="center"/>
              <w:rPr>
                <w:color w:val="auto"/>
                <w:highlight w:val="none"/>
              </w:rPr>
            </w:pPr>
            <w:r>
              <w:rPr>
                <w:rFonts w:hAnsi="宋体"/>
                <w:color w:val="auto"/>
                <w:highlight w:val="none"/>
              </w:rPr>
              <w:t>桩号</w:t>
            </w:r>
          </w:p>
        </w:tc>
        <w:tc>
          <w:tcPr>
            <w:tcW w:w="793" w:type="dxa"/>
            <w:noWrap w:val="0"/>
            <w:vAlign w:val="center"/>
          </w:tcPr>
          <w:p>
            <w:pPr>
              <w:jc w:val="center"/>
              <w:rPr>
                <w:color w:val="auto"/>
                <w:highlight w:val="none"/>
              </w:rPr>
            </w:pPr>
            <w:r>
              <w:rPr>
                <w:rFonts w:hAnsi="宋体"/>
                <w:color w:val="auto"/>
                <w:highlight w:val="none"/>
              </w:rPr>
              <w:t>左侧</w:t>
            </w:r>
          </w:p>
          <w:p>
            <w:pPr>
              <w:jc w:val="center"/>
              <w:rPr>
                <w:color w:val="auto"/>
                <w:highlight w:val="none"/>
              </w:rPr>
            </w:pPr>
            <w:r>
              <w:rPr>
                <w:rFonts w:hAnsi="宋体"/>
                <w:color w:val="auto"/>
                <w:highlight w:val="none"/>
              </w:rPr>
              <w:t>（</w:t>
            </w:r>
            <w:r>
              <w:rPr>
                <w:color w:val="auto"/>
                <w:highlight w:val="none"/>
              </w:rPr>
              <w:t>m</w:t>
            </w:r>
            <w:r>
              <w:rPr>
                <w:rFonts w:hAnsi="宋体"/>
                <w:color w:val="auto"/>
                <w:highlight w:val="none"/>
              </w:rPr>
              <w:t>）</w:t>
            </w:r>
          </w:p>
        </w:tc>
        <w:tc>
          <w:tcPr>
            <w:tcW w:w="793" w:type="dxa"/>
            <w:noWrap w:val="0"/>
            <w:vAlign w:val="center"/>
          </w:tcPr>
          <w:p>
            <w:pPr>
              <w:widowControl/>
              <w:jc w:val="center"/>
              <w:rPr>
                <w:color w:val="auto"/>
                <w:highlight w:val="none"/>
              </w:rPr>
            </w:pPr>
            <w:r>
              <w:rPr>
                <w:rFonts w:hAnsi="宋体"/>
                <w:color w:val="auto"/>
                <w:highlight w:val="none"/>
              </w:rPr>
              <w:t>右侧（</w:t>
            </w:r>
            <w:r>
              <w:rPr>
                <w:color w:val="auto"/>
                <w:highlight w:val="none"/>
              </w:rPr>
              <w:t>m</w:t>
            </w:r>
            <w:r>
              <w:rPr>
                <w:rFonts w:hAnsi="宋体"/>
                <w:color w:val="auto"/>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980" w:type="dxa"/>
            <w:noWrap w:val="0"/>
            <w:vAlign w:val="center"/>
          </w:tcPr>
          <w:p>
            <w:pPr>
              <w:ind w:firstLine="105" w:firstLineChars="50"/>
              <w:rPr>
                <w:color w:val="auto"/>
                <w:highlight w:val="none"/>
              </w:rPr>
            </w:pPr>
            <w:r>
              <w:rPr>
                <w:rFonts w:hAnsi="宋体"/>
                <w:color w:val="auto"/>
                <w:highlight w:val="none"/>
              </w:rPr>
              <w:t>一、临时工程</w:t>
            </w: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1980" w:type="dxa"/>
            <w:noWrap w:val="0"/>
            <w:vAlign w:val="center"/>
          </w:tcPr>
          <w:p>
            <w:pPr>
              <w:ind w:firstLine="420" w:firstLineChars="200"/>
              <w:rPr>
                <w:color w:val="auto"/>
                <w:highlight w:val="none"/>
              </w:rPr>
            </w:pP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1980" w:type="dxa"/>
            <w:noWrap w:val="0"/>
            <w:vAlign w:val="center"/>
          </w:tcPr>
          <w:p>
            <w:pPr>
              <w:ind w:firstLine="420" w:firstLineChars="200"/>
              <w:rPr>
                <w:color w:val="auto"/>
                <w:highlight w:val="none"/>
              </w:rPr>
            </w:pP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5" w:hRule="atLeast"/>
        </w:trPr>
        <w:tc>
          <w:tcPr>
            <w:tcW w:w="1980" w:type="dxa"/>
            <w:noWrap w:val="0"/>
            <w:vAlign w:val="center"/>
          </w:tcPr>
          <w:p>
            <w:pPr>
              <w:jc w:val="center"/>
              <w:rPr>
                <w:color w:val="auto"/>
                <w:highlight w:val="none"/>
              </w:rPr>
            </w:pPr>
            <w:r>
              <w:rPr>
                <w:color w:val="auto"/>
                <w:highlight w:val="none"/>
              </w:rPr>
              <w:t>……</w:t>
            </w: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2" w:hRule="atLeast"/>
        </w:trPr>
        <w:tc>
          <w:tcPr>
            <w:tcW w:w="1980" w:type="dxa"/>
            <w:noWrap w:val="0"/>
            <w:vAlign w:val="center"/>
          </w:tcPr>
          <w:p>
            <w:pPr>
              <w:jc w:val="center"/>
              <w:rPr>
                <w:color w:val="auto"/>
                <w:highlight w:val="none"/>
              </w:rPr>
            </w:pPr>
            <w:r>
              <w:rPr>
                <w:rFonts w:hAnsi="宋体"/>
                <w:color w:val="auto"/>
                <w:highlight w:val="none"/>
              </w:rPr>
              <w:t>二、生产及生活临时设施</w:t>
            </w: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5" w:hRule="atLeast"/>
        </w:trPr>
        <w:tc>
          <w:tcPr>
            <w:tcW w:w="1980" w:type="dxa"/>
            <w:noWrap w:val="0"/>
            <w:vAlign w:val="center"/>
          </w:tcPr>
          <w:p>
            <w:pPr>
              <w:ind w:firstLine="420" w:firstLineChars="200"/>
              <w:rPr>
                <w:color w:val="auto"/>
                <w:highlight w:val="none"/>
              </w:rPr>
            </w:pP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5" w:hRule="atLeast"/>
        </w:trPr>
        <w:tc>
          <w:tcPr>
            <w:tcW w:w="1980" w:type="dxa"/>
            <w:noWrap w:val="0"/>
            <w:vAlign w:val="center"/>
          </w:tcPr>
          <w:p>
            <w:pPr>
              <w:ind w:firstLine="420" w:firstLineChars="200"/>
              <w:rPr>
                <w:color w:val="auto"/>
                <w:highlight w:val="none"/>
              </w:rPr>
            </w:pP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5" w:hRule="atLeast"/>
        </w:trPr>
        <w:tc>
          <w:tcPr>
            <w:tcW w:w="1980" w:type="dxa"/>
            <w:noWrap w:val="0"/>
            <w:vAlign w:val="center"/>
          </w:tcPr>
          <w:p>
            <w:pPr>
              <w:jc w:val="center"/>
              <w:rPr>
                <w:color w:val="auto"/>
                <w:highlight w:val="none"/>
              </w:rPr>
            </w:pPr>
            <w:r>
              <w:rPr>
                <w:color w:val="auto"/>
                <w:highlight w:val="none"/>
              </w:rPr>
              <w:t>……</w:t>
            </w: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5" w:hRule="atLeast"/>
        </w:trPr>
        <w:tc>
          <w:tcPr>
            <w:tcW w:w="1980" w:type="dxa"/>
            <w:noWrap w:val="0"/>
            <w:vAlign w:val="center"/>
          </w:tcPr>
          <w:p>
            <w:pPr>
              <w:jc w:val="center"/>
              <w:rPr>
                <w:color w:val="auto"/>
                <w:highlight w:val="none"/>
              </w:rPr>
            </w:pP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5" w:hRule="atLeast"/>
        </w:trPr>
        <w:tc>
          <w:tcPr>
            <w:tcW w:w="1980" w:type="dxa"/>
            <w:noWrap w:val="0"/>
            <w:vAlign w:val="center"/>
          </w:tcPr>
          <w:p>
            <w:pPr>
              <w:jc w:val="center"/>
              <w:rPr>
                <w:color w:val="auto"/>
                <w:highlight w:val="none"/>
              </w:rPr>
            </w:pPr>
            <w:r>
              <w:rPr>
                <w:rFonts w:hAnsi="宋体"/>
                <w:color w:val="auto"/>
                <w:highlight w:val="none"/>
              </w:rPr>
              <w:t>租用面积合计</w:t>
            </w:r>
          </w:p>
        </w:tc>
        <w:tc>
          <w:tcPr>
            <w:tcW w:w="540" w:type="dxa"/>
            <w:noWrap w:val="0"/>
            <w:vAlign w:val="top"/>
          </w:tcPr>
          <w:p>
            <w:pPr>
              <w:spacing w:line="420" w:lineRule="exact"/>
              <w:rPr>
                <w:color w:val="auto"/>
                <w:highlight w:val="none"/>
              </w:rPr>
            </w:pPr>
          </w:p>
        </w:tc>
        <w:tc>
          <w:tcPr>
            <w:tcW w:w="462" w:type="dxa"/>
            <w:noWrap w:val="0"/>
            <w:vAlign w:val="top"/>
          </w:tcPr>
          <w:p>
            <w:pPr>
              <w:spacing w:line="420" w:lineRule="exact"/>
              <w:rPr>
                <w:color w:val="auto"/>
                <w:highlight w:val="none"/>
              </w:rPr>
            </w:pPr>
          </w:p>
        </w:tc>
        <w:tc>
          <w:tcPr>
            <w:tcW w:w="618"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540" w:type="dxa"/>
            <w:noWrap w:val="0"/>
            <w:vAlign w:val="top"/>
          </w:tcPr>
          <w:p>
            <w:pPr>
              <w:spacing w:line="420" w:lineRule="exact"/>
              <w:rPr>
                <w:color w:val="auto"/>
                <w:highlight w:val="none"/>
              </w:rPr>
            </w:pPr>
          </w:p>
        </w:tc>
        <w:tc>
          <w:tcPr>
            <w:tcW w:w="1914"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c>
          <w:tcPr>
            <w:tcW w:w="793" w:type="dxa"/>
            <w:noWrap w:val="0"/>
            <w:vAlign w:val="top"/>
          </w:tcPr>
          <w:p>
            <w:pPr>
              <w:spacing w:line="420" w:lineRule="exact"/>
              <w:rPr>
                <w:color w:val="auto"/>
                <w:highlight w:val="none"/>
              </w:rPr>
            </w:pPr>
          </w:p>
        </w:tc>
      </w:tr>
    </w:tbl>
    <w:p>
      <w:pPr>
        <w:ind w:firstLine="420" w:firstLineChars="200"/>
        <w:rPr>
          <w:rFonts w:hint="eastAsia"/>
          <w:color w:val="auto"/>
          <w:highlight w:val="none"/>
        </w:rPr>
      </w:pPr>
    </w:p>
    <w:p>
      <w:pPr>
        <w:spacing w:line="420" w:lineRule="exact"/>
        <w:rPr>
          <w:rFonts w:hint="eastAsia" w:ascii="黑体" w:hAnsi="黑体" w:eastAsia="黑体"/>
          <w:color w:val="auto"/>
          <w:sz w:val="24"/>
          <w:szCs w:val="24"/>
          <w:highlight w:val="none"/>
        </w:rPr>
      </w:pPr>
      <w:bookmarkStart w:id="1777" w:name="_Toc375000616"/>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p>
    <w:p>
      <w:pPr>
        <w:spacing w:line="420" w:lineRule="exact"/>
        <w:rPr>
          <w:rFonts w:hint="eastAsia" w:ascii="黑体" w:hAnsi="黑体" w:eastAsia="黑体"/>
          <w:color w:val="auto"/>
          <w:sz w:val="24"/>
          <w:szCs w:val="24"/>
          <w:highlight w:val="none"/>
        </w:rPr>
      </w:pPr>
      <w:r>
        <w:rPr>
          <w:rFonts w:hint="eastAsia" w:ascii="黑体" w:hAnsi="黑体" w:eastAsia="黑体"/>
          <w:color w:val="auto"/>
          <w:sz w:val="24"/>
          <w:szCs w:val="24"/>
          <w:highlight w:val="none"/>
        </w:rPr>
        <w:t>附表八  外供电力需求计划表</w:t>
      </w:r>
      <w:bookmarkEnd w:id="1777"/>
    </w:p>
    <w:p>
      <w:pPr>
        <w:spacing w:line="420" w:lineRule="exact"/>
        <w:rPr>
          <w:rFonts w:hint="eastAsia" w:ascii="黑体" w:hAnsi="黑体" w:eastAsia="黑体"/>
          <w:color w:val="auto"/>
          <w:sz w:val="24"/>
          <w:szCs w:val="24"/>
          <w:highlight w:val="none"/>
        </w:rPr>
      </w:pPr>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256"/>
        <w:gridCol w:w="1256"/>
        <w:gridCol w:w="2153"/>
        <w:gridCol w:w="1435"/>
        <w:gridCol w:w="1794"/>
        <w:gridCol w:w="1076"/>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437" w:hRule="atLeast"/>
        </w:trPr>
        <w:tc>
          <w:tcPr>
            <w:tcW w:w="2512" w:type="dxa"/>
            <w:gridSpan w:val="2"/>
            <w:tcBorders>
              <w:bottom w:val="single" w:color="auto" w:sz="4" w:space="0"/>
              <w:right w:val="single" w:color="auto" w:sz="4" w:space="0"/>
            </w:tcBorders>
            <w:noWrap w:val="0"/>
            <w:vAlign w:val="center"/>
          </w:tcPr>
          <w:p>
            <w:pPr>
              <w:jc w:val="center"/>
              <w:rPr>
                <w:color w:val="auto"/>
                <w:highlight w:val="none"/>
              </w:rPr>
            </w:pPr>
            <w:r>
              <w:rPr>
                <w:rFonts w:hAnsi="宋体"/>
                <w:color w:val="auto"/>
                <w:highlight w:val="none"/>
              </w:rPr>
              <w:t>用电位置</w:t>
            </w:r>
          </w:p>
        </w:tc>
        <w:tc>
          <w:tcPr>
            <w:tcW w:w="2153" w:type="dxa"/>
            <w:vMerge w:val="restart"/>
            <w:tcBorders>
              <w:left w:val="single" w:color="auto" w:sz="4" w:space="0"/>
              <w:right w:val="single" w:color="auto" w:sz="4" w:space="0"/>
            </w:tcBorders>
            <w:noWrap w:val="0"/>
            <w:vAlign w:val="center"/>
          </w:tcPr>
          <w:p>
            <w:pPr>
              <w:jc w:val="center"/>
              <w:rPr>
                <w:color w:val="auto"/>
                <w:highlight w:val="none"/>
              </w:rPr>
            </w:pPr>
            <w:r>
              <w:rPr>
                <w:rFonts w:hAnsi="宋体"/>
                <w:color w:val="auto"/>
                <w:highlight w:val="none"/>
              </w:rPr>
              <w:t>计划用电数量</w:t>
            </w:r>
          </w:p>
          <w:p>
            <w:pPr>
              <w:jc w:val="center"/>
              <w:rPr>
                <w:color w:val="auto"/>
                <w:highlight w:val="none"/>
              </w:rPr>
            </w:pPr>
            <w:r>
              <w:rPr>
                <w:rFonts w:hAnsi="宋体"/>
                <w:color w:val="auto"/>
                <w:highlight w:val="none"/>
              </w:rPr>
              <w:t>（</w:t>
            </w:r>
            <w:r>
              <w:rPr>
                <w:color w:val="auto"/>
                <w:highlight w:val="none"/>
              </w:rPr>
              <w:t>kW•h</w:t>
            </w:r>
            <w:r>
              <w:rPr>
                <w:rFonts w:hAnsi="宋体"/>
                <w:color w:val="auto"/>
                <w:highlight w:val="none"/>
              </w:rPr>
              <w:t>）</w:t>
            </w:r>
          </w:p>
        </w:tc>
        <w:tc>
          <w:tcPr>
            <w:tcW w:w="1435" w:type="dxa"/>
            <w:vMerge w:val="restart"/>
            <w:tcBorders>
              <w:left w:val="single" w:color="auto" w:sz="4" w:space="0"/>
              <w:right w:val="single" w:color="auto" w:sz="4" w:space="0"/>
            </w:tcBorders>
            <w:noWrap w:val="0"/>
            <w:vAlign w:val="center"/>
          </w:tcPr>
          <w:p>
            <w:pPr>
              <w:spacing w:line="420" w:lineRule="exact"/>
              <w:jc w:val="center"/>
              <w:rPr>
                <w:color w:val="auto"/>
                <w:highlight w:val="none"/>
              </w:rPr>
            </w:pPr>
            <w:r>
              <w:rPr>
                <w:rFonts w:hAnsi="宋体"/>
                <w:color w:val="auto"/>
                <w:highlight w:val="none"/>
              </w:rPr>
              <w:t>用</w:t>
            </w:r>
            <w:r>
              <w:rPr>
                <w:color w:val="auto"/>
                <w:highlight w:val="none"/>
              </w:rPr>
              <w:t xml:space="preserve">  </w:t>
            </w:r>
            <w:r>
              <w:rPr>
                <w:rFonts w:hAnsi="宋体"/>
                <w:color w:val="auto"/>
                <w:highlight w:val="none"/>
              </w:rPr>
              <w:t>途</w:t>
            </w:r>
          </w:p>
        </w:tc>
        <w:tc>
          <w:tcPr>
            <w:tcW w:w="1794" w:type="dxa"/>
            <w:vMerge w:val="restart"/>
            <w:tcBorders>
              <w:left w:val="single" w:color="auto" w:sz="4" w:space="0"/>
              <w:right w:val="single" w:color="auto" w:sz="4" w:space="0"/>
            </w:tcBorders>
            <w:noWrap w:val="0"/>
            <w:vAlign w:val="center"/>
          </w:tcPr>
          <w:p>
            <w:pPr>
              <w:jc w:val="center"/>
              <w:rPr>
                <w:color w:val="auto"/>
                <w:highlight w:val="none"/>
              </w:rPr>
            </w:pPr>
            <w:r>
              <w:rPr>
                <w:rFonts w:hAnsi="宋体"/>
                <w:color w:val="auto"/>
                <w:highlight w:val="none"/>
              </w:rPr>
              <w:t>需用时间</w:t>
            </w:r>
          </w:p>
          <w:p>
            <w:pPr>
              <w:jc w:val="center"/>
              <w:rPr>
                <w:color w:val="auto"/>
                <w:highlight w:val="none"/>
              </w:rPr>
            </w:pP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Ansi="宋体"/>
                <w:color w:val="auto"/>
                <w:highlight w:val="none"/>
              </w:rPr>
              <w:t>年</w:t>
            </w:r>
            <w:r>
              <w:rPr>
                <w:color w:val="auto"/>
                <w:highlight w:val="none"/>
                <w:u w:val="single"/>
              </w:rPr>
              <w:t xml:space="preserve">   </w:t>
            </w:r>
            <w:r>
              <w:rPr>
                <w:rFonts w:hAnsi="宋体"/>
                <w:color w:val="auto"/>
                <w:highlight w:val="none"/>
              </w:rPr>
              <w:t>月至</w:t>
            </w:r>
          </w:p>
          <w:p>
            <w:pPr>
              <w:spacing w:line="420" w:lineRule="exact"/>
              <w:jc w:val="center"/>
              <w:rPr>
                <w:color w:val="auto"/>
                <w:highlight w:val="none"/>
              </w:rPr>
            </w:pP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Ansi="宋体"/>
                <w:color w:val="auto"/>
                <w:highlight w:val="none"/>
              </w:rPr>
              <w:t>年</w:t>
            </w:r>
            <w:r>
              <w:rPr>
                <w:color w:val="auto"/>
                <w:highlight w:val="none"/>
                <w:u w:val="single"/>
              </w:rPr>
              <w:t xml:space="preserve">   </w:t>
            </w:r>
            <w:r>
              <w:rPr>
                <w:rFonts w:hAnsi="宋体"/>
                <w:color w:val="auto"/>
                <w:highlight w:val="none"/>
              </w:rPr>
              <w:t>月</w:t>
            </w:r>
          </w:p>
        </w:tc>
        <w:tc>
          <w:tcPr>
            <w:tcW w:w="1076" w:type="dxa"/>
            <w:vMerge w:val="restart"/>
            <w:tcBorders>
              <w:left w:val="single" w:color="auto" w:sz="4" w:space="0"/>
            </w:tcBorders>
            <w:noWrap w:val="0"/>
            <w:vAlign w:val="center"/>
          </w:tcPr>
          <w:p>
            <w:pPr>
              <w:spacing w:line="420" w:lineRule="exact"/>
              <w:jc w:val="center"/>
              <w:rPr>
                <w:color w:val="auto"/>
                <w:highlight w:val="none"/>
              </w:rPr>
            </w:pPr>
            <w:r>
              <w:rPr>
                <w:rFonts w:hAnsi="宋体"/>
                <w:color w:val="auto"/>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794" w:hRule="atLeast"/>
        </w:trPr>
        <w:tc>
          <w:tcPr>
            <w:tcW w:w="1256" w:type="dxa"/>
            <w:tcBorders>
              <w:top w:val="single" w:color="auto" w:sz="4" w:space="0"/>
              <w:bottom w:val="single" w:color="auto" w:sz="4" w:space="0"/>
              <w:right w:val="single" w:color="auto" w:sz="4" w:space="0"/>
            </w:tcBorders>
            <w:noWrap w:val="0"/>
            <w:vAlign w:val="center"/>
          </w:tcPr>
          <w:p>
            <w:pPr>
              <w:jc w:val="center"/>
              <w:rPr>
                <w:rFonts w:hint="eastAsia" w:ascii="宋体" w:hAnsi="宋体"/>
                <w:color w:val="auto"/>
                <w:highlight w:val="none"/>
              </w:rPr>
            </w:pPr>
            <w:r>
              <w:rPr>
                <w:rFonts w:hint="eastAsia" w:ascii="宋体" w:hAnsi="宋体"/>
                <w:color w:val="auto"/>
                <w:highlight w:val="none"/>
              </w:rPr>
              <w:t>桩号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color w:val="auto"/>
                <w:highlight w:val="none"/>
              </w:rPr>
            </w:pPr>
            <w:r>
              <w:rPr>
                <w:rFonts w:hAnsi="宋体"/>
                <w:color w:val="auto"/>
                <w:highlight w:val="none"/>
              </w:rPr>
              <w:t>左或右</w:t>
            </w:r>
          </w:p>
          <w:p>
            <w:pPr>
              <w:spacing w:line="300" w:lineRule="exact"/>
              <w:jc w:val="center"/>
              <w:rPr>
                <w:color w:val="auto"/>
                <w:highlight w:val="none"/>
              </w:rPr>
            </w:pPr>
            <w:r>
              <w:rPr>
                <w:rFonts w:hAnsi="宋体"/>
                <w:color w:val="auto"/>
                <w:highlight w:val="none"/>
              </w:rPr>
              <w:t>（</w:t>
            </w:r>
            <w:r>
              <w:rPr>
                <w:color w:val="auto"/>
                <w:highlight w:val="none"/>
              </w:rPr>
              <w:t>m</w:t>
            </w:r>
            <w:r>
              <w:rPr>
                <w:rFonts w:hAnsi="宋体"/>
                <w:color w:val="auto"/>
                <w:highlight w:val="none"/>
              </w:rPr>
              <w:t>）</w:t>
            </w:r>
          </w:p>
        </w:tc>
        <w:tc>
          <w:tcPr>
            <w:tcW w:w="2153" w:type="dxa"/>
            <w:vMerge w:val="continue"/>
            <w:tcBorders>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435" w:type="dxa"/>
            <w:vMerge w:val="continue"/>
            <w:tcBorders>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794" w:type="dxa"/>
            <w:vMerge w:val="continue"/>
            <w:tcBorders>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076" w:type="dxa"/>
            <w:vMerge w:val="continue"/>
            <w:tcBorders>
              <w:left w:val="single" w:color="auto" w:sz="4" w:space="0"/>
              <w:bottom w:val="single" w:color="auto" w:sz="4" w:space="0"/>
            </w:tcBorders>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6" w:hRule="atLeast"/>
        </w:trPr>
        <w:tc>
          <w:tcPr>
            <w:tcW w:w="1256" w:type="dxa"/>
            <w:tcBorders>
              <w:top w:val="single" w:color="auto" w:sz="4" w:space="0"/>
              <w:bottom w:val="single" w:color="auto" w:sz="4" w:space="0"/>
              <w:right w:val="single" w:color="auto" w:sz="4" w:space="0"/>
            </w:tcBorders>
            <w:noWrap w:val="0"/>
            <w:vAlign w:val="top"/>
          </w:tcPr>
          <w:p>
            <w:pPr>
              <w:spacing w:line="420" w:lineRule="exact"/>
              <w:rPr>
                <w:rFonts w:hint="eastAsia" w:ascii="黑体" w:hAnsi="宋体" w:eastAsia="黑体"/>
                <w:color w:val="auto"/>
                <w:highlight w:val="none"/>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2153"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435"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79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076" w:type="dxa"/>
            <w:tcBorders>
              <w:top w:val="single" w:color="auto" w:sz="4" w:space="0"/>
              <w:left w:val="single" w:color="auto" w:sz="4" w:space="0"/>
              <w:bottom w:val="single" w:color="auto" w:sz="4" w:space="0"/>
            </w:tcBorders>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6" w:hRule="atLeast"/>
        </w:trPr>
        <w:tc>
          <w:tcPr>
            <w:tcW w:w="1256" w:type="dxa"/>
            <w:tcBorders>
              <w:top w:val="single" w:color="auto" w:sz="4" w:space="0"/>
              <w:bottom w:val="single" w:color="auto" w:sz="4" w:space="0"/>
              <w:right w:val="single" w:color="auto" w:sz="4" w:space="0"/>
            </w:tcBorders>
            <w:noWrap w:val="0"/>
            <w:vAlign w:val="top"/>
          </w:tcPr>
          <w:p>
            <w:pPr>
              <w:spacing w:line="420" w:lineRule="exact"/>
              <w:rPr>
                <w:rFonts w:hint="eastAsia" w:ascii="黑体" w:hAnsi="宋体" w:eastAsia="黑体"/>
                <w:color w:val="auto"/>
                <w:highlight w:val="none"/>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2153"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435"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79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076" w:type="dxa"/>
            <w:tcBorders>
              <w:top w:val="single" w:color="auto" w:sz="4" w:space="0"/>
              <w:left w:val="single" w:color="auto" w:sz="4" w:space="0"/>
              <w:bottom w:val="single" w:color="auto" w:sz="4" w:space="0"/>
            </w:tcBorders>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6" w:hRule="atLeast"/>
        </w:trPr>
        <w:tc>
          <w:tcPr>
            <w:tcW w:w="1256" w:type="dxa"/>
            <w:tcBorders>
              <w:top w:val="single" w:color="auto" w:sz="4" w:space="0"/>
              <w:bottom w:val="single" w:color="auto" w:sz="4" w:space="0"/>
              <w:right w:val="single" w:color="auto" w:sz="4" w:space="0"/>
            </w:tcBorders>
            <w:noWrap w:val="0"/>
            <w:vAlign w:val="top"/>
          </w:tcPr>
          <w:p>
            <w:pPr>
              <w:spacing w:line="420" w:lineRule="exact"/>
              <w:rPr>
                <w:rFonts w:hint="eastAsia" w:ascii="黑体" w:hAnsi="宋体" w:eastAsia="黑体"/>
                <w:color w:val="auto"/>
                <w:highlight w:val="none"/>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2153"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435"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79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076" w:type="dxa"/>
            <w:tcBorders>
              <w:top w:val="single" w:color="auto" w:sz="4" w:space="0"/>
              <w:left w:val="single" w:color="auto" w:sz="4" w:space="0"/>
              <w:bottom w:val="single" w:color="auto" w:sz="4" w:space="0"/>
            </w:tcBorders>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6" w:hRule="atLeast"/>
        </w:trPr>
        <w:tc>
          <w:tcPr>
            <w:tcW w:w="1256" w:type="dxa"/>
            <w:tcBorders>
              <w:top w:val="single" w:color="auto" w:sz="4" w:space="0"/>
              <w:bottom w:val="single" w:color="auto" w:sz="4" w:space="0"/>
              <w:right w:val="single" w:color="auto" w:sz="4" w:space="0"/>
            </w:tcBorders>
            <w:noWrap w:val="0"/>
            <w:vAlign w:val="top"/>
          </w:tcPr>
          <w:p>
            <w:pPr>
              <w:spacing w:line="420" w:lineRule="exact"/>
              <w:rPr>
                <w:rFonts w:hint="eastAsia" w:ascii="黑体" w:hAnsi="宋体" w:eastAsia="黑体"/>
                <w:color w:val="auto"/>
                <w:highlight w:val="none"/>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2153"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435"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794"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color w:val="auto"/>
                <w:highlight w:val="none"/>
              </w:rPr>
            </w:pPr>
          </w:p>
        </w:tc>
        <w:tc>
          <w:tcPr>
            <w:tcW w:w="1076" w:type="dxa"/>
            <w:tcBorders>
              <w:top w:val="single" w:color="auto" w:sz="4" w:space="0"/>
              <w:left w:val="single" w:color="auto" w:sz="4" w:space="0"/>
              <w:bottom w:val="single" w:color="auto" w:sz="4" w:space="0"/>
            </w:tcBorders>
            <w:noWrap w:val="0"/>
            <w:vAlign w:val="top"/>
          </w:tcPr>
          <w:p>
            <w:pPr>
              <w:spacing w:line="420" w:lineRule="exact"/>
              <w:rPr>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2" w:hRule="atLeast"/>
        </w:trPr>
        <w:tc>
          <w:tcPr>
            <w:tcW w:w="1256" w:type="dxa"/>
            <w:tcBorders>
              <w:top w:val="single" w:color="auto" w:sz="4" w:space="0"/>
              <w:right w:val="single" w:color="auto" w:sz="4" w:space="0"/>
            </w:tcBorders>
            <w:noWrap w:val="0"/>
            <w:vAlign w:val="top"/>
          </w:tcPr>
          <w:p>
            <w:pPr>
              <w:spacing w:line="420" w:lineRule="exact"/>
              <w:rPr>
                <w:rFonts w:hint="eastAsia" w:ascii="黑体" w:hAnsi="宋体" w:eastAsia="黑体"/>
                <w:color w:val="auto"/>
                <w:highlight w:val="none"/>
              </w:rPr>
            </w:pPr>
          </w:p>
        </w:tc>
        <w:tc>
          <w:tcPr>
            <w:tcW w:w="1256" w:type="dxa"/>
            <w:tcBorders>
              <w:top w:val="single" w:color="auto" w:sz="4" w:space="0"/>
              <w:left w:val="single" w:color="auto" w:sz="4" w:space="0"/>
              <w:right w:val="single" w:color="auto" w:sz="4" w:space="0"/>
            </w:tcBorders>
            <w:noWrap w:val="0"/>
            <w:vAlign w:val="top"/>
          </w:tcPr>
          <w:p>
            <w:pPr>
              <w:spacing w:line="420" w:lineRule="exact"/>
              <w:rPr>
                <w:color w:val="auto"/>
                <w:highlight w:val="none"/>
              </w:rPr>
            </w:pPr>
          </w:p>
        </w:tc>
        <w:tc>
          <w:tcPr>
            <w:tcW w:w="2153" w:type="dxa"/>
            <w:tcBorders>
              <w:top w:val="single" w:color="auto" w:sz="4" w:space="0"/>
              <w:left w:val="single" w:color="auto" w:sz="4" w:space="0"/>
              <w:right w:val="single" w:color="auto" w:sz="4" w:space="0"/>
            </w:tcBorders>
            <w:noWrap w:val="0"/>
            <w:vAlign w:val="top"/>
          </w:tcPr>
          <w:p>
            <w:pPr>
              <w:spacing w:line="420" w:lineRule="exact"/>
              <w:rPr>
                <w:color w:val="auto"/>
                <w:highlight w:val="none"/>
              </w:rPr>
            </w:pPr>
          </w:p>
        </w:tc>
        <w:tc>
          <w:tcPr>
            <w:tcW w:w="1435" w:type="dxa"/>
            <w:tcBorders>
              <w:top w:val="single" w:color="auto" w:sz="4" w:space="0"/>
              <w:left w:val="single" w:color="auto" w:sz="4" w:space="0"/>
              <w:right w:val="single" w:color="auto" w:sz="4" w:space="0"/>
            </w:tcBorders>
            <w:noWrap w:val="0"/>
            <w:vAlign w:val="top"/>
          </w:tcPr>
          <w:p>
            <w:pPr>
              <w:spacing w:line="420" w:lineRule="exact"/>
              <w:rPr>
                <w:color w:val="auto"/>
                <w:highlight w:val="none"/>
              </w:rPr>
            </w:pPr>
          </w:p>
        </w:tc>
        <w:tc>
          <w:tcPr>
            <w:tcW w:w="1794" w:type="dxa"/>
            <w:tcBorders>
              <w:top w:val="single" w:color="auto" w:sz="4" w:space="0"/>
              <w:left w:val="single" w:color="auto" w:sz="4" w:space="0"/>
              <w:right w:val="single" w:color="auto" w:sz="4" w:space="0"/>
            </w:tcBorders>
            <w:noWrap w:val="0"/>
            <w:vAlign w:val="top"/>
          </w:tcPr>
          <w:p>
            <w:pPr>
              <w:spacing w:line="420" w:lineRule="exact"/>
              <w:rPr>
                <w:color w:val="auto"/>
                <w:highlight w:val="none"/>
              </w:rPr>
            </w:pPr>
          </w:p>
        </w:tc>
        <w:tc>
          <w:tcPr>
            <w:tcW w:w="1076" w:type="dxa"/>
            <w:tcBorders>
              <w:top w:val="single" w:color="auto" w:sz="4" w:space="0"/>
              <w:left w:val="single" w:color="auto" w:sz="4" w:space="0"/>
            </w:tcBorders>
            <w:noWrap w:val="0"/>
            <w:vAlign w:val="top"/>
          </w:tcPr>
          <w:p>
            <w:pPr>
              <w:spacing w:line="420" w:lineRule="exact"/>
              <w:rPr>
                <w:color w:val="auto"/>
                <w:highlight w:val="none"/>
              </w:rPr>
            </w:pPr>
          </w:p>
        </w:tc>
      </w:tr>
    </w:tbl>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rPr>
          <w:rFonts w:hint="eastAsia"/>
          <w:b/>
          <w:bCs/>
          <w:color w:val="auto"/>
          <w:highlight w:val="none"/>
        </w:rPr>
      </w:pPr>
    </w:p>
    <w:p>
      <w:pPr>
        <w:ind w:firstLine="840" w:firstLineChars="300"/>
        <w:jc w:val="both"/>
        <w:outlineLvl w:val="1"/>
        <w:rPr>
          <w:rFonts w:hint="eastAsia" w:ascii="宋体" w:hAnsi="宋体"/>
          <w:color w:val="auto"/>
          <w:sz w:val="28"/>
          <w:highlight w:val="none"/>
        </w:rPr>
      </w:pPr>
      <w:bookmarkStart w:id="1778" w:name="_Toc8812"/>
      <w:bookmarkStart w:id="1779" w:name="_Toc10417"/>
      <w:bookmarkStart w:id="1780" w:name="_Toc466366144"/>
      <w:bookmarkStart w:id="1781" w:name="_Toc245477489"/>
      <w:bookmarkStart w:id="1782" w:name="_Toc239671879"/>
      <w:bookmarkStart w:id="1783" w:name="_Toc21848"/>
      <w:bookmarkStart w:id="1784" w:name="_Toc262895606"/>
      <w:bookmarkStart w:id="1785" w:name="_Toc11936"/>
      <w:bookmarkStart w:id="1786" w:name="_Toc55"/>
    </w:p>
    <w:p>
      <w:pPr>
        <w:ind w:firstLine="840" w:firstLineChars="300"/>
        <w:jc w:val="both"/>
        <w:outlineLvl w:val="1"/>
        <w:rPr>
          <w:rFonts w:hint="eastAsia" w:ascii="宋体" w:hAnsi="宋体"/>
          <w:color w:val="auto"/>
          <w:sz w:val="28"/>
          <w:highlight w:val="none"/>
        </w:rPr>
      </w:pPr>
    </w:p>
    <w:p>
      <w:pPr>
        <w:ind w:firstLine="840" w:firstLineChars="300"/>
        <w:jc w:val="both"/>
        <w:outlineLvl w:val="1"/>
        <w:rPr>
          <w:rFonts w:ascii="宋体" w:hAnsi="宋体"/>
          <w:color w:val="auto"/>
          <w:sz w:val="28"/>
          <w:highlight w:val="none"/>
        </w:rPr>
      </w:pPr>
      <w:r>
        <w:rPr>
          <w:rFonts w:hint="eastAsia" w:ascii="宋体" w:hAnsi="宋体"/>
          <w:color w:val="auto"/>
          <w:sz w:val="28"/>
          <w:highlight w:val="none"/>
        </w:rPr>
        <w:t>五</w:t>
      </w:r>
      <w:r>
        <w:rPr>
          <w:rFonts w:ascii="宋体" w:hAnsi="宋体"/>
          <w:color w:val="auto"/>
          <w:sz w:val="28"/>
          <w:highlight w:val="none"/>
        </w:rPr>
        <w:t>、项目管理机构</w:t>
      </w:r>
      <w:bookmarkEnd w:id="1741"/>
      <w:bookmarkEnd w:id="1778"/>
      <w:bookmarkEnd w:id="1779"/>
      <w:bookmarkEnd w:id="1780"/>
      <w:bookmarkEnd w:id="1781"/>
      <w:bookmarkEnd w:id="1782"/>
      <w:bookmarkEnd w:id="1783"/>
      <w:bookmarkEnd w:id="1784"/>
      <w:bookmarkEnd w:id="1785"/>
      <w:bookmarkEnd w:id="1786"/>
    </w:p>
    <w:p>
      <w:pPr>
        <w:jc w:val="center"/>
        <w:rPr>
          <w:rFonts w:ascii="宋体" w:hAnsi="宋体"/>
          <w:b/>
          <w:color w:val="auto"/>
          <w:highlight w:val="none"/>
        </w:rPr>
      </w:pP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9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88" w:hRule="atLeast"/>
          <w:jc w:val="center"/>
        </w:trPr>
        <w:tc>
          <w:tcPr>
            <w:tcW w:w="8928" w:type="dxa"/>
            <w:noWrap w:val="0"/>
            <w:vAlign w:val="top"/>
          </w:tcPr>
          <w:p>
            <w:pPr>
              <w:rPr>
                <w:rFonts w:ascii="宋体" w:hAnsi="宋体"/>
                <w:color w:val="auto"/>
                <w:highlight w:val="none"/>
              </w:rPr>
            </w:pPr>
          </w:p>
          <w:p>
            <w:pPr>
              <w:rPr>
                <w:rFonts w:ascii="宋体" w:hAnsi="宋体"/>
                <w:color w:val="auto"/>
                <w:highlight w:val="none"/>
              </w:rPr>
            </w:pPr>
            <w:r>
              <w:rPr>
                <w:rFonts w:hint="eastAsia" w:ascii="宋体" w:hAnsi="宋体"/>
                <w:color w:val="auto"/>
                <w:highlight w:val="none"/>
              </w:rPr>
              <w:t>拟为承包本标段工程设立的组织机构以框图方式表示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8" w:hRule="atLeast"/>
          <w:jc w:val="center"/>
        </w:trPr>
        <w:tc>
          <w:tcPr>
            <w:tcW w:w="8928" w:type="dxa"/>
            <w:noWrap w:val="0"/>
            <w:vAlign w:val="top"/>
          </w:tcPr>
          <w:p>
            <w:pPr>
              <w:rPr>
                <w:rFonts w:ascii="宋体" w:hAnsi="宋体"/>
                <w:color w:val="auto"/>
                <w:highlight w:val="none"/>
              </w:rPr>
            </w:pPr>
          </w:p>
          <w:p>
            <w:pPr>
              <w:rPr>
                <w:rFonts w:ascii="宋体" w:hAnsi="宋体"/>
                <w:color w:val="auto"/>
                <w:highlight w:val="none"/>
              </w:rPr>
            </w:pPr>
            <w:r>
              <w:rPr>
                <w:rFonts w:hint="eastAsia" w:ascii="宋体" w:hAnsi="宋体"/>
                <w:color w:val="auto"/>
                <w:highlight w:val="none"/>
              </w:rPr>
              <w:t>说明</w:t>
            </w:r>
          </w:p>
        </w:tc>
      </w:tr>
    </w:tbl>
    <w:p>
      <w:pPr>
        <w:rPr>
          <w:rFonts w:ascii="宋体" w:hAnsi="宋体"/>
          <w:color w:val="auto"/>
          <w:highlight w:val="none"/>
        </w:rPr>
      </w:pPr>
    </w:p>
    <w:p>
      <w:pPr>
        <w:rPr>
          <w:rFonts w:ascii="宋体" w:hAnsi="宋体"/>
          <w:color w:val="auto"/>
          <w:highlight w:val="none"/>
        </w:rPr>
      </w:pPr>
    </w:p>
    <w:p>
      <w:pPr>
        <w:pStyle w:val="5"/>
        <w:spacing w:before="0"/>
        <w:jc w:val="center"/>
        <w:rPr>
          <w:rFonts w:ascii="黑体"/>
          <w:b w:val="0"/>
          <w:color w:val="auto"/>
          <w:highlight w:val="none"/>
        </w:rPr>
      </w:pPr>
      <w:bookmarkStart w:id="1787" w:name="_Toc523256778"/>
      <w:bookmarkStart w:id="1788" w:name="_Toc1532"/>
      <w:bookmarkStart w:id="1789" w:name="_Toc531609468"/>
      <w:bookmarkStart w:id="1790" w:name="_Toc509909059"/>
      <w:bookmarkStart w:id="1791" w:name="_Toc239671881"/>
      <w:bookmarkStart w:id="1792" w:name="_Toc12496"/>
      <w:bookmarkStart w:id="1793" w:name="_Toc234382977"/>
      <w:bookmarkStart w:id="1794" w:name="_Toc466366145"/>
      <w:bookmarkStart w:id="1795" w:name="_Toc29724"/>
      <w:bookmarkStart w:id="1796" w:name="_Toc14414"/>
      <w:bookmarkStart w:id="1797" w:name="_Toc16140"/>
      <w:bookmarkStart w:id="1798" w:name="_Toc2845"/>
      <w:bookmarkStart w:id="1799" w:name="_Toc262895608"/>
      <w:bookmarkStart w:id="1800" w:name="_Toc245477491"/>
      <w:r>
        <w:rPr>
          <w:rFonts w:hint="eastAsia" w:ascii="宋体" w:hAnsi="宋体"/>
          <w:color w:val="auto"/>
          <w:highlight w:val="none"/>
        </w:rPr>
        <w:t>六、</w:t>
      </w:r>
      <w:r>
        <w:rPr>
          <w:rFonts w:ascii="黑体"/>
          <w:b w:val="0"/>
          <w:color w:val="auto"/>
          <w:highlight w:val="none"/>
        </w:rPr>
        <w:t>拟分包项目情况表</w:t>
      </w:r>
      <w:bookmarkEnd w:id="1787"/>
      <w:bookmarkEnd w:id="1788"/>
      <w:bookmarkEnd w:id="1789"/>
      <w:bookmarkEnd w:id="1790"/>
    </w:p>
    <w:tbl>
      <w:tblPr>
        <w:tblStyle w:val="17"/>
        <w:tblW w:w="0" w:type="auto"/>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2079"/>
        <w:gridCol w:w="3351"/>
        <w:gridCol w:w="2382"/>
        <w:gridCol w:w="1363"/>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079" w:type="dxa"/>
            <w:noWrap w:val="0"/>
            <w:vAlign w:val="center"/>
          </w:tcPr>
          <w:p>
            <w:pPr>
              <w:pStyle w:val="37"/>
              <w:jc w:val="center"/>
              <w:rPr>
                <w:color w:val="auto"/>
                <w:highlight w:val="none"/>
              </w:rPr>
            </w:pPr>
            <w:r>
              <w:rPr>
                <w:color w:val="auto"/>
                <w:highlight w:val="none"/>
              </w:rPr>
              <w:t>拟分包的工程项目</w:t>
            </w:r>
          </w:p>
        </w:tc>
        <w:tc>
          <w:tcPr>
            <w:tcW w:w="3351" w:type="dxa"/>
            <w:noWrap w:val="0"/>
            <w:vAlign w:val="center"/>
          </w:tcPr>
          <w:p>
            <w:pPr>
              <w:pStyle w:val="37"/>
              <w:jc w:val="center"/>
              <w:rPr>
                <w:color w:val="auto"/>
                <w:highlight w:val="none"/>
              </w:rPr>
            </w:pPr>
            <w:r>
              <w:rPr>
                <w:color w:val="auto"/>
                <w:highlight w:val="none"/>
              </w:rPr>
              <w:t>主要内容</w:t>
            </w:r>
          </w:p>
        </w:tc>
        <w:tc>
          <w:tcPr>
            <w:tcW w:w="2382" w:type="dxa"/>
            <w:noWrap w:val="0"/>
            <w:vAlign w:val="center"/>
          </w:tcPr>
          <w:p>
            <w:pPr>
              <w:pStyle w:val="37"/>
              <w:jc w:val="center"/>
              <w:rPr>
                <w:color w:val="auto"/>
                <w:highlight w:val="none"/>
              </w:rPr>
            </w:pPr>
            <w:r>
              <w:rPr>
                <w:color w:val="auto"/>
                <w:highlight w:val="none"/>
              </w:rPr>
              <w:t>预计造价（万元）</w:t>
            </w:r>
          </w:p>
        </w:tc>
        <w:tc>
          <w:tcPr>
            <w:tcW w:w="1363" w:type="dxa"/>
            <w:noWrap w:val="0"/>
            <w:vAlign w:val="center"/>
          </w:tcPr>
          <w:p>
            <w:pPr>
              <w:pStyle w:val="37"/>
              <w:jc w:val="center"/>
              <w:rPr>
                <w:color w:val="auto"/>
                <w:highlight w:val="none"/>
              </w:rPr>
            </w:pPr>
            <w:r>
              <w:rPr>
                <w:rFonts w:hint="eastAsia"/>
                <w:color w:val="auto"/>
                <w:highlight w:val="none"/>
              </w:rPr>
              <w:t>备注</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restart"/>
            <w:noWrap w:val="0"/>
            <w:vAlign w:val="center"/>
          </w:tcPr>
          <w:p>
            <w:pPr>
              <w:pStyle w:val="37"/>
              <w:rPr>
                <w:color w:val="auto"/>
                <w:highlight w:val="none"/>
              </w:rPr>
            </w:pPr>
          </w:p>
          <w:p>
            <w:pPr>
              <w:pStyle w:val="37"/>
              <w:rPr>
                <w:color w:val="auto"/>
                <w:highlight w:val="none"/>
              </w:rPr>
            </w:pPr>
          </w:p>
          <w:p>
            <w:pPr>
              <w:pStyle w:val="37"/>
              <w:rPr>
                <w:color w:val="auto"/>
                <w:highlight w:val="none"/>
              </w:rPr>
            </w:pPr>
          </w:p>
          <w:p>
            <w:pPr>
              <w:pStyle w:val="37"/>
              <w:rPr>
                <w:color w:val="auto"/>
                <w:highlight w:val="none"/>
              </w:rPr>
            </w:pPr>
          </w:p>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2079" w:type="dxa"/>
            <w:noWrap w:val="0"/>
            <w:vAlign w:val="center"/>
          </w:tcPr>
          <w:p>
            <w:pPr>
              <w:pStyle w:val="37"/>
              <w:rPr>
                <w:color w:val="auto"/>
                <w:highlight w:val="none"/>
              </w:rPr>
            </w:pPr>
          </w:p>
        </w:tc>
        <w:tc>
          <w:tcPr>
            <w:tcW w:w="3351" w:type="dxa"/>
            <w:noWrap w:val="0"/>
            <w:vAlign w:val="center"/>
          </w:tcPr>
          <w:p>
            <w:pPr>
              <w:pStyle w:val="37"/>
              <w:rPr>
                <w:color w:val="auto"/>
                <w:highlight w:val="none"/>
              </w:rPr>
            </w:pP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430" w:type="dxa"/>
            <w:gridSpan w:val="2"/>
            <w:noWrap w:val="0"/>
            <w:vAlign w:val="center"/>
          </w:tcPr>
          <w:p>
            <w:pPr>
              <w:pStyle w:val="37"/>
              <w:rPr>
                <w:color w:val="auto"/>
                <w:highlight w:val="none"/>
              </w:rPr>
            </w:pPr>
            <w:r>
              <w:rPr>
                <w:rFonts w:hint="eastAsia"/>
                <w:color w:val="auto"/>
                <w:highlight w:val="none"/>
              </w:rPr>
              <w:t>分包值合计（万元）</w:t>
            </w:r>
          </w:p>
        </w:tc>
        <w:tc>
          <w:tcPr>
            <w:tcW w:w="2382" w:type="dxa"/>
            <w:noWrap w:val="0"/>
            <w:vAlign w:val="center"/>
          </w:tcPr>
          <w:p>
            <w:pPr>
              <w:pStyle w:val="37"/>
              <w:rPr>
                <w:color w:val="auto"/>
                <w:highlight w:val="none"/>
              </w:rPr>
            </w:pPr>
          </w:p>
        </w:tc>
        <w:tc>
          <w:tcPr>
            <w:tcW w:w="1363" w:type="dxa"/>
            <w:vMerge w:val="continue"/>
            <w:noWrap w:val="0"/>
            <w:vAlign w:val="center"/>
          </w:tcPr>
          <w:p>
            <w:pPr>
              <w:pStyle w:val="37"/>
              <w:rPr>
                <w:color w:val="auto"/>
                <w:highlight w:val="none"/>
              </w:rPr>
            </w:pPr>
          </w:p>
        </w:tc>
      </w:tr>
    </w:tbl>
    <w:p>
      <w:pPr>
        <w:pStyle w:val="37"/>
        <w:spacing w:line="440" w:lineRule="exact"/>
        <w:ind w:left="500" w:hanging="500" w:hangingChars="250"/>
        <w:jc w:val="left"/>
        <w:rPr>
          <w:color w:val="auto"/>
          <w:sz w:val="20"/>
          <w:szCs w:val="20"/>
          <w:highlight w:val="none"/>
        </w:rPr>
      </w:pPr>
      <w:r>
        <w:rPr>
          <w:rFonts w:hint="eastAsia"/>
          <w:color w:val="auto"/>
          <w:sz w:val="20"/>
          <w:szCs w:val="20"/>
          <w:highlight w:val="none"/>
        </w:rPr>
        <w:t>注：1.投标人拟在中标后将适合专业化队伍施工的专项工程分包给具有相应资格的单位的，应在投标文件中明确相应的专项工程及规模，未列入投标文件的专项工程，不得分包。具体分包活动应符合交通运输部《公路工程施工分包管理办法》和浙江省交通运输厅《浙江省公路水运工程施工分包管理实施细则》及相关的管理规定。</w:t>
      </w:r>
    </w:p>
    <w:p>
      <w:pPr>
        <w:ind w:firstLine="400" w:firstLineChars="200"/>
        <w:rPr>
          <w:rFonts w:hint="eastAsia" w:ascii="宋体" w:hAnsi="宋体"/>
          <w:color w:val="auto"/>
          <w:highlight w:val="none"/>
        </w:rPr>
      </w:pPr>
      <w:r>
        <w:rPr>
          <w:rFonts w:hint="eastAsia"/>
          <w:color w:val="auto"/>
          <w:sz w:val="20"/>
          <w:highlight w:val="none"/>
        </w:rPr>
        <w:t>2.若无分包计划，则投标人应填写“无”，劳务分包不需填报。</w:t>
      </w:r>
    </w:p>
    <w:p>
      <w:pPr>
        <w:jc w:val="center"/>
        <w:outlineLvl w:val="1"/>
        <w:rPr>
          <w:rFonts w:hint="eastAsia" w:ascii="宋体" w:hAnsi="宋体"/>
          <w:color w:val="auto"/>
          <w:sz w:val="28"/>
          <w:highlight w:val="none"/>
        </w:rPr>
      </w:pPr>
    </w:p>
    <w:p>
      <w:pPr>
        <w:jc w:val="center"/>
        <w:outlineLvl w:val="1"/>
        <w:rPr>
          <w:rFonts w:hint="eastAsia" w:ascii="宋体" w:hAnsi="宋体"/>
          <w:color w:val="auto"/>
          <w:sz w:val="28"/>
          <w:highlight w:val="none"/>
        </w:rPr>
      </w:pPr>
    </w:p>
    <w:p>
      <w:pPr>
        <w:jc w:val="center"/>
        <w:outlineLvl w:val="1"/>
        <w:rPr>
          <w:rFonts w:hint="eastAsia" w:ascii="宋体" w:hAnsi="宋体"/>
          <w:color w:val="auto"/>
          <w:sz w:val="28"/>
          <w:highlight w:val="none"/>
        </w:rPr>
      </w:pPr>
    </w:p>
    <w:p>
      <w:pPr>
        <w:jc w:val="both"/>
        <w:outlineLvl w:val="1"/>
        <w:rPr>
          <w:rFonts w:hint="eastAsia" w:ascii="宋体" w:hAnsi="宋体"/>
          <w:color w:val="auto"/>
          <w:sz w:val="28"/>
          <w:highlight w:val="none"/>
        </w:rPr>
      </w:pPr>
    </w:p>
    <w:p>
      <w:pPr>
        <w:jc w:val="center"/>
        <w:outlineLvl w:val="1"/>
        <w:rPr>
          <w:rFonts w:hint="eastAsia" w:ascii="宋体" w:hAnsi="宋体"/>
          <w:color w:val="auto"/>
          <w:sz w:val="28"/>
          <w:szCs w:val="28"/>
          <w:highlight w:val="none"/>
        </w:rPr>
      </w:pPr>
      <w:r>
        <w:rPr>
          <w:rFonts w:hint="eastAsia" w:ascii="宋体" w:hAnsi="宋体"/>
          <w:color w:val="auto"/>
          <w:sz w:val="28"/>
          <w:highlight w:val="none"/>
        </w:rPr>
        <w:t>七、资格审查资料</w:t>
      </w:r>
      <w:bookmarkEnd w:id="1791"/>
      <w:bookmarkEnd w:id="1792"/>
      <w:bookmarkEnd w:id="1793"/>
      <w:bookmarkEnd w:id="1794"/>
      <w:bookmarkEnd w:id="1795"/>
      <w:bookmarkEnd w:id="1796"/>
      <w:bookmarkEnd w:id="1797"/>
      <w:bookmarkEnd w:id="1798"/>
      <w:bookmarkEnd w:id="1799"/>
      <w:bookmarkEnd w:id="1800"/>
      <w:bookmarkStart w:id="1801" w:name="_Toc262895609"/>
      <w:bookmarkStart w:id="1802" w:name="_Toc245477492"/>
      <w:bookmarkStart w:id="1803" w:name="_Toc234382978"/>
    </w:p>
    <w:p>
      <w:pPr>
        <w:jc w:val="center"/>
        <w:outlineLvl w:val="2"/>
        <w:rPr>
          <w:rFonts w:ascii="宋体" w:hAnsi="宋体"/>
          <w:color w:val="auto"/>
          <w:sz w:val="28"/>
          <w:szCs w:val="28"/>
          <w:highlight w:val="none"/>
        </w:rPr>
      </w:pPr>
      <w:bookmarkStart w:id="1804" w:name="_Toc466366146"/>
      <w:r>
        <w:rPr>
          <w:rFonts w:hint="eastAsia" w:ascii="宋体" w:hAnsi="宋体"/>
          <w:color w:val="auto"/>
          <w:sz w:val="28"/>
          <w:szCs w:val="28"/>
          <w:highlight w:val="none"/>
        </w:rPr>
        <w:t>（一）投标人基本情况表</w:t>
      </w:r>
      <w:bookmarkEnd w:id="1801"/>
      <w:bookmarkEnd w:id="1802"/>
      <w:bookmarkEnd w:id="1803"/>
      <w:bookmarkEnd w:id="1804"/>
    </w:p>
    <w:p>
      <w:pPr>
        <w:jc w:val="center"/>
        <w:rPr>
          <w:rFonts w:ascii="宋体" w:hAnsi="宋体"/>
          <w:b/>
          <w:color w:val="auto"/>
          <w:highlight w:val="none"/>
        </w:rPr>
      </w:pPr>
    </w:p>
    <w:tbl>
      <w:tblPr>
        <w:tblStyle w:val="17"/>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844"/>
        <w:gridCol w:w="992"/>
        <w:gridCol w:w="901"/>
        <w:gridCol w:w="1416"/>
        <w:gridCol w:w="350"/>
        <w:gridCol w:w="1212"/>
        <w:gridCol w:w="557"/>
        <w:gridCol w:w="966"/>
        <w:gridCol w:w="834"/>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投标人名称</w:t>
            </w:r>
          </w:p>
        </w:tc>
        <w:tc>
          <w:tcPr>
            <w:tcW w:w="7228" w:type="dxa"/>
            <w:gridSpan w:val="8"/>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注册地址</w:t>
            </w:r>
          </w:p>
        </w:tc>
        <w:tc>
          <w:tcPr>
            <w:tcW w:w="3659" w:type="dxa"/>
            <w:gridSpan w:val="4"/>
            <w:noWrap w:val="0"/>
            <w:vAlign w:val="center"/>
          </w:tcPr>
          <w:p>
            <w:pPr>
              <w:jc w:val="center"/>
              <w:rPr>
                <w:rFonts w:ascii="宋体" w:hAnsi="宋体"/>
                <w:color w:val="auto"/>
                <w:kern w:val="0"/>
                <w:highlight w:val="none"/>
              </w:rPr>
            </w:pPr>
          </w:p>
        </w:tc>
        <w:tc>
          <w:tcPr>
            <w:tcW w:w="1212"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邮政编码</w:t>
            </w:r>
          </w:p>
        </w:tc>
        <w:tc>
          <w:tcPr>
            <w:tcW w:w="2357" w:type="dxa"/>
            <w:gridSpan w:val="3"/>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67" w:hRule="exact"/>
          <w:jc w:val="center"/>
        </w:trPr>
        <w:tc>
          <w:tcPr>
            <w:tcW w:w="1844" w:type="dxa"/>
            <w:vMerge w:val="restart"/>
            <w:noWrap w:val="0"/>
            <w:vAlign w:val="center"/>
          </w:tcPr>
          <w:p>
            <w:pPr>
              <w:jc w:val="center"/>
              <w:rPr>
                <w:rFonts w:ascii="宋体" w:hAnsi="宋体"/>
                <w:color w:val="auto"/>
                <w:kern w:val="0"/>
                <w:highlight w:val="none"/>
              </w:rPr>
            </w:pPr>
            <w:r>
              <w:rPr>
                <w:rFonts w:hint="eastAsia" w:ascii="宋体" w:hAnsi="宋体"/>
                <w:color w:val="auto"/>
                <w:kern w:val="0"/>
                <w:highlight w:val="none"/>
              </w:rPr>
              <w:t>联系方式</w:t>
            </w:r>
          </w:p>
        </w:tc>
        <w:tc>
          <w:tcPr>
            <w:tcW w:w="992"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联系人</w:t>
            </w:r>
          </w:p>
        </w:tc>
        <w:tc>
          <w:tcPr>
            <w:tcW w:w="2667" w:type="dxa"/>
            <w:gridSpan w:val="3"/>
            <w:noWrap w:val="0"/>
            <w:vAlign w:val="center"/>
          </w:tcPr>
          <w:p>
            <w:pPr>
              <w:jc w:val="center"/>
              <w:rPr>
                <w:rFonts w:ascii="宋体" w:hAnsi="宋体"/>
                <w:color w:val="auto"/>
                <w:kern w:val="0"/>
                <w:highlight w:val="none"/>
              </w:rPr>
            </w:pPr>
          </w:p>
        </w:tc>
        <w:tc>
          <w:tcPr>
            <w:tcW w:w="1212"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电 话</w:t>
            </w:r>
          </w:p>
        </w:tc>
        <w:tc>
          <w:tcPr>
            <w:tcW w:w="2357" w:type="dxa"/>
            <w:gridSpan w:val="3"/>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67" w:hRule="exact"/>
          <w:jc w:val="center"/>
        </w:trPr>
        <w:tc>
          <w:tcPr>
            <w:tcW w:w="1844" w:type="dxa"/>
            <w:vMerge w:val="continue"/>
            <w:noWrap w:val="0"/>
            <w:vAlign w:val="center"/>
          </w:tcPr>
          <w:p>
            <w:pPr>
              <w:jc w:val="center"/>
              <w:rPr>
                <w:rFonts w:ascii="宋体" w:hAnsi="宋体"/>
                <w:color w:val="auto"/>
                <w:kern w:val="0"/>
                <w:highlight w:val="none"/>
              </w:rPr>
            </w:pPr>
          </w:p>
        </w:tc>
        <w:tc>
          <w:tcPr>
            <w:tcW w:w="992"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传 真</w:t>
            </w:r>
          </w:p>
        </w:tc>
        <w:tc>
          <w:tcPr>
            <w:tcW w:w="2667" w:type="dxa"/>
            <w:gridSpan w:val="3"/>
            <w:noWrap w:val="0"/>
            <w:vAlign w:val="center"/>
          </w:tcPr>
          <w:p>
            <w:pPr>
              <w:jc w:val="center"/>
              <w:rPr>
                <w:rFonts w:ascii="宋体" w:hAnsi="宋体"/>
                <w:color w:val="auto"/>
                <w:kern w:val="0"/>
                <w:highlight w:val="none"/>
              </w:rPr>
            </w:pPr>
          </w:p>
        </w:tc>
        <w:tc>
          <w:tcPr>
            <w:tcW w:w="1212"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电子邮件</w:t>
            </w:r>
          </w:p>
        </w:tc>
        <w:tc>
          <w:tcPr>
            <w:tcW w:w="2357" w:type="dxa"/>
            <w:gridSpan w:val="3"/>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法定代表人</w:t>
            </w:r>
          </w:p>
        </w:tc>
        <w:tc>
          <w:tcPr>
            <w:tcW w:w="992"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姓名</w:t>
            </w:r>
          </w:p>
        </w:tc>
        <w:tc>
          <w:tcPr>
            <w:tcW w:w="901" w:type="dxa"/>
            <w:noWrap w:val="0"/>
            <w:vAlign w:val="center"/>
          </w:tcPr>
          <w:p>
            <w:pPr>
              <w:jc w:val="center"/>
              <w:rPr>
                <w:rFonts w:ascii="宋体" w:hAnsi="宋体"/>
                <w:color w:val="auto"/>
                <w:kern w:val="0"/>
                <w:highlight w:val="none"/>
              </w:rPr>
            </w:pPr>
          </w:p>
        </w:tc>
        <w:tc>
          <w:tcPr>
            <w:tcW w:w="1416"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技术职称</w:t>
            </w:r>
          </w:p>
        </w:tc>
        <w:tc>
          <w:tcPr>
            <w:tcW w:w="2119" w:type="dxa"/>
            <w:gridSpan w:val="3"/>
            <w:noWrap w:val="0"/>
            <w:vAlign w:val="center"/>
          </w:tcPr>
          <w:p>
            <w:pPr>
              <w:jc w:val="center"/>
              <w:rPr>
                <w:rFonts w:ascii="宋体" w:hAnsi="宋体"/>
                <w:color w:val="auto"/>
                <w:kern w:val="0"/>
                <w:highlight w:val="none"/>
              </w:rPr>
            </w:pPr>
          </w:p>
        </w:tc>
        <w:tc>
          <w:tcPr>
            <w:tcW w:w="966"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电话</w:t>
            </w:r>
          </w:p>
        </w:tc>
        <w:tc>
          <w:tcPr>
            <w:tcW w:w="834" w:type="dxa"/>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技术负责人</w:t>
            </w:r>
          </w:p>
        </w:tc>
        <w:tc>
          <w:tcPr>
            <w:tcW w:w="992"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姓名</w:t>
            </w:r>
          </w:p>
        </w:tc>
        <w:tc>
          <w:tcPr>
            <w:tcW w:w="901" w:type="dxa"/>
            <w:noWrap w:val="0"/>
            <w:vAlign w:val="center"/>
          </w:tcPr>
          <w:p>
            <w:pPr>
              <w:jc w:val="center"/>
              <w:rPr>
                <w:rFonts w:ascii="宋体" w:hAnsi="宋体"/>
                <w:color w:val="auto"/>
                <w:kern w:val="0"/>
                <w:highlight w:val="none"/>
              </w:rPr>
            </w:pPr>
          </w:p>
        </w:tc>
        <w:tc>
          <w:tcPr>
            <w:tcW w:w="1416"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技术职称</w:t>
            </w:r>
          </w:p>
        </w:tc>
        <w:tc>
          <w:tcPr>
            <w:tcW w:w="2119" w:type="dxa"/>
            <w:gridSpan w:val="3"/>
            <w:noWrap w:val="0"/>
            <w:vAlign w:val="center"/>
          </w:tcPr>
          <w:p>
            <w:pPr>
              <w:jc w:val="center"/>
              <w:rPr>
                <w:rFonts w:ascii="宋体" w:hAnsi="宋体"/>
                <w:color w:val="auto"/>
                <w:kern w:val="0"/>
                <w:highlight w:val="none"/>
              </w:rPr>
            </w:pPr>
          </w:p>
        </w:tc>
        <w:tc>
          <w:tcPr>
            <w:tcW w:w="966"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电话</w:t>
            </w:r>
          </w:p>
        </w:tc>
        <w:tc>
          <w:tcPr>
            <w:tcW w:w="834" w:type="dxa"/>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成立时间</w:t>
            </w:r>
          </w:p>
        </w:tc>
        <w:tc>
          <w:tcPr>
            <w:tcW w:w="1893" w:type="dxa"/>
            <w:gridSpan w:val="2"/>
            <w:noWrap w:val="0"/>
            <w:vAlign w:val="center"/>
          </w:tcPr>
          <w:p>
            <w:pPr>
              <w:jc w:val="center"/>
              <w:rPr>
                <w:rFonts w:ascii="宋体" w:hAnsi="宋体"/>
                <w:color w:val="auto"/>
                <w:kern w:val="0"/>
                <w:highlight w:val="none"/>
              </w:rPr>
            </w:pPr>
          </w:p>
        </w:tc>
        <w:tc>
          <w:tcPr>
            <w:tcW w:w="5335" w:type="dxa"/>
            <w:gridSpan w:val="6"/>
            <w:noWrap w:val="0"/>
            <w:vAlign w:val="center"/>
          </w:tcPr>
          <w:p>
            <w:pPr>
              <w:jc w:val="center"/>
              <w:rPr>
                <w:rFonts w:ascii="宋体" w:hAnsi="宋体"/>
                <w:color w:val="auto"/>
                <w:kern w:val="0"/>
                <w:highlight w:val="none"/>
                <w:u w:val="single"/>
              </w:rPr>
            </w:pPr>
            <w:r>
              <w:rPr>
                <w:rFonts w:hint="eastAsia" w:ascii="宋体" w:hAnsi="宋体"/>
                <w:color w:val="auto"/>
                <w:kern w:val="0"/>
                <w:highlight w:val="none"/>
              </w:rPr>
              <w:t>员工总人数：</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企业资质等级</w:t>
            </w:r>
          </w:p>
        </w:tc>
        <w:tc>
          <w:tcPr>
            <w:tcW w:w="1893" w:type="dxa"/>
            <w:gridSpan w:val="2"/>
            <w:noWrap w:val="0"/>
            <w:vAlign w:val="center"/>
          </w:tcPr>
          <w:p>
            <w:pPr>
              <w:jc w:val="center"/>
              <w:rPr>
                <w:rFonts w:ascii="宋体" w:hAnsi="宋体"/>
                <w:color w:val="auto"/>
                <w:kern w:val="0"/>
                <w:highlight w:val="none"/>
              </w:rPr>
            </w:pPr>
          </w:p>
        </w:tc>
        <w:tc>
          <w:tcPr>
            <w:tcW w:w="1416" w:type="dxa"/>
            <w:vMerge w:val="restart"/>
            <w:noWrap w:val="0"/>
            <w:vAlign w:val="center"/>
          </w:tcPr>
          <w:p>
            <w:pPr>
              <w:jc w:val="center"/>
              <w:rPr>
                <w:rFonts w:ascii="宋体" w:hAnsi="宋体"/>
                <w:color w:val="auto"/>
                <w:kern w:val="0"/>
                <w:highlight w:val="none"/>
              </w:rPr>
            </w:pPr>
            <w:r>
              <w:rPr>
                <w:rFonts w:hint="eastAsia" w:ascii="宋体" w:hAnsi="宋体"/>
                <w:color w:val="auto"/>
                <w:kern w:val="0"/>
                <w:highlight w:val="none"/>
              </w:rPr>
              <w:t>其中</w:t>
            </w:r>
          </w:p>
        </w:tc>
        <w:tc>
          <w:tcPr>
            <w:tcW w:w="2119" w:type="dxa"/>
            <w:gridSpan w:val="3"/>
            <w:noWrap w:val="0"/>
            <w:vAlign w:val="center"/>
          </w:tcPr>
          <w:p>
            <w:pPr>
              <w:jc w:val="center"/>
              <w:rPr>
                <w:rFonts w:ascii="宋体" w:hAnsi="宋体"/>
                <w:color w:val="auto"/>
                <w:kern w:val="0"/>
                <w:highlight w:val="none"/>
              </w:rPr>
            </w:pPr>
            <w:r>
              <w:rPr>
                <w:rFonts w:hint="eastAsia" w:ascii="宋体" w:hAnsi="宋体"/>
                <w:color w:val="auto"/>
                <w:kern w:val="0"/>
                <w:highlight w:val="none"/>
              </w:rPr>
              <w:t>项目经理</w:t>
            </w:r>
          </w:p>
        </w:tc>
        <w:tc>
          <w:tcPr>
            <w:tcW w:w="1800" w:type="dxa"/>
            <w:gridSpan w:val="2"/>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营业执照号</w:t>
            </w:r>
          </w:p>
        </w:tc>
        <w:tc>
          <w:tcPr>
            <w:tcW w:w="1893" w:type="dxa"/>
            <w:gridSpan w:val="2"/>
            <w:noWrap w:val="0"/>
            <w:vAlign w:val="center"/>
          </w:tcPr>
          <w:p>
            <w:pPr>
              <w:jc w:val="center"/>
              <w:rPr>
                <w:rFonts w:ascii="宋体" w:hAnsi="宋体"/>
                <w:color w:val="auto"/>
                <w:kern w:val="0"/>
                <w:highlight w:val="none"/>
              </w:rPr>
            </w:pPr>
          </w:p>
        </w:tc>
        <w:tc>
          <w:tcPr>
            <w:tcW w:w="1416" w:type="dxa"/>
            <w:vMerge w:val="continue"/>
            <w:noWrap w:val="0"/>
            <w:vAlign w:val="center"/>
          </w:tcPr>
          <w:p>
            <w:pPr>
              <w:jc w:val="center"/>
              <w:rPr>
                <w:rFonts w:ascii="宋体" w:hAnsi="宋体"/>
                <w:color w:val="auto"/>
                <w:kern w:val="0"/>
                <w:highlight w:val="none"/>
              </w:rPr>
            </w:pPr>
          </w:p>
        </w:tc>
        <w:tc>
          <w:tcPr>
            <w:tcW w:w="2119" w:type="dxa"/>
            <w:gridSpan w:val="3"/>
            <w:noWrap w:val="0"/>
            <w:vAlign w:val="center"/>
          </w:tcPr>
          <w:p>
            <w:pPr>
              <w:jc w:val="center"/>
              <w:rPr>
                <w:rFonts w:ascii="宋体" w:hAnsi="宋体"/>
                <w:color w:val="auto"/>
                <w:kern w:val="0"/>
                <w:highlight w:val="none"/>
              </w:rPr>
            </w:pPr>
            <w:r>
              <w:rPr>
                <w:rFonts w:hint="eastAsia" w:ascii="宋体" w:hAnsi="宋体"/>
                <w:color w:val="auto"/>
                <w:kern w:val="0"/>
                <w:highlight w:val="none"/>
              </w:rPr>
              <w:t>高级职称人员</w:t>
            </w:r>
          </w:p>
        </w:tc>
        <w:tc>
          <w:tcPr>
            <w:tcW w:w="1800" w:type="dxa"/>
            <w:gridSpan w:val="2"/>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注册资金</w:t>
            </w:r>
          </w:p>
        </w:tc>
        <w:tc>
          <w:tcPr>
            <w:tcW w:w="1893" w:type="dxa"/>
            <w:gridSpan w:val="2"/>
            <w:noWrap w:val="0"/>
            <w:vAlign w:val="center"/>
          </w:tcPr>
          <w:p>
            <w:pPr>
              <w:jc w:val="center"/>
              <w:rPr>
                <w:rFonts w:ascii="宋体" w:hAnsi="宋体"/>
                <w:color w:val="auto"/>
                <w:kern w:val="0"/>
                <w:highlight w:val="none"/>
              </w:rPr>
            </w:pPr>
          </w:p>
        </w:tc>
        <w:tc>
          <w:tcPr>
            <w:tcW w:w="1416" w:type="dxa"/>
            <w:vMerge w:val="continue"/>
            <w:noWrap w:val="0"/>
            <w:vAlign w:val="center"/>
          </w:tcPr>
          <w:p>
            <w:pPr>
              <w:jc w:val="center"/>
              <w:rPr>
                <w:rFonts w:ascii="宋体" w:hAnsi="宋体"/>
                <w:color w:val="auto"/>
                <w:kern w:val="0"/>
                <w:highlight w:val="none"/>
              </w:rPr>
            </w:pPr>
          </w:p>
        </w:tc>
        <w:tc>
          <w:tcPr>
            <w:tcW w:w="2119" w:type="dxa"/>
            <w:gridSpan w:val="3"/>
            <w:noWrap w:val="0"/>
            <w:vAlign w:val="center"/>
          </w:tcPr>
          <w:p>
            <w:pPr>
              <w:jc w:val="center"/>
              <w:rPr>
                <w:rFonts w:ascii="宋体" w:hAnsi="宋体"/>
                <w:color w:val="auto"/>
                <w:kern w:val="0"/>
                <w:highlight w:val="none"/>
              </w:rPr>
            </w:pPr>
            <w:r>
              <w:rPr>
                <w:rFonts w:hint="eastAsia" w:ascii="宋体" w:hAnsi="宋体"/>
                <w:color w:val="auto"/>
                <w:kern w:val="0"/>
                <w:highlight w:val="none"/>
              </w:rPr>
              <w:t>中级职称人员</w:t>
            </w:r>
          </w:p>
        </w:tc>
        <w:tc>
          <w:tcPr>
            <w:tcW w:w="1800" w:type="dxa"/>
            <w:gridSpan w:val="2"/>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基本账户开户银行</w:t>
            </w:r>
          </w:p>
        </w:tc>
        <w:tc>
          <w:tcPr>
            <w:tcW w:w="1893" w:type="dxa"/>
            <w:gridSpan w:val="2"/>
            <w:noWrap w:val="0"/>
            <w:vAlign w:val="center"/>
          </w:tcPr>
          <w:p>
            <w:pPr>
              <w:jc w:val="center"/>
              <w:rPr>
                <w:rFonts w:ascii="宋体" w:hAnsi="宋体"/>
                <w:color w:val="auto"/>
                <w:kern w:val="0"/>
                <w:highlight w:val="none"/>
              </w:rPr>
            </w:pPr>
          </w:p>
        </w:tc>
        <w:tc>
          <w:tcPr>
            <w:tcW w:w="1416" w:type="dxa"/>
            <w:vMerge w:val="continue"/>
            <w:noWrap w:val="0"/>
            <w:vAlign w:val="center"/>
          </w:tcPr>
          <w:p>
            <w:pPr>
              <w:jc w:val="center"/>
              <w:rPr>
                <w:rFonts w:ascii="宋体" w:hAnsi="宋体"/>
                <w:color w:val="auto"/>
                <w:kern w:val="0"/>
                <w:highlight w:val="none"/>
              </w:rPr>
            </w:pPr>
          </w:p>
        </w:tc>
        <w:tc>
          <w:tcPr>
            <w:tcW w:w="2119" w:type="dxa"/>
            <w:gridSpan w:val="3"/>
            <w:noWrap w:val="0"/>
            <w:vAlign w:val="center"/>
          </w:tcPr>
          <w:p>
            <w:pPr>
              <w:jc w:val="center"/>
              <w:rPr>
                <w:rFonts w:ascii="宋体" w:hAnsi="宋体"/>
                <w:color w:val="auto"/>
                <w:kern w:val="0"/>
                <w:highlight w:val="none"/>
              </w:rPr>
            </w:pPr>
            <w:r>
              <w:rPr>
                <w:rFonts w:hint="eastAsia" w:ascii="宋体" w:hAnsi="宋体"/>
                <w:color w:val="auto"/>
                <w:kern w:val="0"/>
                <w:highlight w:val="none"/>
              </w:rPr>
              <w:t>初级职称人员</w:t>
            </w:r>
          </w:p>
        </w:tc>
        <w:tc>
          <w:tcPr>
            <w:tcW w:w="1800" w:type="dxa"/>
            <w:gridSpan w:val="2"/>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基本账户账号</w:t>
            </w:r>
          </w:p>
        </w:tc>
        <w:tc>
          <w:tcPr>
            <w:tcW w:w="1893" w:type="dxa"/>
            <w:gridSpan w:val="2"/>
            <w:noWrap w:val="0"/>
            <w:vAlign w:val="center"/>
          </w:tcPr>
          <w:p>
            <w:pPr>
              <w:jc w:val="center"/>
              <w:rPr>
                <w:rFonts w:ascii="宋体" w:hAnsi="宋体"/>
                <w:color w:val="auto"/>
                <w:kern w:val="0"/>
                <w:highlight w:val="none"/>
              </w:rPr>
            </w:pPr>
          </w:p>
        </w:tc>
        <w:tc>
          <w:tcPr>
            <w:tcW w:w="1416" w:type="dxa"/>
            <w:vMerge w:val="continue"/>
            <w:noWrap w:val="0"/>
            <w:vAlign w:val="center"/>
          </w:tcPr>
          <w:p>
            <w:pPr>
              <w:jc w:val="center"/>
              <w:rPr>
                <w:rFonts w:ascii="宋体" w:hAnsi="宋体"/>
                <w:color w:val="auto"/>
                <w:kern w:val="0"/>
                <w:highlight w:val="none"/>
              </w:rPr>
            </w:pPr>
          </w:p>
        </w:tc>
        <w:tc>
          <w:tcPr>
            <w:tcW w:w="2119" w:type="dxa"/>
            <w:gridSpan w:val="3"/>
            <w:noWrap w:val="0"/>
            <w:vAlign w:val="center"/>
          </w:tcPr>
          <w:p>
            <w:pPr>
              <w:jc w:val="center"/>
              <w:rPr>
                <w:rFonts w:ascii="宋体" w:hAnsi="宋体"/>
                <w:color w:val="auto"/>
                <w:kern w:val="0"/>
                <w:highlight w:val="none"/>
              </w:rPr>
            </w:pPr>
            <w:r>
              <w:rPr>
                <w:rFonts w:hint="eastAsia" w:ascii="宋体" w:hAnsi="宋体"/>
                <w:color w:val="auto"/>
                <w:kern w:val="0"/>
                <w:highlight w:val="none"/>
              </w:rPr>
              <w:t>技工</w:t>
            </w:r>
          </w:p>
        </w:tc>
        <w:tc>
          <w:tcPr>
            <w:tcW w:w="1800" w:type="dxa"/>
            <w:gridSpan w:val="2"/>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458"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经营范围</w:t>
            </w:r>
          </w:p>
        </w:tc>
        <w:tc>
          <w:tcPr>
            <w:tcW w:w="7228" w:type="dxa"/>
            <w:gridSpan w:val="8"/>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423"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资产构成情况及申请人投资参股的关联企业情况</w:t>
            </w:r>
          </w:p>
        </w:tc>
        <w:tc>
          <w:tcPr>
            <w:tcW w:w="7228" w:type="dxa"/>
            <w:gridSpan w:val="8"/>
            <w:noWrap w:val="0"/>
            <w:vAlign w:val="center"/>
          </w:tcPr>
          <w:p>
            <w:pPr>
              <w:jc w:val="center"/>
              <w:rPr>
                <w:rFonts w:ascii="宋体" w:hAnsi="宋体"/>
                <w:color w:val="auto"/>
                <w:kern w:val="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exact"/>
          <w:jc w:val="center"/>
        </w:trPr>
        <w:tc>
          <w:tcPr>
            <w:tcW w:w="1844" w:type="dxa"/>
            <w:noWrap w:val="0"/>
            <w:vAlign w:val="center"/>
          </w:tcPr>
          <w:p>
            <w:pPr>
              <w:jc w:val="center"/>
              <w:rPr>
                <w:rFonts w:ascii="宋体" w:hAnsi="宋体"/>
                <w:color w:val="auto"/>
                <w:kern w:val="0"/>
                <w:highlight w:val="none"/>
              </w:rPr>
            </w:pPr>
            <w:r>
              <w:rPr>
                <w:rFonts w:hint="eastAsia" w:ascii="宋体" w:hAnsi="宋体"/>
                <w:color w:val="auto"/>
                <w:kern w:val="0"/>
                <w:highlight w:val="none"/>
              </w:rPr>
              <w:t>备    注</w:t>
            </w:r>
          </w:p>
        </w:tc>
        <w:tc>
          <w:tcPr>
            <w:tcW w:w="7228" w:type="dxa"/>
            <w:gridSpan w:val="8"/>
            <w:noWrap w:val="0"/>
            <w:vAlign w:val="center"/>
          </w:tcPr>
          <w:p>
            <w:pPr>
              <w:jc w:val="center"/>
              <w:rPr>
                <w:rFonts w:ascii="宋体" w:hAnsi="宋体"/>
                <w:color w:val="auto"/>
                <w:kern w:val="0"/>
                <w:highlight w:val="none"/>
              </w:rPr>
            </w:pPr>
          </w:p>
        </w:tc>
      </w:tr>
    </w:tbl>
    <w:p>
      <w:pPr>
        <w:ind w:firstLine="315" w:firstLineChars="150"/>
        <w:rPr>
          <w:rFonts w:ascii="宋体" w:hAnsi="宋体"/>
          <w:color w:val="auto"/>
          <w:highlight w:val="none"/>
        </w:rPr>
      </w:pPr>
      <w:r>
        <w:rPr>
          <w:rFonts w:hint="eastAsia" w:ascii="宋体" w:hAnsi="宋体"/>
          <w:color w:val="auto"/>
          <w:highlight w:val="none"/>
        </w:rPr>
        <w:t>1、在本表后附企业法人营业执照副本（全本）的复印件（并加盖单位章）、施工资质证书副本（全本）的复印件（并加盖单位章）、安全生产许可证副本（全本）的复印件（并加盖单位章）、基本账户开户许可证或基本存款账户信息的复印件（并加盖单位章）。2、投标人具有公路工程施工总承包一级及以上资质的，应附交通运输部 “全国公路建设市场信用信息管理系统” 从业企业查询（输入从业单位名称或组织机构代码查询）的网页截图复印件（并加盖单位章）。</w:t>
      </w:r>
    </w:p>
    <w:p>
      <w:pPr>
        <w:jc w:val="center"/>
        <w:outlineLvl w:val="2"/>
        <w:rPr>
          <w:rFonts w:ascii="宋体" w:hAnsi="宋体"/>
          <w:color w:val="auto"/>
          <w:sz w:val="28"/>
          <w:szCs w:val="28"/>
          <w:highlight w:val="none"/>
        </w:rPr>
      </w:pPr>
      <w:bookmarkStart w:id="1805" w:name="_Toc234382979"/>
      <w:r>
        <w:rPr>
          <w:rFonts w:ascii="宋体" w:hAnsi="宋体"/>
          <w:color w:val="auto"/>
          <w:highlight w:val="none"/>
        </w:rPr>
        <w:br w:type="page"/>
      </w:r>
      <w:bookmarkStart w:id="1806" w:name="_Toc466366147"/>
      <w:bookmarkStart w:id="1807" w:name="_Toc262895610"/>
      <w:bookmarkStart w:id="1808" w:name="_Toc245477493"/>
      <w:r>
        <w:rPr>
          <w:rFonts w:hint="eastAsia" w:ascii="宋体" w:hAnsi="宋体"/>
          <w:color w:val="auto"/>
          <w:sz w:val="28"/>
          <w:szCs w:val="28"/>
          <w:highlight w:val="none"/>
        </w:rPr>
        <w:t>（二）投标人企业组织结构框图</w:t>
      </w:r>
      <w:bookmarkEnd w:id="1805"/>
      <w:bookmarkEnd w:id="1806"/>
      <w:bookmarkEnd w:id="1807"/>
      <w:bookmarkEnd w:id="1808"/>
    </w:p>
    <w:p>
      <w:pPr>
        <w:rPr>
          <w:rFonts w:ascii="宋体" w:hAnsi="宋体"/>
          <w:color w:val="auto"/>
          <w:highlight w:val="none"/>
        </w:rPr>
      </w:pP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64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76" w:hRule="atLeast"/>
          <w:jc w:val="center"/>
        </w:trPr>
        <w:tc>
          <w:tcPr>
            <w:tcW w:w="8647" w:type="dxa"/>
            <w:noWrap w:val="0"/>
            <w:vAlign w:val="top"/>
          </w:tcPr>
          <w:p>
            <w:pPr>
              <w:rPr>
                <w:rFonts w:ascii="宋体" w:hAnsi="宋体"/>
                <w:color w:val="auto"/>
                <w:highlight w:val="none"/>
              </w:rPr>
            </w:pPr>
          </w:p>
          <w:p>
            <w:pPr>
              <w:rPr>
                <w:rFonts w:ascii="宋体" w:hAnsi="宋体"/>
                <w:color w:val="auto"/>
                <w:highlight w:val="none"/>
              </w:rPr>
            </w:pPr>
            <w:r>
              <w:rPr>
                <w:rFonts w:hint="eastAsia" w:ascii="宋体" w:hAnsi="宋体"/>
                <w:color w:val="auto"/>
                <w:highlight w:val="none"/>
              </w:rPr>
              <w:t>以框图方式表示。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13" w:hRule="atLeast"/>
          <w:jc w:val="center"/>
        </w:trPr>
        <w:tc>
          <w:tcPr>
            <w:tcW w:w="8647" w:type="dxa"/>
            <w:noWrap w:val="0"/>
            <w:vAlign w:val="top"/>
          </w:tcPr>
          <w:p>
            <w:pPr>
              <w:rPr>
                <w:rFonts w:ascii="宋体" w:hAnsi="宋体"/>
                <w:color w:val="auto"/>
                <w:highlight w:val="none"/>
              </w:rPr>
            </w:pPr>
          </w:p>
          <w:p>
            <w:pPr>
              <w:rPr>
                <w:rFonts w:ascii="宋体" w:hAnsi="宋体"/>
                <w:color w:val="auto"/>
                <w:highlight w:val="none"/>
              </w:rPr>
            </w:pPr>
            <w:r>
              <w:rPr>
                <w:rFonts w:hint="eastAsia" w:ascii="宋体" w:hAnsi="宋体"/>
                <w:color w:val="auto"/>
                <w:highlight w:val="none"/>
              </w:rPr>
              <w:t>说明</w:t>
            </w:r>
          </w:p>
        </w:tc>
      </w:tr>
    </w:tbl>
    <w:p>
      <w:pPr>
        <w:outlineLvl w:val="2"/>
        <w:rPr>
          <w:rFonts w:ascii="宋体" w:hAnsi="宋体"/>
          <w:color w:val="auto"/>
          <w:highlight w:val="none"/>
        </w:rPr>
      </w:pPr>
      <w:bookmarkStart w:id="1809" w:name="_Toc245477494"/>
      <w:bookmarkStart w:id="1810" w:name="_Toc234382980"/>
      <w:bookmarkStart w:id="1811" w:name="_Toc262895611"/>
      <w:bookmarkStart w:id="1812" w:name="_Toc245477495"/>
      <w:bookmarkStart w:id="1813" w:name="_Toc193904176"/>
      <w:bookmarkStart w:id="1814" w:name="_Toc234242180"/>
      <w:bookmarkStart w:id="1815" w:name="_Toc262895612"/>
      <w:bookmarkStart w:id="1816" w:name="_Toc234382981"/>
    </w:p>
    <w:p>
      <w:pPr>
        <w:jc w:val="center"/>
        <w:outlineLvl w:val="2"/>
        <w:rPr>
          <w:rFonts w:ascii="宋体" w:hAnsi="宋体"/>
          <w:color w:val="auto"/>
          <w:highlight w:val="none"/>
        </w:rPr>
      </w:pPr>
    </w:p>
    <w:p>
      <w:pPr>
        <w:jc w:val="both"/>
        <w:outlineLvl w:val="2"/>
        <w:rPr>
          <w:rFonts w:hint="eastAsia" w:ascii="宋体" w:hAnsi="宋体"/>
          <w:color w:val="auto"/>
          <w:sz w:val="28"/>
          <w:szCs w:val="28"/>
          <w:highlight w:val="none"/>
        </w:rPr>
      </w:pPr>
      <w:bookmarkStart w:id="1817" w:name="_Toc466366148"/>
    </w:p>
    <w:p>
      <w:pPr>
        <w:jc w:val="center"/>
        <w:outlineLvl w:val="2"/>
        <w:rPr>
          <w:rFonts w:ascii="宋体" w:hAnsi="宋体"/>
          <w:color w:val="auto"/>
          <w:sz w:val="28"/>
          <w:szCs w:val="28"/>
          <w:highlight w:val="none"/>
        </w:rPr>
      </w:pPr>
      <w:r>
        <w:rPr>
          <w:rFonts w:hint="eastAsia" w:ascii="宋体" w:hAnsi="宋体"/>
          <w:color w:val="auto"/>
          <w:sz w:val="28"/>
          <w:szCs w:val="28"/>
          <w:highlight w:val="none"/>
        </w:rPr>
        <w:t>（三）拟委任的项目经理和项目总工资历表</w:t>
      </w:r>
      <w:bookmarkEnd w:id="1809"/>
      <w:bookmarkEnd w:id="1810"/>
      <w:bookmarkEnd w:id="1811"/>
      <w:bookmarkEnd w:id="1817"/>
    </w:p>
    <w:p>
      <w:pPr>
        <w:jc w:val="center"/>
        <w:rPr>
          <w:rFonts w:ascii="宋体" w:hAnsi="宋体"/>
          <w:color w:val="auto"/>
          <w:highlight w:val="none"/>
        </w:rPr>
      </w:pP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54"/>
        <w:gridCol w:w="1645"/>
        <w:gridCol w:w="1516"/>
        <w:gridCol w:w="862"/>
        <w:gridCol w:w="616"/>
        <w:gridCol w:w="776"/>
        <w:gridCol w:w="959"/>
        <w:gridCol w:w="127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1354" w:type="dxa"/>
            <w:noWrap w:val="0"/>
            <w:vAlign w:val="center"/>
          </w:tcPr>
          <w:p>
            <w:pPr>
              <w:rPr>
                <w:rFonts w:ascii="宋体" w:hAnsi="宋体"/>
                <w:color w:val="auto"/>
                <w:kern w:val="0"/>
                <w:highlight w:val="none"/>
              </w:rPr>
            </w:pPr>
            <w:r>
              <w:rPr>
                <w:rFonts w:hint="eastAsia" w:ascii="宋体" w:hAnsi="宋体"/>
                <w:color w:val="auto"/>
                <w:kern w:val="0"/>
                <w:highlight w:val="none"/>
              </w:rPr>
              <w:t>姓</w:t>
            </w:r>
            <w:r>
              <w:rPr>
                <w:rFonts w:hint="eastAsia" w:ascii="宋体" w:hAnsi="宋体"/>
                <w:color w:val="auto"/>
                <w:kern w:val="0"/>
                <w:highlight w:val="none"/>
              </w:rPr>
              <w:tab/>
            </w:r>
            <w:r>
              <w:rPr>
                <w:rFonts w:hint="eastAsia" w:ascii="宋体" w:hAnsi="宋体"/>
                <w:color w:val="auto"/>
                <w:kern w:val="0"/>
                <w:highlight w:val="none"/>
              </w:rPr>
              <w:t>名</w:t>
            </w:r>
          </w:p>
        </w:tc>
        <w:tc>
          <w:tcPr>
            <w:tcW w:w="1645" w:type="dxa"/>
            <w:noWrap w:val="0"/>
            <w:vAlign w:val="center"/>
          </w:tcPr>
          <w:p>
            <w:pPr>
              <w:rPr>
                <w:rFonts w:ascii="宋体" w:hAnsi="宋体"/>
                <w:color w:val="auto"/>
                <w:kern w:val="0"/>
                <w:highlight w:val="none"/>
              </w:rPr>
            </w:pPr>
          </w:p>
        </w:tc>
        <w:tc>
          <w:tcPr>
            <w:tcW w:w="1516" w:type="dxa"/>
            <w:noWrap w:val="0"/>
            <w:vAlign w:val="center"/>
          </w:tcPr>
          <w:p>
            <w:pPr>
              <w:rPr>
                <w:rFonts w:ascii="宋体" w:hAnsi="宋体"/>
                <w:color w:val="auto"/>
                <w:kern w:val="0"/>
                <w:highlight w:val="none"/>
              </w:rPr>
            </w:pPr>
            <w:r>
              <w:rPr>
                <w:rFonts w:hint="eastAsia" w:ascii="宋体" w:hAnsi="宋体"/>
                <w:color w:val="auto"/>
                <w:kern w:val="0"/>
                <w:highlight w:val="none"/>
              </w:rPr>
              <w:t>年  龄</w:t>
            </w:r>
          </w:p>
        </w:tc>
        <w:tc>
          <w:tcPr>
            <w:tcW w:w="1478" w:type="dxa"/>
            <w:gridSpan w:val="2"/>
            <w:noWrap w:val="0"/>
            <w:vAlign w:val="center"/>
          </w:tcPr>
          <w:p>
            <w:pPr>
              <w:rPr>
                <w:rFonts w:ascii="宋体" w:hAnsi="宋体"/>
                <w:color w:val="auto"/>
                <w:kern w:val="0"/>
                <w:highlight w:val="none"/>
              </w:rPr>
            </w:pPr>
          </w:p>
        </w:tc>
        <w:tc>
          <w:tcPr>
            <w:tcW w:w="1735" w:type="dxa"/>
            <w:gridSpan w:val="2"/>
            <w:noWrap w:val="0"/>
            <w:vAlign w:val="center"/>
          </w:tcPr>
          <w:p>
            <w:pPr>
              <w:rPr>
                <w:rFonts w:ascii="宋体" w:hAnsi="宋体"/>
                <w:color w:val="auto"/>
                <w:kern w:val="0"/>
                <w:highlight w:val="none"/>
              </w:rPr>
            </w:pPr>
            <w:r>
              <w:rPr>
                <w:rFonts w:hint="eastAsia" w:ascii="宋体" w:hAnsi="宋体"/>
                <w:color w:val="auto"/>
                <w:kern w:val="0"/>
                <w:highlight w:val="none"/>
              </w:rPr>
              <w:t>专  业</w:t>
            </w:r>
          </w:p>
        </w:tc>
        <w:tc>
          <w:tcPr>
            <w:tcW w:w="1276" w:type="dxa"/>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1354" w:type="dxa"/>
            <w:noWrap w:val="0"/>
            <w:vAlign w:val="center"/>
          </w:tcPr>
          <w:p>
            <w:pPr>
              <w:rPr>
                <w:rFonts w:ascii="宋体" w:hAnsi="宋体"/>
                <w:color w:val="auto"/>
                <w:kern w:val="0"/>
                <w:highlight w:val="none"/>
              </w:rPr>
            </w:pPr>
            <w:r>
              <w:rPr>
                <w:rFonts w:hint="eastAsia" w:ascii="宋体" w:hAnsi="宋体"/>
                <w:color w:val="auto"/>
                <w:kern w:val="0"/>
                <w:highlight w:val="none"/>
              </w:rPr>
              <w:t>职</w:t>
            </w:r>
            <w:r>
              <w:rPr>
                <w:rFonts w:hint="eastAsia" w:ascii="宋体" w:hAnsi="宋体"/>
                <w:color w:val="auto"/>
                <w:kern w:val="0"/>
                <w:highlight w:val="none"/>
              </w:rPr>
              <w:tab/>
            </w:r>
            <w:r>
              <w:rPr>
                <w:rFonts w:hint="eastAsia" w:ascii="宋体" w:hAnsi="宋体"/>
                <w:color w:val="auto"/>
                <w:kern w:val="0"/>
                <w:highlight w:val="none"/>
              </w:rPr>
              <w:t>称</w:t>
            </w:r>
          </w:p>
        </w:tc>
        <w:tc>
          <w:tcPr>
            <w:tcW w:w="1645" w:type="dxa"/>
            <w:noWrap w:val="0"/>
            <w:vAlign w:val="center"/>
          </w:tcPr>
          <w:p>
            <w:pPr>
              <w:rPr>
                <w:rFonts w:ascii="宋体" w:hAnsi="宋体"/>
                <w:color w:val="auto"/>
                <w:kern w:val="0"/>
                <w:highlight w:val="none"/>
              </w:rPr>
            </w:pPr>
          </w:p>
        </w:tc>
        <w:tc>
          <w:tcPr>
            <w:tcW w:w="1516" w:type="dxa"/>
            <w:noWrap w:val="0"/>
            <w:vAlign w:val="center"/>
          </w:tcPr>
          <w:p>
            <w:pPr>
              <w:rPr>
                <w:rFonts w:ascii="宋体" w:hAnsi="宋体"/>
                <w:color w:val="auto"/>
                <w:kern w:val="0"/>
                <w:highlight w:val="none"/>
              </w:rPr>
            </w:pPr>
            <w:r>
              <w:rPr>
                <w:rFonts w:hint="eastAsia" w:ascii="宋体" w:hAnsi="宋体"/>
                <w:color w:val="auto"/>
                <w:kern w:val="0"/>
                <w:highlight w:val="none"/>
              </w:rPr>
              <w:t>公司单位</w:t>
            </w:r>
          </w:p>
          <w:p>
            <w:pPr>
              <w:rPr>
                <w:rFonts w:ascii="宋体" w:hAnsi="宋体"/>
                <w:color w:val="auto"/>
                <w:kern w:val="0"/>
                <w:highlight w:val="none"/>
              </w:rPr>
            </w:pPr>
            <w:r>
              <w:rPr>
                <w:rFonts w:hint="eastAsia" w:ascii="宋体" w:hAnsi="宋体"/>
                <w:color w:val="auto"/>
                <w:kern w:val="0"/>
                <w:highlight w:val="none"/>
              </w:rPr>
              <w:t>职    务</w:t>
            </w:r>
          </w:p>
        </w:tc>
        <w:tc>
          <w:tcPr>
            <w:tcW w:w="1478" w:type="dxa"/>
            <w:gridSpan w:val="2"/>
            <w:noWrap w:val="0"/>
            <w:vAlign w:val="center"/>
          </w:tcPr>
          <w:p>
            <w:pPr>
              <w:rPr>
                <w:rFonts w:ascii="宋体" w:hAnsi="宋体"/>
                <w:color w:val="auto"/>
                <w:kern w:val="0"/>
                <w:highlight w:val="none"/>
              </w:rPr>
            </w:pPr>
          </w:p>
        </w:tc>
        <w:tc>
          <w:tcPr>
            <w:tcW w:w="1735" w:type="dxa"/>
            <w:gridSpan w:val="2"/>
            <w:noWrap w:val="0"/>
            <w:vAlign w:val="center"/>
          </w:tcPr>
          <w:p>
            <w:pPr>
              <w:rPr>
                <w:rFonts w:ascii="宋体" w:hAnsi="宋体"/>
                <w:color w:val="auto"/>
                <w:kern w:val="0"/>
                <w:highlight w:val="none"/>
              </w:rPr>
            </w:pPr>
            <w:r>
              <w:rPr>
                <w:rFonts w:hint="eastAsia" w:ascii="宋体" w:hAnsi="宋体"/>
                <w:color w:val="auto"/>
                <w:kern w:val="0"/>
                <w:highlight w:val="none"/>
              </w:rPr>
              <w:t>拟在本标段</w:t>
            </w:r>
          </w:p>
          <w:p>
            <w:pPr>
              <w:rPr>
                <w:rFonts w:ascii="宋体" w:hAnsi="宋体"/>
                <w:color w:val="auto"/>
                <w:kern w:val="0"/>
                <w:highlight w:val="none"/>
              </w:rPr>
            </w:pPr>
            <w:r>
              <w:rPr>
                <w:rFonts w:hint="eastAsia" w:ascii="宋体" w:hAnsi="宋体"/>
                <w:color w:val="auto"/>
                <w:kern w:val="0"/>
                <w:highlight w:val="none"/>
              </w:rPr>
              <w:t>工程担任职务</w:t>
            </w:r>
          </w:p>
        </w:tc>
        <w:tc>
          <w:tcPr>
            <w:tcW w:w="1276" w:type="dxa"/>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1354" w:type="dxa"/>
            <w:noWrap w:val="0"/>
            <w:vAlign w:val="center"/>
          </w:tcPr>
          <w:p>
            <w:pPr>
              <w:rPr>
                <w:rFonts w:ascii="宋体" w:hAnsi="宋体"/>
                <w:color w:val="auto"/>
                <w:kern w:val="0"/>
                <w:highlight w:val="none"/>
              </w:rPr>
            </w:pPr>
            <w:r>
              <w:rPr>
                <w:rFonts w:hint="eastAsia" w:ascii="宋体" w:hAnsi="宋体"/>
                <w:color w:val="auto"/>
                <w:kern w:val="0"/>
                <w:highlight w:val="none"/>
              </w:rPr>
              <w:t>毕业学校</w:t>
            </w:r>
          </w:p>
        </w:tc>
        <w:tc>
          <w:tcPr>
            <w:tcW w:w="7650" w:type="dxa"/>
            <w:gridSpan w:val="7"/>
            <w:noWrap w:val="0"/>
            <w:vAlign w:val="center"/>
          </w:tcPr>
          <w:p>
            <w:pPr>
              <w:rPr>
                <w:rFonts w:ascii="宋体" w:hAnsi="宋体"/>
                <w:color w:val="auto"/>
                <w:kern w:val="0"/>
                <w:highlight w:val="none"/>
              </w:rPr>
            </w:pPr>
            <w:r>
              <w:rPr>
                <w:rFonts w:hint="eastAsia" w:ascii="宋体" w:hAnsi="宋体"/>
                <w:color w:val="auto"/>
                <w:kern w:val="0"/>
                <w:highlight w:val="none"/>
                <w:u w:val="single"/>
              </w:rPr>
              <w:t xml:space="preserve">    </w:t>
            </w:r>
            <w:r>
              <w:rPr>
                <w:rFonts w:hint="eastAsia" w:ascii="宋体" w:hAnsi="宋体"/>
                <w:color w:val="auto"/>
                <w:kern w:val="0"/>
                <w:highlight w:val="none"/>
              </w:rPr>
              <w:t>年</w:t>
            </w:r>
            <w:r>
              <w:rPr>
                <w:rFonts w:hint="eastAsia" w:ascii="宋体" w:hAnsi="宋体"/>
                <w:color w:val="auto"/>
                <w:kern w:val="0"/>
                <w:highlight w:val="none"/>
                <w:u w:val="single"/>
              </w:rPr>
              <w:t xml:space="preserve">   </w:t>
            </w:r>
            <w:r>
              <w:rPr>
                <w:rFonts w:hint="eastAsia" w:ascii="宋体" w:hAnsi="宋体"/>
                <w:color w:val="auto"/>
                <w:kern w:val="0"/>
                <w:highlight w:val="none"/>
              </w:rPr>
              <w:t>月毕业于</w:t>
            </w:r>
            <w:r>
              <w:rPr>
                <w:rFonts w:hint="eastAsia" w:ascii="宋体" w:hAnsi="宋体"/>
                <w:color w:val="auto"/>
                <w:kern w:val="0"/>
                <w:highlight w:val="none"/>
                <w:u w:val="single"/>
              </w:rPr>
              <w:t xml:space="preserve">                 </w:t>
            </w:r>
            <w:r>
              <w:rPr>
                <w:rFonts w:hint="eastAsia" w:ascii="宋体" w:hAnsi="宋体"/>
                <w:color w:val="auto"/>
                <w:kern w:val="0"/>
                <w:highlight w:val="none"/>
              </w:rPr>
              <w:t>学校</w:t>
            </w:r>
            <w:r>
              <w:rPr>
                <w:rFonts w:hint="eastAsia" w:ascii="宋体" w:hAnsi="宋体"/>
                <w:color w:val="auto"/>
                <w:kern w:val="0"/>
                <w:highlight w:val="none"/>
                <w:u w:val="single"/>
              </w:rPr>
              <w:t xml:space="preserve">       </w:t>
            </w:r>
            <w:r>
              <w:rPr>
                <w:rFonts w:hint="eastAsia" w:ascii="宋体" w:hAnsi="宋体"/>
                <w:color w:val="auto"/>
                <w:kern w:val="0"/>
                <w:highlight w:val="none"/>
              </w:rPr>
              <w:t>专业，学制</w:t>
            </w:r>
            <w:r>
              <w:rPr>
                <w:rFonts w:hint="eastAsia" w:ascii="宋体" w:hAnsi="宋体"/>
                <w:color w:val="auto"/>
                <w:kern w:val="0"/>
                <w:highlight w:val="none"/>
                <w:u w:val="single"/>
              </w:rPr>
              <w:t xml:space="preserve">      </w:t>
            </w:r>
            <w:r>
              <w:rPr>
                <w:rFonts w:hint="eastAsia" w:ascii="宋体" w:hAnsi="宋体"/>
                <w:color w:val="auto"/>
                <w:kern w:val="0"/>
                <w:highlight w:val="none"/>
              </w:rPr>
              <w:t>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9004" w:type="dxa"/>
            <w:gridSpan w:val="8"/>
            <w:noWrap w:val="0"/>
            <w:vAlign w:val="center"/>
          </w:tcPr>
          <w:p>
            <w:pPr>
              <w:rPr>
                <w:rFonts w:ascii="宋体" w:hAnsi="宋体"/>
                <w:color w:val="auto"/>
                <w:highlight w:val="none"/>
              </w:rPr>
            </w:pPr>
            <w:r>
              <w:rPr>
                <w:rFonts w:hint="eastAsia" w:ascii="宋体" w:hAnsi="宋体"/>
                <w:color w:val="auto"/>
                <w:kern w:val="0"/>
                <w:highlight w:val="none"/>
              </w:rPr>
              <w:t>经     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1354" w:type="dxa"/>
            <w:noWrap w:val="0"/>
            <w:vAlign w:val="center"/>
          </w:tcPr>
          <w:p>
            <w:pPr>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p>
          <w:p>
            <w:pPr>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p>
        </w:tc>
        <w:tc>
          <w:tcPr>
            <w:tcW w:w="4023" w:type="dxa"/>
            <w:gridSpan w:val="3"/>
            <w:noWrap w:val="0"/>
            <w:vAlign w:val="center"/>
          </w:tcPr>
          <w:p>
            <w:pPr>
              <w:rPr>
                <w:rFonts w:ascii="宋体" w:hAnsi="宋体"/>
                <w:color w:val="auto"/>
                <w:highlight w:val="none"/>
              </w:rPr>
            </w:pPr>
            <w:r>
              <w:rPr>
                <w:rFonts w:hint="eastAsia" w:ascii="宋体" w:hAnsi="宋体"/>
                <w:color w:val="auto"/>
                <w:kern w:val="0"/>
                <w:highlight w:val="none"/>
              </w:rPr>
              <w:t>参加过的工程项目名称</w:t>
            </w:r>
          </w:p>
        </w:tc>
        <w:tc>
          <w:tcPr>
            <w:tcW w:w="1392" w:type="dxa"/>
            <w:gridSpan w:val="2"/>
            <w:noWrap w:val="0"/>
            <w:vAlign w:val="center"/>
          </w:tcPr>
          <w:p>
            <w:pPr>
              <w:rPr>
                <w:rFonts w:ascii="宋体" w:hAnsi="宋体"/>
                <w:color w:val="auto"/>
                <w:highlight w:val="none"/>
              </w:rPr>
            </w:pPr>
            <w:r>
              <w:rPr>
                <w:rFonts w:hint="eastAsia" w:ascii="宋体" w:hAnsi="宋体"/>
                <w:color w:val="auto"/>
                <w:kern w:val="0"/>
                <w:highlight w:val="none"/>
              </w:rPr>
              <w:t>担任何职</w:t>
            </w:r>
          </w:p>
        </w:tc>
        <w:tc>
          <w:tcPr>
            <w:tcW w:w="2235" w:type="dxa"/>
            <w:gridSpan w:val="2"/>
            <w:noWrap w:val="0"/>
            <w:vAlign w:val="center"/>
          </w:tcPr>
          <w:p>
            <w:pPr>
              <w:rPr>
                <w:rFonts w:ascii="宋体" w:hAnsi="宋体"/>
                <w:color w:val="auto"/>
                <w:kern w:val="0"/>
                <w:highlight w:val="none"/>
              </w:rPr>
            </w:pPr>
            <w:r>
              <w:rPr>
                <w:rFonts w:hint="eastAsia" w:ascii="宋体" w:hAnsi="宋体"/>
                <w:color w:val="auto"/>
                <w:kern w:val="0"/>
                <w:highlight w:val="none"/>
              </w:rPr>
              <w:t>发包人及</w:t>
            </w:r>
          </w:p>
          <w:p>
            <w:pPr>
              <w:rPr>
                <w:rFonts w:ascii="宋体" w:hAnsi="宋体"/>
                <w:color w:val="auto"/>
                <w:highlight w:val="none"/>
              </w:rPr>
            </w:pPr>
            <w:r>
              <w:rPr>
                <w:rFonts w:hint="eastAsia" w:ascii="宋体" w:hAnsi="宋体"/>
                <w:color w:val="auto"/>
                <w:kern w:val="0"/>
                <w:highlight w:val="none"/>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354" w:type="dxa"/>
            <w:noWrap w:val="0"/>
            <w:vAlign w:val="center"/>
          </w:tcPr>
          <w:p>
            <w:pPr>
              <w:rPr>
                <w:rFonts w:ascii="宋体" w:hAnsi="宋体"/>
                <w:color w:val="auto"/>
                <w:highlight w:val="none"/>
              </w:rPr>
            </w:pPr>
          </w:p>
        </w:tc>
        <w:tc>
          <w:tcPr>
            <w:tcW w:w="4023" w:type="dxa"/>
            <w:gridSpan w:val="3"/>
            <w:noWrap w:val="0"/>
            <w:vAlign w:val="center"/>
          </w:tcPr>
          <w:p>
            <w:pPr>
              <w:rPr>
                <w:rFonts w:ascii="宋体" w:hAnsi="宋体"/>
                <w:color w:val="auto"/>
                <w:highlight w:val="none"/>
              </w:rPr>
            </w:pPr>
          </w:p>
        </w:tc>
        <w:tc>
          <w:tcPr>
            <w:tcW w:w="1392" w:type="dxa"/>
            <w:gridSpan w:val="2"/>
            <w:noWrap w:val="0"/>
            <w:vAlign w:val="center"/>
          </w:tcPr>
          <w:p>
            <w:pPr>
              <w:rPr>
                <w:rFonts w:ascii="宋体" w:hAnsi="宋体"/>
                <w:color w:val="auto"/>
                <w:highlight w:val="none"/>
              </w:rPr>
            </w:pPr>
          </w:p>
        </w:tc>
        <w:tc>
          <w:tcPr>
            <w:tcW w:w="2235" w:type="dxa"/>
            <w:gridSpan w:val="2"/>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354" w:type="dxa"/>
            <w:noWrap w:val="0"/>
            <w:vAlign w:val="center"/>
          </w:tcPr>
          <w:p>
            <w:pPr>
              <w:rPr>
                <w:rFonts w:ascii="宋体" w:hAnsi="宋体"/>
                <w:color w:val="auto"/>
                <w:highlight w:val="none"/>
              </w:rPr>
            </w:pPr>
          </w:p>
        </w:tc>
        <w:tc>
          <w:tcPr>
            <w:tcW w:w="4023" w:type="dxa"/>
            <w:gridSpan w:val="3"/>
            <w:noWrap w:val="0"/>
            <w:vAlign w:val="center"/>
          </w:tcPr>
          <w:p>
            <w:pPr>
              <w:rPr>
                <w:rFonts w:ascii="宋体" w:hAnsi="宋体"/>
                <w:color w:val="auto"/>
                <w:highlight w:val="none"/>
              </w:rPr>
            </w:pPr>
          </w:p>
        </w:tc>
        <w:tc>
          <w:tcPr>
            <w:tcW w:w="1392" w:type="dxa"/>
            <w:gridSpan w:val="2"/>
            <w:noWrap w:val="0"/>
            <w:vAlign w:val="center"/>
          </w:tcPr>
          <w:p>
            <w:pPr>
              <w:rPr>
                <w:rFonts w:ascii="宋体" w:hAnsi="宋体"/>
                <w:color w:val="auto"/>
                <w:highlight w:val="none"/>
              </w:rPr>
            </w:pPr>
          </w:p>
        </w:tc>
        <w:tc>
          <w:tcPr>
            <w:tcW w:w="2235" w:type="dxa"/>
            <w:gridSpan w:val="2"/>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354" w:type="dxa"/>
            <w:noWrap w:val="0"/>
            <w:vAlign w:val="center"/>
          </w:tcPr>
          <w:p>
            <w:pPr>
              <w:rPr>
                <w:rFonts w:ascii="宋体" w:hAnsi="宋体"/>
                <w:color w:val="auto"/>
                <w:highlight w:val="none"/>
              </w:rPr>
            </w:pPr>
          </w:p>
        </w:tc>
        <w:tc>
          <w:tcPr>
            <w:tcW w:w="4023" w:type="dxa"/>
            <w:gridSpan w:val="3"/>
            <w:noWrap w:val="0"/>
            <w:vAlign w:val="center"/>
          </w:tcPr>
          <w:p>
            <w:pPr>
              <w:rPr>
                <w:rFonts w:ascii="宋体" w:hAnsi="宋体"/>
                <w:color w:val="auto"/>
                <w:highlight w:val="none"/>
              </w:rPr>
            </w:pPr>
          </w:p>
        </w:tc>
        <w:tc>
          <w:tcPr>
            <w:tcW w:w="1392" w:type="dxa"/>
            <w:gridSpan w:val="2"/>
            <w:noWrap w:val="0"/>
            <w:vAlign w:val="center"/>
          </w:tcPr>
          <w:p>
            <w:pPr>
              <w:rPr>
                <w:rFonts w:ascii="宋体" w:hAnsi="宋体"/>
                <w:color w:val="auto"/>
                <w:highlight w:val="none"/>
              </w:rPr>
            </w:pPr>
          </w:p>
        </w:tc>
        <w:tc>
          <w:tcPr>
            <w:tcW w:w="2235" w:type="dxa"/>
            <w:gridSpan w:val="2"/>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354" w:type="dxa"/>
            <w:noWrap w:val="0"/>
            <w:vAlign w:val="center"/>
          </w:tcPr>
          <w:p>
            <w:pPr>
              <w:rPr>
                <w:rFonts w:ascii="宋体" w:hAnsi="宋体"/>
                <w:color w:val="auto"/>
                <w:highlight w:val="none"/>
              </w:rPr>
            </w:pPr>
          </w:p>
        </w:tc>
        <w:tc>
          <w:tcPr>
            <w:tcW w:w="4023" w:type="dxa"/>
            <w:gridSpan w:val="3"/>
            <w:noWrap w:val="0"/>
            <w:vAlign w:val="center"/>
          </w:tcPr>
          <w:p>
            <w:pPr>
              <w:rPr>
                <w:rFonts w:ascii="宋体" w:hAnsi="宋体"/>
                <w:color w:val="auto"/>
                <w:highlight w:val="none"/>
              </w:rPr>
            </w:pPr>
          </w:p>
        </w:tc>
        <w:tc>
          <w:tcPr>
            <w:tcW w:w="1392" w:type="dxa"/>
            <w:gridSpan w:val="2"/>
            <w:noWrap w:val="0"/>
            <w:vAlign w:val="center"/>
          </w:tcPr>
          <w:p>
            <w:pPr>
              <w:rPr>
                <w:rFonts w:ascii="宋体" w:hAnsi="宋体"/>
                <w:color w:val="auto"/>
                <w:highlight w:val="none"/>
              </w:rPr>
            </w:pPr>
          </w:p>
        </w:tc>
        <w:tc>
          <w:tcPr>
            <w:tcW w:w="2235" w:type="dxa"/>
            <w:gridSpan w:val="2"/>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5377" w:type="dxa"/>
            <w:gridSpan w:val="4"/>
            <w:noWrap w:val="0"/>
            <w:vAlign w:val="center"/>
          </w:tcPr>
          <w:p>
            <w:pPr>
              <w:rPr>
                <w:rFonts w:ascii="宋体" w:hAnsi="宋体"/>
                <w:color w:val="auto"/>
                <w:highlight w:val="none"/>
              </w:rPr>
            </w:pPr>
            <w:r>
              <w:rPr>
                <w:rFonts w:hint="eastAsia" w:ascii="宋体" w:hAnsi="宋体"/>
                <w:color w:val="auto"/>
                <w:highlight w:val="none"/>
              </w:rPr>
              <w:t>获奖情况</w:t>
            </w:r>
          </w:p>
        </w:tc>
        <w:tc>
          <w:tcPr>
            <w:tcW w:w="1392" w:type="dxa"/>
            <w:gridSpan w:val="2"/>
            <w:noWrap w:val="0"/>
            <w:vAlign w:val="center"/>
          </w:tcPr>
          <w:p>
            <w:pPr>
              <w:rPr>
                <w:rFonts w:ascii="宋体" w:hAnsi="宋体"/>
                <w:color w:val="auto"/>
                <w:highlight w:val="none"/>
              </w:rPr>
            </w:pPr>
          </w:p>
        </w:tc>
        <w:tc>
          <w:tcPr>
            <w:tcW w:w="2235" w:type="dxa"/>
            <w:gridSpan w:val="2"/>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1354" w:type="dxa"/>
            <w:vMerge w:val="restart"/>
            <w:noWrap w:val="0"/>
            <w:vAlign w:val="center"/>
          </w:tcPr>
          <w:p>
            <w:pPr>
              <w:rPr>
                <w:rFonts w:ascii="宋体" w:hAnsi="宋体"/>
                <w:color w:val="auto"/>
                <w:highlight w:val="none"/>
              </w:rPr>
            </w:pPr>
            <w:r>
              <w:rPr>
                <w:rFonts w:hint="eastAsia" w:ascii="宋体" w:hAnsi="宋体"/>
                <w:color w:val="auto"/>
                <w:highlight w:val="none"/>
              </w:rPr>
              <w:t>目前任职</w:t>
            </w:r>
          </w:p>
          <w:p>
            <w:pPr>
              <w:rPr>
                <w:rFonts w:ascii="宋体" w:hAnsi="宋体"/>
                <w:color w:val="auto"/>
                <w:highlight w:val="none"/>
              </w:rPr>
            </w:pPr>
            <w:r>
              <w:rPr>
                <w:rFonts w:hint="eastAsia" w:ascii="宋体" w:hAnsi="宋体"/>
                <w:color w:val="auto"/>
                <w:highlight w:val="none"/>
              </w:rPr>
              <w:t>项目状况</w:t>
            </w:r>
          </w:p>
        </w:tc>
        <w:tc>
          <w:tcPr>
            <w:tcW w:w="4023" w:type="dxa"/>
            <w:gridSpan w:val="3"/>
            <w:noWrap w:val="0"/>
            <w:vAlign w:val="center"/>
          </w:tcPr>
          <w:p>
            <w:pPr>
              <w:rPr>
                <w:rFonts w:ascii="宋体" w:hAnsi="宋体"/>
                <w:color w:val="auto"/>
                <w:highlight w:val="none"/>
              </w:rPr>
            </w:pPr>
            <w:r>
              <w:rPr>
                <w:rFonts w:hint="eastAsia" w:ascii="宋体" w:hAnsi="宋体"/>
                <w:color w:val="auto"/>
                <w:highlight w:val="none"/>
              </w:rPr>
              <w:t>项目名称</w:t>
            </w:r>
          </w:p>
        </w:tc>
        <w:tc>
          <w:tcPr>
            <w:tcW w:w="3627" w:type="dxa"/>
            <w:gridSpan w:val="4"/>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1354" w:type="dxa"/>
            <w:vMerge w:val="continue"/>
            <w:noWrap w:val="0"/>
            <w:vAlign w:val="center"/>
          </w:tcPr>
          <w:p>
            <w:pPr>
              <w:rPr>
                <w:rFonts w:ascii="宋体" w:hAnsi="宋体"/>
                <w:color w:val="auto"/>
                <w:highlight w:val="none"/>
              </w:rPr>
            </w:pPr>
          </w:p>
        </w:tc>
        <w:tc>
          <w:tcPr>
            <w:tcW w:w="4023" w:type="dxa"/>
            <w:gridSpan w:val="3"/>
            <w:noWrap w:val="0"/>
            <w:vAlign w:val="center"/>
          </w:tcPr>
          <w:p>
            <w:pPr>
              <w:rPr>
                <w:rFonts w:ascii="宋体" w:hAnsi="宋体"/>
                <w:color w:val="auto"/>
                <w:highlight w:val="none"/>
              </w:rPr>
            </w:pPr>
            <w:r>
              <w:rPr>
                <w:rFonts w:hint="eastAsia" w:ascii="宋体" w:hAnsi="宋体"/>
                <w:color w:val="auto"/>
                <w:highlight w:val="none"/>
              </w:rPr>
              <w:t>担任职位</w:t>
            </w:r>
          </w:p>
        </w:tc>
        <w:tc>
          <w:tcPr>
            <w:tcW w:w="3627" w:type="dxa"/>
            <w:gridSpan w:val="4"/>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1354" w:type="dxa"/>
            <w:vMerge w:val="continue"/>
            <w:noWrap w:val="0"/>
            <w:vAlign w:val="center"/>
          </w:tcPr>
          <w:p>
            <w:pPr>
              <w:rPr>
                <w:rFonts w:ascii="宋体" w:hAnsi="宋体"/>
                <w:color w:val="auto"/>
                <w:highlight w:val="none"/>
              </w:rPr>
            </w:pPr>
          </w:p>
        </w:tc>
        <w:tc>
          <w:tcPr>
            <w:tcW w:w="4023" w:type="dxa"/>
            <w:gridSpan w:val="3"/>
            <w:noWrap w:val="0"/>
            <w:vAlign w:val="center"/>
          </w:tcPr>
          <w:p>
            <w:pPr>
              <w:rPr>
                <w:rFonts w:ascii="宋体" w:hAnsi="宋体"/>
                <w:color w:val="auto"/>
                <w:highlight w:val="none"/>
              </w:rPr>
            </w:pPr>
            <w:r>
              <w:rPr>
                <w:rFonts w:hint="eastAsia" w:ascii="宋体" w:hAnsi="宋体"/>
                <w:color w:val="auto"/>
                <w:highlight w:val="none"/>
              </w:rPr>
              <w:t>可以调离日期</w:t>
            </w:r>
          </w:p>
        </w:tc>
        <w:tc>
          <w:tcPr>
            <w:tcW w:w="3627" w:type="dxa"/>
            <w:gridSpan w:val="4"/>
            <w:noWrap w:val="0"/>
            <w:vAlign w:val="center"/>
          </w:tcPr>
          <w:p>
            <w:pP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8" w:hRule="atLeast"/>
          <w:jc w:val="center"/>
        </w:trPr>
        <w:tc>
          <w:tcPr>
            <w:tcW w:w="1354" w:type="dxa"/>
            <w:noWrap w:val="0"/>
            <w:vAlign w:val="center"/>
          </w:tcPr>
          <w:p>
            <w:pPr>
              <w:rPr>
                <w:rFonts w:ascii="宋体" w:hAnsi="宋体"/>
                <w:color w:val="auto"/>
                <w:highlight w:val="none"/>
              </w:rPr>
            </w:pPr>
            <w:r>
              <w:rPr>
                <w:rFonts w:hint="eastAsia" w:ascii="宋体" w:hAnsi="宋体"/>
                <w:color w:val="auto"/>
                <w:highlight w:val="none"/>
              </w:rPr>
              <w:t>备注</w:t>
            </w:r>
          </w:p>
        </w:tc>
        <w:tc>
          <w:tcPr>
            <w:tcW w:w="7650" w:type="dxa"/>
            <w:gridSpan w:val="7"/>
            <w:noWrap w:val="0"/>
            <w:vAlign w:val="center"/>
          </w:tcPr>
          <w:p>
            <w:pPr>
              <w:rPr>
                <w:rFonts w:ascii="宋体" w:hAnsi="宋体"/>
                <w:color w:val="auto"/>
                <w:highlight w:val="none"/>
              </w:rPr>
            </w:pPr>
          </w:p>
        </w:tc>
      </w:tr>
    </w:tbl>
    <w:p>
      <w:pPr>
        <w:jc w:val="left"/>
        <w:outlineLvl w:val="2"/>
        <w:rPr>
          <w:rFonts w:hint="eastAsia" w:ascii="宋体" w:hAnsi="宋体"/>
          <w:color w:val="auto"/>
          <w:highlight w:val="none"/>
        </w:rPr>
      </w:pPr>
      <w:r>
        <w:rPr>
          <w:rFonts w:hint="eastAsia" w:ascii="宋体" w:hAnsi="宋体"/>
          <w:color w:val="auto"/>
          <w:highlight w:val="none"/>
        </w:rPr>
        <w:t>注：本表后附项目经理和项目总工的身份证（第二代身份证须双面复印）、公路工程相关专业中级及以上职称资格证书、在有效期内的安全生产考核合格证书（B 类）以及项目经理的公路工程专业二级及以上建造师注册证书的复印件；上述项目经理的建造师注册证书、在有效期内的安全生产考核合格证书以及项目总工的在有效期内的安全生产考核合格证书上的企业名称应与投标人名称一致。</w:t>
      </w:r>
    </w:p>
    <w:p>
      <w:pPr>
        <w:jc w:val="left"/>
        <w:outlineLvl w:val="2"/>
        <w:rPr>
          <w:rFonts w:hint="eastAsia" w:ascii="宋体" w:hAnsi="宋体"/>
          <w:color w:val="auto"/>
          <w:highlight w:val="none"/>
        </w:rPr>
      </w:pPr>
      <w:r>
        <w:rPr>
          <w:rFonts w:hint="eastAsia" w:ascii="宋体" w:hAnsi="宋体"/>
          <w:color w:val="auto"/>
          <w:highlight w:val="none"/>
        </w:rPr>
        <w:t>2、项目经理目前未在具体项目上任项目经理的，请在备注栏说明现在负责的工作内容。若曾在其他在建合同工程中担任项目经理但已进行更换的，应附项目发包人的同意更换证明材料，否则更换前后的项目经理均视为有“在建合同工程”。</w:t>
      </w:r>
    </w:p>
    <w:p>
      <w:pPr>
        <w:jc w:val="left"/>
        <w:outlineLvl w:val="2"/>
        <w:rPr>
          <w:rFonts w:hint="eastAsia" w:ascii="宋体" w:hAnsi="宋体"/>
          <w:color w:val="auto"/>
          <w:highlight w:val="none"/>
        </w:rPr>
      </w:pPr>
      <w:r>
        <w:rPr>
          <w:rFonts w:hint="eastAsia" w:ascii="宋体" w:hAnsi="宋体"/>
          <w:color w:val="auto"/>
          <w:highlight w:val="none"/>
        </w:rPr>
        <w:t>3、投标人在此应如实填报，隐瞒不报的，一经查实，作否决投标处理并没收投标保证金及同期银行存款利息。</w:t>
      </w:r>
    </w:p>
    <w:p>
      <w:pPr>
        <w:jc w:val="left"/>
        <w:outlineLvl w:val="2"/>
        <w:rPr>
          <w:rFonts w:ascii="宋体" w:hAnsi="宋体"/>
          <w:color w:val="auto"/>
          <w:highlight w:val="none"/>
        </w:rPr>
      </w:pPr>
      <w:r>
        <w:rPr>
          <w:rFonts w:hint="eastAsia" w:ascii="宋体" w:hAnsi="宋体"/>
          <w:color w:val="auto"/>
          <w:highlight w:val="none"/>
        </w:rPr>
        <w:t>4、若职称证书上无专业名称，须提供原职称评审委员会出具的相关证明材料。</w:t>
      </w:r>
      <w:r>
        <w:rPr>
          <w:rFonts w:ascii="宋体" w:hAnsi="宋体"/>
          <w:color w:val="auto"/>
          <w:highlight w:val="none"/>
        </w:rPr>
        <w:br w:type="page"/>
      </w:r>
    </w:p>
    <w:p>
      <w:pPr>
        <w:jc w:val="center"/>
        <w:outlineLvl w:val="3"/>
        <w:rPr>
          <w:rFonts w:hint="eastAsia"/>
          <w:color w:val="auto"/>
          <w:sz w:val="28"/>
          <w:szCs w:val="28"/>
          <w:highlight w:val="none"/>
        </w:rPr>
      </w:pPr>
      <w:bookmarkStart w:id="1818" w:name="_Toc466366149"/>
      <w:r>
        <w:rPr>
          <w:rFonts w:hint="eastAsia"/>
          <w:color w:val="auto"/>
          <w:sz w:val="28"/>
          <w:szCs w:val="28"/>
          <w:highlight w:val="none"/>
        </w:rPr>
        <w:t>（四）</w:t>
      </w:r>
      <w:bookmarkEnd w:id="1812"/>
      <w:bookmarkEnd w:id="1813"/>
      <w:bookmarkEnd w:id="1814"/>
      <w:bookmarkEnd w:id="1815"/>
      <w:bookmarkEnd w:id="1816"/>
      <w:r>
        <w:rPr>
          <w:color w:val="auto"/>
          <w:sz w:val="28"/>
          <w:szCs w:val="28"/>
          <w:highlight w:val="none"/>
        </w:rPr>
        <w:t>财务状况表</w:t>
      </w:r>
      <w:r>
        <w:rPr>
          <w:rFonts w:hint="eastAsia"/>
          <w:color w:val="auto"/>
          <w:sz w:val="28"/>
          <w:szCs w:val="28"/>
          <w:highlight w:val="none"/>
        </w:rPr>
        <w:t>（如需要）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1086"/>
        <w:gridCol w:w="1857"/>
        <w:gridCol w:w="1857"/>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top w:val="single" w:color="auto" w:sz="12" w:space="0"/>
              <w:left w:val="single" w:color="auto" w:sz="12" w:space="0"/>
            </w:tcBorders>
            <w:noWrap w:val="0"/>
            <w:vAlign w:val="center"/>
          </w:tcPr>
          <w:p>
            <w:pPr>
              <w:spacing w:line="440" w:lineRule="exact"/>
              <w:jc w:val="center"/>
              <w:rPr>
                <w:color w:val="auto"/>
                <w:sz w:val="24"/>
                <w:szCs w:val="24"/>
                <w:highlight w:val="none"/>
              </w:rPr>
            </w:pPr>
            <w:r>
              <w:rPr>
                <w:color w:val="auto"/>
                <w:sz w:val="24"/>
                <w:szCs w:val="24"/>
                <w:highlight w:val="none"/>
              </w:rPr>
              <w:t>项目或指标</w:t>
            </w:r>
          </w:p>
        </w:tc>
        <w:tc>
          <w:tcPr>
            <w:tcW w:w="1086" w:type="dxa"/>
            <w:tcBorders>
              <w:top w:val="single" w:color="auto" w:sz="12" w:space="0"/>
            </w:tcBorders>
            <w:noWrap w:val="0"/>
            <w:vAlign w:val="center"/>
          </w:tcPr>
          <w:p>
            <w:pPr>
              <w:spacing w:line="440" w:lineRule="exact"/>
              <w:jc w:val="center"/>
              <w:rPr>
                <w:color w:val="auto"/>
                <w:sz w:val="24"/>
                <w:szCs w:val="24"/>
                <w:highlight w:val="none"/>
              </w:rPr>
            </w:pPr>
            <w:r>
              <w:rPr>
                <w:color w:val="auto"/>
                <w:sz w:val="24"/>
                <w:szCs w:val="24"/>
                <w:highlight w:val="none"/>
              </w:rPr>
              <w:t>单位</w:t>
            </w:r>
          </w:p>
        </w:tc>
        <w:tc>
          <w:tcPr>
            <w:tcW w:w="1857" w:type="dxa"/>
            <w:tcBorders>
              <w:top w:val="single" w:color="auto" w:sz="12" w:space="0"/>
            </w:tcBorders>
            <w:noWrap w:val="0"/>
            <w:vAlign w:val="center"/>
          </w:tcPr>
          <w:p>
            <w:pPr>
              <w:spacing w:line="440" w:lineRule="exact"/>
              <w:jc w:val="center"/>
              <w:rPr>
                <w:color w:val="auto"/>
                <w:sz w:val="24"/>
                <w:szCs w:val="24"/>
                <w:highlight w:val="none"/>
              </w:rPr>
            </w:pPr>
            <w:r>
              <w:rPr>
                <w:rFonts w:hint="eastAsia"/>
                <w:color w:val="auto"/>
                <w:sz w:val="24"/>
                <w:szCs w:val="24"/>
                <w:highlight w:val="none"/>
              </w:rPr>
              <w:t xml:space="preserve"> </w:t>
            </w:r>
            <w:r>
              <w:rPr>
                <w:color w:val="auto"/>
                <w:sz w:val="24"/>
                <w:szCs w:val="24"/>
                <w:highlight w:val="none"/>
              </w:rPr>
              <w:t>年</w:t>
            </w:r>
          </w:p>
        </w:tc>
        <w:tc>
          <w:tcPr>
            <w:tcW w:w="1857" w:type="dxa"/>
            <w:tcBorders>
              <w:top w:val="single" w:color="auto" w:sz="12" w:space="0"/>
            </w:tcBorders>
            <w:noWrap w:val="0"/>
            <w:vAlign w:val="center"/>
          </w:tcPr>
          <w:p>
            <w:pPr>
              <w:spacing w:line="440" w:lineRule="exact"/>
              <w:jc w:val="center"/>
              <w:rPr>
                <w:color w:val="auto"/>
                <w:sz w:val="24"/>
                <w:szCs w:val="24"/>
                <w:highlight w:val="none"/>
              </w:rPr>
            </w:pPr>
            <w:r>
              <w:rPr>
                <w:rFonts w:hint="eastAsia"/>
                <w:color w:val="auto"/>
                <w:sz w:val="24"/>
                <w:szCs w:val="24"/>
                <w:highlight w:val="none"/>
              </w:rPr>
              <w:t xml:space="preserve"> </w:t>
            </w:r>
            <w:r>
              <w:rPr>
                <w:color w:val="auto"/>
                <w:sz w:val="24"/>
                <w:szCs w:val="24"/>
                <w:highlight w:val="none"/>
              </w:rPr>
              <w:t>年</w:t>
            </w:r>
          </w:p>
        </w:tc>
        <w:tc>
          <w:tcPr>
            <w:tcW w:w="1858" w:type="dxa"/>
            <w:tcBorders>
              <w:top w:val="single" w:color="auto" w:sz="12" w:space="0"/>
              <w:right w:val="single" w:color="auto" w:sz="12" w:space="0"/>
            </w:tcBorders>
            <w:noWrap w:val="0"/>
            <w:vAlign w:val="center"/>
          </w:tcPr>
          <w:p>
            <w:pPr>
              <w:spacing w:line="440" w:lineRule="exact"/>
              <w:jc w:val="center"/>
              <w:rPr>
                <w:color w:val="auto"/>
                <w:sz w:val="24"/>
                <w:szCs w:val="24"/>
                <w:highlight w:val="none"/>
              </w:rPr>
            </w:pPr>
            <w:r>
              <w:rPr>
                <w:rFonts w:hint="eastAsia"/>
                <w:color w:val="auto"/>
                <w:sz w:val="24"/>
                <w:szCs w:val="24"/>
                <w:highlight w:val="none"/>
              </w:rPr>
              <w:t xml:space="preserve"> </w:t>
            </w:r>
            <w:r>
              <w:rPr>
                <w:color w:val="auto"/>
                <w:sz w:val="24"/>
                <w:szCs w:val="24"/>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一、注册资金</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二、净资产</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三、总资产</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四、固定资产</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五、流动资产</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六、流动负债</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七、负债合计</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八、营业收入</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九、净利润</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十、现金流量净额</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十一、主要财务指标</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万元</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1.净资产收益率</w:t>
            </w:r>
          </w:p>
        </w:tc>
        <w:tc>
          <w:tcPr>
            <w:tcW w:w="1086" w:type="dxa"/>
            <w:noWrap w:val="0"/>
            <w:vAlign w:val="center"/>
          </w:tcPr>
          <w:p>
            <w:pPr>
              <w:spacing w:line="440" w:lineRule="exact"/>
              <w:jc w:val="center"/>
              <w:rPr>
                <w:color w:val="auto"/>
                <w:sz w:val="24"/>
                <w:szCs w:val="24"/>
                <w:highlight w:val="none"/>
              </w:rPr>
            </w:pPr>
            <w:r>
              <w:rPr>
                <w:color w:val="auto"/>
                <w:sz w:val="24"/>
                <w:szCs w:val="24"/>
                <w:highlight w:val="none"/>
              </w:rPr>
              <w:t>%</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2.总资产报酬率</w:t>
            </w:r>
          </w:p>
        </w:tc>
        <w:tc>
          <w:tcPr>
            <w:tcW w:w="1086" w:type="dxa"/>
            <w:noWrap w:val="0"/>
            <w:vAlign w:val="top"/>
          </w:tcPr>
          <w:p>
            <w:pPr>
              <w:spacing w:line="440" w:lineRule="exact"/>
              <w:jc w:val="center"/>
              <w:rPr>
                <w:color w:val="auto"/>
                <w:sz w:val="24"/>
                <w:szCs w:val="24"/>
                <w:highlight w:val="none"/>
              </w:rPr>
            </w:pPr>
            <w:r>
              <w:rPr>
                <w:color w:val="auto"/>
                <w:sz w:val="24"/>
                <w:szCs w:val="24"/>
                <w:highlight w:val="none"/>
              </w:rPr>
              <w:t>%</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3.主营业务利润率</w:t>
            </w:r>
          </w:p>
        </w:tc>
        <w:tc>
          <w:tcPr>
            <w:tcW w:w="1086" w:type="dxa"/>
            <w:noWrap w:val="0"/>
            <w:vAlign w:val="top"/>
          </w:tcPr>
          <w:p>
            <w:pPr>
              <w:spacing w:line="440" w:lineRule="exact"/>
              <w:jc w:val="center"/>
              <w:rPr>
                <w:color w:val="auto"/>
                <w:sz w:val="24"/>
                <w:szCs w:val="24"/>
                <w:highlight w:val="none"/>
              </w:rPr>
            </w:pPr>
            <w:r>
              <w:rPr>
                <w:color w:val="auto"/>
                <w:sz w:val="24"/>
                <w:szCs w:val="24"/>
                <w:highlight w:val="none"/>
              </w:rPr>
              <w:t>%</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4.资产负债率</w:t>
            </w:r>
          </w:p>
        </w:tc>
        <w:tc>
          <w:tcPr>
            <w:tcW w:w="1086" w:type="dxa"/>
            <w:noWrap w:val="0"/>
            <w:vAlign w:val="top"/>
          </w:tcPr>
          <w:p>
            <w:pPr>
              <w:spacing w:line="440" w:lineRule="exact"/>
              <w:jc w:val="center"/>
              <w:rPr>
                <w:color w:val="auto"/>
                <w:sz w:val="24"/>
                <w:szCs w:val="24"/>
                <w:highlight w:val="none"/>
              </w:rPr>
            </w:pPr>
            <w:r>
              <w:rPr>
                <w:color w:val="auto"/>
                <w:sz w:val="24"/>
                <w:szCs w:val="24"/>
                <w:highlight w:val="none"/>
              </w:rPr>
              <w:t>%</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tcBorders>
            <w:noWrap w:val="0"/>
            <w:vAlign w:val="center"/>
          </w:tcPr>
          <w:p>
            <w:pPr>
              <w:spacing w:line="440" w:lineRule="exact"/>
              <w:rPr>
                <w:color w:val="auto"/>
                <w:sz w:val="24"/>
                <w:szCs w:val="24"/>
                <w:highlight w:val="none"/>
              </w:rPr>
            </w:pPr>
            <w:r>
              <w:rPr>
                <w:color w:val="auto"/>
                <w:sz w:val="24"/>
                <w:szCs w:val="24"/>
                <w:highlight w:val="none"/>
              </w:rPr>
              <w:t>5.流动比率</w:t>
            </w:r>
          </w:p>
        </w:tc>
        <w:tc>
          <w:tcPr>
            <w:tcW w:w="1086" w:type="dxa"/>
            <w:noWrap w:val="0"/>
            <w:vAlign w:val="top"/>
          </w:tcPr>
          <w:p>
            <w:pPr>
              <w:spacing w:line="440" w:lineRule="exact"/>
              <w:jc w:val="center"/>
              <w:rPr>
                <w:color w:val="auto"/>
                <w:sz w:val="24"/>
                <w:szCs w:val="24"/>
                <w:highlight w:val="none"/>
              </w:rPr>
            </w:pPr>
            <w:r>
              <w:rPr>
                <w:color w:val="auto"/>
                <w:sz w:val="24"/>
                <w:szCs w:val="24"/>
                <w:highlight w:val="none"/>
              </w:rPr>
              <w:t>%</w:t>
            </w:r>
          </w:p>
        </w:tc>
        <w:tc>
          <w:tcPr>
            <w:tcW w:w="1857" w:type="dxa"/>
            <w:noWrap w:val="0"/>
            <w:vAlign w:val="center"/>
          </w:tcPr>
          <w:p>
            <w:pPr>
              <w:spacing w:line="440" w:lineRule="exact"/>
              <w:jc w:val="center"/>
              <w:rPr>
                <w:color w:val="auto"/>
                <w:sz w:val="24"/>
                <w:szCs w:val="24"/>
                <w:highlight w:val="none"/>
              </w:rPr>
            </w:pPr>
          </w:p>
        </w:tc>
        <w:tc>
          <w:tcPr>
            <w:tcW w:w="1857" w:type="dxa"/>
            <w:noWrap w:val="0"/>
            <w:vAlign w:val="center"/>
          </w:tcPr>
          <w:p>
            <w:pPr>
              <w:spacing w:line="440" w:lineRule="exact"/>
              <w:jc w:val="center"/>
              <w:rPr>
                <w:color w:val="auto"/>
                <w:sz w:val="24"/>
                <w:szCs w:val="24"/>
                <w:highlight w:val="none"/>
              </w:rPr>
            </w:pPr>
          </w:p>
        </w:tc>
        <w:tc>
          <w:tcPr>
            <w:tcW w:w="1858" w:type="dxa"/>
            <w:tcBorders>
              <w:right w:val="single" w:color="auto" w:sz="12" w:space="0"/>
            </w:tcBorders>
            <w:noWrap w:val="0"/>
            <w:vAlign w:val="center"/>
          </w:tcPr>
          <w:p>
            <w:pPr>
              <w:spacing w:line="440" w:lineRule="exact"/>
              <w:jc w:val="center"/>
              <w:rPr>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28" w:type="dxa"/>
            <w:tcBorders>
              <w:left w:val="single" w:color="auto" w:sz="12" w:space="0"/>
              <w:bottom w:val="single" w:color="auto" w:sz="12" w:space="0"/>
            </w:tcBorders>
            <w:noWrap w:val="0"/>
            <w:vAlign w:val="center"/>
          </w:tcPr>
          <w:p>
            <w:pPr>
              <w:spacing w:line="440" w:lineRule="exact"/>
              <w:rPr>
                <w:color w:val="auto"/>
                <w:sz w:val="24"/>
                <w:szCs w:val="24"/>
                <w:highlight w:val="none"/>
              </w:rPr>
            </w:pPr>
            <w:r>
              <w:rPr>
                <w:color w:val="auto"/>
                <w:sz w:val="24"/>
                <w:szCs w:val="24"/>
                <w:highlight w:val="none"/>
              </w:rPr>
              <w:t>6.速动比率</w:t>
            </w:r>
          </w:p>
        </w:tc>
        <w:tc>
          <w:tcPr>
            <w:tcW w:w="1086" w:type="dxa"/>
            <w:tcBorders>
              <w:bottom w:val="single" w:color="auto" w:sz="12" w:space="0"/>
            </w:tcBorders>
            <w:noWrap w:val="0"/>
            <w:vAlign w:val="top"/>
          </w:tcPr>
          <w:p>
            <w:pPr>
              <w:spacing w:line="440" w:lineRule="exact"/>
              <w:jc w:val="center"/>
              <w:rPr>
                <w:color w:val="auto"/>
                <w:sz w:val="24"/>
                <w:szCs w:val="24"/>
                <w:highlight w:val="none"/>
              </w:rPr>
            </w:pPr>
            <w:r>
              <w:rPr>
                <w:color w:val="auto"/>
                <w:sz w:val="24"/>
                <w:szCs w:val="24"/>
                <w:highlight w:val="none"/>
              </w:rPr>
              <w:t>%</w:t>
            </w:r>
          </w:p>
        </w:tc>
        <w:tc>
          <w:tcPr>
            <w:tcW w:w="1857" w:type="dxa"/>
            <w:tcBorders>
              <w:bottom w:val="single" w:color="auto" w:sz="12" w:space="0"/>
            </w:tcBorders>
            <w:noWrap w:val="0"/>
            <w:vAlign w:val="center"/>
          </w:tcPr>
          <w:p>
            <w:pPr>
              <w:spacing w:line="440" w:lineRule="exact"/>
              <w:jc w:val="center"/>
              <w:rPr>
                <w:color w:val="auto"/>
                <w:sz w:val="24"/>
                <w:szCs w:val="24"/>
                <w:highlight w:val="none"/>
              </w:rPr>
            </w:pPr>
          </w:p>
        </w:tc>
        <w:tc>
          <w:tcPr>
            <w:tcW w:w="1857" w:type="dxa"/>
            <w:tcBorders>
              <w:bottom w:val="single" w:color="auto" w:sz="12" w:space="0"/>
            </w:tcBorders>
            <w:noWrap w:val="0"/>
            <w:vAlign w:val="center"/>
          </w:tcPr>
          <w:p>
            <w:pPr>
              <w:spacing w:line="440" w:lineRule="exact"/>
              <w:jc w:val="center"/>
              <w:rPr>
                <w:color w:val="auto"/>
                <w:sz w:val="24"/>
                <w:szCs w:val="24"/>
                <w:highlight w:val="none"/>
              </w:rPr>
            </w:pPr>
          </w:p>
        </w:tc>
        <w:tc>
          <w:tcPr>
            <w:tcW w:w="1858" w:type="dxa"/>
            <w:tcBorders>
              <w:bottom w:val="single" w:color="auto" w:sz="12" w:space="0"/>
              <w:right w:val="single" w:color="auto" w:sz="12" w:space="0"/>
            </w:tcBorders>
            <w:noWrap w:val="0"/>
            <w:vAlign w:val="center"/>
          </w:tcPr>
          <w:p>
            <w:pPr>
              <w:spacing w:line="440" w:lineRule="exact"/>
              <w:jc w:val="center"/>
              <w:rPr>
                <w:color w:val="auto"/>
                <w:sz w:val="24"/>
                <w:szCs w:val="24"/>
                <w:highlight w:val="none"/>
              </w:rPr>
            </w:pPr>
          </w:p>
        </w:tc>
      </w:tr>
    </w:tbl>
    <w:p>
      <w:pPr>
        <w:ind w:left="945" w:leftChars="150" w:hanging="630" w:hangingChars="300"/>
        <w:rPr>
          <w:rFonts w:hint="eastAsia"/>
          <w:color w:val="auto"/>
          <w:highlight w:val="none"/>
        </w:rPr>
      </w:pPr>
      <w:r>
        <w:rPr>
          <w:rFonts w:hint="eastAsia"/>
          <w:color w:val="auto"/>
          <w:highlight w:val="none"/>
        </w:rPr>
        <w:t>注：1.本表后应附近三年经会计师事务所或审计机构审计的财务会计报表，包括资产负债表、现金流量表、利润表和财务情况说明书的复印件。</w:t>
      </w:r>
    </w:p>
    <w:p>
      <w:pPr>
        <w:ind w:left="938" w:leftChars="341" w:right="347" w:hanging="222" w:hangingChars="106"/>
        <w:rPr>
          <w:rFonts w:hint="eastAsia"/>
          <w:color w:val="auto"/>
          <w:highlight w:val="none"/>
        </w:rPr>
      </w:pPr>
      <w:r>
        <w:rPr>
          <w:rFonts w:hint="eastAsia"/>
          <w:color w:val="auto"/>
          <w:highlight w:val="none"/>
        </w:rPr>
        <w:t>2.本表所列数据必须与本表各附件中的数据一致。</w:t>
      </w:r>
    </w:p>
    <w:p>
      <w:pPr>
        <w:outlineLvl w:val="2"/>
        <w:rPr>
          <w:color w:val="auto"/>
          <w:szCs w:val="21"/>
          <w:highlight w:val="none"/>
        </w:rPr>
      </w:pPr>
    </w:p>
    <w:p>
      <w:pPr>
        <w:jc w:val="center"/>
        <w:outlineLvl w:val="2"/>
        <w:rPr>
          <w:rFonts w:ascii="宋体" w:hAnsi="宋体"/>
          <w:color w:val="auto"/>
          <w:sz w:val="28"/>
          <w:szCs w:val="28"/>
          <w:highlight w:val="none"/>
        </w:rPr>
      </w:pPr>
      <w:r>
        <w:rPr>
          <w:color w:val="auto"/>
          <w:szCs w:val="21"/>
          <w:highlight w:val="none"/>
        </w:rPr>
        <w:br w:type="page"/>
      </w:r>
      <w:r>
        <w:rPr>
          <w:rFonts w:hint="eastAsia" w:ascii="宋体" w:hAnsi="宋体"/>
          <w:color w:val="auto"/>
          <w:sz w:val="28"/>
          <w:szCs w:val="28"/>
          <w:highlight w:val="none"/>
        </w:rPr>
        <w:t>银行信贷证明或财务承诺书</w:t>
      </w:r>
      <w:bookmarkEnd w:id="1818"/>
    </w:p>
    <w:p>
      <w:pPr>
        <w:pStyle w:val="34"/>
        <w:spacing w:before="0" w:after="0"/>
        <w:ind w:firstLine="420"/>
        <w:rPr>
          <w:rFonts w:hint="eastAsia"/>
          <w:color w:val="auto"/>
          <w:sz w:val="21"/>
          <w:szCs w:val="21"/>
          <w:highlight w:val="none"/>
        </w:rPr>
      </w:pPr>
    </w:p>
    <w:p>
      <w:pPr>
        <w:jc w:val="left"/>
        <w:rPr>
          <w:rFonts w:hint="eastAsia"/>
          <w:color w:val="auto"/>
          <w:szCs w:val="21"/>
          <w:highlight w:val="none"/>
        </w:rPr>
      </w:pPr>
      <w:r>
        <w:rPr>
          <w:rFonts w:hint="eastAsia"/>
          <w:color w:val="auto"/>
          <w:szCs w:val="21"/>
          <w:highlight w:val="none"/>
        </w:rPr>
        <w:t>投标人可根据自身情况决定提供银行信贷证明或财务能力承诺书。</w:t>
      </w:r>
    </w:p>
    <w:p>
      <w:pPr>
        <w:jc w:val="center"/>
        <w:rPr>
          <w:rFonts w:hint="eastAsia" w:ascii="宋体" w:hAnsi="宋体"/>
          <w:b/>
          <w:color w:val="auto"/>
          <w:sz w:val="32"/>
          <w:szCs w:val="32"/>
          <w:highlight w:val="none"/>
        </w:rPr>
      </w:pPr>
    </w:p>
    <w:p>
      <w:pPr>
        <w:jc w:val="center"/>
        <w:rPr>
          <w:rFonts w:hint="eastAsia" w:ascii="宋体" w:hAnsi="宋体"/>
          <w:b/>
          <w:color w:val="auto"/>
          <w:sz w:val="32"/>
          <w:szCs w:val="32"/>
          <w:highlight w:val="none"/>
        </w:rPr>
      </w:pPr>
      <w:r>
        <w:rPr>
          <w:rFonts w:hint="eastAsia" w:ascii="宋体" w:hAnsi="宋体"/>
          <w:b/>
          <w:color w:val="auto"/>
          <w:sz w:val="32"/>
          <w:szCs w:val="32"/>
          <w:highlight w:val="none"/>
        </w:rPr>
        <w:t>银行信贷证明</w:t>
      </w:r>
    </w:p>
    <w:p>
      <w:pPr>
        <w:spacing w:line="500" w:lineRule="exact"/>
        <w:jc w:val="center"/>
        <w:rPr>
          <w:rFonts w:hint="eastAsia" w:ascii="隶书" w:eastAsia="隶书"/>
          <w:color w:val="auto"/>
          <w:sz w:val="24"/>
          <w:highlight w:val="none"/>
        </w:rPr>
      </w:pPr>
    </w:p>
    <w:p>
      <w:pPr>
        <w:spacing w:line="500" w:lineRule="exact"/>
        <w:jc w:val="left"/>
        <w:rPr>
          <w:rFonts w:hint="eastAsia" w:ascii="宋体" w:hAnsi="宋体"/>
          <w:color w:val="auto"/>
          <w:highlight w:val="none"/>
          <w:u w:val="single"/>
        </w:rPr>
      </w:pPr>
      <w:r>
        <w:rPr>
          <w:rFonts w:hint="eastAsia" w:ascii="宋体" w:hAnsi="宋体"/>
          <w:color w:val="auto"/>
          <w:highlight w:val="none"/>
        </w:rPr>
        <w:t>银行名称：</w:t>
      </w:r>
      <w:r>
        <w:rPr>
          <w:rFonts w:hint="eastAsia" w:ascii="宋体" w:hAnsi="宋体"/>
          <w:color w:val="auto"/>
          <w:highlight w:val="none"/>
          <w:u w:val="single"/>
        </w:rPr>
        <w:t xml:space="preserve">                     </w:t>
      </w:r>
    </w:p>
    <w:p>
      <w:pPr>
        <w:spacing w:line="500" w:lineRule="exact"/>
        <w:rPr>
          <w:rFonts w:hint="eastAsia" w:ascii="宋体" w:hAnsi="宋体"/>
          <w:color w:val="auto"/>
          <w:highlight w:val="none"/>
        </w:rPr>
      </w:pPr>
      <w:r>
        <w:rPr>
          <w:rFonts w:hint="eastAsia" w:ascii="宋体" w:hAnsi="宋体"/>
          <w:color w:val="auto"/>
          <w:highlight w:val="none"/>
        </w:rPr>
        <w:t>地    址：</w:t>
      </w:r>
      <w:r>
        <w:rPr>
          <w:rFonts w:hint="eastAsia" w:ascii="宋体" w:hAnsi="宋体"/>
          <w:color w:val="auto"/>
          <w:highlight w:val="none"/>
          <w:u w:val="single"/>
        </w:rPr>
        <w:t xml:space="preserve">                     </w:t>
      </w:r>
      <w:r>
        <w:rPr>
          <w:rFonts w:hint="eastAsia" w:ascii="宋体" w:hAnsi="宋体"/>
          <w:color w:val="auto"/>
          <w:highlight w:val="none"/>
        </w:rPr>
        <w:t xml:space="preserve">                  </w:t>
      </w:r>
    </w:p>
    <w:p>
      <w:pPr>
        <w:spacing w:line="500" w:lineRule="exact"/>
        <w:ind w:firstLine="6240"/>
        <w:rPr>
          <w:rFonts w:hint="eastAsia" w:ascii="宋体" w:hAnsi="宋体"/>
          <w:color w:val="auto"/>
          <w:highlight w:val="none"/>
          <w:u w:val="single"/>
        </w:rPr>
      </w:pPr>
      <w:r>
        <w:rPr>
          <w:rFonts w:hint="eastAsia" w:ascii="宋体" w:hAnsi="宋体"/>
          <w:color w:val="auto"/>
          <w:highlight w:val="none"/>
        </w:rPr>
        <w:t xml:space="preserve">  日期：</w:t>
      </w:r>
      <w:r>
        <w:rPr>
          <w:rFonts w:hint="eastAsia" w:ascii="宋体" w:hAnsi="宋体"/>
          <w:color w:val="auto"/>
          <w:highlight w:val="none"/>
          <w:u w:val="single"/>
        </w:rPr>
        <w:t xml:space="preserve">            </w:t>
      </w:r>
    </w:p>
    <w:p>
      <w:pPr>
        <w:spacing w:line="500" w:lineRule="exact"/>
        <w:rPr>
          <w:rFonts w:hint="eastAsia" w:ascii="宋体" w:hAnsi="宋体"/>
          <w:color w:val="auto"/>
          <w:highlight w:val="none"/>
          <w:u w:val="single"/>
        </w:rPr>
      </w:pPr>
      <w:r>
        <w:rPr>
          <w:rFonts w:hint="eastAsia" w:ascii="宋体" w:hAnsi="宋体"/>
          <w:color w:val="auto"/>
          <w:highlight w:val="none"/>
        </w:rPr>
        <w:t>致：</w:t>
      </w:r>
      <w:r>
        <w:rPr>
          <w:rFonts w:hint="eastAsia" w:ascii="宋体" w:hAnsi="宋体"/>
          <w:color w:val="auto"/>
          <w:highlight w:val="none"/>
          <w:u w:val="single"/>
        </w:rPr>
        <w:t xml:space="preserve">  （招标人全称）  </w:t>
      </w:r>
    </w:p>
    <w:p>
      <w:pPr>
        <w:spacing w:line="500" w:lineRule="exact"/>
        <w:ind w:firstLine="420" w:firstLineChars="200"/>
        <w:rPr>
          <w:rFonts w:hint="eastAsia" w:ascii="宋体" w:hAnsi="宋体"/>
          <w:color w:val="auto"/>
          <w:highlight w:val="none"/>
        </w:rPr>
      </w:pPr>
      <w:r>
        <w:rPr>
          <w:rFonts w:hint="eastAsia" w:ascii="宋体" w:hAnsi="宋体"/>
          <w:color w:val="auto"/>
          <w:highlight w:val="none"/>
        </w:rPr>
        <w:t>兹开具最高限额为人民币</w:t>
      </w:r>
      <w:r>
        <w:rPr>
          <w:rFonts w:hint="eastAsia" w:ascii="宋体" w:hAnsi="宋体"/>
          <w:color w:val="auto"/>
          <w:highlight w:val="none"/>
          <w:u w:val="single"/>
        </w:rPr>
        <w:t xml:space="preserve">   </w:t>
      </w:r>
      <w:r>
        <w:rPr>
          <w:rFonts w:hint="eastAsia" w:ascii="宋体" w:hAnsi="宋体"/>
          <w:color w:val="auto"/>
          <w:highlight w:val="none"/>
        </w:rPr>
        <w:t xml:space="preserve">万元的银行信贷，供 </w:t>
      </w:r>
      <w:r>
        <w:rPr>
          <w:rFonts w:hint="eastAsia" w:ascii="宋体" w:hAnsi="宋体"/>
          <w:color w:val="auto"/>
          <w:highlight w:val="none"/>
          <w:u w:val="single"/>
        </w:rPr>
        <w:t xml:space="preserve">           </w:t>
      </w:r>
      <w:r>
        <w:rPr>
          <w:rFonts w:hint="eastAsia" w:ascii="宋体" w:hAnsi="宋体"/>
          <w:color w:val="auto"/>
          <w:highlight w:val="none"/>
        </w:rPr>
        <w:t>（投标人注册地点）</w:t>
      </w:r>
      <w:r>
        <w:rPr>
          <w:rFonts w:hint="eastAsia" w:ascii="宋体" w:hAnsi="宋体"/>
          <w:color w:val="auto"/>
          <w:highlight w:val="none"/>
          <w:u w:val="single"/>
        </w:rPr>
        <w:t xml:space="preserve">           </w:t>
      </w:r>
      <w:r>
        <w:rPr>
          <w:rFonts w:hint="eastAsia" w:ascii="宋体" w:hAnsi="宋体"/>
          <w:color w:val="auto"/>
          <w:highlight w:val="none"/>
        </w:rPr>
        <w:t>（投标人名称）于</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日之前，在</w:t>
      </w:r>
      <w:r>
        <w:rPr>
          <w:rFonts w:hint="eastAsia" w:ascii="宋体" w:hAnsi="宋体"/>
          <w:color w:val="auto"/>
          <w:highlight w:val="none"/>
          <w:u w:val="single"/>
        </w:rPr>
        <w:t xml:space="preserve">    </w:t>
      </w:r>
      <w:r>
        <w:rPr>
          <w:rFonts w:hint="eastAsia" w:ascii="宋体" w:hAnsi="宋体"/>
          <w:color w:val="auto"/>
          <w:highlight w:val="none"/>
        </w:rPr>
        <w:t>（项目名称）需要时使用。我行保证由</w:t>
      </w:r>
      <w:r>
        <w:rPr>
          <w:rFonts w:hint="eastAsia" w:ascii="宋体" w:hAnsi="宋体"/>
          <w:color w:val="auto"/>
          <w:highlight w:val="none"/>
          <w:u w:val="single"/>
        </w:rPr>
        <w:t xml:space="preserve">             </w:t>
      </w:r>
      <w:r>
        <w:rPr>
          <w:rFonts w:hint="eastAsia" w:ascii="宋体" w:hAnsi="宋体"/>
          <w:color w:val="auto"/>
          <w:highlight w:val="none"/>
        </w:rPr>
        <w:t>（投标人名称）提供的财务报表中所开列的作为流动资产的各项中无一项包含在上述提到的银行信贷中。</w:t>
      </w:r>
    </w:p>
    <w:p>
      <w:pPr>
        <w:spacing w:line="500" w:lineRule="exact"/>
        <w:ind w:firstLine="420" w:firstLineChars="200"/>
        <w:rPr>
          <w:rFonts w:hint="eastAsia" w:ascii="宋体" w:hAnsi="宋体"/>
          <w:color w:val="auto"/>
          <w:highlight w:val="none"/>
        </w:rPr>
      </w:pPr>
      <w:r>
        <w:rPr>
          <w:rFonts w:hint="eastAsia" w:ascii="宋体" w:hAnsi="宋体"/>
          <w:color w:val="auto"/>
          <w:highlight w:val="none"/>
        </w:rPr>
        <w:t>此项目若未中标，该信贷证明自动失效，无需退回我行。</w:t>
      </w:r>
    </w:p>
    <w:p>
      <w:pPr>
        <w:spacing w:line="500" w:lineRule="exact"/>
        <w:rPr>
          <w:rFonts w:hint="eastAsia" w:ascii="宋体" w:hAnsi="宋体"/>
          <w:color w:val="auto"/>
          <w:highlight w:val="none"/>
        </w:rPr>
      </w:pPr>
    </w:p>
    <w:p>
      <w:pPr>
        <w:spacing w:line="500" w:lineRule="exact"/>
        <w:rPr>
          <w:rFonts w:hint="eastAsia" w:ascii="宋体" w:hAnsi="宋体"/>
          <w:color w:val="auto"/>
          <w:highlight w:val="none"/>
        </w:rPr>
      </w:pPr>
    </w:p>
    <w:p>
      <w:pPr>
        <w:spacing w:line="500" w:lineRule="exact"/>
        <w:rPr>
          <w:rFonts w:hint="eastAsia" w:ascii="宋体" w:hAnsi="宋体"/>
          <w:color w:val="auto"/>
          <w:highlight w:val="none"/>
        </w:rPr>
      </w:pPr>
    </w:p>
    <w:p>
      <w:pPr>
        <w:spacing w:line="500" w:lineRule="exact"/>
        <w:ind w:firstLine="3480"/>
        <w:rPr>
          <w:rFonts w:hint="eastAsia" w:ascii="宋体" w:hAnsi="宋体"/>
          <w:color w:val="auto"/>
          <w:highlight w:val="none"/>
          <w:u w:val="single"/>
        </w:rPr>
      </w:pPr>
      <w:r>
        <w:rPr>
          <w:rFonts w:hint="eastAsia" w:ascii="宋体" w:hAnsi="宋体"/>
          <w:color w:val="auto"/>
          <w:spacing w:val="186"/>
          <w:kern w:val="0"/>
          <w:highlight w:val="none"/>
        </w:rPr>
        <w:t>银行（盖章</w:t>
      </w:r>
      <w:r>
        <w:rPr>
          <w:rFonts w:hint="eastAsia" w:ascii="宋体" w:hAnsi="宋体"/>
          <w:color w:val="auto"/>
          <w:kern w:val="0"/>
          <w:highlight w:val="none"/>
        </w:rPr>
        <w:t>）</w:t>
      </w:r>
      <w:r>
        <w:rPr>
          <w:rFonts w:hint="eastAsia" w:ascii="宋体" w:hAnsi="宋体"/>
          <w:color w:val="auto"/>
          <w:highlight w:val="none"/>
        </w:rPr>
        <w:t>：</w:t>
      </w:r>
      <w:r>
        <w:rPr>
          <w:rFonts w:hint="eastAsia" w:ascii="宋体" w:hAnsi="宋体"/>
          <w:color w:val="auto"/>
          <w:highlight w:val="none"/>
          <w:u w:val="single"/>
        </w:rPr>
        <w:t xml:space="preserve">                  </w:t>
      </w:r>
    </w:p>
    <w:p>
      <w:pPr>
        <w:spacing w:line="500" w:lineRule="exact"/>
        <w:ind w:firstLine="3480"/>
        <w:rPr>
          <w:rFonts w:hint="eastAsia" w:ascii="宋体" w:hAnsi="宋体"/>
          <w:color w:val="auto"/>
          <w:highlight w:val="none"/>
          <w:u w:val="single"/>
        </w:rPr>
      </w:pPr>
      <w:r>
        <w:rPr>
          <w:rFonts w:hint="eastAsia" w:ascii="宋体" w:hAnsi="宋体"/>
          <w:color w:val="auto"/>
          <w:spacing w:val="40"/>
          <w:kern w:val="0"/>
          <w:highlight w:val="none"/>
        </w:rPr>
        <w:t>银行主要负责人（签字</w:t>
      </w:r>
      <w:r>
        <w:rPr>
          <w:rFonts w:hint="eastAsia" w:ascii="宋体" w:hAnsi="宋体"/>
          <w:color w:val="auto"/>
          <w:spacing w:val="4"/>
          <w:kern w:val="0"/>
          <w:highlight w:val="none"/>
        </w:rPr>
        <w:t>）</w:t>
      </w:r>
      <w:r>
        <w:rPr>
          <w:rFonts w:hint="eastAsia" w:ascii="宋体" w:hAnsi="宋体"/>
          <w:color w:val="auto"/>
          <w:highlight w:val="none"/>
        </w:rPr>
        <w:t>：</w:t>
      </w:r>
      <w:r>
        <w:rPr>
          <w:rFonts w:hint="eastAsia" w:ascii="宋体" w:hAnsi="宋体"/>
          <w:color w:val="auto"/>
          <w:highlight w:val="none"/>
          <w:u w:val="single"/>
        </w:rPr>
        <w:t xml:space="preserve">                  </w:t>
      </w:r>
    </w:p>
    <w:p>
      <w:pPr>
        <w:spacing w:line="500" w:lineRule="exact"/>
        <w:ind w:firstLine="3480"/>
        <w:rPr>
          <w:rFonts w:hint="eastAsia" w:ascii="宋体" w:hAnsi="宋体"/>
          <w:color w:val="auto"/>
          <w:highlight w:val="none"/>
          <w:u w:val="single"/>
        </w:rPr>
      </w:pPr>
      <w:r>
        <w:rPr>
          <w:rFonts w:hint="eastAsia" w:ascii="宋体" w:hAnsi="宋体"/>
          <w:color w:val="auto"/>
          <w:highlight w:val="none"/>
        </w:rPr>
        <w:t>银行主要负责人的姓名、职务：</w:t>
      </w:r>
      <w:r>
        <w:rPr>
          <w:rFonts w:hint="eastAsia" w:ascii="宋体" w:hAnsi="宋体"/>
          <w:color w:val="auto"/>
          <w:highlight w:val="none"/>
          <w:u w:val="single"/>
        </w:rPr>
        <w:t xml:space="preserve">   (打印)    </w:t>
      </w:r>
    </w:p>
    <w:p>
      <w:pPr>
        <w:spacing w:line="500" w:lineRule="exact"/>
        <w:ind w:firstLine="3480"/>
        <w:rPr>
          <w:rFonts w:hint="eastAsia" w:ascii="宋体" w:hAnsi="宋体"/>
          <w:color w:val="auto"/>
          <w:highlight w:val="none"/>
          <w:u w:val="single"/>
        </w:rPr>
      </w:pPr>
      <w:r>
        <w:rPr>
          <w:rFonts w:hint="eastAsia" w:ascii="宋体" w:hAnsi="宋体"/>
          <w:color w:val="auto"/>
          <w:spacing w:val="380"/>
          <w:kern w:val="0"/>
          <w:highlight w:val="none"/>
        </w:rPr>
        <w:t>银行电</w:t>
      </w:r>
      <w:r>
        <w:rPr>
          <w:rFonts w:hint="eastAsia" w:ascii="宋体" w:hAnsi="宋体"/>
          <w:color w:val="auto"/>
          <w:kern w:val="0"/>
          <w:highlight w:val="none"/>
        </w:rPr>
        <w:t>话</w:t>
      </w:r>
      <w:r>
        <w:rPr>
          <w:rFonts w:hint="eastAsia" w:ascii="宋体" w:hAnsi="宋体"/>
          <w:color w:val="auto"/>
          <w:highlight w:val="none"/>
        </w:rPr>
        <w:t>：</w:t>
      </w:r>
      <w:r>
        <w:rPr>
          <w:rFonts w:hint="eastAsia" w:ascii="宋体" w:hAnsi="宋体"/>
          <w:color w:val="auto"/>
          <w:highlight w:val="none"/>
          <w:u w:val="single"/>
        </w:rPr>
        <w:t xml:space="preserve">                  </w:t>
      </w:r>
    </w:p>
    <w:p>
      <w:pPr>
        <w:spacing w:line="500" w:lineRule="exact"/>
        <w:ind w:firstLine="3480"/>
        <w:rPr>
          <w:rFonts w:hint="eastAsia" w:ascii="宋体" w:hAnsi="宋体"/>
          <w:color w:val="auto"/>
          <w:highlight w:val="none"/>
          <w:u w:val="single"/>
        </w:rPr>
      </w:pPr>
      <w:r>
        <w:rPr>
          <w:rFonts w:hint="eastAsia" w:ascii="宋体" w:hAnsi="宋体"/>
          <w:color w:val="auto"/>
          <w:spacing w:val="380"/>
          <w:kern w:val="0"/>
          <w:highlight w:val="none"/>
        </w:rPr>
        <w:t>银行传</w:t>
      </w:r>
      <w:r>
        <w:rPr>
          <w:rFonts w:hint="eastAsia" w:ascii="宋体" w:hAnsi="宋体"/>
          <w:color w:val="auto"/>
          <w:kern w:val="0"/>
          <w:highlight w:val="none"/>
        </w:rPr>
        <w:t>真</w:t>
      </w:r>
      <w:r>
        <w:rPr>
          <w:rFonts w:hint="eastAsia" w:ascii="宋体" w:hAnsi="宋体"/>
          <w:color w:val="auto"/>
          <w:highlight w:val="none"/>
        </w:rPr>
        <w:t>：</w:t>
      </w:r>
      <w:r>
        <w:rPr>
          <w:rFonts w:hint="eastAsia" w:ascii="宋体" w:hAnsi="宋体"/>
          <w:color w:val="auto"/>
          <w:highlight w:val="none"/>
          <w:u w:val="single"/>
        </w:rPr>
        <w:t xml:space="preserve">                  </w:t>
      </w:r>
    </w:p>
    <w:p>
      <w:pPr>
        <w:spacing w:line="500" w:lineRule="exact"/>
        <w:rPr>
          <w:rFonts w:hint="eastAsia" w:ascii="宋体" w:hAnsi="宋体"/>
          <w:color w:val="auto"/>
          <w:highlight w:val="none"/>
        </w:rPr>
      </w:pPr>
    </w:p>
    <w:p>
      <w:pPr>
        <w:rPr>
          <w:rFonts w:hint="eastAsia" w:ascii="宋体" w:hAnsi="宋体"/>
          <w:color w:val="auto"/>
          <w:highlight w:val="none"/>
        </w:rPr>
      </w:pPr>
      <w:r>
        <w:rPr>
          <w:rFonts w:hint="eastAsia" w:ascii="宋体" w:hAnsi="宋体"/>
          <w:color w:val="auto"/>
          <w:highlight w:val="none"/>
        </w:rPr>
        <w:t>注：1.允许投标人实际开具的银行信贷证明的格式与本表格式有所不同，但不得更改《银行信贷证明格式中的实质性内容。</w:t>
      </w:r>
    </w:p>
    <w:p>
      <w:pPr>
        <w:ind w:firstLine="420"/>
        <w:rPr>
          <w:rFonts w:hint="eastAsia" w:ascii="宋体" w:hAnsi="宋体"/>
          <w:color w:val="auto"/>
          <w:highlight w:val="none"/>
        </w:rPr>
      </w:pPr>
      <w:r>
        <w:rPr>
          <w:rFonts w:hint="eastAsia" w:ascii="宋体" w:hAnsi="宋体"/>
          <w:color w:val="auto"/>
          <w:highlight w:val="none"/>
        </w:rPr>
        <w:t>2、银行主要负责人应亲笔签名，不得使用印章、签名章或其他电子制版签名，否则，视为无效。</w:t>
      </w:r>
    </w:p>
    <w:p>
      <w:pPr>
        <w:ind w:firstLine="420"/>
        <w:rPr>
          <w:rFonts w:hint="eastAsia" w:ascii="宋体" w:hAnsi="宋体"/>
          <w:color w:val="auto"/>
          <w:highlight w:val="none"/>
        </w:rPr>
      </w:pPr>
      <w:r>
        <w:rPr>
          <w:rFonts w:hint="eastAsia" w:ascii="宋体" w:hAnsi="宋体"/>
          <w:color w:val="auto"/>
          <w:highlight w:val="none"/>
        </w:rPr>
        <w:t>3、</w:t>
      </w:r>
      <w:r>
        <w:rPr>
          <w:rFonts w:hint="eastAsia"/>
          <w:color w:val="auto"/>
          <w:highlight w:val="none"/>
        </w:rPr>
        <w:t>开具</w:t>
      </w:r>
      <w:r>
        <w:rPr>
          <w:rFonts w:hint="eastAsia" w:ascii="宋体" w:hAnsi="宋体"/>
          <w:color w:val="auto"/>
          <w:highlight w:val="none"/>
        </w:rPr>
        <w:t>银行信贷证明</w:t>
      </w:r>
      <w:r>
        <w:rPr>
          <w:rFonts w:hint="eastAsia"/>
          <w:color w:val="auto"/>
          <w:highlight w:val="none"/>
        </w:rPr>
        <w:t>的银行级别：</w:t>
      </w:r>
      <w:r>
        <w:rPr>
          <w:rFonts w:hint="eastAsia" w:ascii="楷体_GB2312" w:eastAsia="楷体_GB2312"/>
          <w:color w:val="auto"/>
          <w:highlight w:val="none"/>
        </w:rPr>
        <w:t>国有或股份制商业银行县（区、市）级及以上银行。</w:t>
      </w:r>
    </w:p>
    <w:p>
      <w:pPr>
        <w:jc w:val="center"/>
        <w:rPr>
          <w:rFonts w:ascii="宋体" w:hAnsi="宋体"/>
          <w:color w:val="auto"/>
          <w:highlight w:val="none"/>
        </w:rPr>
      </w:pPr>
      <w:r>
        <w:rPr>
          <w:rFonts w:ascii="宋体" w:hAnsi="宋体"/>
          <w:color w:val="auto"/>
          <w:highlight w:val="none"/>
        </w:rPr>
        <w:br w:type="page"/>
      </w:r>
    </w:p>
    <w:p>
      <w:pPr>
        <w:jc w:val="center"/>
        <w:rPr>
          <w:rFonts w:ascii="宋体" w:hAnsi="宋体"/>
          <w:b/>
          <w:color w:val="auto"/>
          <w:sz w:val="32"/>
          <w:szCs w:val="32"/>
          <w:highlight w:val="none"/>
        </w:rPr>
      </w:pPr>
      <w:r>
        <w:rPr>
          <w:rFonts w:hint="eastAsia" w:ascii="宋体" w:hAnsi="宋体"/>
          <w:b/>
          <w:color w:val="auto"/>
          <w:sz w:val="32"/>
          <w:szCs w:val="32"/>
          <w:highlight w:val="none"/>
        </w:rPr>
        <w:t>财务能力承诺书</w:t>
      </w:r>
    </w:p>
    <w:p>
      <w:pPr>
        <w:spacing w:line="360" w:lineRule="auto"/>
        <w:rPr>
          <w:rFonts w:ascii="宋体" w:hAnsi="宋体"/>
          <w:color w:val="auto"/>
          <w:spacing w:val="-6"/>
          <w:highlight w:val="none"/>
        </w:rPr>
      </w:pPr>
    </w:p>
    <w:p>
      <w:pPr>
        <w:spacing w:line="360" w:lineRule="auto"/>
        <w:rPr>
          <w:rFonts w:ascii="宋体" w:hAnsi="宋体"/>
          <w:color w:val="auto"/>
          <w:spacing w:val="-6"/>
          <w:highlight w:val="none"/>
        </w:rPr>
      </w:pPr>
      <w:r>
        <w:rPr>
          <w:rFonts w:hint="eastAsia" w:ascii="宋体" w:hAnsi="宋体"/>
          <w:color w:val="auto"/>
          <w:spacing w:val="-6"/>
          <w:highlight w:val="none"/>
        </w:rPr>
        <w:t>致：</w:t>
      </w:r>
      <w:r>
        <w:rPr>
          <w:rFonts w:hint="eastAsia" w:ascii="宋体" w:hAnsi="宋体"/>
          <w:color w:val="auto"/>
          <w:spacing w:val="-6"/>
          <w:highlight w:val="none"/>
          <w:u w:val="single"/>
        </w:rPr>
        <w:t xml:space="preserve">     （招标人全称）       </w:t>
      </w:r>
      <w:r>
        <w:rPr>
          <w:rFonts w:hint="eastAsia" w:ascii="宋体" w:hAnsi="宋体"/>
          <w:color w:val="auto"/>
          <w:spacing w:val="-6"/>
          <w:highlight w:val="none"/>
        </w:rPr>
        <w:t xml:space="preserve"> </w:t>
      </w:r>
    </w:p>
    <w:p>
      <w:pPr>
        <w:spacing w:line="360" w:lineRule="auto"/>
        <w:ind w:firstLine="495" w:firstLineChars="250"/>
        <w:rPr>
          <w:rFonts w:ascii="宋体" w:hAnsi="宋体"/>
          <w:color w:val="auto"/>
          <w:spacing w:val="-6"/>
          <w:highlight w:val="none"/>
        </w:rPr>
      </w:pPr>
      <w:r>
        <w:rPr>
          <w:rFonts w:hint="eastAsia" w:ascii="宋体" w:hAnsi="宋体"/>
          <w:color w:val="auto"/>
          <w:spacing w:val="-6"/>
          <w:highlight w:val="none"/>
        </w:rPr>
        <w:t>我谨代表</w:t>
      </w:r>
      <w:r>
        <w:rPr>
          <w:rFonts w:hint="eastAsia" w:ascii="宋体" w:hAnsi="宋体"/>
          <w:color w:val="auto"/>
          <w:spacing w:val="-6"/>
          <w:highlight w:val="none"/>
          <w:u w:val="single"/>
        </w:rPr>
        <w:t xml:space="preserve">   （投标人全称）     </w:t>
      </w:r>
      <w:r>
        <w:rPr>
          <w:rFonts w:hint="eastAsia" w:ascii="宋体" w:hAnsi="宋体"/>
          <w:color w:val="auto"/>
          <w:spacing w:val="-6"/>
          <w:highlight w:val="none"/>
        </w:rPr>
        <w:t>郑重承诺：若我单位有幸在</w:t>
      </w:r>
      <w:r>
        <w:rPr>
          <w:rFonts w:hint="eastAsia" w:ascii="宋体" w:hAnsi="宋体"/>
          <w:color w:val="auto"/>
          <w:spacing w:val="-6"/>
          <w:highlight w:val="none"/>
          <w:u w:val="single"/>
        </w:rPr>
        <w:t xml:space="preserve">   （项目名称）       </w:t>
      </w:r>
      <w:r>
        <w:rPr>
          <w:rFonts w:hint="eastAsia" w:ascii="宋体" w:hAnsi="宋体"/>
          <w:color w:val="auto"/>
          <w:spacing w:val="-6"/>
          <w:highlight w:val="none"/>
        </w:rPr>
        <w:t>工程投标活动中中标，将提供人民币（大写）</w:t>
      </w:r>
      <w:r>
        <w:rPr>
          <w:rFonts w:hint="eastAsia" w:ascii="宋体" w:hAnsi="宋体"/>
          <w:color w:val="auto"/>
          <w:spacing w:val="-6"/>
          <w:highlight w:val="none"/>
          <w:u w:val="single"/>
        </w:rPr>
        <w:t xml:space="preserve">             </w:t>
      </w:r>
      <w:r>
        <w:rPr>
          <w:rFonts w:hint="eastAsia" w:ascii="宋体" w:hAnsi="宋体"/>
          <w:color w:val="auto"/>
          <w:spacing w:val="-6"/>
          <w:highlight w:val="none"/>
        </w:rPr>
        <w:t>元（￥</w:t>
      </w:r>
      <w:r>
        <w:rPr>
          <w:rFonts w:hint="eastAsia" w:ascii="宋体" w:hAnsi="宋体"/>
          <w:color w:val="auto"/>
          <w:spacing w:val="-6"/>
          <w:highlight w:val="none"/>
          <w:u w:val="single"/>
        </w:rPr>
        <w:t xml:space="preserve">             </w:t>
      </w:r>
      <w:r>
        <w:rPr>
          <w:rFonts w:hint="eastAsia" w:ascii="宋体" w:hAnsi="宋体"/>
          <w:color w:val="auto"/>
          <w:spacing w:val="-6"/>
          <w:highlight w:val="none"/>
        </w:rPr>
        <w:t>）的流动资金，供本项目在施工需要时使用。</w:t>
      </w:r>
    </w:p>
    <w:p>
      <w:pPr>
        <w:spacing w:line="360" w:lineRule="auto"/>
        <w:ind w:firstLine="396" w:firstLineChars="200"/>
        <w:rPr>
          <w:rFonts w:ascii="宋体" w:hAnsi="宋体"/>
          <w:color w:val="auto"/>
          <w:spacing w:val="-6"/>
          <w:highlight w:val="none"/>
        </w:rPr>
      </w:pPr>
      <w:r>
        <w:rPr>
          <w:rFonts w:hint="eastAsia" w:ascii="宋体" w:hAnsi="宋体"/>
          <w:color w:val="auto"/>
          <w:spacing w:val="-6"/>
          <w:highlight w:val="none"/>
        </w:rPr>
        <w:t>特此承诺。</w:t>
      </w:r>
    </w:p>
    <w:p>
      <w:pPr>
        <w:spacing w:line="360" w:lineRule="auto"/>
        <w:ind w:firstLine="396" w:firstLineChars="200"/>
        <w:rPr>
          <w:rFonts w:ascii="宋体" w:hAnsi="宋体"/>
          <w:color w:val="auto"/>
          <w:spacing w:val="-6"/>
          <w:highlight w:val="none"/>
        </w:rPr>
      </w:pPr>
    </w:p>
    <w:p>
      <w:pPr>
        <w:spacing w:line="360" w:lineRule="auto"/>
        <w:ind w:right="297"/>
        <w:jc w:val="right"/>
        <w:rPr>
          <w:rFonts w:ascii="宋体" w:hAnsi="宋体"/>
          <w:color w:val="auto"/>
          <w:spacing w:val="-6"/>
          <w:highlight w:val="none"/>
          <w:u w:val="single"/>
        </w:rPr>
      </w:pPr>
      <w:r>
        <w:rPr>
          <w:rFonts w:hint="eastAsia" w:ascii="宋体" w:hAnsi="宋体"/>
          <w:color w:val="auto"/>
          <w:spacing w:val="-6"/>
          <w:highlight w:val="none"/>
        </w:rPr>
        <w:t>投标人：</w:t>
      </w:r>
      <w:r>
        <w:rPr>
          <w:rFonts w:hint="eastAsia" w:ascii="宋体" w:hAnsi="宋体"/>
          <w:color w:val="auto"/>
          <w:spacing w:val="-6"/>
          <w:highlight w:val="none"/>
          <w:u w:val="single"/>
        </w:rPr>
        <w:t xml:space="preserve">                   （盖章）    </w:t>
      </w:r>
    </w:p>
    <w:p>
      <w:pPr>
        <w:spacing w:line="360" w:lineRule="auto"/>
        <w:ind w:right="396"/>
        <w:jc w:val="center"/>
        <w:rPr>
          <w:rFonts w:ascii="宋体" w:hAnsi="宋体"/>
          <w:color w:val="auto"/>
          <w:spacing w:val="-6"/>
          <w:highlight w:val="none"/>
        </w:rPr>
      </w:pPr>
      <w:r>
        <w:rPr>
          <w:rFonts w:hint="eastAsia" w:ascii="宋体" w:hAnsi="宋体"/>
          <w:color w:val="auto"/>
          <w:spacing w:val="-6"/>
          <w:highlight w:val="none"/>
        </w:rPr>
        <w:t xml:space="preserve">                               法定代表人</w:t>
      </w:r>
    </w:p>
    <w:p>
      <w:pPr>
        <w:spacing w:line="360" w:lineRule="auto"/>
        <w:jc w:val="right"/>
        <w:rPr>
          <w:rFonts w:ascii="宋体" w:hAnsi="宋体"/>
          <w:color w:val="auto"/>
          <w:spacing w:val="-6"/>
          <w:highlight w:val="none"/>
          <w:u w:val="single"/>
        </w:rPr>
      </w:pPr>
      <w:r>
        <w:rPr>
          <w:rFonts w:hint="eastAsia" w:ascii="宋体" w:hAnsi="宋体"/>
          <w:color w:val="auto"/>
          <w:spacing w:val="-6"/>
          <w:highlight w:val="none"/>
        </w:rPr>
        <w:t>或其授权的代理人：</w:t>
      </w:r>
      <w:r>
        <w:rPr>
          <w:rFonts w:hint="eastAsia" w:ascii="宋体" w:hAnsi="宋体"/>
          <w:color w:val="auto"/>
          <w:spacing w:val="-6"/>
          <w:highlight w:val="none"/>
          <w:u w:val="single"/>
        </w:rPr>
        <w:t xml:space="preserve">           （签字）</w:t>
      </w:r>
    </w:p>
    <w:p>
      <w:pPr>
        <w:spacing w:line="360" w:lineRule="auto"/>
        <w:ind w:right="198"/>
        <w:jc w:val="right"/>
        <w:rPr>
          <w:rFonts w:ascii="宋体" w:hAnsi="宋体"/>
          <w:color w:val="auto"/>
          <w:spacing w:val="-6"/>
          <w:highlight w:val="none"/>
        </w:rPr>
      </w:pPr>
      <w:r>
        <w:rPr>
          <w:rFonts w:hint="eastAsia" w:ascii="宋体" w:hAnsi="宋体"/>
          <w:color w:val="auto"/>
          <w:spacing w:val="-6"/>
          <w:highlight w:val="none"/>
        </w:rPr>
        <w:t>日       期：</w:t>
      </w:r>
      <w:r>
        <w:rPr>
          <w:rFonts w:hint="eastAsia" w:ascii="宋体" w:hAnsi="宋体"/>
          <w:color w:val="auto"/>
          <w:spacing w:val="-6"/>
          <w:highlight w:val="none"/>
          <w:u w:val="single"/>
        </w:rPr>
        <w:t xml:space="preserve">       </w:t>
      </w:r>
      <w:r>
        <w:rPr>
          <w:rFonts w:hint="eastAsia" w:ascii="宋体" w:hAnsi="宋体"/>
          <w:color w:val="auto"/>
          <w:spacing w:val="-6"/>
          <w:highlight w:val="none"/>
        </w:rPr>
        <w:t>年</w:t>
      </w:r>
      <w:r>
        <w:rPr>
          <w:rFonts w:hint="eastAsia" w:ascii="宋体" w:hAnsi="宋体"/>
          <w:color w:val="auto"/>
          <w:spacing w:val="-6"/>
          <w:highlight w:val="none"/>
          <w:u w:val="single"/>
        </w:rPr>
        <w:t xml:space="preserve">     </w:t>
      </w:r>
      <w:r>
        <w:rPr>
          <w:rFonts w:hint="eastAsia" w:ascii="宋体" w:hAnsi="宋体"/>
          <w:color w:val="auto"/>
          <w:spacing w:val="-6"/>
          <w:highlight w:val="none"/>
        </w:rPr>
        <w:t xml:space="preserve"> 月</w:t>
      </w:r>
      <w:r>
        <w:rPr>
          <w:rFonts w:hint="eastAsia" w:ascii="宋体" w:hAnsi="宋体"/>
          <w:color w:val="auto"/>
          <w:spacing w:val="-6"/>
          <w:highlight w:val="none"/>
          <w:u w:val="single"/>
        </w:rPr>
        <w:t xml:space="preserve">    </w:t>
      </w:r>
      <w:r>
        <w:rPr>
          <w:rFonts w:hint="eastAsia" w:ascii="宋体" w:hAnsi="宋体"/>
          <w:color w:val="auto"/>
          <w:spacing w:val="-6"/>
          <w:highlight w:val="none"/>
        </w:rPr>
        <w:t>日</w:t>
      </w:r>
    </w:p>
    <w:p>
      <w:pPr>
        <w:spacing w:line="360" w:lineRule="auto"/>
        <w:ind w:firstLine="4554" w:firstLineChars="2300"/>
        <w:rPr>
          <w:rFonts w:hint="eastAsia" w:ascii="宋体" w:hAnsi="宋体"/>
          <w:color w:val="auto"/>
          <w:spacing w:val="-6"/>
          <w:highlight w:val="none"/>
        </w:rPr>
      </w:pPr>
    </w:p>
    <w:p>
      <w:pPr>
        <w:spacing w:line="360" w:lineRule="auto"/>
        <w:ind w:firstLine="4554" w:firstLineChars="2300"/>
        <w:rPr>
          <w:rFonts w:hint="eastAsia" w:ascii="宋体" w:hAnsi="宋体"/>
          <w:color w:val="auto"/>
          <w:spacing w:val="-6"/>
          <w:highlight w:val="none"/>
        </w:rPr>
      </w:pPr>
    </w:p>
    <w:p>
      <w:pPr>
        <w:spacing w:line="360" w:lineRule="auto"/>
        <w:ind w:firstLine="4554" w:firstLineChars="2300"/>
        <w:rPr>
          <w:rFonts w:hint="eastAsia" w:ascii="宋体" w:hAnsi="宋体"/>
          <w:color w:val="auto"/>
          <w:spacing w:val="-6"/>
          <w:highlight w:val="none"/>
        </w:rPr>
      </w:pPr>
    </w:p>
    <w:p>
      <w:pPr>
        <w:spacing w:line="360" w:lineRule="auto"/>
        <w:ind w:firstLine="4554" w:firstLineChars="2300"/>
        <w:rPr>
          <w:rFonts w:hint="eastAsia" w:ascii="宋体" w:hAnsi="宋体"/>
          <w:color w:val="auto"/>
          <w:spacing w:val="-6"/>
          <w:highlight w:val="none"/>
        </w:rPr>
      </w:pPr>
    </w:p>
    <w:p>
      <w:pPr>
        <w:spacing w:line="360" w:lineRule="auto"/>
        <w:ind w:firstLine="4554" w:firstLineChars="2300"/>
        <w:rPr>
          <w:rFonts w:ascii="宋体" w:hAnsi="宋体"/>
          <w:color w:val="auto"/>
          <w:spacing w:val="-6"/>
          <w:highlight w:val="none"/>
        </w:rPr>
      </w:pPr>
    </w:p>
    <w:p>
      <w:pPr>
        <w:ind w:firstLine="396" w:firstLineChars="200"/>
        <w:rPr>
          <w:rFonts w:ascii="宋体" w:hAnsi="宋体"/>
          <w:color w:val="auto"/>
          <w:spacing w:val="-6"/>
          <w:highlight w:val="none"/>
        </w:rPr>
      </w:pPr>
      <w:r>
        <w:rPr>
          <w:rFonts w:hint="eastAsia" w:ascii="宋体" w:hAnsi="宋体"/>
          <w:color w:val="auto"/>
          <w:spacing w:val="-6"/>
          <w:highlight w:val="none"/>
        </w:rPr>
        <w:t>注：要求提供的流动资金金额详见投标人须知附录2“资格审查条件（财务最低要求）”。</w:t>
      </w:r>
    </w:p>
    <w:p>
      <w:pPr>
        <w:pStyle w:val="34"/>
        <w:spacing w:before="0" w:after="0"/>
        <w:ind w:firstLine="420"/>
        <w:rPr>
          <w:rFonts w:hint="eastAsia"/>
          <w:color w:val="auto"/>
          <w:sz w:val="21"/>
          <w:szCs w:val="21"/>
          <w:highlight w:val="none"/>
        </w:rPr>
      </w:pPr>
    </w:p>
    <w:p>
      <w:pPr>
        <w:pStyle w:val="34"/>
        <w:spacing w:before="0" w:after="0"/>
        <w:ind w:firstLine="420"/>
        <w:rPr>
          <w:rFonts w:hint="eastAsia"/>
          <w:color w:val="auto"/>
          <w:sz w:val="21"/>
          <w:szCs w:val="21"/>
          <w:highlight w:val="none"/>
        </w:rPr>
      </w:pPr>
    </w:p>
    <w:p>
      <w:pPr>
        <w:pStyle w:val="34"/>
        <w:spacing w:before="0" w:after="0"/>
        <w:ind w:firstLine="420"/>
        <w:rPr>
          <w:rFonts w:hint="eastAsia"/>
          <w:color w:val="auto"/>
          <w:sz w:val="21"/>
          <w:szCs w:val="21"/>
          <w:highlight w:val="none"/>
        </w:rPr>
      </w:pPr>
    </w:p>
    <w:p>
      <w:pPr>
        <w:pStyle w:val="34"/>
        <w:spacing w:before="0" w:after="0"/>
        <w:ind w:firstLine="420"/>
        <w:rPr>
          <w:rFonts w:hint="eastAsia"/>
          <w:color w:val="auto"/>
          <w:sz w:val="21"/>
          <w:szCs w:val="21"/>
          <w:highlight w:val="none"/>
        </w:rPr>
      </w:pPr>
    </w:p>
    <w:p>
      <w:pPr>
        <w:pStyle w:val="34"/>
        <w:spacing w:before="0" w:after="0"/>
        <w:ind w:firstLine="420"/>
        <w:rPr>
          <w:rFonts w:hint="eastAsia"/>
          <w:color w:val="auto"/>
          <w:sz w:val="21"/>
          <w:szCs w:val="21"/>
          <w:highlight w:val="none"/>
        </w:rPr>
      </w:pPr>
    </w:p>
    <w:p>
      <w:pPr>
        <w:pStyle w:val="34"/>
        <w:spacing w:before="0" w:after="0"/>
        <w:ind w:firstLine="420"/>
        <w:rPr>
          <w:rFonts w:hint="eastAsia"/>
          <w:color w:val="auto"/>
          <w:sz w:val="21"/>
          <w:szCs w:val="21"/>
          <w:highlight w:val="none"/>
        </w:rPr>
      </w:pPr>
    </w:p>
    <w:p>
      <w:pPr>
        <w:pStyle w:val="34"/>
        <w:spacing w:before="0" w:after="0"/>
        <w:ind w:firstLine="420"/>
        <w:rPr>
          <w:rFonts w:hint="eastAsia"/>
          <w:color w:val="auto"/>
          <w:sz w:val="21"/>
          <w:szCs w:val="21"/>
          <w:highlight w:val="none"/>
        </w:rPr>
      </w:pPr>
    </w:p>
    <w:p>
      <w:pPr>
        <w:pStyle w:val="34"/>
        <w:spacing w:before="0" w:after="0"/>
        <w:ind w:firstLine="420"/>
        <w:rPr>
          <w:rFonts w:hint="eastAsia"/>
          <w:color w:val="auto"/>
          <w:sz w:val="21"/>
          <w:szCs w:val="21"/>
          <w:highlight w:val="none"/>
        </w:rPr>
      </w:pPr>
    </w:p>
    <w:p>
      <w:pPr>
        <w:pStyle w:val="34"/>
        <w:spacing w:before="0" w:after="0"/>
        <w:rPr>
          <w:rFonts w:hint="eastAsia"/>
          <w:color w:val="auto"/>
          <w:sz w:val="21"/>
          <w:szCs w:val="21"/>
          <w:highlight w:val="none"/>
        </w:rPr>
      </w:pPr>
    </w:p>
    <w:p>
      <w:pPr>
        <w:pStyle w:val="34"/>
        <w:spacing w:before="0" w:after="0"/>
        <w:rPr>
          <w:rFonts w:hint="eastAsia"/>
          <w:color w:val="auto"/>
          <w:sz w:val="21"/>
          <w:szCs w:val="21"/>
          <w:highlight w:val="none"/>
        </w:rPr>
      </w:pPr>
    </w:p>
    <w:p>
      <w:pPr>
        <w:ind w:firstLine="396" w:firstLineChars="200"/>
        <w:rPr>
          <w:rFonts w:ascii="宋体" w:hAnsi="宋体"/>
          <w:color w:val="auto"/>
          <w:spacing w:val="-6"/>
          <w:highlight w:val="none"/>
        </w:rPr>
      </w:pPr>
    </w:p>
    <w:p>
      <w:pPr>
        <w:jc w:val="both"/>
        <w:outlineLvl w:val="2"/>
        <w:rPr>
          <w:rFonts w:hint="eastAsia" w:ascii="宋体" w:hAnsi="宋体"/>
          <w:color w:val="auto"/>
          <w:sz w:val="28"/>
          <w:szCs w:val="28"/>
          <w:highlight w:val="none"/>
        </w:rPr>
      </w:pPr>
      <w:bookmarkStart w:id="1819" w:name="_Toc193904177"/>
      <w:bookmarkStart w:id="1820" w:name="_Toc234382983"/>
      <w:bookmarkStart w:id="1821" w:name="_Toc245477497"/>
      <w:bookmarkStart w:id="1822" w:name="_Toc262895614"/>
      <w:bookmarkStart w:id="1823" w:name="_Toc234242182"/>
      <w:bookmarkStart w:id="1824" w:name="_Toc466366150"/>
      <w:r>
        <w:rPr>
          <w:rFonts w:hint="eastAsia" w:ascii="宋体" w:hAnsi="宋体"/>
          <w:color w:val="auto"/>
          <w:sz w:val="28"/>
          <w:szCs w:val="28"/>
          <w:highlight w:val="none"/>
        </w:rPr>
        <w:t>（五）正在施工的和新承接的项目情况表</w:t>
      </w:r>
      <w:bookmarkEnd w:id="1819"/>
      <w:bookmarkEnd w:id="1820"/>
      <w:bookmarkEnd w:id="1821"/>
      <w:bookmarkEnd w:id="1822"/>
      <w:bookmarkEnd w:id="1823"/>
      <w:bookmarkEnd w:id="1824"/>
    </w:p>
    <w:p>
      <w:pPr>
        <w:ind w:firstLine="405"/>
        <w:rPr>
          <w:rFonts w:ascii="宋体" w:hAnsi="宋体"/>
          <w:color w:val="auto"/>
          <w:sz w:val="28"/>
          <w:szCs w:val="28"/>
          <w:highlight w:val="none"/>
        </w:rPr>
      </w:pP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610"/>
        <w:gridCol w:w="632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项目名称</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项目所在地</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发包人名称</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发包人地址</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发包人电话</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签约合同价</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开工日期</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计划交工日期</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承担的工作</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工程质量要求</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项目经理</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项目总工</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总监理工程师及电话</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26"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项目描述</w:t>
            </w:r>
          </w:p>
        </w:tc>
        <w:tc>
          <w:tcPr>
            <w:tcW w:w="6322" w:type="dxa"/>
            <w:noWrap w:val="0"/>
            <w:vAlign w:val="center"/>
          </w:tcPr>
          <w:p>
            <w:pPr>
              <w:jc w:val="center"/>
              <w:rPr>
                <w:rFonts w:ascii="宋体" w:hAns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610" w:type="dxa"/>
            <w:noWrap w:val="0"/>
            <w:vAlign w:val="center"/>
          </w:tcPr>
          <w:p>
            <w:pPr>
              <w:jc w:val="center"/>
              <w:rPr>
                <w:rFonts w:ascii="宋体" w:hAnsi="宋体"/>
                <w:color w:val="auto"/>
                <w:highlight w:val="none"/>
              </w:rPr>
            </w:pPr>
            <w:r>
              <w:rPr>
                <w:rFonts w:hint="eastAsia" w:ascii="宋体" w:hAnsi="宋体"/>
                <w:color w:val="auto"/>
                <w:highlight w:val="none"/>
              </w:rPr>
              <w:t>备注</w:t>
            </w:r>
          </w:p>
        </w:tc>
        <w:tc>
          <w:tcPr>
            <w:tcW w:w="6322" w:type="dxa"/>
            <w:noWrap w:val="0"/>
            <w:vAlign w:val="center"/>
          </w:tcPr>
          <w:p>
            <w:pPr>
              <w:jc w:val="center"/>
              <w:rPr>
                <w:rFonts w:ascii="宋体" w:hAnsi="宋体"/>
                <w:color w:val="auto"/>
                <w:highlight w:val="none"/>
              </w:rPr>
            </w:pPr>
          </w:p>
        </w:tc>
      </w:tr>
    </w:tbl>
    <w:p>
      <w:pPr>
        <w:autoSpaceDE w:val="0"/>
        <w:autoSpaceDN w:val="0"/>
        <w:adjustRightInd w:val="0"/>
        <w:spacing w:before="4" w:line="100" w:lineRule="exact"/>
        <w:jc w:val="left"/>
        <w:rPr>
          <w:rFonts w:ascii="宋体" w:hAnsi="宋体"/>
          <w:color w:val="auto"/>
          <w:kern w:val="0"/>
          <w:sz w:val="10"/>
          <w:highlight w:val="none"/>
        </w:rPr>
      </w:pPr>
    </w:p>
    <w:p>
      <w:pPr>
        <w:rPr>
          <w:rFonts w:ascii="宋体" w:hAnsi="宋体"/>
          <w:color w:val="auto"/>
          <w:highlight w:val="none"/>
        </w:rPr>
      </w:pPr>
      <w:r>
        <w:rPr>
          <w:rFonts w:hint="eastAsia" w:ascii="宋体" w:hAnsi="宋体"/>
          <w:color w:val="auto"/>
          <w:highlight w:val="none"/>
        </w:rPr>
        <w:t>注：1、每张表格只填写一个项目，并标明序号。</w:t>
      </w:r>
    </w:p>
    <w:p>
      <w:pPr>
        <w:ind w:firstLine="405"/>
        <w:rPr>
          <w:rFonts w:ascii="宋体" w:hAnsi="宋体"/>
          <w:color w:val="auto"/>
          <w:highlight w:val="none"/>
        </w:rPr>
      </w:pPr>
      <w:r>
        <w:rPr>
          <w:rFonts w:hint="eastAsia" w:ascii="宋体" w:hAnsi="宋体"/>
          <w:color w:val="auto"/>
          <w:highlight w:val="none"/>
        </w:rPr>
        <w:t>2、本表后应附中标通知书和合同协议书复印件。</w:t>
      </w:r>
    </w:p>
    <w:p>
      <w:pPr>
        <w:ind w:firstLine="405"/>
        <w:rPr>
          <w:rFonts w:ascii="宋体" w:hAnsi="宋体"/>
          <w:color w:val="auto"/>
          <w:highlight w:val="none"/>
        </w:rPr>
      </w:pPr>
      <w:r>
        <w:rPr>
          <w:rFonts w:hint="eastAsia" w:ascii="宋体" w:hAnsi="宋体"/>
          <w:color w:val="auto"/>
          <w:highlight w:val="none"/>
        </w:rPr>
        <w:t>3、本表应包含所有在建工程项目，包括正在施工、已签订合同协议书即将开工或已收到中标通知书或意向书但尚未签订合同的所有项目。</w:t>
      </w:r>
    </w:p>
    <w:p>
      <w:pPr>
        <w:rPr>
          <w:rFonts w:ascii="宋体" w:hAnsi="宋体"/>
          <w:color w:val="auto"/>
          <w:sz w:val="24"/>
          <w:highlight w:val="none"/>
        </w:rPr>
      </w:pPr>
    </w:p>
    <w:p>
      <w:pPr>
        <w:rPr>
          <w:rFonts w:ascii="宋体" w:hAnsi="宋体"/>
          <w:color w:val="auto"/>
          <w:sz w:val="24"/>
          <w:highlight w:val="none"/>
        </w:rPr>
      </w:pPr>
    </w:p>
    <w:p>
      <w:pPr>
        <w:rPr>
          <w:rFonts w:ascii="宋体" w:hAnsi="宋体"/>
          <w:color w:val="auto"/>
          <w:sz w:val="24"/>
          <w:highlight w:val="none"/>
        </w:rPr>
      </w:pPr>
    </w:p>
    <w:p>
      <w:pPr>
        <w:jc w:val="both"/>
        <w:outlineLvl w:val="2"/>
        <w:rPr>
          <w:rFonts w:hint="eastAsia" w:ascii="宋体" w:hAnsi="宋体"/>
          <w:color w:val="auto"/>
          <w:sz w:val="28"/>
          <w:szCs w:val="28"/>
          <w:highlight w:val="none"/>
        </w:rPr>
      </w:pPr>
      <w:bookmarkStart w:id="1825" w:name="_Toc245477498"/>
      <w:bookmarkStart w:id="1826" w:name="_Toc262895615"/>
      <w:bookmarkStart w:id="1827" w:name="_Toc234382984"/>
      <w:bookmarkStart w:id="1828" w:name="_Toc466366151"/>
      <w:r>
        <w:rPr>
          <w:rFonts w:hint="eastAsia" w:ascii="宋体" w:hAnsi="宋体"/>
          <w:color w:val="auto"/>
          <w:sz w:val="28"/>
          <w:szCs w:val="28"/>
          <w:highlight w:val="none"/>
        </w:rPr>
        <w:t>（六）</w:t>
      </w:r>
      <w:r>
        <w:rPr>
          <w:rFonts w:hint="eastAsia" w:ascii="宋体" w:hAnsi="宋体"/>
          <w:color w:val="auto"/>
          <w:sz w:val="28"/>
          <w:szCs w:val="28"/>
          <w:highlight w:val="none"/>
          <w:lang w:eastAsia="zh-CN"/>
        </w:rPr>
        <w:t>2020年1月1日</w:t>
      </w:r>
      <w:r>
        <w:rPr>
          <w:rFonts w:hint="eastAsia" w:ascii="宋体" w:hAnsi="宋体"/>
          <w:color w:val="auto"/>
          <w:sz w:val="28"/>
          <w:szCs w:val="28"/>
          <w:highlight w:val="none"/>
        </w:rPr>
        <w:t>以来发生的诉讼及仲裁情况</w:t>
      </w:r>
      <w:bookmarkEnd w:id="1825"/>
      <w:bookmarkEnd w:id="1826"/>
      <w:bookmarkEnd w:id="1827"/>
      <w:bookmarkEnd w:id="1828"/>
    </w:p>
    <w:p>
      <w:pPr>
        <w:rPr>
          <w:rFonts w:ascii="宋体" w:hAnsi="宋体"/>
          <w:color w:val="auto"/>
          <w:sz w:val="28"/>
          <w:szCs w:val="28"/>
          <w:highlight w:val="none"/>
        </w:rPr>
      </w:pP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819"/>
        <w:gridCol w:w="383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4819" w:type="dxa"/>
            <w:noWrap w:val="0"/>
            <w:vAlign w:val="center"/>
          </w:tcPr>
          <w:p>
            <w:pPr>
              <w:jc w:val="center"/>
              <w:rPr>
                <w:rFonts w:ascii="宋体" w:hAnsi="宋体"/>
                <w:color w:val="auto"/>
                <w:highlight w:val="none"/>
              </w:rPr>
            </w:pPr>
            <w:r>
              <w:rPr>
                <w:rFonts w:hint="eastAsia" w:ascii="宋体" w:hAnsi="宋体"/>
                <w:color w:val="auto"/>
                <w:highlight w:val="none"/>
              </w:rPr>
              <w:t>项目</w:t>
            </w:r>
          </w:p>
        </w:tc>
        <w:tc>
          <w:tcPr>
            <w:tcW w:w="3830" w:type="dxa"/>
            <w:noWrap w:val="0"/>
            <w:vAlign w:val="center"/>
          </w:tcPr>
          <w:p>
            <w:pPr>
              <w:jc w:val="center"/>
              <w:rPr>
                <w:rFonts w:ascii="宋体" w:hAnsi="宋体"/>
                <w:color w:val="auto"/>
                <w:highlight w:val="none"/>
              </w:rPr>
            </w:pPr>
            <w:r>
              <w:rPr>
                <w:rFonts w:hint="eastAsia" w:ascii="宋体" w:hAnsi="宋体"/>
                <w:color w:val="auto"/>
                <w:highlight w:val="none"/>
              </w:rPr>
              <w:t>投标人情况说明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4819" w:type="dxa"/>
            <w:noWrap w:val="0"/>
            <w:vAlign w:val="center"/>
          </w:tcPr>
          <w:p>
            <w:pPr>
              <w:jc w:val="center"/>
              <w:rPr>
                <w:rFonts w:ascii="宋体" w:hAnsi="宋体"/>
                <w:color w:val="auto"/>
                <w:sz w:val="24"/>
                <w:highlight w:val="none"/>
              </w:rPr>
            </w:pPr>
          </w:p>
        </w:tc>
        <w:tc>
          <w:tcPr>
            <w:tcW w:w="3830" w:type="dxa"/>
            <w:noWrap w:val="0"/>
            <w:vAlign w:val="center"/>
          </w:tcPr>
          <w:p>
            <w:pPr>
              <w:jc w:val="center"/>
              <w:rPr>
                <w:rFonts w:ascii="宋体" w:hAnsi="宋体"/>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4819" w:type="dxa"/>
            <w:noWrap w:val="0"/>
            <w:vAlign w:val="center"/>
          </w:tcPr>
          <w:p>
            <w:pPr>
              <w:jc w:val="center"/>
              <w:rPr>
                <w:rFonts w:ascii="宋体" w:hAnsi="宋体"/>
                <w:color w:val="auto"/>
                <w:sz w:val="24"/>
                <w:highlight w:val="none"/>
              </w:rPr>
            </w:pPr>
          </w:p>
        </w:tc>
        <w:tc>
          <w:tcPr>
            <w:tcW w:w="3830" w:type="dxa"/>
            <w:noWrap w:val="0"/>
            <w:vAlign w:val="center"/>
          </w:tcPr>
          <w:p>
            <w:pPr>
              <w:jc w:val="center"/>
              <w:rPr>
                <w:rFonts w:ascii="宋体" w:hAnsi="宋体"/>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4819" w:type="dxa"/>
            <w:noWrap w:val="0"/>
            <w:vAlign w:val="center"/>
          </w:tcPr>
          <w:p>
            <w:pPr>
              <w:jc w:val="center"/>
              <w:rPr>
                <w:rFonts w:ascii="宋体" w:hAnsi="宋体"/>
                <w:color w:val="auto"/>
                <w:sz w:val="24"/>
                <w:highlight w:val="none"/>
              </w:rPr>
            </w:pPr>
          </w:p>
        </w:tc>
        <w:tc>
          <w:tcPr>
            <w:tcW w:w="3830" w:type="dxa"/>
            <w:noWrap w:val="0"/>
            <w:vAlign w:val="center"/>
          </w:tcPr>
          <w:p>
            <w:pPr>
              <w:jc w:val="center"/>
              <w:rPr>
                <w:rFonts w:ascii="宋体" w:hAnsi="宋体"/>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4819" w:type="dxa"/>
            <w:noWrap w:val="0"/>
            <w:vAlign w:val="center"/>
          </w:tcPr>
          <w:p>
            <w:pPr>
              <w:jc w:val="center"/>
              <w:rPr>
                <w:rFonts w:ascii="宋体" w:hAnsi="宋体"/>
                <w:color w:val="auto"/>
                <w:sz w:val="24"/>
                <w:highlight w:val="none"/>
              </w:rPr>
            </w:pPr>
          </w:p>
        </w:tc>
        <w:tc>
          <w:tcPr>
            <w:tcW w:w="3830" w:type="dxa"/>
            <w:noWrap w:val="0"/>
            <w:vAlign w:val="center"/>
          </w:tcPr>
          <w:p>
            <w:pPr>
              <w:jc w:val="center"/>
              <w:rPr>
                <w:rFonts w:ascii="宋体" w:hAnsi="宋体"/>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4819" w:type="dxa"/>
            <w:noWrap w:val="0"/>
            <w:vAlign w:val="center"/>
          </w:tcPr>
          <w:p>
            <w:pPr>
              <w:jc w:val="center"/>
              <w:rPr>
                <w:rFonts w:ascii="宋体" w:hAnsi="宋体"/>
                <w:color w:val="auto"/>
                <w:sz w:val="24"/>
                <w:highlight w:val="none"/>
              </w:rPr>
            </w:pPr>
          </w:p>
        </w:tc>
        <w:tc>
          <w:tcPr>
            <w:tcW w:w="3830" w:type="dxa"/>
            <w:noWrap w:val="0"/>
            <w:vAlign w:val="center"/>
          </w:tcPr>
          <w:p>
            <w:pPr>
              <w:jc w:val="center"/>
              <w:rPr>
                <w:rFonts w:ascii="宋体" w:hAnsi="宋体"/>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4819" w:type="dxa"/>
            <w:noWrap w:val="0"/>
            <w:vAlign w:val="center"/>
          </w:tcPr>
          <w:p>
            <w:pPr>
              <w:jc w:val="center"/>
              <w:rPr>
                <w:rFonts w:ascii="宋体" w:hAnsi="宋体"/>
                <w:color w:val="auto"/>
                <w:sz w:val="24"/>
                <w:highlight w:val="none"/>
              </w:rPr>
            </w:pPr>
          </w:p>
        </w:tc>
        <w:tc>
          <w:tcPr>
            <w:tcW w:w="3830" w:type="dxa"/>
            <w:noWrap w:val="0"/>
            <w:vAlign w:val="center"/>
          </w:tcPr>
          <w:p>
            <w:pPr>
              <w:jc w:val="center"/>
              <w:rPr>
                <w:rFonts w:ascii="宋体" w:hAnsi="宋体"/>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4819" w:type="dxa"/>
            <w:noWrap w:val="0"/>
            <w:vAlign w:val="center"/>
          </w:tcPr>
          <w:p>
            <w:pPr>
              <w:jc w:val="center"/>
              <w:rPr>
                <w:rFonts w:ascii="宋体" w:hAnsi="宋体"/>
                <w:color w:val="auto"/>
                <w:sz w:val="24"/>
                <w:highlight w:val="none"/>
              </w:rPr>
            </w:pPr>
          </w:p>
        </w:tc>
        <w:tc>
          <w:tcPr>
            <w:tcW w:w="3830" w:type="dxa"/>
            <w:noWrap w:val="0"/>
            <w:vAlign w:val="center"/>
          </w:tcPr>
          <w:p>
            <w:pPr>
              <w:jc w:val="center"/>
              <w:rPr>
                <w:rFonts w:ascii="宋体" w:hAnsi="宋体"/>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4819" w:type="dxa"/>
            <w:noWrap w:val="0"/>
            <w:vAlign w:val="center"/>
          </w:tcPr>
          <w:p>
            <w:pPr>
              <w:jc w:val="center"/>
              <w:rPr>
                <w:rFonts w:ascii="宋体" w:hAnsi="宋体"/>
                <w:color w:val="auto"/>
                <w:sz w:val="24"/>
                <w:highlight w:val="none"/>
              </w:rPr>
            </w:pPr>
          </w:p>
        </w:tc>
        <w:tc>
          <w:tcPr>
            <w:tcW w:w="3830" w:type="dxa"/>
            <w:noWrap w:val="0"/>
            <w:vAlign w:val="center"/>
          </w:tcPr>
          <w:p>
            <w:pPr>
              <w:jc w:val="center"/>
              <w:rPr>
                <w:rFonts w:ascii="宋体" w:hAnsi="宋体"/>
                <w:color w:val="auto"/>
                <w:sz w:val="24"/>
                <w:highlight w:val="none"/>
              </w:rPr>
            </w:pPr>
          </w:p>
        </w:tc>
      </w:tr>
    </w:tbl>
    <w:p>
      <w:pPr>
        <w:spacing w:line="400" w:lineRule="exact"/>
        <w:ind w:firstLine="420"/>
        <w:rPr>
          <w:rFonts w:ascii="宋体" w:hAnsi="宋体"/>
          <w:color w:val="auto"/>
          <w:highlight w:val="none"/>
        </w:rPr>
      </w:pPr>
      <w:r>
        <w:rPr>
          <w:rFonts w:hint="eastAsia" w:ascii="宋体" w:hAnsi="宋体"/>
          <w:color w:val="auto"/>
          <w:highlight w:val="none"/>
        </w:rPr>
        <w:t>注：本表后应附法院或仲裁机构做出的判决、裁决等有关法律文书原件。</w:t>
      </w:r>
    </w:p>
    <w:p>
      <w:pPr>
        <w:rPr>
          <w:rFonts w:ascii="宋体" w:hAnsi="宋体"/>
          <w:color w:val="auto"/>
          <w:highlight w:val="none"/>
        </w:rPr>
      </w:pPr>
    </w:p>
    <w:p>
      <w:pPr>
        <w:rPr>
          <w:rFonts w:ascii="宋体" w:hAnsi="宋体"/>
          <w:color w:val="auto"/>
          <w:sz w:val="24"/>
          <w:highlight w:val="none"/>
        </w:rPr>
      </w:pPr>
    </w:p>
    <w:p>
      <w:pPr>
        <w:rPr>
          <w:rFonts w:ascii="宋体" w:hAnsi="宋体"/>
          <w:color w:val="auto"/>
          <w:sz w:val="24"/>
          <w:highlight w:val="none"/>
        </w:rPr>
      </w:pPr>
    </w:p>
    <w:p>
      <w:pPr>
        <w:rPr>
          <w:rFonts w:ascii="宋体" w:hAnsi="宋体"/>
          <w:color w:val="auto"/>
          <w:sz w:val="24"/>
          <w:highlight w:val="none"/>
        </w:rPr>
      </w:pPr>
    </w:p>
    <w:p>
      <w:pPr>
        <w:rPr>
          <w:rFonts w:ascii="宋体" w:hAnsi="宋体"/>
          <w:color w:val="auto"/>
          <w:sz w:val="24"/>
          <w:highlight w:val="none"/>
        </w:rPr>
      </w:pPr>
    </w:p>
    <w:p>
      <w:pPr>
        <w:jc w:val="center"/>
        <w:outlineLvl w:val="2"/>
        <w:rPr>
          <w:rFonts w:hint="eastAsia" w:ascii="宋体" w:hAnsi="宋体"/>
          <w:color w:val="auto"/>
          <w:sz w:val="28"/>
          <w:szCs w:val="28"/>
          <w:highlight w:val="none"/>
        </w:rPr>
      </w:pPr>
      <w:r>
        <w:rPr>
          <w:color w:val="auto"/>
          <w:highlight w:val="none"/>
        </w:rPr>
        <w:br w:type="column"/>
      </w:r>
      <w:bookmarkStart w:id="1829" w:name="_Toc245477499"/>
      <w:bookmarkStart w:id="1830" w:name="_Toc314060578"/>
      <w:bookmarkStart w:id="1831" w:name="_Toc262896090"/>
      <w:bookmarkStart w:id="1832" w:name="_Toc266444452"/>
      <w:bookmarkStart w:id="1833" w:name="_Toc466366152"/>
      <w:bookmarkStart w:id="1834" w:name="_Toc245477500"/>
      <w:bookmarkStart w:id="1835" w:name="_Toc262895617"/>
      <w:r>
        <w:rPr>
          <w:rFonts w:hint="eastAsia" w:ascii="宋体" w:hAnsi="宋体"/>
          <w:color w:val="auto"/>
          <w:sz w:val="28"/>
          <w:szCs w:val="28"/>
          <w:highlight w:val="none"/>
        </w:rPr>
        <w:t>（七）诚信系统信息表</w:t>
      </w:r>
      <w:bookmarkEnd w:id="1829"/>
      <w:bookmarkEnd w:id="1830"/>
      <w:bookmarkEnd w:id="1831"/>
      <w:bookmarkEnd w:id="1832"/>
      <w:bookmarkEnd w:id="1833"/>
    </w:p>
    <w:tbl>
      <w:tblPr>
        <w:tblStyle w:val="17"/>
        <w:tblW w:w="0" w:type="auto"/>
        <w:tblInd w:w="108" w:type="dxa"/>
        <w:tblLayout w:type="fixed"/>
        <w:tblCellMar>
          <w:top w:w="0" w:type="dxa"/>
          <w:left w:w="108" w:type="dxa"/>
          <w:bottom w:w="0" w:type="dxa"/>
          <w:right w:w="108" w:type="dxa"/>
        </w:tblCellMar>
      </w:tblPr>
      <w:tblGrid>
        <w:gridCol w:w="1769"/>
        <w:gridCol w:w="1492"/>
        <w:gridCol w:w="992"/>
        <w:gridCol w:w="1881"/>
        <w:gridCol w:w="670"/>
        <w:gridCol w:w="2376"/>
      </w:tblGrid>
      <w:tr>
        <w:tblPrEx>
          <w:tblCellMar>
            <w:top w:w="0" w:type="dxa"/>
            <w:left w:w="108" w:type="dxa"/>
            <w:bottom w:w="0" w:type="dxa"/>
            <w:right w:w="108" w:type="dxa"/>
          </w:tblCellMar>
        </w:tblPrEx>
        <w:trPr>
          <w:trHeight w:val="569" w:hRule="atLeast"/>
        </w:trPr>
        <w:tc>
          <w:tcPr>
            <w:tcW w:w="1769" w:type="dxa"/>
            <w:tcBorders>
              <w:top w:val="single" w:color="000000" w:sz="12" w:space="0"/>
              <w:left w:val="single" w:color="000000" w:sz="12" w:space="0"/>
              <w:bottom w:val="single" w:color="000000" w:sz="6" w:space="0"/>
              <w:right w:val="single" w:color="000000" w:sz="6"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投标人全称</w:t>
            </w:r>
          </w:p>
        </w:tc>
        <w:tc>
          <w:tcPr>
            <w:tcW w:w="7411" w:type="dxa"/>
            <w:gridSpan w:val="5"/>
            <w:tcBorders>
              <w:top w:val="single" w:color="000000" w:sz="12" w:space="0"/>
              <w:left w:val="single" w:color="000000" w:sz="6" w:space="0"/>
              <w:bottom w:val="single" w:color="000000" w:sz="6" w:space="0"/>
              <w:right w:val="single" w:color="000000" w:sz="12" w:space="0"/>
            </w:tcBorders>
            <w:noWrap w:val="0"/>
            <w:vAlign w:val="center"/>
          </w:tcPr>
          <w:p>
            <w:pPr>
              <w:spacing w:line="300" w:lineRule="exact"/>
              <w:rPr>
                <w:rFonts w:ascii="宋体" w:hAnsi="宋体"/>
                <w:color w:val="auto"/>
                <w:szCs w:val="21"/>
                <w:highlight w:val="none"/>
              </w:rPr>
            </w:pPr>
          </w:p>
        </w:tc>
      </w:tr>
      <w:tr>
        <w:tblPrEx>
          <w:tblCellMar>
            <w:top w:w="0" w:type="dxa"/>
            <w:left w:w="108" w:type="dxa"/>
            <w:bottom w:w="0" w:type="dxa"/>
            <w:right w:w="108" w:type="dxa"/>
          </w:tblCellMar>
        </w:tblPrEx>
        <w:trPr>
          <w:trHeight w:val="610" w:hRule="atLeast"/>
        </w:trPr>
        <w:tc>
          <w:tcPr>
            <w:tcW w:w="1769" w:type="dxa"/>
            <w:tcBorders>
              <w:top w:val="single" w:color="000000" w:sz="6" w:space="0"/>
              <w:left w:val="single" w:color="000000" w:sz="12" w:space="0"/>
              <w:bottom w:val="single" w:color="000000" w:sz="12" w:space="0"/>
              <w:right w:val="single" w:color="000000" w:sz="6"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企业主项资质</w:t>
            </w:r>
          </w:p>
        </w:tc>
        <w:tc>
          <w:tcPr>
            <w:tcW w:w="7411" w:type="dxa"/>
            <w:gridSpan w:val="5"/>
            <w:tcBorders>
              <w:top w:val="single" w:color="000000" w:sz="6" w:space="0"/>
              <w:left w:val="single" w:color="000000" w:sz="6" w:space="0"/>
              <w:bottom w:val="single" w:color="000000" w:sz="12" w:space="0"/>
              <w:right w:val="single" w:color="000000" w:sz="12" w:space="0"/>
            </w:tcBorders>
            <w:noWrap w:val="0"/>
            <w:vAlign w:val="center"/>
          </w:tcPr>
          <w:p>
            <w:pPr>
              <w:spacing w:line="300" w:lineRule="exact"/>
              <w:rPr>
                <w:rFonts w:ascii="宋体" w:hAnsi="宋体"/>
                <w:color w:val="auto"/>
                <w:szCs w:val="21"/>
                <w:highlight w:val="none"/>
              </w:rPr>
            </w:pPr>
          </w:p>
        </w:tc>
      </w:tr>
      <w:tr>
        <w:tblPrEx>
          <w:tblCellMar>
            <w:top w:w="0" w:type="dxa"/>
            <w:left w:w="108" w:type="dxa"/>
            <w:bottom w:w="0" w:type="dxa"/>
            <w:right w:w="108" w:type="dxa"/>
          </w:tblCellMar>
        </w:tblPrEx>
        <w:trPr>
          <w:trHeight w:val="639" w:hRule="atLeast"/>
        </w:trPr>
        <w:tc>
          <w:tcPr>
            <w:tcW w:w="6134" w:type="dxa"/>
            <w:gridSpan w:val="4"/>
            <w:tcBorders>
              <w:top w:val="single" w:color="000000" w:sz="12" w:space="0"/>
              <w:left w:val="single" w:color="000000" w:sz="12" w:space="0"/>
              <w:bottom w:val="single" w:color="auto" w:sz="6" w:space="0"/>
              <w:right w:val="single" w:color="auto" w:sz="6" w:space="0"/>
            </w:tcBorders>
            <w:noWrap w:val="0"/>
            <w:vAlign w:val="center"/>
          </w:tcPr>
          <w:p>
            <w:pPr>
              <w:spacing w:line="300" w:lineRule="exact"/>
              <w:jc w:val="center"/>
              <w:rPr>
                <w:rFonts w:ascii="宋体" w:hAnsi="宋体"/>
                <w:color w:val="auto"/>
                <w:spacing w:val="-2"/>
                <w:szCs w:val="21"/>
                <w:highlight w:val="none"/>
              </w:rPr>
            </w:pPr>
            <w:r>
              <w:rPr>
                <w:color w:val="auto"/>
                <w:highlight w:val="none"/>
              </w:rPr>
              <w:t>浙江省交通运输厅</w:t>
            </w:r>
            <w:r>
              <w:rPr>
                <w:rFonts w:hint="eastAsia"/>
                <w:color w:val="auto"/>
                <w:highlight w:val="none"/>
              </w:rPr>
              <w:t>最新公布的信用评价</w:t>
            </w:r>
            <w:r>
              <w:rPr>
                <w:color w:val="auto"/>
                <w:highlight w:val="none"/>
              </w:rPr>
              <w:t>结果</w:t>
            </w:r>
          </w:p>
        </w:tc>
        <w:tc>
          <w:tcPr>
            <w:tcW w:w="3046" w:type="dxa"/>
            <w:gridSpan w:val="2"/>
            <w:tcBorders>
              <w:top w:val="single" w:color="000000" w:sz="12" w:space="0"/>
              <w:left w:val="single" w:color="auto" w:sz="6" w:space="0"/>
              <w:bottom w:val="single" w:color="auto" w:sz="6" w:space="0"/>
              <w:right w:val="single" w:color="000000" w:sz="12"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（填AA、A、B、C、D或未参加）</w:t>
            </w:r>
          </w:p>
        </w:tc>
      </w:tr>
      <w:tr>
        <w:tblPrEx>
          <w:tblCellMar>
            <w:top w:w="0" w:type="dxa"/>
            <w:left w:w="108" w:type="dxa"/>
            <w:bottom w:w="0" w:type="dxa"/>
            <w:right w:w="108" w:type="dxa"/>
          </w:tblCellMar>
        </w:tblPrEx>
        <w:trPr>
          <w:trHeight w:val="507" w:hRule="atLeast"/>
        </w:trPr>
        <w:tc>
          <w:tcPr>
            <w:tcW w:w="6134" w:type="dxa"/>
            <w:gridSpan w:val="4"/>
            <w:tcBorders>
              <w:top w:val="single" w:color="auto" w:sz="6" w:space="0"/>
              <w:left w:val="single" w:color="000000" w:sz="12" w:space="0"/>
              <w:bottom w:val="single" w:color="auto" w:sz="6" w:space="0"/>
              <w:right w:val="single" w:color="auto" w:sz="6" w:space="0"/>
            </w:tcBorders>
            <w:noWrap w:val="0"/>
            <w:vAlign w:val="center"/>
          </w:tcPr>
          <w:p>
            <w:pPr>
              <w:spacing w:line="300" w:lineRule="exact"/>
              <w:jc w:val="center"/>
              <w:rPr>
                <w:rFonts w:ascii="宋体" w:hAnsi="宋体"/>
                <w:color w:val="auto"/>
                <w:szCs w:val="21"/>
                <w:highlight w:val="none"/>
              </w:rPr>
            </w:pPr>
            <w:r>
              <w:rPr>
                <w:color w:val="auto"/>
                <w:highlight w:val="none"/>
              </w:rPr>
              <w:t>以浙江省交通运输厅公布的</w:t>
            </w:r>
            <w:r>
              <w:rPr>
                <w:rFonts w:hint="eastAsia"/>
                <w:color w:val="auto"/>
                <w:highlight w:val="none"/>
              </w:rPr>
              <w:t>最新信用评价</w:t>
            </w:r>
            <w:r>
              <w:rPr>
                <w:color w:val="auto"/>
                <w:highlight w:val="none"/>
              </w:rPr>
              <w:t>结果</w:t>
            </w:r>
          </w:p>
        </w:tc>
        <w:tc>
          <w:tcPr>
            <w:tcW w:w="3046" w:type="dxa"/>
            <w:gridSpan w:val="2"/>
            <w:tcBorders>
              <w:top w:val="single" w:color="auto" w:sz="6" w:space="0"/>
              <w:left w:val="single" w:color="auto" w:sz="6" w:space="0"/>
              <w:bottom w:val="single" w:color="auto" w:sz="6" w:space="0"/>
              <w:right w:val="single" w:color="000000" w:sz="12" w:space="0"/>
            </w:tcBorders>
            <w:noWrap w:val="0"/>
            <w:vAlign w:val="center"/>
          </w:tcPr>
          <w:p>
            <w:pPr>
              <w:spacing w:line="300" w:lineRule="exact"/>
              <w:jc w:val="center"/>
              <w:rPr>
                <w:rFonts w:ascii="宋体" w:hAnsi="宋体"/>
                <w:color w:val="auto"/>
                <w:szCs w:val="21"/>
                <w:highlight w:val="none"/>
              </w:rPr>
            </w:pPr>
          </w:p>
        </w:tc>
      </w:tr>
      <w:tr>
        <w:tblPrEx>
          <w:tblCellMar>
            <w:top w:w="0" w:type="dxa"/>
            <w:left w:w="108" w:type="dxa"/>
            <w:bottom w:w="0" w:type="dxa"/>
            <w:right w:w="108" w:type="dxa"/>
          </w:tblCellMar>
        </w:tblPrEx>
        <w:trPr>
          <w:trHeight w:val="507" w:hRule="atLeast"/>
        </w:trPr>
        <w:tc>
          <w:tcPr>
            <w:tcW w:w="6134" w:type="dxa"/>
            <w:gridSpan w:val="4"/>
            <w:tcBorders>
              <w:top w:val="single" w:color="auto" w:sz="6" w:space="0"/>
              <w:left w:val="single" w:color="000000" w:sz="12" w:space="0"/>
              <w:bottom w:val="single" w:color="auto" w:sz="6" w:space="0"/>
              <w:right w:val="single" w:color="auto" w:sz="6" w:space="0"/>
            </w:tcBorders>
            <w:noWrap w:val="0"/>
            <w:vAlign w:val="center"/>
          </w:tcPr>
          <w:p>
            <w:pPr>
              <w:spacing w:line="360" w:lineRule="auto"/>
              <w:jc w:val="center"/>
              <w:rPr>
                <w:rFonts w:hint="eastAsia" w:ascii="宋体" w:hAnsi="宋体"/>
                <w:color w:val="auto"/>
                <w:szCs w:val="21"/>
                <w:highlight w:val="none"/>
              </w:rPr>
            </w:pPr>
            <w:r>
              <w:rPr>
                <w:color w:val="auto"/>
                <w:highlight w:val="none"/>
              </w:rPr>
              <w:t>本次投标是否</w:t>
            </w:r>
            <w:r>
              <w:rPr>
                <w:rFonts w:hint="eastAsia"/>
                <w:color w:val="auto"/>
                <w:highlight w:val="none"/>
              </w:rPr>
              <w:t>选择使用</w:t>
            </w:r>
            <w:r>
              <w:rPr>
                <w:b/>
                <w:color w:val="auto"/>
                <w:szCs w:val="21"/>
                <w:highlight w:val="none"/>
              </w:rPr>
              <w:t>浙江省交通运输厅</w:t>
            </w:r>
            <w:r>
              <w:rPr>
                <w:rFonts w:hint="eastAsia"/>
                <w:b/>
                <w:color w:val="auto"/>
                <w:szCs w:val="21"/>
                <w:highlight w:val="none"/>
              </w:rPr>
              <w:t>公布的最新</w:t>
            </w:r>
            <w:r>
              <w:rPr>
                <w:b/>
                <w:color w:val="auto"/>
                <w:szCs w:val="21"/>
                <w:highlight w:val="none"/>
              </w:rPr>
              <w:t>信用评价</w:t>
            </w:r>
            <w:r>
              <w:rPr>
                <w:rFonts w:hint="eastAsia"/>
                <w:b/>
                <w:color w:val="auto"/>
                <w:szCs w:val="21"/>
                <w:highlight w:val="none"/>
              </w:rPr>
              <w:t>AA、A级信用等级得分</w:t>
            </w:r>
          </w:p>
        </w:tc>
        <w:tc>
          <w:tcPr>
            <w:tcW w:w="3046" w:type="dxa"/>
            <w:gridSpan w:val="2"/>
            <w:tcBorders>
              <w:top w:val="single" w:color="auto" w:sz="6" w:space="0"/>
              <w:left w:val="single" w:color="auto" w:sz="6" w:space="0"/>
              <w:bottom w:val="single" w:color="auto" w:sz="6" w:space="0"/>
              <w:right w:val="single" w:color="000000" w:sz="12" w:space="0"/>
            </w:tcBorders>
            <w:noWrap w:val="0"/>
            <w:vAlign w:val="center"/>
          </w:tcPr>
          <w:p>
            <w:pPr>
              <w:spacing w:line="360" w:lineRule="auto"/>
              <w:jc w:val="center"/>
              <w:rPr>
                <w:rFonts w:ascii="宋体" w:hAnsi="宋体"/>
                <w:color w:val="auto"/>
                <w:szCs w:val="21"/>
                <w:highlight w:val="none"/>
              </w:rPr>
            </w:pPr>
            <w:r>
              <w:rPr>
                <w:rFonts w:hint="eastAsia"/>
                <w:color w:val="auto"/>
                <w:highlight w:val="none"/>
              </w:rPr>
              <w:t>（填写“使用”或“不使用”）</w:t>
            </w:r>
          </w:p>
        </w:tc>
      </w:tr>
      <w:tr>
        <w:tblPrEx>
          <w:tblCellMar>
            <w:top w:w="0" w:type="dxa"/>
            <w:left w:w="108" w:type="dxa"/>
            <w:bottom w:w="0" w:type="dxa"/>
            <w:right w:w="108" w:type="dxa"/>
          </w:tblCellMar>
        </w:tblPrEx>
        <w:trPr>
          <w:trHeight w:val="697" w:hRule="atLeast"/>
        </w:trPr>
        <w:tc>
          <w:tcPr>
            <w:tcW w:w="6134" w:type="dxa"/>
            <w:gridSpan w:val="4"/>
            <w:tcBorders>
              <w:top w:val="single" w:color="auto" w:sz="6" w:space="0"/>
              <w:left w:val="single" w:color="000000" w:sz="12" w:space="0"/>
              <w:bottom w:val="single" w:color="auto" w:sz="12" w:space="0"/>
              <w:right w:val="single" w:color="auto" w:sz="6" w:space="0"/>
            </w:tcBorders>
            <w:noWrap w:val="0"/>
            <w:vAlign w:val="center"/>
          </w:tcPr>
          <w:p>
            <w:pPr>
              <w:jc w:val="center"/>
              <w:rPr>
                <w:rFonts w:hint="eastAsia"/>
                <w:color w:val="auto"/>
                <w:highlight w:val="none"/>
              </w:rPr>
            </w:pPr>
            <w:r>
              <w:rPr>
                <w:rFonts w:hint="eastAsia"/>
                <w:color w:val="auto"/>
                <w:highlight w:val="none"/>
              </w:rPr>
              <w:t>是否列入全国公路建设市场信用信息管理系统最新公布的施工资质企业的名录</w:t>
            </w:r>
          </w:p>
        </w:tc>
        <w:tc>
          <w:tcPr>
            <w:tcW w:w="3046" w:type="dxa"/>
            <w:gridSpan w:val="2"/>
            <w:tcBorders>
              <w:top w:val="single" w:color="auto" w:sz="6" w:space="0"/>
              <w:left w:val="single" w:color="auto" w:sz="6" w:space="0"/>
              <w:bottom w:val="single" w:color="auto" w:sz="12" w:space="0"/>
              <w:right w:val="single" w:color="000000" w:sz="12" w:space="0"/>
            </w:tcBorders>
            <w:noWrap w:val="0"/>
            <w:vAlign w:val="center"/>
          </w:tcPr>
          <w:p>
            <w:pPr>
              <w:rPr>
                <w:rFonts w:hint="eastAsia"/>
                <w:color w:val="auto"/>
                <w:highlight w:val="none"/>
              </w:rPr>
            </w:pPr>
            <w:r>
              <w:rPr>
                <w:rFonts w:hint="eastAsia"/>
                <w:color w:val="auto"/>
                <w:highlight w:val="none"/>
              </w:rPr>
              <w:t>（填写是与否）</w:t>
            </w:r>
          </w:p>
        </w:tc>
      </w:tr>
      <w:tr>
        <w:tblPrEx>
          <w:tblCellMar>
            <w:top w:w="0" w:type="dxa"/>
            <w:left w:w="108" w:type="dxa"/>
            <w:bottom w:w="0" w:type="dxa"/>
            <w:right w:w="108" w:type="dxa"/>
          </w:tblCellMar>
        </w:tblPrEx>
        <w:trPr>
          <w:trHeight w:val="682" w:hRule="atLeast"/>
        </w:trPr>
        <w:tc>
          <w:tcPr>
            <w:tcW w:w="9180" w:type="dxa"/>
            <w:gridSpan w:val="6"/>
            <w:tcBorders>
              <w:top w:val="single" w:color="000000" w:sz="12" w:space="0"/>
              <w:left w:val="single" w:color="000000" w:sz="12" w:space="0"/>
              <w:bottom w:val="single" w:color="auto" w:sz="4" w:space="0"/>
              <w:right w:val="single" w:color="000000" w:sz="12"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在浙江省交通运输厅建设市场诚信信息系统中，投标人拟委任主要人员信息公开情况</w:t>
            </w:r>
          </w:p>
        </w:tc>
      </w:tr>
      <w:tr>
        <w:tblPrEx>
          <w:tblCellMar>
            <w:top w:w="0" w:type="dxa"/>
            <w:left w:w="108" w:type="dxa"/>
            <w:bottom w:w="0" w:type="dxa"/>
            <w:right w:w="108" w:type="dxa"/>
          </w:tblCellMar>
        </w:tblPrEx>
        <w:trPr>
          <w:trHeight w:val="680" w:hRule="atLeast"/>
        </w:trPr>
        <w:tc>
          <w:tcPr>
            <w:tcW w:w="3261" w:type="dxa"/>
            <w:gridSpan w:val="2"/>
            <w:tcBorders>
              <w:top w:val="single" w:color="auto" w:sz="4" w:space="0"/>
              <w:left w:val="single" w:color="000000" w:sz="12" w:space="0"/>
              <w:bottom w:val="single" w:color="000000" w:sz="4" w:space="0"/>
              <w:right w:val="single" w:color="000000" w:sz="4"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人员</w:t>
            </w:r>
          </w:p>
        </w:tc>
        <w:tc>
          <w:tcPr>
            <w:tcW w:w="992" w:type="dxa"/>
            <w:tcBorders>
              <w:top w:val="single" w:color="auto" w:sz="4" w:space="0"/>
              <w:left w:val="single" w:color="000000" w:sz="4" w:space="0"/>
              <w:bottom w:val="single" w:color="000000" w:sz="4" w:space="0"/>
              <w:right w:val="single" w:color="auto" w:sz="4"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姓名</w:t>
            </w:r>
          </w:p>
        </w:tc>
        <w:tc>
          <w:tcPr>
            <w:tcW w:w="2551" w:type="dxa"/>
            <w:gridSpan w:val="2"/>
            <w:tcBorders>
              <w:top w:val="single" w:color="auto" w:sz="4" w:space="0"/>
              <w:left w:val="single" w:color="auto" w:sz="4" w:space="0"/>
              <w:bottom w:val="single" w:color="000000" w:sz="4" w:space="0"/>
              <w:right w:val="single" w:color="auto" w:sz="4"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是否在信息系统中公开</w:t>
            </w:r>
          </w:p>
          <w:p>
            <w:pPr>
              <w:spacing w:line="300" w:lineRule="exact"/>
              <w:jc w:val="center"/>
              <w:rPr>
                <w:rFonts w:ascii="宋体" w:hAnsi="宋体"/>
                <w:color w:val="auto"/>
                <w:szCs w:val="21"/>
                <w:highlight w:val="none"/>
              </w:rPr>
            </w:pPr>
            <w:r>
              <w:rPr>
                <w:rFonts w:hint="eastAsia" w:ascii="宋体" w:hAnsi="宋体"/>
                <w:color w:val="auto"/>
                <w:szCs w:val="21"/>
                <w:highlight w:val="none"/>
              </w:rPr>
              <w:t>（填是或否）</w:t>
            </w:r>
          </w:p>
        </w:tc>
        <w:tc>
          <w:tcPr>
            <w:tcW w:w="2376" w:type="dxa"/>
            <w:tcBorders>
              <w:top w:val="single" w:color="auto" w:sz="4" w:space="0"/>
              <w:left w:val="single" w:color="auto" w:sz="4" w:space="0"/>
              <w:bottom w:val="single" w:color="000000" w:sz="4" w:space="0"/>
              <w:right w:val="single" w:color="000000" w:sz="12"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备注</w:t>
            </w:r>
          </w:p>
        </w:tc>
      </w:tr>
      <w:tr>
        <w:tblPrEx>
          <w:tblCellMar>
            <w:top w:w="0" w:type="dxa"/>
            <w:left w:w="108" w:type="dxa"/>
            <w:bottom w:w="0" w:type="dxa"/>
            <w:right w:w="108" w:type="dxa"/>
          </w:tblCellMar>
        </w:tblPrEx>
        <w:trPr>
          <w:cantSplit/>
          <w:trHeight w:val="1746" w:hRule="atLeast"/>
        </w:trPr>
        <w:tc>
          <w:tcPr>
            <w:tcW w:w="3261" w:type="dxa"/>
            <w:gridSpan w:val="2"/>
            <w:tcBorders>
              <w:top w:val="single" w:color="000000" w:sz="4" w:space="0"/>
              <w:left w:val="single" w:color="000000" w:sz="12" w:space="0"/>
              <w:bottom w:val="single" w:color="000000" w:sz="4" w:space="0"/>
              <w:right w:val="single" w:color="000000" w:sz="4"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项目经理</w:t>
            </w:r>
          </w:p>
          <w:p>
            <w:pPr>
              <w:spacing w:line="300" w:lineRule="exact"/>
              <w:jc w:val="center"/>
              <w:rPr>
                <w:rFonts w:ascii="宋体" w:hAnsi="宋体"/>
                <w:color w:val="auto"/>
                <w:szCs w:val="21"/>
                <w:highlight w:val="none"/>
              </w:rPr>
            </w:pPr>
            <w:r>
              <w:rPr>
                <w:rFonts w:hint="eastAsia" w:ascii="宋体" w:hAnsi="宋体"/>
                <w:color w:val="auto"/>
                <w:szCs w:val="21"/>
                <w:highlight w:val="none"/>
              </w:rPr>
              <w:t>（公路工程专业二级及以上建造师注册证书信息、职称证信息、安全生产考核合格证书（B类）信息）</w:t>
            </w:r>
          </w:p>
        </w:tc>
        <w:tc>
          <w:tcPr>
            <w:tcW w:w="992" w:type="dxa"/>
            <w:tcBorders>
              <w:top w:val="single" w:color="000000" w:sz="4" w:space="0"/>
              <w:left w:val="single" w:color="000000" w:sz="4" w:space="0"/>
              <w:bottom w:val="single" w:color="000000" w:sz="4" w:space="0"/>
              <w:right w:val="single" w:color="auto" w:sz="4" w:space="0"/>
            </w:tcBorders>
            <w:noWrap w:val="0"/>
            <w:vAlign w:val="center"/>
          </w:tcPr>
          <w:p>
            <w:pPr>
              <w:spacing w:line="300" w:lineRule="exact"/>
              <w:rPr>
                <w:rFonts w:ascii="宋体" w:hAnsi="宋体"/>
                <w:color w:val="auto"/>
                <w:szCs w:val="21"/>
                <w:highlight w:val="none"/>
              </w:rPr>
            </w:pPr>
          </w:p>
        </w:tc>
        <w:tc>
          <w:tcPr>
            <w:tcW w:w="2551" w:type="dxa"/>
            <w:gridSpan w:val="2"/>
            <w:tcBorders>
              <w:top w:val="single" w:color="000000" w:sz="4" w:space="0"/>
              <w:left w:val="single" w:color="auto" w:sz="4" w:space="0"/>
              <w:bottom w:val="single" w:color="000000" w:sz="4" w:space="0"/>
              <w:right w:val="single" w:color="auto" w:sz="4" w:space="0"/>
            </w:tcBorders>
            <w:noWrap w:val="0"/>
            <w:vAlign w:val="center"/>
          </w:tcPr>
          <w:p>
            <w:pPr>
              <w:spacing w:line="300" w:lineRule="exact"/>
              <w:rPr>
                <w:rFonts w:ascii="宋体" w:hAnsi="宋体"/>
                <w:color w:val="auto"/>
                <w:szCs w:val="21"/>
                <w:highlight w:val="none"/>
              </w:rPr>
            </w:pPr>
          </w:p>
        </w:tc>
        <w:tc>
          <w:tcPr>
            <w:tcW w:w="2376" w:type="dxa"/>
            <w:vMerge w:val="restart"/>
            <w:tcBorders>
              <w:top w:val="single" w:color="000000" w:sz="4" w:space="0"/>
              <w:left w:val="single" w:color="auto" w:sz="4" w:space="0"/>
              <w:right w:val="single" w:color="000000" w:sz="12" w:space="0"/>
            </w:tcBorders>
            <w:noWrap w:val="0"/>
            <w:vAlign w:val="center"/>
          </w:tcPr>
          <w:p>
            <w:pPr>
              <w:spacing w:line="300" w:lineRule="exact"/>
              <w:rPr>
                <w:rFonts w:ascii="宋体" w:hAnsi="宋体"/>
                <w:color w:val="auto"/>
                <w:szCs w:val="21"/>
                <w:highlight w:val="none"/>
              </w:rPr>
            </w:pPr>
            <w:r>
              <w:rPr>
                <w:rFonts w:hint="eastAsia" w:ascii="宋体" w:hAnsi="宋体"/>
                <w:color w:val="auto"/>
                <w:szCs w:val="21"/>
                <w:highlight w:val="none"/>
              </w:rPr>
              <w:t>本表后附带有浙江省交通运输厅建设市场诚信信息系统水印的《主要人员信息一览表》打印件，未按要求填写或未附打印件的，相关内容视为未公开。</w:t>
            </w:r>
          </w:p>
        </w:tc>
      </w:tr>
      <w:tr>
        <w:tblPrEx>
          <w:tblCellMar>
            <w:top w:w="0" w:type="dxa"/>
            <w:left w:w="108" w:type="dxa"/>
            <w:bottom w:w="0" w:type="dxa"/>
            <w:right w:w="108" w:type="dxa"/>
          </w:tblCellMar>
        </w:tblPrEx>
        <w:trPr>
          <w:cantSplit/>
          <w:trHeight w:val="1267" w:hRule="atLeast"/>
        </w:trPr>
        <w:tc>
          <w:tcPr>
            <w:tcW w:w="3261" w:type="dxa"/>
            <w:gridSpan w:val="2"/>
            <w:tcBorders>
              <w:top w:val="single" w:color="000000" w:sz="4" w:space="0"/>
              <w:left w:val="single" w:color="000000" w:sz="12" w:space="0"/>
              <w:bottom w:val="single" w:color="000000" w:sz="12" w:space="0"/>
              <w:right w:val="single" w:color="000000" w:sz="4" w:space="0"/>
            </w:tcBorders>
            <w:noWrap w:val="0"/>
            <w:vAlign w:val="center"/>
          </w:tcPr>
          <w:p>
            <w:pPr>
              <w:spacing w:line="300" w:lineRule="exact"/>
              <w:jc w:val="center"/>
              <w:rPr>
                <w:rFonts w:ascii="宋体" w:hAnsi="宋体"/>
                <w:color w:val="auto"/>
                <w:szCs w:val="21"/>
                <w:highlight w:val="none"/>
              </w:rPr>
            </w:pPr>
            <w:r>
              <w:rPr>
                <w:rFonts w:hint="eastAsia" w:ascii="宋体" w:hAnsi="宋体"/>
                <w:color w:val="auto"/>
                <w:szCs w:val="21"/>
                <w:highlight w:val="none"/>
              </w:rPr>
              <w:t>项目总工</w:t>
            </w:r>
          </w:p>
          <w:p>
            <w:pPr>
              <w:spacing w:line="300" w:lineRule="exact"/>
              <w:jc w:val="center"/>
              <w:rPr>
                <w:rFonts w:ascii="宋体" w:hAnsi="宋体"/>
                <w:color w:val="auto"/>
                <w:szCs w:val="21"/>
                <w:highlight w:val="none"/>
              </w:rPr>
            </w:pPr>
            <w:r>
              <w:rPr>
                <w:rFonts w:hint="eastAsia" w:ascii="宋体" w:hAnsi="宋体"/>
                <w:color w:val="auto"/>
                <w:szCs w:val="21"/>
                <w:highlight w:val="none"/>
              </w:rPr>
              <w:t>（职称证信息、安全生产考核合格证书（B类）信息）</w:t>
            </w:r>
          </w:p>
        </w:tc>
        <w:tc>
          <w:tcPr>
            <w:tcW w:w="992" w:type="dxa"/>
            <w:tcBorders>
              <w:top w:val="single" w:color="000000" w:sz="4" w:space="0"/>
              <w:left w:val="single" w:color="000000" w:sz="4" w:space="0"/>
              <w:bottom w:val="single" w:color="000000" w:sz="12" w:space="0"/>
              <w:right w:val="single" w:color="auto" w:sz="4" w:space="0"/>
            </w:tcBorders>
            <w:noWrap w:val="0"/>
            <w:vAlign w:val="center"/>
          </w:tcPr>
          <w:p>
            <w:pPr>
              <w:spacing w:line="300" w:lineRule="exact"/>
              <w:rPr>
                <w:rFonts w:ascii="宋体" w:hAnsi="宋体"/>
                <w:color w:val="auto"/>
                <w:szCs w:val="21"/>
                <w:highlight w:val="none"/>
              </w:rPr>
            </w:pPr>
          </w:p>
        </w:tc>
        <w:tc>
          <w:tcPr>
            <w:tcW w:w="2551" w:type="dxa"/>
            <w:gridSpan w:val="2"/>
            <w:tcBorders>
              <w:top w:val="single" w:color="000000" w:sz="4" w:space="0"/>
              <w:left w:val="single" w:color="auto" w:sz="4" w:space="0"/>
              <w:bottom w:val="single" w:color="000000" w:sz="12" w:space="0"/>
              <w:right w:val="single" w:color="auto" w:sz="4" w:space="0"/>
            </w:tcBorders>
            <w:noWrap w:val="0"/>
            <w:vAlign w:val="center"/>
          </w:tcPr>
          <w:p>
            <w:pPr>
              <w:spacing w:line="300" w:lineRule="exact"/>
              <w:rPr>
                <w:rFonts w:ascii="宋体" w:hAnsi="宋体"/>
                <w:color w:val="auto"/>
                <w:szCs w:val="21"/>
                <w:highlight w:val="none"/>
              </w:rPr>
            </w:pPr>
          </w:p>
        </w:tc>
        <w:tc>
          <w:tcPr>
            <w:tcW w:w="2376" w:type="dxa"/>
            <w:vMerge w:val="continue"/>
            <w:tcBorders>
              <w:left w:val="single" w:color="auto" w:sz="4" w:space="0"/>
              <w:bottom w:val="single" w:color="000000" w:sz="12" w:space="0"/>
              <w:right w:val="single" w:color="000000" w:sz="12" w:space="0"/>
            </w:tcBorders>
            <w:noWrap w:val="0"/>
            <w:vAlign w:val="center"/>
          </w:tcPr>
          <w:p>
            <w:pPr>
              <w:spacing w:line="300" w:lineRule="exact"/>
              <w:rPr>
                <w:rFonts w:ascii="宋体" w:hAnsi="宋体"/>
                <w:color w:val="auto"/>
                <w:szCs w:val="21"/>
                <w:highlight w:val="none"/>
              </w:rPr>
            </w:pPr>
          </w:p>
        </w:tc>
      </w:tr>
    </w:tbl>
    <w:p>
      <w:pPr>
        <w:spacing w:before="120" w:beforeLines="50" w:line="320" w:lineRule="exact"/>
        <w:ind w:left="735" w:leftChars="200" w:hanging="315" w:hangingChars="150"/>
        <w:rPr>
          <w:rFonts w:hint="eastAsia" w:ascii="宋体" w:hAnsi="宋体"/>
          <w:color w:val="auto"/>
          <w:highlight w:val="none"/>
        </w:rPr>
      </w:pPr>
    </w:p>
    <w:p>
      <w:pPr>
        <w:tabs>
          <w:tab w:val="left" w:pos="1890"/>
        </w:tabs>
        <w:rPr>
          <w:rFonts w:ascii="宋体" w:hAnsi="宋体"/>
          <w:color w:val="auto"/>
          <w:highlight w:val="none"/>
        </w:rPr>
      </w:pPr>
    </w:p>
    <w:p>
      <w:pPr>
        <w:spacing w:before="120" w:beforeLines="50" w:after="120" w:afterLines="50"/>
        <w:jc w:val="center"/>
        <w:outlineLvl w:val="2"/>
        <w:rPr>
          <w:rFonts w:hint="eastAsia" w:ascii="黑体" w:hAnsi="黑体" w:eastAsia="黑体"/>
          <w:color w:val="auto"/>
          <w:sz w:val="28"/>
          <w:szCs w:val="28"/>
          <w:highlight w:val="none"/>
        </w:rPr>
      </w:pPr>
      <w:r>
        <w:rPr>
          <w:rFonts w:ascii="宋体" w:hAnsi="宋体"/>
          <w:color w:val="auto"/>
          <w:highlight w:val="none"/>
        </w:rPr>
        <w:br w:type="page"/>
      </w:r>
      <w:bookmarkStart w:id="1836" w:name="_Toc453530524"/>
      <w:bookmarkStart w:id="1837" w:name="_Toc25318"/>
      <w:bookmarkStart w:id="1838" w:name="_Toc471843922"/>
      <w:bookmarkStart w:id="1839" w:name="_Toc454958786"/>
      <w:bookmarkStart w:id="1840" w:name="_Toc466366153"/>
      <w:r>
        <w:rPr>
          <w:rFonts w:hint="eastAsia" w:ascii="黑体" w:hAnsi="黑体" w:eastAsia="黑体"/>
          <w:color w:val="auto"/>
          <w:sz w:val="28"/>
          <w:szCs w:val="28"/>
          <w:highlight w:val="none"/>
        </w:rPr>
        <w:t>（八）信用评价结果使用承诺书</w:t>
      </w:r>
      <w:bookmarkEnd w:id="1836"/>
      <w:bookmarkEnd w:id="1837"/>
      <w:bookmarkEnd w:id="1838"/>
      <w:bookmarkEnd w:id="1839"/>
    </w:p>
    <w:p>
      <w:pPr>
        <w:rPr>
          <w:rFonts w:hint="eastAsia" w:ascii="仿宋_GB2312" w:hAnsi="宋体" w:eastAsia="仿宋_GB2312"/>
          <w:color w:val="auto"/>
          <w:sz w:val="28"/>
          <w:highlight w:val="none"/>
        </w:rPr>
      </w:pPr>
    </w:p>
    <w:p>
      <w:pPr>
        <w:spacing w:line="360" w:lineRule="auto"/>
        <w:rPr>
          <w:rFonts w:hint="eastAsia" w:ascii="宋体" w:hAnsi="宋体"/>
          <w:color w:val="auto"/>
          <w:szCs w:val="21"/>
          <w:highlight w:val="none"/>
          <w:u w:val="single"/>
        </w:rPr>
      </w:pPr>
    </w:p>
    <w:p>
      <w:pPr>
        <w:spacing w:line="440" w:lineRule="exact"/>
        <w:rPr>
          <w:rFonts w:hint="eastAsia" w:ascii="宋体" w:hAnsi="宋体"/>
          <w:color w:val="auto"/>
          <w:sz w:val="24"/>
          <w:szCs w:val="24"/>
          <w:highlight w:val="none"/>
          <w:u w:val="single"/>
        </w:rPr>
      </w:pPr>
      <w:r>
        <w:rPr>
          <w:rFonts w:hint="eastAsia" w:ascii="宋体" w:hAnsi="宋体"/>
          <w:color w:val="auto"/>
          <w:sz w:val="24"/>
          <w:szCs w:val="24"/>
          <w:highlight w:val="none"/>
          <w:u w:val="single"/>
        </w:rPr>
        <w:t xml:space="preserve">  （招标人名称）  </w:t>
      </w:r>
      <w:r>
        <w:rPr>
          <w:rFonts w:hint="eastAsia" w:ascii="宋体" w:hAnsi="宋体"/>
          <w:color w:val="auto"/>
          <w:sz w:val="24"/>
          <w:szCs w:val="24"/>
          <w:highlight w:val="none"/>
        </w:rPr>
        <w:t>：</w:t>
      </w:r>
    </w:p>
    <w:p>
      <w:pPr>
        <w:spacing w:line="440" w:lineRule="exact"/>
        <w:ind w:firstLine="480" w:firstLineChars="200"/>
        <w:rPr>
          <w:rFonts w:hint="eastAsia" w:ascii="宋体" w:hAnsi="宋体"/>
          <w:color w:val="auto"/>
          <w:sz w:val="24"/>
          <w:szCs w:val="24"/>
          <w:highlight w:val="none"/>
        </w:rPr>
      </w:pPr>
    </w:p>
    <w:p>
      <w:pPr>
        <w:spacing w:line="44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根据浙江省交通运输厅最新</w:t>
      </w:r>
      <w:r>
        <w:rPr>
          <w:rFonts w:hint="eastAsia" w:ascii="宋体" w:hAnsi="宋体"/>
          <w:color w:val="auto"/>
          <w:sz w:val="24"/>
          <w:szCs w:val="24"/>
          <w:highlight w:val="none"/>
          <w:u w:val="single"/>
        </w:rPr>
        <w:t>（公路工程）</w:t>
      </w:r>
      <w:r>
        <w:rPr>
          <w:rFonts w:hint="eastAsia" w:ascii="宋体" w:hAnsi="宋体"/>
          <w:color w:val="auto"/>
          <w:sz w:val="24"/>
          <w:szCs w:val="24"/>
          <w:highlight w:val="none"/>
        </w:rPr>
        <w:t>施工企业信用评价结果，本投标人</w:t>
      </w:r>
      <w:r>
        <w:rPr>
          <w:rFonts w:hint="eastAsia" w:ascii="宋体" w:hAnsi="宋体"/>
          <w:color w:val="auto"/>
          <w:sz w:val="24"/>
          <w:szCs w:val="24"/>
          <w:highlight w:val="none"/>
          <w:u w:val="single"/>
        </w:rPr>
        <w:t xml:space="preserve">  （投标人名称） 的</w:t>
      </w:r>
      <w:r>
        <w:rPr>
          <w:rFonts w:hint="eastAsia" w:ascii="宋体" w:hAnsi="宋体"/>
          <w:color w:val="auto"/>
          <w:sz w:val="24"/>
          <w:szCs w:val="24"/>
          <w:highlight w:val="none"/>
        </w:rPr>
        <w:t>最新一年企业信用等级为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 xml:space="preserve">级，现决定将该信用等级得分使用在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项目</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标段。在此，本投标人郑重承诺所填报的信用等级真实无误，且本次信用等级得分的使用未超出规定次数。若所承诺事项与事实不符，本投标人同意按提供虚假材料处理，并作为投标失信行为纳入信用评价。</w:t>
      </w:r>
    </w:p>
    <w:p>
      <w:pPr>
        <w:spacing w:line="440" w:lineRule="exact"/>
        <w:rPr>
          <w:rFonts w:hint="eastAsia" w:ascii="宋体" w:hAnsi="宋体"/>
          <w:color w:val="auto"/>
          <w:szCs w:val="21"/>
          <w:highlight w:val="none"/>
        </w:rPr>
      </w:pPr>
    </w:p>
    <w:p>
      <w:pPr>
        <w:spacing w:line="440" w:lineRule="exact"/>
        <w:rPr>
          <w:rFonts w:hint="eastAsia" w:ascii="宋体" w:hAnsi="宋体"/>
          <w:color w:val="auto"/>
          <w:szCs w:val="21"/>
          <w:highlight w:val="none"/>
        </w:rPr>
      </w:pPr>
    </w:p>
    <w:p>
      <w:pPr>
        <w:spacing w:line="480" w:lineRule="auto"/>
        <w:ind w:right="630"/>
        <w:jc w:val="right"/>
        <w:rPr>
          <w:rFonts w:hint="eastAsia" w:ascii="宋体" w:hAnsi="宋体"/>
          <w:color w:val="auto"/>
          <w:szCs w:val="21"/>
          <w:highlight w:val="none"/>
        </w:rPr>
      </w:pPr>
      <w:r>
        <w:rPr>
          <w:rFonts w:hint="eastAsia" w:ascii="宋体" w:hAnsi="宋体"/>
          <w:color w:val="auto"/>
          <w:szCs w:val="21"/>
          <w:highlight w:val="none"/>
        </w:rPr>
        <w:t>承  诺  人：</w:t>
      </w:r>
      <w:r>
        <w:rPr>
          <w:rFonts w:hint="eastAsia" w:ascii="宋体" w:hAnsi="宋体"/>
          <w:color w:val="auto"/>
          <w:szCs w:val="21"/>
          <w:highlight w:val="none"/>
          <w:u w:val="single"/>
        </w:rPr>
        <w:t xml:space="preserve">  （投标人名称并加盖公章）  </w:t>
      </w:r>
    </w:p>
    <w:p>
      <w:pPr>
        <w:spacing w:line="480" w:lineRule="auto"/>
        <w:jc w:val="center"/>
        <w:rPr>
          <w:rFonts w:hint="eastAsia" w:ascii="宋体" w:hAnsi="宋体"/>
          <w:color w:val="auto"/>
          <w:szCs w:val="21"/>
          <w:highlight w:val="none"/>
        </w:rPr>
      </w:pP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（签名） </w:t>
      </w:r>
    </w:p>
    <w:p>
      <w:pPr>
        <w:spacing w:line="480" w:lineRule="auto"/>
        <w:ind w:firstLine="990"/>
        <w:jc w:val="center"/>
        <w:rPr>
          <w:rFonts w:hint="eastAsia" w:ascii="宋体" w:hAnsi="宋体"/>
          <w:color w:val="auto"/>
          <w:szCs w:val="21"/>
          <w:highlight w:val="none"/>
        </w:rPr>
      </w:pPr>
      <w:r>
        <w:rPr>
          <w:rFonts w:hint="eastAsia" w:ascii="宋体" w:hAnsi="宋体"/>
          <w:color w:val="auto"/>
          <w:szCs w:val="21"/>
          <w:highlight w:val="none"/>
        </w:rPr>
        <w:t xml:space="preserve">                  日      期：    年   月   日</w:t>
      </w:r>
    </w:p>
    <w:p>
      <w:pPr>
        <w:spacing w:line="480" w:lineRule="auto"/>
        <w:ind w:firstLine="990"/>
        <w:jc w:val="center"/>
        <w:rPr>
          <w:rFonts w:hint="eastAsia" w:ascii="宋体" w:hAnsi="宋体"/>
          <w:color w:val="auto"/>
          <w:szCs w:val="21"/>
          <w:highlight w:val="none"/>
        </w:rPr>
      </w:pPr>
    </w:p>
    <w:p>
      <w:pPr>
        <w:snapToGrid w:val="0"/>
        <w:rPr>
          <w:rFonts w:hint="eastAsia" w:ascii="宋体" w:hAnsi="宋体"/>
          <w:color w:val="auto"/>
          <w:szCs w:val="21"/>
          <w:highlight w:val="none"/>
        </w:rPr>
      </w:pPr>
    </w:p>
    <w:p>
      <w:pPr>
        <w:snapToGrid w:val="0"/>
        <w:rPr>
          <w:rFonts w:hint="eastAsia" w:ascii="宋体" w:hAnsi="宋体"/>
          <w:color w:val="auto"/>
          <w:szCs w:val="21"/>
          <w:highlight w:val="none"/>
        </w:rPr>
      </w:pPr>
    </w:p>
    <w:p>
      <w:pPr>
        <w:snapToGrid w:val="0"/>
        <w:rPr>
          <w:rFonts w:hint="eastAsia" w:ascii="宋体" w:hAnsi="宋体"/>
          <w:color w:val="auto"/>
          <w:szCs w:val="21"/>
          <w:highlight w:val="none"/>
        </w:rPr>
      </w:pPr>
      <w:r>
        <w:rPr>
          <w:rFonts w:hint="eastAsia" w:ascii="宋体" w:hAnsi="宋体"/>
          <w:color w:val="auto"/>
          <w:szCs w:val="21"/>
          <w:highlight w:val="none"/>
        </w:rPr>
        <w:t>注：</w:t>
      </w:r>
    </w:p>
    <w:p>
      <w:pPr>
        <w:snapToGrid w:val="0"/>
        <w:spacing w:line="360" w:lineRule="auto"/>
        <w:ind w:left="269" w:leftChars="128" w:firstLine="105" w:firstLineChars="50"/>
        <w:rPr>
          <w:rFonts w:hint="eastAsia" w:ascii="宋体" w:hAnsi="宋体"/>
          <w:color w:val="auto"/>
          <w:szCs w:val="21"/>
          <w:highlight w:val="none"/>
        </w:rPr>
      </w:pPr>
      <w:r>
        <w:rPr>
          <w:rFonts w:hint="eastAsia" w:ascii="宋体" w:hAnsi="宋体"/>
          <w:color w:val="auto"/>
          <w:szCs w:val="21"/>
          <w:highlight w:val="none"/>
        </w:rPr>
        <w:t>1.本承诺书在“浙江省交通运输厅建设市场诚信信息系统”中打印，含该系统水印。</w:t>
      </w:r>
    </w:p>
    <w:p>
      <w:pPr>
        <w:snapToGrid w:val="0"/>
        <w:spacing w:line="360" w:lineRule="auto"/>
        <w:ind w:left="269" w:leftChars="128" w:firstLine="105" w:firstLineChars="50"/>
        <w:rPr>
          <w:rFonts w:hint="eastAsia" w:ascii="宋体" w:hAnsi="宋体"/>
          <w:color w:val="auto"/>
          <w:szCs w:val="21"/>
          <w:highlight w:val="none"/>
        </w:rPr>
      </w:pPr>
      <w:r>
        <w:rPr>
          <w:rFonts w:hint="eastAsia" w:ascii="宋体" w:hAnsi="宋体"/>
          <w:color w:val="auto"/>
          <w:szCs w:val="21"/>
          <w:highlight w:val="none"/>
        </w:rPr>
        <w:t>2.本次信用等级得分为第</w:t>
      </w:r>
      <w:r>
        <w:rPr>
          <w:rFonts w:hint="eastAsia" w:ascii="宋体" w:hAnsi="宋体"/>
          <w:color w:val="auto"/>
          <w:szCs w:val="21"/>
          <w:highlight w:val="none"/>
          <w:u w:val="single"/>
        </w:rPr>
        <w:t xml:space="preserve">  </w:t>
      </w:r>
      <w:r>
        <w:rPr>
          <w:rFonts w:hint="eastAsia" w:ascii="宋体" w:hAnsi="宋体"/>
          <w:color w:val="auto"/>
          <w:szCs w:val="21"/>
          <w:highlight w:val="none"/>
        </w:rPr>
        <w:t>次使用，还剩余有效次数</w:t>
      </w:r>
      <w:r>
        <w:rPr>
          <w:rFonts w:hint="eastAsia" w:ascii="宋体" w:hAnsi="宋体"/>
          <w:color w:val="auto"/>
          <w:szCs w:val="21"/>
          <w:highlight w:val="none"/>
          <w:u w:val="single"/>
        </w:rPr>
        <w:t xml:space="preserve">   </w:t>
      </w:r>
      <w:r>
        <w:rPr>
          <w:rFonts w:hint="eastAsia" w:ascii="宋体" w:hAnsi="宋体"/>
          <w:color w:val="auto"/>
          <w:szCs w:val="21"/>
          <w:highlight w:val="none"/>
        </w:rPr>
        <w:t>次。</w:t>
      </w:r>
    </w:p>
    <w:p>
      <w:pPr>
        <w:snapToGrid w:val="0"/>
        <w:spacing w:line="360" w:lineRule="auto"/>
        <w:ind w:left="269" w:leftChars="128" w:firstLine="105" w:firstLineChars="50"/>
        <w:rPr>
          <w:rFonts w:hint="eastAsia" w:ascii="宋体" w:hAnsi="宋体"/>
          <w:color w:val="auto"/>
          <w:szCs w:val="21"/>
          <w:highlight w:val="none"/>
        </w:rPr>
      </w:pPr>
      <w:r>
        <w:rPr>
          <w:rFonts w:hint="eastAsia" w:ascii="宋体" w:hAnsi="宋体"/>
          <w:color w:val="auto"/>
          <w:szCs w:val="21"/>
          <w:highlight w:val="none"/>
        </w:rPr>
        <w:t>3.施工企业选择使用AA、A 级信用等级得分的应提供此表，否则不需要提供。</w:t>
      </w:r>
    </w:p>
    <w:p>
      <w:pPr>
        <w:jc w:val="center"/>
        <w:outlineLvl w:val="2"/>
        <w:rPr>
          <w:rFonts w:hint="eastAsia" w:ascii="宋体" w:hAnsi="宋体"/>
          <w:color w:val="auto"/>
          <w:sz w:val="28"/>
          <w:szCs w:val="28"/>
          <w:highlight w:val="none"/>
        </w:rPr>
      </w:pPr>
      <w:r>
        <w:rPr>
          <w:rFonts w:ascii="宋体" w:hAnsi="宋体"/>
          <w:color w:val="auto"/>
          <w:sz w:val="28"/>
          <w:szCs w:val="28"/>
          <w:highlight w:val="none"/>
        </w:rPr>
        <w:br w:type="page"/>
      </w:r>
    </w:p>
    <w:p>
      <w:pPr>
        <w:jc w:val="center"/>
        <w:outlineLvl w:val="2"/>
        <w:rPr>
          <w:rFonts w:hint="eastAsia" w:ascii="宋体" w:hAnsi="宋体"/>
          <w:color w:val="auto"/>
          <w:highlight w:val="none"/>
        </w:rPr>
      </w:pPr>
    </w:p>
    <w:p>
      <w:pPr>
        <w:jc w:val="center"/>
        <w:outlineLvl w:val="2"/>
        <w:rPr>
          <w:rFonts w:ascii="宋体" w:hAnsi="宋体"/>
          <w:color w:val="auto"/>
          <w:sz w:val="28"/>
          <w:szCs w:val="28"/>
          <w:highlight w:val="none"/>
        </w:rPr>
      </w:pPr>
      <w:r>
        <w:rPr>
          <w:rFonts w:hint="eastAsia" w:ascii="宋体" w:hAnsi="宋体"/>
          <w:color w:val="auto"/>
          <w:sz w:val="28"/>
          <w:szCs w:val="28"/>
          <w:highlight w:val="none"/>
        </w:rPr>
        <w:t>（九）履约行为表</w:t>
      </w:r>
      <w:bookmarkEnd w:id="1834"/>
      <w:bookmarkEnd w:id="1835"/>
      <w:bookmarkEnd w:id="1840"/>
    </w:p>
    <w:tbl>
      <w:tblPr>
        <w:tblStyle w:val="17"/>
        <w:tblW w:w="0" w:type="auto"/>
        <w:tblInd w:w="25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714"/>
        <w:gridCol w:w="379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4" w:hRule="atLeast"/>
        </w:trPr>
        <w:tc>
          <w:tcPr>
            <w:tcW w:w="8505" w:type="dxa"/>
            <w:gridSpan w:val="2"/>
            <w:noWrap w:val="0"/>
            <w:vAlign w:val="center"/>
          </w:tcPr>
          <w:p>
            <w:pPr>
              <w:spacing w:before="120" w:after="120"/>
              <w:jc w:val="center"/>
              <w:rPr>
                <w:rFonts w:ascii="宋体" w:hAnsi="宋体"/>
                <w:color w:val="auto"/>
                <w:highlight w:val="none"/>
              </w:rPr>
            </w:pPr>
            <w:r>
              <w:rPr>
                <w:rFonts w:hint="eastAsia" w:ascii="宋体" w:hAnsi="宋体"/>
                <w:color w:val="auto"/>
                <w:highlight w:val="none"/>
              </w:rPr>
              <w:t>投  标  人  应  如  实  填  写  下  列  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64" w:hRule="atLeast"/>
        </w:trPr>
        <w:tc>
          <w:tcPr>
            <w:tcW w:w="4714" w:type="dxa"/>
            <w:noWrap w:val="0"/>
            <w:vAlign w:val="top"/>
          </w:tcPr>
          <w:p>
            <w:pPr>
              <w:spacing w:line="400" w:lineRule="exact"/>
              <w:ind w:firstLine="420" w:firstLineChars="200"/>
              <w:rPr>
                <w:rFonts w:ascii="宋体" w:hAnsi="宋体"/>
                <w:color w:val="auto"/>
                <w:highlight w:val="none"/>
              </w:rPr>
            </w:pPr>
            <w:r>
              <w:rPr>
                <w:rFonts w:hint="eastAsia" w:ascii="宋体" w:hAnsi="宋体"/>
                <w:color w:val="auto"/>
                <w:highlight w:val="none"/>
              </w:rPr>
              <w:t>投标人应如实填写下列内容：</w:t>
            </w:r>
          </w:p>
          <w:p>
            <w:pPr>
              <w:spacing w:line="400" w:lineRule="exact"/>
              <w:ind w:firstLine="420" w:firstLineChars="200"/>
              <w:rPr>
                <w:rFonts w:hint="eastAsia" w:ascii="宋体" w:hAnsi="宋体"/>
                <w:color w:val="auto"/>
                <w:highlight w:val="none"/>
              </w:rPr>
            </w:pPr>
            <w:r>
              <w:rPr>
                <w:rFonts w:hint="eastAsia" w:ascii="宋体" w:hAnsi="宋体"/>
                <w:color w:val="auto"/>
                <w:highlight w:val="none"/>
              </w:rPr>
              <w:t>1、2021年</w:t>
            </w:r>
            <w:r>
              <w:rPr>
                <w:rFonts w:hint="eastAsia" w:ascii="宋体" w:hAnsi="宋体"/>
                <w:color w:val="auto"/>
                <w:highlight w:val="none"/>
                <w:lang w:val="en-US" w:eastAsia="zh-CN"/>
              </w:rPr>
              <w:t>7</w:t>
            </w:r>
            <w:r>
              <w:rPr>
                <w:rFonts w:hint="eastAsia" w:ascii="宋体" w:hAnsi="宋体"/>
                <w:color w:val="auto"/>
                <w:highlight w:val="none"/>
              </w:rPr>
              <w:t>月1日以来，有无被交通运输部、浙江省交通运输厅、浙江省发改委三部门以外的省级及以上单位（部门）书面通报，被限制投标，并在处罚期内；</w:t>
            </w:r>
          </w:p>
          <w:p>
            <w:pPr>
              <w:spacing w:line="400" w:lineRule="exact"/>
              <w:ind w:firstLine="420" w:firstLineChars="20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2020年1月1日</w:t>
            </w:r>
            <w:r>
              <w:rPr>
                <w:rFonts w:hint="eastAsia" w:ascii="宋体" w:hAnsi="宋体"/>
                <w:color w:val="auto"/>
                <w:highlight w:val="none"/>
              </w:rPr>
              <w:t>以来，在工程建设领域中，投标人及拟委任项目经理有无行贿受贿行为构成犯罪或未构成犯罪的。</w:t>
            </w:r>
          </w:p>
        </w:tc>
        <w:tc>
          <w:tcPr>
            <w:tcW w:w="3791" w:type="dxa"/>
            <w:noWrap w:val="0"/>
            <w:vAlign w:val="center"/>
          </w:tcPr>
          <w:p>
            <w:pPr>
              <w:jc w:val="center"/>
              <w:rPr>
                <w:rFonts w:ascii="宋体" w:hAnsi="宋体"/>
                <w:color w:val="auto"/>
                <w:highlight w:val="none"/>
              </w:rPr>
            </w:pPr>
          </w:p>
        </w:tc>
      </w:tr>
    </w:tbl>
    <w:p>
      <w:pPr>
        <w:spacing w:line="360" w:lineRule="exact"/>
        <w:ind w:firstLine="420" w:firstLineChars="200"/>
        <w:rPr>
          <w:rFonts w:hint="eastAsia" w:ascii="宋体" w:hAnsi="宋体" w:cs="宋体"/>
          <w:color w:val="auto"/>
          <w:szCs w:val="21"/>
          <w:highlight w:val="none"/>
        </w:rPr>
      </w:pPr>
      <w:r>
        <w:rPr>
          <w:rFonts w:hint="eastAsia"/>
          <w:color w:val="auto"/>
          <w:highlight w:val="none"/>
        </w:rPr>
        <w:t>注：投标人自行承诺即可，定标前</w:t>
      </w:r>
      <w:r>
        <w:rPr>
          <w:rFonts w:hint="eastAsia" w:ascii="宋体" w:hAnsi="宋体" w:cs="宋体"/>
          <w:color w:val="auto"/>
          <w:szCs w:val="21"/>
          <w:highlight w:val="none"/>
        </w:rPr>
        <w:t>由招标人对</w:t>
      </w:r>
      <w:r>
        <w:rPr>
          <w:rFonts w:hint="eastAsia" w:ascii="宋体" w:hAnsi="宋体"/>
          <w:color w:val="auto"/>
          <w:highlight w:val="none"/>
        </w:rPr>
        <w:t>中标候选人及拟委任项目经理有无行贿受贿行为进行查询，</w:t>
      </w:r>
      <w:r>
        <w:rPr>
          <w:rFonts w:hint="eastAsia"/>
          <w:color w:val="auto"/>
          <w:highlight w:val="none"/>
        </w:rPr>
        <w:t>以中国裁判文书网罪的查询结果为准；</w:t>
      </w:r>
      <w:r>
        <w:rPr>
          <w:rFonts w:hint="eastAsia" w:ascii="宋体" w:hAnsi="宋体" w:cs="宋体"/>
          <w:color w:val="auto"/>
          <w:szCs w:val="21"/>
          <w:highlight w:val="none"/>
        </w:rPr>
        <w:t>若查实提供虚假材料的，招标人将投标人其行为上报省级交通主管部门，作为不良记录纳入公路建设市场信用信息管理系统。</w:t>
      </w:r>
    </w:p>
    <w:p>
      <w:pPr>
        <w:rPr>
          <w:rFonts w:ascii="宋体" w:hAnsi="宋体"/>
          <w:color w:val="auto"/>
          <w:sz w:val="24"/>
          <w:highlight w:val="none"/>
        </w:rPr>
      </w:pPr>
      <w:r>
        <w:rPr>
          <w:rFonts w:ascii="宋体" w:hAnsi="宋体"/>
          <w:color w:val="auto"/>
          <w:sz w:val="24"/>
          <w:highlight w:val="none"/>
        </w:rPr>
        <w:br w:type="page"/>
      </w:r>
    </w:p>
    <w:p>
      <w:pPr>
        <w:jc w:val="center"/>
        <w:outlineLvl w:val="1"/>
        <w:rPr>
          <w:rFonts w:ascii="宋体" w:hAnsi="宋体"/>
          <w:color w:val="auto"/>
          <w:sz w:val="28"/>
          <w:highlight w:val="none"/>
        </w:rPr>
      </w:pPr>
      <w:bookmarkStart w:id="1841" w:name="_Toc466366154"/>
      <w:bookmarkStart w:id="1842" w:name="_Toc234382989"/>
      <w:bookmarkStart w:id="1843" w:name="_Toc262895618"/>
      <w:bookmarkStart w:id="1844" w:name="_Toc239671882"/>
      <w:bookmarkStart w:id="1845" w:name="_Toc20133"/>
      <w:bookmarkStart w:id="1846" w:name="_Toc4670"/>
      <w:bookmarkStart w:id="1847" w:name="_Toc18678"/>
      <w:bookmarkStart w:id="1848" w:name="_Toc17152"/>
      <w:bookmarkStart w:id="1849" w:name="_Toc245477501"/>
      <w:bookmarkStart w:id="1850" w:name="_Toc4917"/>
      <w:r>
        <w:rPr>
          <w:rFonts w:hint="eastAsia" w:ascii="宋体" w:hAnsi="宋体"/>
          <w:color w:val="auto"/>
          <w:sz w:val="28"/>
          <w:highlight w:val="none"/>
        </w:rPr>
        <w:t>八、承  诺  函</w:t>
      </w:r>
      <w:bookmarkEnd w:id="1841"/>
      <w:bookmarkEnd w:id="1842"/>
      <w:bookmarkEnd w:id="1843"/>
      <w:bookmarkEnd w:id="1844"/>
      <w:bookmarkEnd w:id="1845"/>
      <w:bookmarkEnd w:id="1846"/>
      <w:bookmarkEnd w:id="1847"/>
      <w:bookmarkEnd w:id="1848"/>
      <w:bookmarkEnd w:id="1849"/>
      <w:bookmarkEnd w:id="1850"/>
    </w:p>
    <w:p>
      <w:pPr>
        <w:spacing w:before="240" w:after="240" w:line="500" w:lineRule="exact"/>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pPr>
        <w:spacing w:line="500" w:lineRule="exact"/>
        <w:ind w:firstLine="420" w:firstLineChars="200"/>
        <w:rPr>
          <w:rFonts w:ascii="宋体" w:hAnsi="宋体"/>
          <w:color w:val="auto"/>
          <w:highlight w:val="none"/>
        </w:rPr>
      </w:pPr>
      <w:r>
        <w:rPr>
          <w:rFonts w:hint="eastAsia" w:ascii="宋体" w:hAnsi="宋体"/>
          <w:color w:val="auto"/>
          <w:highlight w:val="none"/>
        </w:rPr>
        <w:t>我方参加了</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标段施工投标，若我方中标，我方在此承诺：</w:t>
      </w:r>
    </w:p>
    <w:p>
      <w:pPr>
        <w:spacing w:line="500" w:lineRule="exact"/>
        <w:ind w:firstLine="420" w:firstLineChars="200"/>
        <w:rPr>
          <w:rFonts w:hint="eastAsia" w:ascii="宋体" w:hAnsi="宋体"/>
          <w:color w:val="auto"/>
          <w:highlight w:val="none"/>
        </w:rPr>
      </w:pPr>
      <w:r>
        <w:rPr>
          <w:rFonts w:hint="eastAsia" w:ascii="宋体" w:hAnsi="宋体"/>
          <w:color w:val="auto"/>
          <w:highlight w:val="none"/>
        </w:rPr>
        <w:t>在招标人向我方发出中标通知书之前，我方将按照合同附件提出的最低要求填报派驻本标段的其他主要管理人员和技术人员及主要机械设备和试验检测设备，在经招标人审批后作为派驻本标段的项目管理机构主要人员和主要设备且不进行更换。</w:t>
      </w:r>
    </w:p>
    <w:p>
      <w:pPr>
        <w:spacing w:line="500" w:lineRule="exact"/>
        <w:ind w:firstLine="420" w:firstLineChars="200"/>
        <w:rPr>
          <w:rFonts w:hint="eastAsia" w:ascii="宋体" w:hAnsi="宋体"/>
          <w:color w:val="auto"/>
          <w:highlight w:val="none"/>
        </w:rPr>
      </w:pPr>
      <w:r>
        <w:rPr>
          <w:rFonts w:hint="eastAsia" w:ascii="宋体" w:hAnsi="宋体"/>
          <w:color w:val="auto"/>
          <w:highlight w:val="none"/>
        </w:rPr>
        <w:t>如招标人认为我方所报工程量清单的各章之间或工程子目中报价存在明显不平衡，我方将无条件接受招标人对工程量清单和单价分析表的不平衡报价调整。</w:t>
      </w:r>
    </w:p>
    <w:p>
      <w:pPr>
        <w:spacing w:line="500" w:lineRule="exact"/>
        <w:ind w:firstLine="420" w:firstLineChars="200"/>
        <w:rPr>
          <w:rFonts w:hint="eastAsia" w:ascii="宋体" w:hAnsi="宋体"/>
          <w:color w:val="auto"/>
          <w:highlight w:val="none"/>
        </w:rPr>
      </w:pPr>
      <w:r>
        <w:rPr>
          <w:rFonts w:hint="eastAsia" w:ascii="宋体" w:hAnsi="宋体"/>
          <w:color w:val="auto"/>
          <w:highlight w:val="none"/>
        </w:rPr>
        <w:t>如我方违背了上述承诺，本项目招标人有权取消我方的中标资格，并由招标人将我方的违约行为上报省级交通主管部门，作为不良记录纳入浙江省交通运输厅建设市场诚信信息系统和信用评价管理系统。</w:t>
      </w:r>
    </w:p>
    <w:p>
      <w:pPr>
        <w:spacing w:line="500" w:lineRule="exact"/>
        <w:ind w:firstLine="420" w:firstLineChars="200"/>
        <w:rPr>
          <w:rFonts w:ascii="宋体" w:hAnsi="宋体"/>
          <w:color w:val="auto"/>
          <w:highlight w:val="none"/>
        </w:rPr>
      </w:pPr>
    </w:p>
    <w:p>
      <w:pPr>
        <w:spacing w:line="500" w:lineRule="exact"/>
        <w:rPr>
          <w:rFonts w:ascii="宋体" w:hAnsi="宋体"/>
          <w:color w:val="auto"/>
          <w:highlight w:val="none"/>
        </w:rPr>
      </w:pPr>
    </w:p>
    <w:p>
      <w:pPr>
        <w:rPr>
          <w:rFonts w:ascii="宋体" w:hAnsi="宋体"/>
          <w:color w:val="auto"/>
          <w:highlight w:val="none"/>
        </w:rPr>
      </w:pPr>
    </w:p>
    <w:p>
      <w:pPr>
        <w:spacing w:line="500" w:lineRule="exact"/>
        <w:rPr>
          <w:rFonts w:ascii="宋体" w:hAnsi="宋体"/>
          <w:color w:val="auto"/>
          <w:highlight w:val="none"/>
        </w:rPr>
      </w:pPr>
      <w:r>
        <w:rPr>
          <w:rFonts w:hint="eastAsia" w:ascii="宋体" w:hAnsi="宋体"/>
          <w:color w:val="auto"/>
          <w:highlight w:val="none"/>
        </w:rPr>
        <w:t xml:space="preserve">                            </w:t>
      </w:r>
      <w:r>
        <w:rPr>
          <w:rFonts w:hint="eastAsia" w:ascii="宋体" w:hAnsi="宋体"/>
          <w:color w:val="auto"/>
          <w:kern w:val="0"/>
          <w:highlight w:val="none"/>
        </w:rPr>
        <w:t>投  标  人：</w:t>
      </w:r>
      <w:r>
        <w:rPr>
          <w:rFonts w:hint="eastAsia" w:ascii="宋体" w:hAnsi="宋体"/>
          <w:color w:val="auto"/>
          <w:highlight w:val="none"/>
          <w:u w:val="single"/>
        </w:rPr>
        <w:t xml:space="preserve">                     </w:t>
      </w:r>
      <w:r>
        <w:rPr>
          <w:rFonts w:hint="eastAsia" w:ascii="宋体" w:hAnsi="宋体"/>
          <w:color w:val="auto"/>
          <w:highlight w:val="none"/>
        </w:rPr>
        <w:t>（盖单位章）</w:t>
      </w:r>
    </w:p>
    <w:p>
      <w:pPr>
        <w:spacing w:line="500" w:lineRule="exact"/>
        <w:rPr>
          <w:rFonts w:ascii="宋体" w:hAnsi="宋体"/>
          <w:color w:val="auto"/>
          <w:highlight w:val="none"/>
        </w:rPr>
      </w:pPr>
      <w:r>
        <w:rPr>
          <w:rFonts w:hint="eastAsia" w:ascii="宋体" w:hAnsi="宋体"/>
          <w:color w:val="auto"/>
          <w:highlight w:val="none"/>
        </w:rPr>
        <w:t xml:space="preserve">                            法定代表人或其委托代理人：</w:t>
      </w:r>
      <w:r>
        <w:rPr>
          <w:rFonts w:hint="eastAsia" w:ascii="宋体" w:hAnsi="宋体"/>
          <w:color w:val="auto"/>
          <w:highlight w:val="none"/>
          <w:u w:val="single"/>
        </w:rPr>
        <w:t xml:space="preserve">           </w:t>
      </w:r>
      <w:r>
        <w:rPr>
          <w:rFonts w:hint="eastAsia" w:ascii="宋体" w:hAnsi="宋体"/>
          <w:color w:val="auto"/>
          <w:highlight w:val="none"/>
        </w:rPr>
        <w:t>（签字）</w:t>
      </w:r>
    </w:p>
    <w:p>
      <w:pPr>
        <w:spacing w:line="500" w:lineRule="exact"/>
        <w:rPr>
          <w:rFonts w:ascii="宋体" w:hAnsi="宋体"/>
          <w:color w:val="auto"/>
          <w:highlight w:val="none"/>
        </w:rPr>
      </w:pPr>
      <w:r>
        <w:rPr>
          <w:rFonts w:hint="eastAsia" w:ascii="宋体" w:hAnsi="宋体"/>
          <w:color w:val="auto"/>
          <w:highlight w:val="none"/>
        </w:rPr>
        <w:t xml:space="preserve">                                                                          </w:t>
      </w:r>
    </w:p>
    <w:p>
      <w:pPr>
        <w:spacing w:line="500" w:lineRule="exact"/>
        <w:ind w:right="420" w:firstLine="3968" w:firstLineChars="1890"/>
        <w:rPr>
          <w:rFonts w:ascii="宋体" w:hAnsi="宋体"/>
          <w:color w:val="auto"/>
          <w:sz w:val="24"/>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pPr>
        <w:spacing w:line="500" w:lineRule="exact"/>
        <w:rPr>
          <w:rFonts w:ascii="宋体" w:hAnsi="宋体"/>
          <w:color w:val="auto"/>
          <w:highlight w:val="none"/>
        </w:rPr>
      </w:pPr>
    </w:p>
    <w:p>
      <w:pPr>
        <w:rPr>
          <w:rFonts w:ascii="宋体" w:hAnsi="宋体"/>
          <w:color w:val="auto"/>
          <w:highlight w:val="none"/>
        </w:rPr>
      </w:pPr>
    </w:p>
    <w:p>
      <w:pPr>
        <w:rPr>
          <w:rFonts w:ascii="宋体" w:hAnsi="宋体"/>
          <w:color w:val="auto"/>
          <w:highlight w:val="none"/>
        </w:rPr>
      </w:pPr>
    </w:p>
    <w:p>
      <w:pPr>
        <w:rPr>
          <w:rFonts w:ascii="宋体" w:hAnsi="宋体"/>
          <w:color w:val="auto"/>
          <w:highlight w:val="none"/>
        </w:rPr>
      </w:pPr>
    </w:p>
    <w:p>
      <w:pPr>
        <w:tabs>
          <w:tab w:val="left" w:pos="1966"/>
        </w:tabs>
        <w:rPr>
          <w:rFonts w:ascii="宋体" w:hAnsi="宋体"/>
          <w:color w:val="auto"/>
          <w:highlight w:val="none"/>
        </w:rPr>
      </w:pPr>
      <w:r>
        <w:rPr>
          <w:rFonts w:ascii="宋体" w:hAnsi="宋体"/>
          <w:color w:val="auto"/>
          <w:highlight w:val="none"/>
        </w:rPr>
        <w:tab/>
      </w:r>
    </w:p>
    <w:p>
      <w:pPr>
        <w:rPr>
          <w:rFonts w:ascii="宋体" w:hAnsi="宋体"/>
          <w:color w:val="auto"/>
          <w:highlight w:val="none"/>
        </w:rPr>
      </w:pPr>
    </w:p>
    <w:p>
      <w:pPr>
        <w:rPr>
          <w:rFonts w:ascii="宋体" w:hAnsi="宋体"/>
          <w:color w:val="auto"/>
          <w:highlight w:val="none"/>
        </w:rPr>
      </w:pPr>
    </w:p>
    <w:p>
      <w:pPr>
        <w:rPr>
          <w:rFonts w:ascii="宋体" w:hAnsi="宋体"/>
          <w:color w:val="auto"/>
          <w:highlight w:val="none"/>
        </w:rPr>
      </w:pPr>
    </w:p>
    <w:p>
      <w:pPr>
        <w:rPr>
          <w:rFonts w:ascii="宋体" w:hAnsi="宋体"/>
          <w:color w:val="auto"/>
          <w:highlight w:val="none"/>
        </w:rPr>
      </w:pPr>
    </w:p>
    <w:p>
      <w:pPr>
        <w:rPr>
          <w:rFonts w:ascii="宋体" w:hAnsi="宋体"/>
          <w:color w:val="auto"/>
          <w:highlight w:val="none"/>
        </w:rPr>
      </w:pPr>
    </w:p>
    <w:p>
      <w:pPr>
        <w:rPr>
          <w:rFonts w:ascii="宋体" w:hAnsi="宋体"/>
          <w:color w:val="auto"/>
          <w:highlight w:val="none"/>
        </w:rPr>
      </w:pPr>
    </w:p>
    <w:p>
      <w:pPr>
        <w:ind w:firstLine="560" w:firstLineChars="200"/>
        <w:jc w:val="center"/>
        <w:rPr>
          <w:rFonts w:ascii="宋体" w:hAnsi="宋体"/>
          <w:color w:val="auto"/>
          <w:sz w:val="28"/>
          <w:highlight w:val="none"/>
        </w:rPr>
      </w:pPr>
      <w:bookmarkStart w:id="1851" w:name="_Toc234382990"/>
    </w:p>
    <w:p>
      <w:pPr>
        <w:rPr>
          <w:rFonts w:hint="eastAsia"/>
          <w:color w:val="auto"/>
          <w:highlight w:val="none"/>
        </w:rPr>
      </w:pPr>
      <w:bookmarkStart w:id="1852" w:name="_Toc239671883"/>
      <w:bookmarkStart w:id="1853" w:name="_Toc24790"/>
      <w:bookmarkStart w:id="1854" w:name="_Toc8813"/>
      <w:bookmarkStart w:id="1855" w:name="_Toc789"/>
      <w:bookmarkStart w:id="1856" w:name="_Toc969"/>
      <w:bookmarkStart w:id="1857" w:name="_Toc19832"/>
      <w:r>
        <w:rPr>
          <w:rFonts w:ascii="宋体" w:hAnsi="宋体"/>
          <w:color w:val="auto"/>
          <w:sz w:val="28"/>
          <w:highlight w:val="none"/>
        </w:rPr>
        <w:br w:type="page"/>
      </w:r>
      <w:bookmarkEnd w:id="1851"/>
      <w:bookmarkEnd w:id="1852"/>
      <w:bookmarkEnd w:id="1853"/>
      <w:bookmarkEnd w:id="1854"/>
      <w:bookmarkEnd w:id="1855"/>
      <w:bookmarkEnd w:id="1856"/>
      <w:bookmarkEnd w:id="1857"/>
      <w:bookmarkStart w:id="1858" w:name="_Toc338939063"/>
    </w:p>
    <w:p>
      <w:pPr>
        <w:rPr>
          <w:rFonts w:hint="eastAsia"/>
          <w:color w:val="auto"/>
          <w:highlight w:val="none"/>
        </w:rPr>
      </w:pPr>
    </w:p>
    <w:p>
      <w:pPr>
        <w:pStyle w:val="5"/>
        <w:jc w:val="center"/>
        <w:rPr>
          <w:rFonts w:hint="eastAsia" w:ascii="黑体"/>
          <w:b w:val="0"/>
          <w:color w:val="auto"/>
          <w:highlight w:val="none"/>
        </w:rPr>
      </w:pPr>
      <w:bookmarkStart w:id="1859" w:name="_Toc466366155"/>
      <w:bookmarkStart w:id="1860" w:name="_Toc360486050"/>
      <w:bookmarkStart w:id="1861" w:name="_Toc7964"/>
      <w:bookmarkStart w:id="1862" w:name="_Toc262646511"/>
      <w:bookmarkStart w:id="1863" w:name="_Toc29048"/>
      <w:bookmarkStart w:id="1864" w:name="_Toc292754900"/>
      <w:bookmarkStart w:id="1865" w:name="_Toc30053"/>
      <w:r>
        <w:rPr>
          <w:rFonts w:hint="eastAsia" w:ascii="黑体"/>
          <w:b w:val="0"/>
          <w:color w:val="auto"/>
          <w:highlight w:val="none"/>
        </w:rPr>
        <w:t>九、投标人须知前附表规定的其他材料</w:t>
      </w:r>
      <w:bookmarkEnd w:id="1859"/>
      <w:bookmarkEnd w:id="1860"/>
      <w:bookmarkEnd w:id="1861"/>
      <w:bookmarkEnd w:id="1862"/>
      <w:bookmarkEnd w:id="1863"/>
      <w:bookmarkEnd w:id="1864"/>
      <w:bookmarkEnd w:id="1865"/>
    </w:p>
    <w:p>
      <w:pPr>
        <w:spacing w:line="360" w:lineRule="exact"/>
        <w:ind w:left="210" w:leftChars="100" w:right="210" w:rightChars="100" w:firstLine="480" w:firstLineChars="200"/>
        <w:rPr>
          <w:rFonts w:hint="eastAsia" w:ascii="宋体" w:hAnsi="宋体"/>
          <w:color w:val="auto"/>
          <w:sz w:val="24"/>
          <w:highlight w:val="none"/>
        </w:rPr>
      </w:pPr>
    </w:p>
    <w:p>
      <w:pPr>
        <w:spacing w:line="360" w:lineRule="exact"/>
        <w:ind w:left="210" w:leftChars="100" w:right="210" w:rightChars="100" w:firstLine="480" w:firstLineChars="200"/>
        <w:rPr>
          <w:rFonts w:hint="eastAsia" w:ascii="宋体" w:hAnsi="宋体"/>
          <w:color w:val="auto"/>
          <w:sz w:val="24"/>
          <w:highlight w:val="none"/>
        </w:rPr>
      </w:pPr>
    </w:p>
    <w:p>
      <w:pPr>
        <w:rPr>
          <w:rFonts w:hint="eastAsia" w:ascii="宋体" w:hAnsi="宋体"/>
          <w:color w:val="auto"/>
          <w:sz w:val="24"/>
          <w:highlight w:val="none"/>
        </w:rPr>
      </w:pPr>
    </w:p>
    <w:bookmarkEnd w:id="1858"/>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jc w:val="left"/>
        <w:outlineLvl w:val="1"/>
        <w:rPr>
          <w:color w:val="auto"/>
          <w:sz w:val="28"/>
          <w:highlight w:val="none"/>
        </w:rPr>
      </w:pPr>
    </w:p>
    <w:p>
      <w:pPr>
        <w:spacing w:line="360" w:lineRule="auto"/>
        <w:ind w:left="3213" w:hanging="3213" w:hangingChars="800"/>
        <w:jc w:val="center"/>
        <w:rPr>
          <w:rFonts w:hint="eastAsia" w:ascii="宋体" w:hAnsi="宋体"/>
          <w:b/>
          <w:color w:val="auto"/>
          <w:sz w:val="40"/>
          <w:szCs w:val="22"/>
          <w:highlight w:val="none"/>
          <w:lang w:eastAsia="zh-CN"/>
        </w:rPr>
      </w:pPr>
      <w:r>
        <w:rPr>
          <w:rFonts w:hint="eastAsia" w:ascii="宋体" w:hAnsi="宋体"/>
          <w:b/>
          <w:color w:val="auto"/>
          <w:sz w:val="40"/>
          <w:szCs w:val="22"/>
          <w:highlight w:val="none"/>
          <w:lang w:eastAsia="zh-CN"/>
        </w:rPr>
        <w:t>南麂镇新码头自然村到国姓岙自然村道路提升工程</w:t>
      </w:r>
    </w:p>
    <w:p>
      <w:pPr>
        <w:spacing w:line="360" w:lineRule="auto"/>
        <w:ind w:left="3198" w:leftChars="1523" w:firstLine="402" w:firstLineChars="100"/>
        <w:jc w:val="both"/>
        <w:rPr>
          <w:rFonts w:ascii="宋体" w:hAnsi="宋体"/>
          <w:b/>
          <w:color w:val="auto"/>
          <w:sz w:val="40"/>
          <w:highlight w:val="none"/>
        </w:rPr>
      </w:pPr>
      <w:r>
        <w:rPr>
          <w:rFonts w:hint="eastAsia" w:ascii="宋体" w:hAnsi="宋体"/>
          <w:b/>
          <w:color w:val="auto"/>
          <w:sz w:val="40"/>
          <w:szCs w:val="22"/>
          <w:highlight w:val="none"/>
        </w:rPr>
        <w:t>施</w:t>
      </w:r>
      <w:r>
        <w:rPr>
          <w:rFonts w:hint="eastAsia" w:ascii="宋体" w:hAnsi="宋体"/>
          <w:b/>
          <w:color w:val="auto"/>
          <w:sz w:val="40"/>
          <w:highlight w:val="none"/>
        </w:rPr>
        <w:t>工招标</w:t>
      </w:r>
    </w:p>
    <w:p>
      <w:pPr>
        <w:spacing w:line="360" w:lineRule="auto"/>
        <w:ind w:firstLine="420" w:firstLineChars="200"/>
        <w:rPr>
          <w:rFonts w:ascii="宋体" w:hAnsi="宋体"/>
          <w:color w:val="auto"/>
          <w:highlight w:val="none"/>
        </w:rPr>
      </w:pPr>
    </w:p>
    <w:p>
      <w:pPr>
        <w:spacing w:line="360" w:lineRule="auto"/>
        <w:ind w:firstLine="420" w:firstLineChars="200"/>
        <w:rPr>
          <w:rFonts w:ascii="宋体" w:hAnsi="宋体"/>
          <w:color w:val="auto"/>
          <w:highlight w:val="none"/>
        </w:rPr>
      </w:pPr>
    </w:p>
    <w:p>
      <w:pPr>
        <w:spacing w:line="360" w:lineRule="auto"/>
        <w:jc w:val="center"/>
        <w:rPr>
          <w:rFonts w:ascii="宋体" w:hAnsi="宋体"/>
          <w:b/>
          <w:color w:val="auto"/>
          <w:sz w:val="52"/>
          <w:highlight w:val="none"/>
        </w:rPr>
      </w:pPr>
    </w:p>
    <w:p>
      <w:pPr>
        <w:spacing w:line="360" w:lineRule="auto"/>
        <w:jc w:val="center"/>
        <w:rPr>
          <w:rFonts w:ascii="宋体" w:hAnsi="宋体"/>
          <w:b/>
          <w:color w:val="auto"/>
          <w:sz w:val="52"/>
          <w:highlight w:val="none"/>
        </w:rPr>
      </w:pPr>
    </w:p>
    <w:p>
      <w:pPr>
        <w:spacing w:line="360" w:lineRule="auto"/>
        <w:jc w:val="center"/>
        <w:rPr>
          <w:rFonts w:ascii="宋体" w:hAnsi="宋体"/>
          <w:b/>
          <w:color w:val="auto"/>
          <w:sz w:val="72"/>
          <w:highlight w:val="none"/>
        </w:rPr>
      </w:pPr>
      <w:r>
        <w:rPr>
          <w:rFonts w:hint="eastAsia" w:ascii="宋体" w:hAnsi="宋体"/>
          <w:b/>
          <w:color w:val="auto"/>
          <w:sz w:val="72"/>
          <w:highlight w:val="none"/>
        </w:rPr>
        <w:t>投 标 文 件</w:t>
      </w:r>
    </w:p>
    <w:p>
      <w:pPr>
        <w:spacing w:line="360" w:lineRule="auto"/>
        <w:jc w:val="center"/>
        <w:outlineLvl w:val="1"/>
        <w:rPr>
          <w:rFonts w:ascii="宋体" w:hAnsi="宋体"/>
          <w:b/>
          <w:color w:val="auto"/>
          <w:sz w:val="32"/>
          <w:highlight w:val="none"/>
        </w:rPr>
      </w:pPr>
      <w:bookmarkStart w:id="1866" w:name="_Toc471843926"/>
      <w:bookmarkStart w:id="1867" w:name="_Toc4005"/>
      <w:bookmarkStart w:id="1868" w:name="_Toc442020089"/>
      <w:r>
        <w:rPr>
          <w:rFonts w:hint="eastAsia"/>
          <w:color w:val="auto"/>
          <w:sz w:val="36"/>
          <w:szCs w:val="36"/>
          <w:highlight w:val="none"/>
        </w:rPr>
        <w:t>第二信封（投标报价和工程量清单）</w:t>
      </w:r>
      <w:bookmarkEnd w:id="1866"/>
      <w:bookmarkEnd w:id="1867"/>
      <w:bookmarkEnd w:id="1868"/>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rPr>
          <w:rFonts w:ascii="宋体" w:hAnsi="宋体"/>
          <w:b/>
          <w:color w:val="auto"/>
          <w:sz w:val="32"/>
          <w:highlight w:val="none"/>
        </w:rPr>
      </w:pPr>
    </w:p>
    <w:p>
      <w:pPr>
        <w:spacing w:line="360" w:lineRule="auto"/>
        <w:jc w:val="center"/>
        <w:rPr>
          <w:rFonts w:ascii="宋体" w:hAnsi="宋体"/>
          <w:b/>
          <w:color w:val="auto"/>
          <w:sz w:val="32"/>
          <w:highlight w:val="none"/>
        </w:rPr>
      </w:pPr>
      <w:r>
        <w:rPr>
          <w:rFonts w:hint="eastAsia" w:ascii="宋体" w:hAnsi="宋体"/>
          <w:b/>
          <w:color w:val="auto"/>
          <w:sz w:val="32"/>
          <w:highlight w:val="none"/>
        </w:rPr>
        <w:t>投标人：</w:t>
      </w:r>
      <w:r>
        <w:rPr>
          <w:rFonts w:hint="eastAsia" w:ascii="宋体" w:hAnsi="宋体"/>
          <w:b/>
          <w:color w:val="auto"/>
          <w:sz w:val="32"/>
          <w:highlight w:val="none"/>
          <w:u w:val="single"/>
        </w:rPr>
        <w:t xml:space="preserve">             </w:t>
      </w:r>
      <w:r>
        <w:rPr>
          <w:rFonts w:hint="eastAsia" w:ascii="宋体" w:hAnsi="宋体"/>
          <w:b/>
          <w:color w:val="auto"/>
          <w:sz w:val="32"/>
          <w:highlight w:val="none"/>
        </w:rPr>
        <w:t>（盖单位章）</w:t>
      </w:r>
    </w:p>
    <w:p>
      <w:pPr>
        <w:spacing w:line="400" w:lineRule="exact"/>
        <w:jc w:val="center"/>
        <w:rPr>
          <w:rFonts w:ascii="宋体" w:hAnsi="宋体"/>
          <w:b/>
          <w:color w:val="auto"/>
          <w:sz w:val="32"/>
          <w:highlight w:val="none"/>
          <w:u w:val="single"/>
        </w:rPr>
      </w:pPr>
    </w:p>
    <w:p>
      <w:pPr>
        <w:jc w:val="center"/>
        <w:rPr>
          <w:rFonts w:ascii="宋体" w:hAnsi="宋体"/>
          <w:b/>
          <w:color w:val="auto"/>
          <w:sz w:val="32"/>
          <w:highlight w:val="none"/>
        </w:rPr>
      </w:pPr>
      <w:r>
        <w:rPr>
          <w:rFonts w:hint="eastAsia" w:ascii="宋体" w:hAnsi="宋体"/>
          <w:b/>
          <w:color w:val="auto"/>
          <w:sz w:val="32"/>
          <w:highlight w:val="none"/>
          <w:u w:val="single"/>
        </w:rPr>
        <w:t xml:space="preserve">       </w:t>
      </w:r>
      <w:r>
        <w:rPr>
          <w:rFonts w:hint="eastAsia" w:ascii="宋体" w:hAnsi="宋体"/>
          <w:b/>
          <w:color w:val="auto"/>
          <w:sz w:val="32"/>
          <w:highlight w:val="none"/>
        </w:rPr>
        <w:t>年</w:t>
      </w:r>
      <w:r>
        <w:rPr>
          <w:rFonts w:hint="eastAsia" w:ascii="宋体" w:hAnsi="宋体"/>
          <w:b/>
          <w:color w:val="auto"/>
          <w:sz w:val="32"/>
          <w:highlight w:val="none"/>
          <w:u w:val="single"/>
        </w:rPr>
        <w:t xml:space="preserve">      </w:t>
      </w:r>
      <w:r>
        <w:rPr>
          <w:rFonts w:hint="eastAsia" w:ascii="宋体" w:hAnsi="宋体"/>
          <w:b/>
          <w:color w:val="auto"/>
          <w:sz w:val="32"/>
          <w:highlight w:val="none"/>
        </w:rPr>
        <w:t>月</w:t>
      </w:r>
      <w:r>
        <w:rPr>
          <w:rFonts w:hint="eastAsia" w:ascii="宋体" w:hAnsi="宋体"/>
          <w:b/>
          <w:color w:val="auto"/>
          <w:sz w:val="32"/>
          <w:highlight w:val="none"/>
          <w:u w:val="single"/>
        </w:rPr>
        <w:t xml:space="preserve">    </w:t>
      </w:r>
      <w:r>
        <w:rPr>
          <w:rFonts w:hint="eastAsia" w:ascii="宋体" w:hAnsi="宋体"/>
          <w:b/>
          <w:color w:val="auto"/>
          <w:sz w:val="32"/>
          <w:highlight w:val="none"/>
        </w:rPr>
        <w:t>日</w:t>
      </w:r>
    </w:p>
    <w:p>
      <w:pPr>
        <w:spacing w:line="360" w:lineRule="auto"/>
        <w:rPr>
          <w:rFonts w:hint="eastAsia" w:ascii="宋体" w:hAnsi="宋体"/>
          <w:color w:val="auto"/>
          <w:sz w:val="36"/>
          <w:szCs w:val="36"/>
          <w:highlight w:val="none"/>
        </w:rPr>
      </w:pPr>
      <w:r>
        <w:rPr>
          <w:rFonts w:ascii="宋体" w:hAnsi="宋体"/>
          <w:b/>
          <w:color w:val="auto"/>
          <w:sz w:val="32"/>
          <w:highlight w:val="none"/>
        </w:rPr>
        <w:br w:type="page"/>
      </w:r>
      <w:r>
        <w:rPr>
          <w:rFonts w:hint="eastAsia" w:ascii="宋体" w:hAnsi="宋体"/>
          <w:color w:val="auto"/>
          <w:sz w:val="36"/>
          <w:szCs w:val="36"/>
          <w:highlight w:val="none"/>
        </w:rPr>
        <w:t xml:space="preserve"> </w:t>
      </w:r>
    </w:p>
    <w:p>
      <w:pPr>
        <w:spacing w:line="540" w:lineRule="exact"/>
        <w:ind w:firstLine="850" w:firstLineChars="405"/>
        <w:rPr>
          <w:rFonts w:hint="eastAsia" w:ascii="宋体" w:hAnsi="宋体"/>
          <w:color w:val="auto"/>
          <w:highlight w:val="none"/>
        </w:rPr>
      </w:pPr>
    </w:p>
    <w:p>
      <w:pPr>
        <w:pStyle w:val="38"/>
        <w:jc w:val="center"/>
        <w:rPr>
          <w:rFonts w:hint="eastAsia" w:ascii="宋体" w:hAnsi="宋体" w:eastAsia="宋体"/>
          <w:color w:val="auto"/>
          <w:sz w:val="36"/>
          <w:szCs w:val="36"/>
          <w:highlight w:val="none"/>
        </w:rPr>
      </w:pPr>
      <w:bookmarkStart w:id="1869" w:name="_Toc471843927"/>
      <w:bookmarkStart w:id="1870" w:name="_Toc426366464"/>
      <w:bookmarkStart w:id="1871" w:name="_Toc20676"/>
      <w:bookmarkStart w:id="1872" w:name="_Toc287346493"/>
      <w:bookmarkStart w:id="1873" w:name="_Toc324338269"/>
      <w:bookmarkStart w:id="1874" w:name="_Toc373738256"/>
      <w:bookmarkStart w:id="1875" w:name="_Toc442020090"/>
      <w:r>
        <w:rPr>
          <w:rFonts w:hint="eastAsia" w:ascii="宋体" w:hAnsi="宋体" w:eastAsia="宋体"/>
          <w:color w:val="auto"/>
          <w:sz w:val="36"/>
          <w:szCs w:val="36"/>
          <w:highlight w:val="none"/>
        </w:rPr>
        <w:t>目    录</w:t>
      </w:r>
      <w:bookmarkEnd w:id="1869"/>
      <w:bookmarkEnd w:id="1870"/>
      <w:bookmarkEnd w:id="1871"/>
      <w:bookmarkEnd w:id="1872"/>
      <w:bookmarkEnd w:id="1873"/>
      <w:bookmarkEnd w:id="1874"/>
      <w:bookmarkEnd w:id="1875"/>
    </w:p>
    <w:p>
      <w:pPr>
        <w:spacing w:line="540" w:lineRule="exact"/>
        <w:rPr>
          <w:rFonts w:hint="eastAsia" w:ascii="宋体" w:hAnsi="宋体"/>
          <w:color w:val="auto"/>
          <w:highlight w:val="none"/>
        </w:rPr>
      </w:pPr>
    </w:p>
    <w:p>
      <w:pPr>
        <w:spacing w:line="540" w:lineRule="exact"/>
        <w:rPr>
          <w:rFonts w:hint="eastAsia" w:ascii="宋体" w:hAnsi="宋体"/>
          <w:color w:val="auto"/>
          <w:highlight w:val="none"/>
        </w:rPr>
      </w:pPr>
    </w:p>
    <w:p>
      <w:pPr>
        <w:spacing w:line="540" w:lineRule="exact"/>
        <w:ind w:firstLine="850" w:firstLineChars="405"/>
        <w:rPr>
          <w:rFonts w:hint="eastAsia" w:ascii="宋体" w:hAnsi="宋体"/>
          <w:color w:val="auto"/>
          <w:highlight w:val="none"/>
        </w:rPr>
      </w:pPr>
      <w:r>
        <w:rPr>
          <w:rFonts w:hint="eastAsia" w:ascii="宋体" w:hAnsi="宋体"/>
          <w:color w:val="auto"/>
          <w:highlight w:val="none"/>
        </w:rPr>
        <w:t>一、报价函</w:t>
      </w:r>
    </w:p>
    <w:p>
      <w:pPr>
        <w:spacing w:line="540" w:lineRule="exact"/>
        <w:ind w:firstLine="850" w:firstLineChars="405"/>
        <w:rPr>
          <w:rFonts w:hint="eastAsia" w:ascii="宋体" w:hAnsi="宋体"/>
          <w:color w:val="auto"/>
          <w:highlight w:val="none"/>
        </w:rPr>
      </w:pPr>
      <w:r>
        <w:rPr>
          <w:rFonts w:hint="eastAsia" w:ascii="宋体" w:hAnsi="宋体"/>
          <w:color w:val="auto"/>
          <w:highlight w:val="none"/>
        </w:rPr>
        <w:t>二、已标价工程量清单</w:t>
      </w:r>
    </w:p>
    <w:p>
      <w:pPr>
        <w:spacing w:line="540" w:lineRule="exact"/>
        <w:ind w:firstLine="850" w:firstLineChars="405"/>
        <w:rPr>
          <w:rFonts w:hint="eastAsia" w:ascii="宋体" w:hAnsi="宋体"/>
          <w:color w:val="auto"/>
          <w:highlight w:val="none"/>
        </w:rPr>
      </w:pPr>
      <w:r>
        <w:rPr>
          <w:rFonts w:hint="eastAsia" w:ascii="宋体" w:hAnsi="宋体"/>
          <w:color w:val="auto"/>
          <w:highlight w:val="none"/>
        </w:rPr>
        <w:t>三、合同用款估算表</w:t>
      </w:r>
    </w:p>
    <w:p>
      <w:pPr>
        <w:spacing w:line="440" w:lineRule="exact"/>
        <w:jc w:val="center"/>
        <w:rPr>
          <w:rFonts w:hint="eastAsia" w:ascii="宋体" w:hAnsi="宋体"/>
          <w:color w:val="auto"/>
          <w:szCs w:val="21"/>
          <w:highlight w:val="none"/>
        </w:rPr>
      </w:pPr>
      <w:r>
        <w:rPr>
          <w:rFonts w:ascii="宋体" w:hAnsi="宋体"/>
          <w:color w:val="auto"/>
          <w:highlight w:val="none"/>
        </w:rPr>
        <w:br w:type="page"/>
      </w:r>
      <w:bookmarkStart w:id="1876" w:name="_Toc287346494"/>
    </w:p>
    <w:p>
      <w:pPr>
        <w:pStyle w:val="5"/>
        <w:spacing w:before="120" w:after="120" w:line="240" w:lineRule="auto"/>
        <w:jc w:val="center"/>
        <w:rPr>
          <w:rFonts w:hint="eastAsia" w:ascii="黑体"/>
          <w:b w:val="0"/>
          <w:color w:val="auto"/>
          <w:highlight w:val="none"/>
        </w:rPr>
      </w:pPr>
      <w:bookmarkStart w:id="1877" w:name="_Toc373738257"/>
      <w:bookmarkStart w:id="1878" w:name="_Toc426366465"/>
      <w:bookmarkStart w:id="1879" w:name="_Toc324338270"/>
      <w:bookmarkStart w:id="1880" w:name="_Toc7943"/>
      <w:bookmarkStart w:id="1881" w:name="_Toc471843928"/>
      <w:bookmarkStart w:id="1882" w:name="_Toc442020091"/>
      <w:r>
        <w:rPr>
          <w:rFonts w:ascii="黑体"/>
          <w:b w:val="0"/>
          <w:color w:val="auto"/>
          <w:highlight w:val="none"/>
        </w:rPr>
        <w:t>一、</w:t>
      </w:r>
      <w:r>
        <w:rPr>
          <w:rFonts w:hint="eastAsia" w:ascii="黑体"/>
          <w:b w:val="0"/>
          <w:color w:val="auto"/>
          <w:highlight w:val="none"/>
        </w:rPr>
        <w:t>报价</w:t>
      </w:r>
      <w:r>
        <w:rPr>
          <w:rFonts w:ascii="黑体"/>
          <w:b w:val="0"/>
          <w:color w:val="auto"/>
          <w:highlight w:val="none"/>
        </w:rPr>
        <w:t>函</w:t>
      </w:r>
      <w:bookmarkEnd w:id="1876"/>
      <w:bookmarkEnd w:id="1877"/>
      <w:bookmarkEnd w:id="1878"/>
      <w:bookmarkEnd w:id="1879"/>
      <w:bookmarkEnd w:id="1880"/>
      <w:bookmarkEnd w:id="1881"/>
      <w:bookmarkEnd w:id="1882"/>
    </w:p>
    <w:p>
      <w:pPr>
        <w:spacing w:line="440" w:lineRule="exact"/>
        <w:ind w:firstLine="420" w:firstLineChars="200"/>
        <w:rPr>
          <w:rFonts w:hint="eastAsia" w:ascii="宋体" w:hAnsi="宋体"/>
          <w:color w:val="auto"/>
          <w:szCs w:val="21"/>
          <w:highlight w:val="none"/>
        </w:rPr>
      </w:pPr>
    </w:p>
    <w:p>
      <w:pPr>
        <w:spacing w:line="440" w:lineRule="exact"/>
        <w:rPr>
          <w:rFonts w:ascii="宋体" w:hAnsi="宋体"/>
          <w:color w:val="auto"/>
          <w:sz w:val="20"/>
          <w:highlight w:val="none"/>
        </w:rPr>
      </w:pPr>
    </w:p>
    <w:p>
      <w:pPr>
        <w:spacing w:line="440" w:lineRule="exact"/>
        <w:rPr>
          <w:rFonts w:ascii="宋体" w:hAnsi="宋体"/>
          <w:color w:val="auto"/>
          <w:szCs w:val="21"/>
          <w:highlight w:val="none"/>
        </w:rPr>
      </w:pPr>
      <w:r>
        <w:rPr>
          <w:rFonts w:ascii="宋体" w:hAnsi="宋体"/>
          <w:color w:val="auto"/>
          <w:szCs w:val="21"/>
          <w:highlight w:val="none"/>
          <w:u w:val="single"/>
        </w:rPr>
        <w:t xml:space="preserve">                        </w:t>
      </w:r>
      <w:r>
        <w:rPr>
          <w:rFonts w:ascii="宋体" w:hAnsi="宋体"/>
          <w:color w:val="auto"/>
          <w:szCs w:val="21"/>
          <w:highlight w:val="none"/>
        </w:rPr>
        <w:t>（招标人名称）：</w:t>
      </w:r>
    </w:p>
    <w:p>
      <w:pPr>
        <w:spacing w:line="440" w:lineRule="exact"/>
        <w:ind w:firstLine="420" w:firstLineChars="200"/>
        <w:rPr>
          <w:rFonts w:hint="eastAsia" w:ascii="宋体" w:hAnsi="宋体"/>
          <w:color w:val="auto"/>
          <w:szCs w:val="21"/>
          <w:highlight w:val="none"/>
        </w:rPr>
      </w:pPr>
      <w:r>
        <w:rPr>
          <w:rFonts w:ascii="宋体" w:hAnsi="宋体"/>
          <w:color w:val="auto"/>
          <w:szCs w:val="21"/>
          <w:highlight w:val="none"/>
        </w:rPr>
        <w:t>1．我方已仔细研究了</w:t>
      </w:r>
      <w:r>
        <w:rPr>
          <w:rFonts w:hint="eastAsia" w:ascii="宋体" w:hAnsi="宋体"/>
          <w:color w:val="auto"/>
          <w:szCs w:val="21"/>
          <w:highlight w:val="none"/>
          <w:u w:val="single"/>
        </w:rPr>
        <w:t xml:space="preserve"> </w:t>
      </w:r>
      <w:r>
        <w:rPr>
          <w:rFonts w:hint="eastAsia" w:hAnsi="宋体"/>
          <w:color w:val="auto"/>
          <w:szCs w:val="21"/>
          <w:highlight w:val="none"/>
          <w:u w:val="single"/>
          <w:lang w:eastAsia="zh-CN"/>
        </w:rPr>
        <w:t>南麂镇新码头自然村到国姓岙自然村道路提升工程</w:t>
      </w:r>
      <w:r>
        <w:rPr>
          <w:rFonts w:ascii="宋体" w:hAnsi="宋体"/>
          <w:color w:val="auto"/>
          <w:szCs w:val="21"/>
          <w:highlight w:val="none"/>
        </w:rPr>
        <w:t>施工招标文件的全部内容</w:t>
      </w:r>
      <w:r>
        <w:rPr>
          <w:rFonts w:hint="eastAsia" w:ascii="宋体" w:hAnsi="宋体"/>
          <w:color w:val="auto"/>
          <w:szCs w:val="21"/>
          <w:highlight w:val="none"/>
        </w:rPr>
        <w:t>（含补遗书第</w:t>
      </w:r>
      <w:r>
        <w:rPr>
          <w:rFonts w:ascii="宋体" w:hAnsi="宋体"/>
          <w:color w:val="auto"/>
          <w:szCs w:val="21"/>
          <w:highlight w:val="none"/>
          <w:u w:val="single"/>
        </w:rPr>
        <w:t xml:space="preserve">     </w:t>
      </w:r>
      <w:r>
        <w:rPr>
          <w:rFonts w:hint="eastAsia" w:ascii="宋体" w:hAnsi="宋体"/>
          <w:color w:val="auto"/>
          <w:szCs w:val="21"/>
          <w:highlight w:val="none"/>
        </w:rPr>
        <w:t>号至第</w:t>
      </w:r>
      <w:r>
        <w:rPr>
          <w:rFonts w:ascii="宋体" w:hAnsi="宋体"/>
          <w:color w:val="auto"/>
          <w:szCs w:val="21"/>
          <w:highlight w:val="none"/>
          <w:u w:val="single"/>
        </w:rPr>
        <w:t xml:space="preserve">     </w:t>
      </w:r>
      <w:r>
        <w:rPr>
          <w:rFonts w:hint="eastAsia" w:ascii="宋体" w:hAnsi="宋体"/>
          <w:color w:val="auto"/>
          <w:szCs w:val="21"/>
          <w:highlight w:val="none"/>
        </w:rPr>
        <w:t>号）</w:t>
      </w:r>
      <w:r>
        <w:rPr>
          <w:rFonts w:ascii="宋体" w:hAnsi="宋体"/>
          <w:color w:val="auto"/>
          <w:szCs w:val="21"/>
          <w:highlight w:val="none"/>
        </w:rPr>
        <w:t>，</w:t>
      </w:r>
      <w:r>
        <w:rPr>
          <w:rFonts w:hint="eastAsia" w:ascii="宋体" w:hAnsi="宋体"/>
          <w:color w:val="auto"/>
          <w:szCs w:val="21"/>
          <w:highlight w:val="none"/>
        </w:rPr>
        <w:t>在考察工程现场后，</w:t>
      </w:r>
      <w:r>
        <w:rPr>
          <w:rFonts w:ascii="宋体" w:hAnsi="宋体"/>
          <w:color w:val="auto"/>
          <w:szCs w:val="21"/>
          <w:highlight w:val="none"/>
        </w:rPr>
        <w:t>愿意以人民币（大写）</w:t>
      </w:r>
      <w:r>
        <w:rPr>
          <w:rFonts w:ascii="宋体" w:hAnsi="宋体"/>
          <w:color w:val="auto"/>
          <w:szCs w:val="21"/>
          <w:highlight w:val="none"/>
          <w:u w:val="single"/>
        </w:rPr>
        <w:t xml:space="preserve">         </w:t>
      </w:r>
      <w:r>
        <w:rPr>
          <w:rFonts w:ascii="宋体" w:hAnsi="宋体"/>
          <w:color w:val="auto"/>
          <w:szCs w:val="21"/>
          <w:highlight w:val="none"/>
        </w:rPr>
        <w:t>元（¥</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）的投标报价</w:t>
      </w:r>
      <w:r>
        <w:rPr>
          <w:rFonts w:hint="eastAsia" w:ascii="宋体" w:hAnsi="宋体"/>
          <w:color w:val="auto"/>
          <w:szCs w:val="21"/>
          <w:highlight w:val="none"/>
        </w:rPr>
        <w:t>（或根据招标文件规定修正核实后确定的另一金额），</w:t>
      </w:r>
      <w:r>
        <w:rPr>
          <w:rFonts w:ascii="宋体" w:hAnsi="宋体"/>
          <w:color w:val="auto"/>
          <w:szCs w:val="21"/>
          <w:highlight w:val="none"/>
        </w:rPr>
        <w:t>按合同约定实施和完成承包工程，修补工程中的任何缺陷。</w:t>
      </w:r>
    </w:p>
    <w:p>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highlight w:val="none"/>
        </w:rPr>
        <w:t>我方在此声明，所递交的投标文件及有关资料内容完整、真实和准确，且不存在招标文件第二章“投标人须知”第1.4.3项规定的任何一种情形。</w:t>
      </w:r>
    </w:p>
    <w:p>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3．在合同协议书正式签署生效之前，本投标函连同你方的中标通知书将构成我们双方之间共同遵守的文件，对双方具有约束力。</w:t>
      </w:r>
    </w:p>
    <w:p>
      <w:pPr>
        <w:spacing w:line="440" w:lineRule="exact"/>
        <w:ind w:firstLine="420" w:firstLineChars="200"/>
        <w:rPr>
          <w:rFonts w:ascii="宋体" w:hAnsi="宋体"/>
          <w:color w:val="auto"/>
          <w:szCs w:val="21"/>
          <w:highlight w:val="none"/>
        </w:rPr>
      </w:pPr>
      <w:bookmarkStart w:id="1883" w:name="_Toc373738258"/>
      <w:r>
        <w:rPr>
          <w:rFonts w:hint="eastAsia" w:ascii="宋体" w:hAnsi="宋体"/>
          <w:color w:val="auto"/>
          <w:szCs w:val="21"/>
          <w:highlight w:val="none"/>
        </w:rPr>
        <w:t xml:space="preserve">4. </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其他</w:t>
      </w:r>
      <w:r>
        <w:rPr>
          <w:rFonts w:ascii="宋体" w:hAnsi="宋体"/>
          <w:color w:val="auto"/>
          <w:szCs w:val="21"/>
          <w:highlight w:val="none"/>
        </w:rPr>
        <w:t>补充说明）。</w:t>
      </w:r>
      <w:bookmarkEnd w:id="1883"/>
    </w:p>
    <w:p>
      <w:pPr>
        <w:spacing w:line="440" w:lineRule="exact"/>
        <w:ind w:firstLine="3675" w:firstLineChars="1750"/>
        <w:rPr>
          <w:rFonts w:hint="eastAsia" w:ascii="宋体" w:hAnsi="宋体"/>
          <w:color w:val="auto"/>
          <w:szCs w:val="21"/>
          <w:highlight w:val="none"/>
        </w:rPr>
      </w:pPr>
    </w:p>
    <w:p>
      <w:pPr>
        <w:spacing w:line="360" w:lineRule="exact"/>
        <w:ind w:firstLine="3675" w:firstLineChars="1750"/>
        <w:rPr>
          <w:rFonts w:ascii="宋体" w:hAnsi="宋体"/>
          <w:color w:val="auto"/>
          <w:szCs w:val="21"/>
          <w:highlight w:val="none"/>
        </w:rPr>
      </w:pPr>
      <w:r>
        <w:rPr>
          <w:rFonts w:ascii="宋体" w:hAnsi="宋体"/>
          <w:color w:val="auto"/>
          <w:szCs w:val="21"/>
          <w:highlight w:val="none"/>
        </w:rPr>
        <w:t>投 标 人：</w:t>
      </w:r>
      <w:r>
        <w:rPr>
          <w:rFonts w:ascii="宋体" w:hAnsi="宋体"/>
          <w:color w:val="auto"/>
          <w:szCs w:val="21"/>
          <w:highlight w:val="none"/>
          <w:u w:val="single"/>
        </w:rPr>
        <w:t xml:space="preserve">                      </w:t>
      </w:r>
      <w:r>
        <w:rPr>
          <w:rFonts w:ascii="宋体" w:hAnsi="宋体"/>
          <w:color w:val="auto"/>
          <w:szCs w:val="21"/>
          <w:highlight w:val="none"/>
        </w:rPr>
        <w:t>（盖单位章）</w:t>
      </w:r>
    </w:p>
    <w:p>
      <w:pPr>
        <w:spacing w:line="360" w:lineRule="exact"/>
        <w:ind w:firstLine="3675" w:firstLineChars="1750"/>
        <w:rPr>
          <w:rFonts w:ascii="宋体" w:hAnsi="宋体"/>
          <w:color w:val="auto"/>
          <w:szCs w:val="21"/>
          <w:highlight w:val="none"/>
        </w:rPr>
      </w:pPr>
      <w:r>
        <w:rPr>
          <w:rFonts w:ascii="宋体" w:hAnsi="宋体"/>
          <w:color w:val="auto"/>
          <w:szCs w:val="21"/>
          <w:highlight w:val="none"/>
        </w:rPr>
        <w:t>法定代表人或其委托代理人：</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（签字）</w:t>
      </w:r>
    </w:p>
    <w:p>
      <w:pPr>
        <w:spacing w:line="360" w:lineRule="exact"/>
        <w:ind w:firstLine="3675" w:firstLineChars="1750"/>
        <w:rPr>
          <w:rFonts w:hint="eastAsia" w:ascii="宋体" w:hAnsi="宋体"/>
          <w:color w:val="auto"/>
          <w:szCs w:val="21"/>
          <w:highlight w:val="none"/>
        </w:rPr>
      </w:pPr>
      <w:r>
        <w:rPr>
          <w:rFonts w:ascii="宋体" w:hAnsi="宋体"/>
          <w:color w:val="auto"/>
          <w:szCs w:val="21"/>
          <w:highlight w:val="none"/>
        </w:rPr>
        <w:t>地址：</w:t>
      </w:r>
      <w:r>
        <w:rPr>
          <w:rFonts w:ascii="宋体" w:hAnsi="宋体"/>
          <w:color w:val="auto"/>
          <w:szCs w:val="21"/>
          <w:highlight w:val="none"/>
          <w:u w:val="single"/>
        </w:rPr>
        <w:t xml:space="preserve">                                     </w:t>
      </w:r>
    </w:p>
    <w:p>
      <w:pPr>
        <w:spacing w:line="360" w:lineRule="exact"/>
        <w:ind w:firstLine="3675" w:firstLineChars="1750"/>
        <w:rPr>
          <w:rFonts w:ascii="宋体" w:hAnsi="宋体"/>
          <w:color w:val="auto"/>
          <w:szCs w:val="21"/>
          <w:highlight w:val="none"/>
        </w:rPr>
      </w:pPr>
      <w:r>
        <w:rPr>
          <w:rFonts w:ascii="宋体" w:hAnsi="宋体"/>
          <w:color w:val="auto"/>
          <w:szCs w:val="21"/>
          <w:highlight w:val="none"/>
        </w:rPr>
        <w:t>网址：</w:t>
      </w:r>
      <w:r>
        <w:rPr>
          <w:rFonts w:ascii="宋体" w:hAnsi="宋体"/>
          <w:color w:val="auto"/>
          <w:szCs w:val="21"/>
          <w:highlight w:val="none"/>
          <w:u w:val="single"/>
        </w:rPr>
        <w:t xml:space="preserve">                                     </w:t>
      </w:r>
    </w:p>
    <w:p>
      <w:pPr>
        <w:spacing w:line="360" w:lineRule="exact"/>
        <w:ind w:firstLine="3675" w:firstLineChars="1750"/>
        <w:rPr>
          <w:rFonts w:hint="eastAsia" w:ascii="宋体" w:hAnsi="宋体"/>
          <w:color w:val="auto"/>
          <w:szCs w:val="21"/>
          <w:highlight w:val="none"/>
        </w:rPr>
      </w:pPr>
      <w:r>
        <w:rPr>
          <w:rFonts w:ascii="宋体" w:hAnsi="宋体"/>
          <w:color w:val="auto"/>
          <w:szCs w:val="21"/>
          <w:highlight w:val="none"/>
        </w:rPr>
        <w:t>电话：</w:t>
      </w:r>
      <w:r>
        <w:rPr>
          <w:rFonts w:ascii="宋体" w:hAnsi="宋体"/>
          <w:color w:val="auto"/>
          <w:szCs w:val="21"/>
          <w:highlight w:val="none"/>
          <w:u w:val="single"/>
        </w:rPr>
        <w:t xml:space="preserve">                                     </w:t>
      </w:r>
    </w:p>
    <w:p>
      <w:pPr>
        <w:spacing w:line="360" w:lineRule="exact"/>
        <w:ind w:firstLine="3675" w:firstLineChars="1750"/>
        <w:rPr>
          <w:rFonts w:hint="eastAsia" w:ascii="宋体" w:hAnsi="宋体"/>
          <w:color w:val="auto"/>
          <w:szCs w:val="21"/>
          <w:highlight w:val="none"/>
        </w:rPr>
      </w:pPr>
      <w:r>
        <w:rPr>
          <w:rFonts w:ascii="宋体" w:hAnsi="宋体"/>
          <w:color w:val="auto"/>
          <w:szCs w:val="21"/>
          <w:highlight w:val="none"/>
        </w:rPr>
        <w:t>传真：</w:t>
      </w:r>
      <w:r>
        <w:rPr>
          <w:rFonts w:ascii="宋体" w:hAnsi="宋体"/>
          <w:color w:val="auto"/>
          <w:szCs w:val="21"/>
          <w:highlight w:val="none"/>
          <w:u w:val="single"/>
        </w:rPr>
        <w:t xml:space="preserve">                                     </w:t>
      </w:r>
    </w:p>
    <w:p>
      <w:pPr>
        <w:spacing w:line="360" w:lineRule="exact"/>
        <w:ind w:firstLine="3675" w:firstLineChars="1750"/>
        <w:rPr>
          <w:rFonts w:hint="eastAsia" w:ascii="宋体" w:hAnsi="宋体"/>
          <w:color w:val="auto"/>
          <w:szCs w:val="21"/>
          <w:highlight w:val="none"/>
        </w:rPr>
      </w:pPr>
      <w:r>
        <w:rPr>
          <w:rFonts w:ascii="宋体" w:hAnsi="宋体"/>
          <w:color w:val="auto"/>
          <w:szCs w:val="21"/>
          <w:highlight w:val="none"/>
        </w:rPr>
        <w:t>邮政编码：</w:t>
      </w:r>
      <w:r>
        <w:rPr>
          <w:rFonts w:ascii="宋体" w:hAnsi="宋体"/>
          <w:color w:val="auto"/>
          <w:szCs w:val="21"/>
          <w:highlight w:val="none"/>
          <w:u w:val="single"/>
        </w:rPr>
        <w:t xml:space="preserve">                                 </w:t>
      </w:r>
    </w:p>
    <w:p>
      <w:pPr>
        <w:topLinePunct/>
        <w:spacing w:line="440" w:lineRule="exact"/>
        <w:ind w:firstLine="4725" w:firstLineChars="2250"/>
        <w:rPr>
          <w:rFonts w:ascii="宋体" w:hAnsi="宋体"/>
          <w:color w:val="auto"/>
          <w:szCs w:val="21"/>
          <w:highlight w:val="none"/>
        </w:rPr>
      </w:pPr>
      <w:r>
        <w:rPr>
          <w:rFonts w:hint="eastAsia" w:ascii="宋体" w:hAnsi="宋体"/>
          <w:color w:val="auto"/>
          <w:szCs w:val="21"/>
          <w:highlight w:val="none"/>
          <w:u w:val="single"/>
        </w:rPr>
        <w:t xml:space="preserve">        </w:t>
      </w:r>
      <w:r>
        <w:rPr>
          <w:rFonts w:ascii="宋体" w:hAnsi="宋体"/>
          <w:color w:val="auto"/>
          <w:szCs w:val="21"/>
          <w:highlight w:val="none"/>
        </w:rPr>
        <w:t>年</w:t>
      </w:r>
      <w:r>
        <w:rPr>
          <w:rFonts w:hint="eastAsia" w:ascii="宋体" w:hAnsi="宋体"/>
          <w:color w:val="auto"/>
          <w:szCs w:val="21"/>
          <w:highlight w:val="none"/>
          <w:u w:val="single"/>
        </w:rPr>
        <w:t xml:space="preserve">        </w:t>
      </w:r>
      <w:r>
        <w:rPr>
          <w:rFonts w:ascii="宋体" w:hAnsi="宋体"/>
          <w:color w:val="auto"/>
          <w:szCs w:val="21"/>
          <w:highlight w:val="none"/>
        </w:rPr>
        <w:t>月</w:t>
      </w:r>
      <w:r>
        <w:rPr>
          <w:rFonts w:hint="eastAsia" w:ascii="宋体" w:hAnsi="宋体"/>
          <w:color w:val="auto"/>
          <w:szCs w:val="21"/>
          <w:highlight w:val="none"/>
          <w:u w:val="single"/>
        </w:rPr>
        <w:t xml:space="preserve">        </w:t>
      </w:r>
      <w:r>
        <w:rPr>
          <w:rFonts w:ascii="宋体" w:hAnsi="宋体"/>
          <w:color w:val="auto"/>
          <w:szCs w:val="21"/>
          <w:highlight w:val="none"/>
        </w:rPr>
        <w:t>日</w:t>
      </w:r>
    </w:p>
    <w:p>
      <w:pPr>
        <w:spacing w:line="440" w:lineRule="exact"/>
        <w:rPr>
          <w:rFonts w:ascii="宋体" w:hAnsi="宋体"/>
          <w:color w:val="auto"/>
          <w:highlight w:val="none"/>
        </w:rPr>
      </w:pPr>
      <w:r>
        <w:rPr>
          <w:rFonts w:ascii="宋体" w:hAnsi="宋体"/>
          <w:color w:val="auto"/>
          <w:highlight w:val="none"/>
        </w:rPr>
        <w:t xml:space="preserve"> </w:t>
      </w:r>
    </w:p>
    <w:p>
      <w:pPr>
        <w:spacing w:line="440" w:lineRule="exact"/>
        <w:jc w:val="center"/>
        <w:rPr>
          <w:rFonts w:hint="eastAsia" w:ascii="宋体" w:hAnsi="宋体"/>
          <w:color w:val="auto"/>
          <w:highlight w:val="none"/>
        </w:rPr>
      </w:pPr>
      <w:r>
        <w:rPr>
          <w:rFonts w:ascii="宋体" w:hAnsi="宋体"/>
          <w:color w:val="auto"/>
          <w:highlight w:val="none"/>
        </w:rPr>
        <w:br w:type="page"/>
      </w:r>
      <w:bookmarkStart w:id="1884" w:name="_Toc287346495"/>
    </w:p>
    <w:p>
      <w:pPr>
        <w:pStyle w:val="5"/>
        <w:spacing w:before="120" w:after="120" w:line="240" w:lineRule="auto"/>
        <w:jc w:val="center"/>
        <w:rPr>
          <w:rFonts w:ascii="黑体"/>
          <w:b w:val="0"/>
          <w:color w:val="auto"/>
          <w:highlight w:val="none"/>
        </w:rPr>
      </w:pPr>
      <w:bookmarkStart w:id="1885" w:name="_Toc324338271"/>
      <w:bookmarkStart w:id="1886" w:name="_Toc471843929"/>
      <w:bookmarkStart w:id="1887" w:name="_Toc426366466"/>
      <w:bookmarkStart w:id="1888" w:name="_Toc442020092"/>
      <w:bookmarkStart w:id="1889" w:name="_Toc9224"/>
      <w:bookmarkStart w:id="1890" w:name="_Toc373738259"/>
      <w:r>
        <w:rPr>
          <w:rFonts w:hint="eastAsia" w:ascii="黑体"/>
          <w:b w:val="0"/>
          <w:color w:val="auto"/>
          <w:highlight w:val="none"/>
        </w:rPr>
        <w:t>二</w:t>
      </w:r>
      <w:r>
        <w:rPr>
          <w:rFonts w:ascii="黑体"/>
          <w:b w:val="0"/>
          <w:color w:val="auto"/>
          <w:highlight w:val="none"/>
        </w:rPr>
        <w:t>、已标价工程量清单</w:t>
      </w:r>
      <w:bookmarkEnd w:id="1884"/>
      <w:bookmarkEnd w:id="1885"/>
      <w:bookmarkEnd w:id="1886"/>
      <w:bookmarkEnd w:id="1887"/>
      <w:bookmarkEnd w:id="1888"/>
      <w:bookmarkEnd w:id="1889"/>
      <w:bookmarkEnd w:id="1890"/>
    </w:p>
    <w:p>
      <w:pPr>
        <w:spacing w:line="440" w:lineRule="exact"/>
        <w:jc w:val="center"/>
        <w:rPr>
          <w:rFonts w:hint="eastAsia" w:ascii="宋体" w:hAnsi="宋体"/>
          <w:color w:val="auto"/>
          <w:sz w:val="20"/>
          <w:highlight w:val="none"/>
        </w:rPr>
      </w:pPr>
    </w:p>
    <w:p>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投标人应按照第五章“工程量清单”的要求逐项填报工程量清单，包括工程量清单说明、投标报价说明、其他说明及工程量清单各项表格（工程量清单表5.1-表5.2）。</w:t>
      </w:r>
    </w:p>
    <w:p>
      <w:pPr>
        <w:spacing w:line="440" w:lineRule="exact"/>
        <w:rPr>
          <w:rFonts w:hint="eastAsia" w:ascii="宋体" w:hAnsi="宋体"/>
          <w:color w:val="auto"/>
          <w:szCs w:val="21"/>
          <w:highlight w:val="none"/>
        </w:rPr>
      </w:pPr>
    </w:p>
    <w:p>
      <w:pPr>
        <w:spacing w:line="440" w:lineRule="exact"/>
        <w:rPr>
          <w:rFonts w:hint="eastAsia" w:ascii="宋体" w:hAnsi="宋体"/>
          <w:color w:val="auto"/>
          <w:szCs w:val="21"/>
          <w:highlight w:val="none"/>
        </w:rPr>
      </w:pPr>
    </w:p>
    <w:p>
      <w:pPr>
        <w:spacing w:line="440" w:lineRule="exact"/>
        <w:rPr>
          <w:rFonts w:hint="eastAsia" w:ascii="宋体" w:hAnsi="宋体"/>
          <w:color w:val="auto"/>
          <w:szCs w:val="21"/>
          <w:highlight w:val="none"/>
        </w:rPr>
      </w:pPr>
    </w:p>
    <w:p>
      <w:pPr>
        <w:spacing w:line="440" w:lineRule="exact"/>
        <w:rPr>
          <w:rFonts w:hint="eastAsia" w:ascii="宋体" w:hAnsi="宋体"/>
          <w:color w:val="auto"/>
          <w:szCs w:val="21"/>
          <w:highlight w:val="none"/>
        </w:rPr>
      </w:pPr>
    </w:p>
    <w:p>
      <w:pPr>
        <w:spacing w:line="440" w:lineRule="exact"/>
        <w:rPr>
          <w:rFonts w:hint="eastAsia" w:ascii="宋体" w:hAnsi="宋体"/>
          <w:color w:val="auto"/>
          <w:szCs w:val="21"/>
          <w:highlight w:val="none"/>
        </w:rPr>
      </w:pPr>
    </w:p>
    <w:p>
      <w:pPr>
        <w:spacing w:line="440" w:lineRule="exact"/>
        <w:rPr>
          <w:rFonts w:hint="eastAsia" w:ascii="宋体" w:hAnsi="宋体"/>
          <w:color w:val="auto"/>
          <w:szCs w:val="21"/>
          <w:highlight w:val="none"/>
        </w:rPr>
      </w:pPr>
    </w:p>
    <w:p>
      <w:pPr>
        <w:jc w:val="center"/>
        <w:rPr>
          <w:rFonts w:hint="eastAsia" w:ascii="宋体" w:hAnsi="宋体"/>
          <w:color w:val="auto"/>
          <w:szCs w:val="21"/>
          <w:highlight w:val="none"/>
        </w:rPr>
      </w:pPr>
      <w:r>
        <w:rPr>
          <w:rFonts w:ascii="宋体" w:hAnsi="宋体"/>
          <w:color w:val="auto"/>
          <w:szCs w:val="21"/>
          <w:highlight w:val="none"/>
        </w:rPr>
        <w:br w:type="page"/>
      </w:r>
    </w:p>
    <w:p>
      <w:pPr>
        <w:pStyle w:val="5"/>
        <w:spacing w:before="120" w:after="120" w:line="240" w:lineRule="auto"/>
        <w:jc w:val="center"/>
        <w:rPr>
          <w:rFonts w:hint="eastAsia" w:ascii="黑体"/>
          <w:b w:val="0"/>
          <w:color w:val="auto"/>
          <w:highlight w:val="none"/>
        </w:rPr>
      </w:pPr>
      <w:bookmarkStart w:id="1891" w:name="_Toc6035"/>
      <w:bookmarkStart w:id="1892" w:name="_Toc426366467"/>
      <w:bookmarkStart w:id="1893" w:name="_Toc373738261"/>
      <w:bookmarkStart w:id="1894" w:name="_Toc442020093"/>
      <w:bookmarkStart w:id="1895" w:name="_Toc471843930"/>
      <w:bookmarkStart w:id="1896" w:name="_Toc324338272"/>
      <w:r>
        <w:rPr>
          <w:rFonts w:hint="eastAsia" w:ascii="黑体"/>
          <w:b w:val="0"/>
          <w:color w:val="auto"/>
          <w:highlight w:val="none"/>
        </w:rPr>
        <w:t>三、合同用款估算表</w:t>
      </w:r>
      <w:bookmarkEnd w:id="1891"/>
      <w:bookmarkEnd w:id="1892"/>
      <w:bookmarkEnd w:id="1893"/>
      <w:bookmarkEnd w:id="1894"/>
      <w:bookmarkEnd w:id="1895"/>
      <w:bookmarkEnd w:id="1896"/>
    </w:p>
    <w:p>
      <w:pPr>
        <w:spacing w:line="440" w:lineRule="exact"/>
        <w:jc w:val="center"/>
        <w:rPr>
          <w:rFonts w:ascii="宋体" w:hAnsi="宋体"/>
          <w:color w:val="auto"/>
          <w:sz w:val="23"/>
          <w:szCs w:val="23"/>
          <w:highlight w:val="none"/>
        </w:rPr>
      </w:pPr>
    </w:p>
    <w:tbl>
      <w:tblPr>
        <w:tblStyle w:val="17"/>
        <w:tblW w:w="0" w:type="auto"/>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2270"/>
        <w:gridCol w:w="1755"/>
        <w:gridCol w:w="1755"/>
        <w:gridCol w:w="1755"/>
        <w:gridCol w:w="1752"/>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510" w:hRule="atLeast"/>
        </w:trPr>
        <w:tc>
          <w:tcPr>
            <w:tcW w:w="2270" w:type="dxa"/>
            <w:vMerge w:val="restart"/>
            <w:noWrap w:val="0"/>
            <w:vAlign w:val="center"/>
          </w:tcPr>
          <w:p>
            <w:pPr>
              <w:spacing w:line="440" w:lineRule="exact"/>
              <w:jc w:val="center"/>
              <w:rPr>
                <w:rFonts w:hint="eastAsia" w:ascii="宋体" w:hAnsi="宋体"/>
                <w:color w:val="auto"/>
                <w:szCs w:val="21"/>
                <w:highlight w:val="none"/>
              </w:rPr>
            </w:pPr>
            <w:r>
              <w:rPr>
                <w:rFonts w:hint="eastAsia" w:ascii="宋体" w:hAnsi="宋体"/>
                <w:color w:val="auto"/>
                <w:szCs w:val="21"/>
                <w:highlight w:val="none"/>
              </w:rPr>
              <w:t>从开工月算起的时间（月）</w:t>
            </w:r>
          </w:p>
        </w:tc>
        <w:tc>
          <w:tcPr>
            <w:tcW w:w="7017" w:type="dxa"/>
            <w:gridSpan w:val="4"/>
            <w:noWrap w:val="0"/>
            <w:vAlign w:val="center"/>
          </w:tcPr>
          <w:p>
            <w:pPr>
              <w:jc w:val="center"/>
              <w:rPr>
                <w:rFonts w:ascii="宋体" w:hAnsi="宋体"/>
                <w:color w:val="auto"/>
                <w:szCs w:val="21"/>
                <w:highlight w:val="none"/>
              </w:rPr>
            </w:pPr>
            <w:r>
              <w:rPr>
                <w:rFonts w:hint="eastAsia" w:ascii="宋体" w:hAnsi="宋体"/>
                <w:color w:val="auto"/>
                <w:szCs w:val="21"/>
                <w:highlight w:val="none"/>
              </w:rPr>
              <w:t>投标人的估算</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480" w:hRule="atLeast"/>
        </w:trPr>
        <w:tc>
          <w:tcPr>
            <w:tcW w:w="2270" w:type="dxa"/>
            <w:vMerge w:val="continue"/>
            <w:noWrap w:val="0"/>
            <w:vAlign w:val="center"/>
          </w:tcPr>
          <w:p>
            <w:pPr>
              <w:spacing w:line="440" w:lineRule="exact"/>
              <w:rPr>
                <w:rFonts w:ascii="宋体" w:hAnsi="宋体"/>
                <w:color w:val="auto"/>
                <w:szCs w:val="21"/>
                <w:highlight w:val="none"/>
              </w:rPr>
            </w:pPr>
          </w:p>
        </w:tc>
        <w:tc>
          <w:tcPr>
            <w:tcW w:w="3510" w:type="dxa"/>
            <w:gridSpan w:val="2"/>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分  期</w:t>
            </w:r>
          </w:p>
        </w:tc>
        <w:tc>
          <w:tcPr>
            <w:tcW w:w="3507" w:type="dxa"/>
            <w:gridSpan w:val="2"/>
            <w:noWrap w:val="0"/>
            <w:vAlign w:val="center"/>
          </w:tcPr>
          <w:p>
            <w:pPr>
              <w:jc w:val="center"/>
              <w:rPr>
                <w:rFonts w:ascii="宋体" w:hAnsi="宋体"/>
                <w:color w:val="auto"/>
                <w:szCs w:val="21"/>
                <w:highlight w:val="none"/>
              </w:rPr>
            </w:pPr>
            <w:r>
              <w:rPr>
                <w:rFonts w:hint="eastAsia" w:ascii="宋体" w:hAnsi="宋体"/>
                <w:color w:val="auto"/>
                <w:szCs w:val="21"/>
                <w:highlight w:val="none"/>
              </w:rPr>
              <w:t>累  计</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564" w:hRule="atLeast"/>
        </w:trPr>
        <w:tc>
          <w:tcPr>
            <w:tcW w:w="2270" w:type="dxa"/>
            <w:vMerge w:val="continue"/>
            <w:noWrap w:val="0"/>
            <w:vAlign w:val="center"/>
          </w:tcPr>
          <w:p>
            <w:pPr>
              <w:spacing w:line="440" w:lineRule="exact"/>
              <w:rPr>
                <w:rFonts w:ascii="宋体" w:hAnsi="宋体"/>
                <w:color w:val="auto"/>
                <w:szCs w:val="21"/>
                <w:highlight w:val="none"/>
              </w:rPr>
            </w:pPr>
          </w:p>
        </w:tc>
        <w:tc>
          <w:tcPr>
            <w:tcW w:w="1755"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金额（元）</w:t>
            </w:r>
          </w:p>
        </w:tc>
        <w:tc>
          <w:tcPr>
            <w:tcW w:w="1755"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w:t>
            </w:r>
          </w:p>
        </w:tc>
        <w:tc>
          <w:tcPr>
            <w:tcW w:w="1755"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金额（元）</w:t>
            </w:r>
          </w:p>
        </w:tc>
        <w:tc>
          <w:tcPr>
            <w:tcW w:w="175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2270"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第一次开工预付款</w:t>
            </w: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2" w:type="dxa"/>
            <w:noWrap w:val="0"/>
            <w:vAlign w:val="center"/>
          </w:tcPr>
          <w:p>
            <w:pPr>
              <w:rPr>
                <w:rFonts w:ascii="宋体" w:hAnsi="宋体"/>
                <w:color w:val="auto"/>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2270"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1～3</w:t>
            </w: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2" w:type="dxa"/>
            <w:noWrap w:val="0"/>
            <w:vAlign w:val="center"/>
          </w:tcPr>
          <w:p>
            <w:pPr>
              <w:rPr>
                <w:rFonts w:ascii="宋体" w:hAnsi="宋体"/>
                <w:color w:val="auto"/>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94" w:hRule="atLeast"/>
        </w:trPr>
        <w:tc>
          <w:tcPr>
            <w:tcW w:w="2270" w:type="dxa"/>
            <w:noWrap w:val="0"/>
            <w:vAlign w:val="center"/>
          </w:tcPr>
          <w:p>
            <w:pPr>
              <w:rPr>
                <w:rFonts w:ascii="宋体" w:hAnsi="宋体"/>
                <w:color w:val="auto"/>
                <w:szCs w:val="21"/>
                <w:highlight w:val="none"/>
              </w:rPr>
            </w:pPr>
            <w:r>
              <w:rPr>
                <w:rFonts w:hint="eastAsia" w:ascii="宋体" w:hAnsi="宋体"/>
                <w:color w:val="auto"/>
                <w:szCs w:val="21"/>
                <w:highlight w:val="none"/>
              </w:rPr>
              <w:t>4～6</w:t>
            </w: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2" w:type="dxa"/>
            <w:noWrap w:val="0"/>
            <w:vAlign w:val="center"/>
          </w:tcPr>
          <w:p>
            <w:pPr>
              <w:rPr>
                <w:rFonts w:ascii="宋体" w:hAnsi="宋体"/>
                <w:color w:val="auto"/>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2270" w:type="dxa"/>
            <w:noWrap w:val="0"/>
            <w:vAlign w:val="center"/>
          </w:tcPr>
          <w:p>
            <w:pPr>
              <w:rPr>
                <w:rFonts w:ascii="宋体" w:hAnsi="宋体"/>
                <w:color w:val="auto"/>
                <w:szCs w:val="21"/>
                <w:highlight w:val="none"/>
              </w:rPr>
            </w:pPr>
            <w:r>
              <w:rPr>
                <w:rFonts w:hint="eastAsia" w:ascii="宋体" w:hAnsi="宋体"/>
                <w:color w:val="auto"/>
                <w:szCs w:val="21"/>
                <w:highlight w:val="none"/>
              </w:rPr>
              <w:t>7～8</w:t>
            </w: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2" w:type="dxa"/>
            <w:noWrap w:val="0"/>
            <w:vAlign w:val="center"/>
          </w:tcPr>
          <w:p>
            <w:pPr>
              <w:rPr>
                <w:rFonts w:ascii="宋体" w:hAnsi="宋体"/>
                <w:color w:val="auto"/>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2270" w:type="dxa"/>
            <w:noWrap w:val="0"/>
            <w:vAlign w:val="center"/>
          </w:tcPr>
          <w:p>
            <w:pPr>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w:t>
            </w: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2" w:type="dxa"/>
            <w:noWrap w:val="0"/>
            <w:vAlign w:val="center"/>
          </w:tcPr>
          <w:p>
            <w:pPr>
              <w:rPr>
                <w:rFonts w:ascii="宋体" w:hAnsi="宋体"/>
                <w:color w:val="auto"/>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2270"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缺陷责任期</w:t>
            </w: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ascii="宋体" w:hAnsi="宋体"/>
                <w:color w:val="auto"/>
                <w:szCs w:val="21"/>
                <w:highlight w:val="none"/>
              </w:rPr>
            </w:pPr>
          </w:p>
        </w:tc>
        <w:tc>
          <w:tcPr>
            <w:tcW w:w="1752" w:type="dxa"/>
            <w:noWrap w:val="0"/>
            <w:vAlign w:val="center"/>
          </w:tcPr>
          <w:p>
            <w:pPr>
              <w:rPr>
                <w:rFonts w:ascii="宋体" w:hAnsi="宋体"/>
                <w:color w:val="auto"/>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2270"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小计</w:t>
            </w:r>
          </w:p>
        </w:tc>
        <w:tc>
          <w:tcPr>
            <w:tcW w:w="1755" w:type="dxa"/>
            <w:noWrap w:val="0"/>
            <w:vAlign w:val="center"/>
          </w:tcPr>
          <w:p>
            <w:pPr>
              <w:rPr>
                <w:rFonts w:ascii="宋体" w:hAnsi="宋体"/>
                <w:color w:val="auto"/>
                <w:szCs w:val="21"/>
                <w:highlight w:val="none"/>
              </w:rPr>
            </w:pPr>
          </w:p>
        </w:tc>
        <w:tc>
          <w:tcPr>
            <w:tcW w:w="1755"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100.00</w:t>
            </w:r>
          </w:p>
        </w:tc>
        <w:tc>
          <w:tcPr>
            <w:tcW w:w="1755" w:type="dxa"/>
            <w:noWrap w:val="0"/>
            <w:vAlign w:val="center"/>
          </w:tcPr>
          <w:p>
            <w:pPr>
              <w:rPr>
                <w:rFonts w:ascii="宋体" w:hAnsi="宋体"/>
                <w:color w:val="auto"/>
                <w:szCs w:val="21"/>
                <w:highlight w:val="none"/>
              </w:rPr>
            </w:pPr>
          </w:p>
        </w:tc>
        <w:tc>
          <w:tcPr>
            <w:tcW w:w="1752" w:type="dxa"/>
            <w:noWrap w:val="0"/>
            <w:vAlign w:val="center"/>
          </w:tcPr>
          <w:p>
            <w:pPr>
              <w:rPr>
                <w:rFonts w:ascii="宋体" w:hAnsi="宋体"/>
                <w:color w:val="auto"/>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2270"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投标价：</w:t>
            </w:r>
          </w:p>
        </w:tc>
        <w:tc>
          <w:tcPr>
            <w:tcW w:w="7017" w:type="dxa"/>
            <w:gridSpan w:val="4"/>
            <w:noWrap w:val="0"/>
            <w:vAlign w:val="center"/>
          </w:tcPr>
          <w:p>
            <w:pPr>
              <w:rPr>
                <w:rFonts w:ascii="宋体" w:hAnsi="宋体"/>
                <w:color w:val="auto"/>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519" w:hRule="atLeast"/>
        </w:trPr>
        <w:tc>
          <w:tcPr>
            <w:tcW w:w="2270" w:type="dxa"/>
            <w:noWrap w:val="0"/>
            <w:vAlign w:val="center"/>
          </w:tcPr>
          <w:p>
            <w:pPr>
              <w:spacing w:line="440" w:lineRule="exact"/>
              <w:rPr>
                <w:rFonts w:hint="eastAsia" w:ascii="宋体" w:hAnsi="宋体"/>
                <w:color w:val="auto"/>
                <w:szCs w:val="21"/>
                <w:highlight w:val="none"/>
              </w:rPr>
            </w:pPr>
            <w:r>
              <w:rPr>
                <w:rFonts w:hint="eastAsia" w:ascii="宋体" w:hAnsi="宋体"/>
                <w:color w:val="auto"/>
                <w:szCs w:val="21"/>
                <w:highlight w:val="none"/>
              </w:rPr>
              <w:t>说明</w:t>
            </w:r>
          </w:p>
        </w:tc>
        <w:tc>
          <w:tcPr>
            <w:tcW w:w="7017" w:type="dxa"/>
            <w:gridSpan w:val="4"/>
            <w:noWrap w:val="0"/>
            <w:vAlign w:val="center"/>
          </w:tcPr>
          <w:p>
            <w:pPr>
              <w:spacing w:line="440" w:lineRule="exact"/>
              <w:rPr>
                <w:rFonts w:ascii="宋体" w:hAnsi="宋体"/>
                <w:color w:val="auto"/>
                <w:szCs w:val="21"/>
                <w:highlight w:val="none"/>
              </w:rPr>
            </w:pPr>
          </w:p>
        </w:tc>
      </w:tr>
    </w:tbl>
    <w:p>
      <w:pPr>
        <w:topLinePunct/>
        <w:spacing w:line="440" w:lineRule="exact"/>
        <w:rPr>
          <w:rFonts w:hint="eastAsia" w:ascii="宋体" w:hAnsi="宋体"/>
          <w:color w:val="auto"/>
          <w:highlight w:val="none"/>
        </w:rPr>
      </w:pPr>
      <w:r>
        <w:rPr>
          <w:rFonts w:hint="eastAsia" w:ascii="宋体" w:hAnsi="宋体"/>
          <w:color w:val="auto"/>
          <w:highlight w:val="none"/>
        </w:rPr>
        <w:t>注：1.投标人可按附表一的工程进度估算并填写本表。</w:t>
      </w:r>
    </w:p>
    <w:p>
      <w:pPr>
        <w:spacing w:line="300" w:lineRule="exact"/>
        <w:ind w:left="210" w:hanging="210" w:hangingChars="100"/>
        <w:rPr>
          <w:rFonts w:hint="eastAsia" w:ascii="宋体" w:hAnsi="宋体"/>
          <w:color w:val="auto"/>
          <w:highlight w:val="none"/>
        </w:rPr>
      </w:pPr>
      <w:r>
        <w:rPr>
          <w:rFonts w:hint="eastAsia" w:ascii="宋体" w:hAnsi="宋体"/>
          <w:color w:val="auto"/>
          <w:highlight w:val="none"/>
        </w:rPr>
        <w:t xml:space="preserve">    2.用款额按所报单价和总额价估算，不包括价格调整和暂列金额、暂估价，但应考虑开工预付款的扣回、质量保证金的扣留以及签发付款证书后到实际支付的时间间隔。</w:t>
      </w:r>
    </w:p>
    <w:p>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隶书简体">
    <w:altName w:val="宋体"/>
    <w:panose1 w:val="02010601030101010101"/>
    <w:charset w:val="86"/>
    <w:family w:val="script"/>
    <w:pitch w:val="default"/>
    <w:sig w:usb0="00000000" w:usb1="00000000" w:usb2="00000000" w:usb3="00000000" w:csb0="00040000"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SimHei-Identity-H">
    <w:altName w:val="黑体"/>
    <w:panose1 w:val="00000000000000000000"/>
    <w:charset w:val="86"/>
    <w:family w:val="auto"/>
    <w:pitch w:val="default"/>
    <w:sig w:usb0="00000000" w:usb1="00000000" w:usb2="0000001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 w:name="华文宋体">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tabs>
        <w:tab w:val="left" w:pos="6508"/>
        <w:tab w:val="clear" w:pos="4153"/>
        <w:tab w:val="clear" w:pos="8306"/>
      </w:tabs>
      <w:spacing w:after="72"/>
      <w:ind w:right="11"/>
      <w:jc w:val="left"/>
      <w:rPr>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tabs>
        <w:tab w:val="left" w:pos="8715"/>
        <w:tab w:val="clear" w:pos="4153"/>
        <w:tab w:val="clear" w:pos="8306"/>
      </w:tabs>
      <w:spacing w:after="72"/>
      <w:ind w:right="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117</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117</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tabs>
        <w:tab w:val="left" w:pos="8715"/>
        <w:tab w:val="clear" w:pos="4153"/>
        <w:tab w:val="clear" w:pos="8306"/>
      </w:tabs>
      <w:spacing w:after="72"/>
      <w:ind w:right="11"/>
    </w:pPr>
    <w:r>
      <w:rPr>
        <w:rFonts w:hint="eastAsia"/>
        <w:sz w:val="21"/>
        <w:szCs w:val="21"/>
      </w:rPr>
      <w:t xml:space="preserve">                                                    </w:t>
    </w:r>
    <w:r>
      <w:fldChar w:fldCharType="begin"/>
    </w:r>
    <w:r>
      <w:rPr>
        <w:rStyle w:val="20"/>
        <w:rFonts w:eastAsia="宋体"/>
      </w:rPr>
      <w:instrText xml:space="preserve"> PAGE </w:instrText>
    </w:r>
    <w:r>
      <w:fldChar w:fldCharType="separate"/>
    </w:r>
    <w:r>
      <w:rPr>
        <w:rStyle w:val="20"/>
        <w:rFonts w:eastAsia="宋体"/>
      </w:rPr>
      <w:t>120</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tabs>
        <w:tab w:val="left" w:pos="8715"/>
        <w:tab w:val="clear" w:pos="4153"/>
        <w:tab w:val="clear" w:pos="8306"/>
      </w:tabs>
      <w:spacing w:after="72"/>
      <w:ind w:right="11"/>
      <w:jc w:val="lef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150</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150</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tabs>
        <w:tab w:val="right" w:pos="9135"/>
        <w:tab w:val="clear" w:pos="8306"/>
      </w:tabs>
      <w:spacing w:after="120" w:afterLines="50"/>
      <w:ind w:right="-34" w:rightChars="-16"/>
      <w:rPr>
        <w:rStyle w:val="39"/>
        <w:rFonts w:ascii="Times New Roman" w:hAnsi="Times New Roman" w:eastAsia="宋体"/>
        <w:b w:val="0"/>
        <w:bCs w:val="0"/>
        <w:smallCaps w:val="0"/>
        <w:color w:val="auto"/>
        <w:kern w:val="2"/>
        <w:sz w:val="18"/>
        <w:u w:val="none"/>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thickThinSmallGap" w:color="auto" w:sz="24" w:space="1"/>
      </w:pBdr>
      <w:tabs>
        <w:tab w:val="right" w:pos="9135"/>
        <w:tab w:val="clear" w:pos="8306"/>
      </w:tabs>
      <w:spacing w:after="120" w:afterLines="50"/>
      <w:ind w:right="-143" w:rightChars="-68"/>
    </w:pPr>
    <w:r>
      <w:rPr>
        <w:rFonts w:hint="eastAsia" w:ascii="黑体" w:eastAsia="黑体"/>
        <w:sz w:val="21"/>
        <w:szCs w:val="21"/>
      </w:rPr>
      <w:t xml:space="preserve">    </w:t>
    </w:r>
    <w:r>
      <w:rPr>
        <w:rFonts w:hint="eastAsia" w:ascii="宋体" w:hAnsi="宋体" w:eastAsia="黑体"/>
        <w:position w:val="12"/>
        <w:sz w:val="21"/>
        <w:szCs w:val="21"/>
      </w:rPr>
      <w:t>平阳县“村村通”项目麻步平马至内塘、冠尖至玉轩工程施工</w:t>
    </w:r>
    <w:r>
      <w:rPr>
        <w:rFonts w:hint="eastAsia" w:ascii="宋体" w:hAnsi="宋体"/>
        <w:position w:val="12"/>
        <w:sz w:val="21"/>
        <w:szCs w:val="21"/>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tabs>
        <w:tab w:val="right" w:pos="9135"/>
        <w:tab w:val="clear" w:pos="8306"/>
      </w:tabs>
      <w:spacing w:after="120" w:afterLines="50"/>
      <w:ind w:right="-34" w:rightChars="-16"/>
    </w:pPr>
    <w:r>
      <w:rPr>
        <w:rFonts w:hint="eastAsia" w:ascii="黑体" w:eastAsia="黑体"/>
        <w:sz w:val="21"/>
        <w:szCs w:val="21"/>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tabs>
        <w:tab w:val="right" w:pos="9135"/>
        <w:tab w:val="clear" w:pos="8306"/>
      </w:tabs>
      <w:spacing w:after="120" w:afterLines="50"/>
      <w:ind w:right="-34" w:rightChars="-16" w:firstLine="90" w:firstLineChars="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68A6E"/>
    <w:multiLevelType w:val="singleLevel"/>
    <w:tmpl w:val="BF268A6E"/>
    <w:lvl w:ilvl="0" w:tentative="0">
      <w:start w:val="1"/>
      <w:numFmt w:val="decimal"/>
      <w:suff w:val="nothing"/>
      <w:lvlText w:val="%1．"/>
      <w:lvlJc w:val="left"/>
      <w:pPr>
        <w:ind w:left="0" w:firstLine="400"/>
      </w:pPr>
      <w:rPr>
        <w:rFonts w:hint="default"/>
      </w:rPr>
    </w:lvl>
  </w:abstractNum>
  <w:abstractNum w:abstractNumId="1">
    <w:nsid w:val="C07C9229"/>
    <w:multiLevelType w:val="singleLevel"/>
    <w:tmpl w:val="C07C9229"/>
    <w:lvl w:ilvl="0" w:tentative="0">
      <w:start w:val="1"/>
      <w:numFmt w:val="decimal"/>
      <w:suff w:val="nothing"/>
      <w:lvlText w:val="%1、"/>
      <w:lvlJc w:val="left"/>
    </w:lvl>
  </w:abstractNum>
  <w:abstractNum w:abstractNumId="2">
    <w:nsid w:val="D82899EF"/>
    <w:multiLevelType w:val="singleLevel"/>
    <w:tmpl w:val="D82899EF"/>
    <w:lvl w:ilvl="0" w:tentative="0">
      <w:start w:val="1"/>
      <w:numFmt w:val="upperLetter"/>
      <w:lvlText w:val="%1."/>
      <w:lvlJc w:val="left"/>
      <w:pPr>
        <w:tabs>
          <w:tab w:val="left" w:pos="312"/>
        </w:tabs>
      </w:pPr>
    </w:lvl>
  </w:abstractNum>
  <w:abstractNum w:abstractNumId="3">
    <w:nsid w:val="1C457EAA"/>
    <w:multiLevelType w:val="singleLevel"/>
    <w:tmpl w:val="1C457EAA"/>
    <w:lvl w:ilvl="0" w:tentative="0">
      <w:start w:val="1"/>
      <w:numFmt w:val="decimal"/>
      <w:suff w:val="nothing"/>
      <w:lvlText w:val="（%1）"/>
      <w:lvlJc w:val="left"/>
    </w:lvl>
  </w:abstractNum>
  <w:abstractNum w:abstractNumId="4">
    <w:nsid w:val="55F8E61A"/>
    <w:multiLevelType w:val="singleLevel"/>
    <w:tmpl w:val="55F8E61A"/>
    <w:lvl w:ilvl="0" w:tentative="0">
      <w:start w:val="3"/>
      <w:numFmt w:val="chineseCounting"/>
      <w:suff w:val="nothing"/>
      <w:lvlText w:val="%1、"/>
      <w:lvlJc w:val="left"/>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lYTVmNzkxMTZhYjYwNGU5ZjEzYTExMmRjY2E5Y2YifQ=="/>
  </w:docVars>
  <w:rsids>
    <w:rsidRoot w:val="3EAC4D20"/>
    <w:rsid w:val="070C2258"/>
    <w:rsid w:val="0E175910"/>
    <w:rsid w:val="10C9775F"/>
    <w:rsid w:val="12297DAC"/>
    <w:rsid w:val="12DB66FD"/>
    <w:rsid w:val="140E0D30"/>
    <w:rsid w:val="14156869"/>
    <w:rsid w:val="17482DF2"/>
    <w:rsid w:val="18197065"/>
    <w:rsid w:val="1ADB25C3"/>
    <w:rsid w:val="1B563610"/>
    <w:rsid w:val="1BCB6FB4"/>
    <w:rsid w:val="1CE86A3A"/>
    <w:rsid w:val="1D4E3E4F"/>
    <w:rsid w:val="1EB106CE"/>
    <w:rsid w:val="1F602825"/>
    <w:rsid w:val="21960322"/>
    <w:rsid w:val="239F7174"/>
    <w:rsid w:val="25667760"/>
    <w:rsid w:val="26393298"/>
    <w:rsid w:val="26EC7C24"/>
    <w:rsid w:val="27156F2D"/>
    <w:rsid w:val="28947935"/>
    <w:rsid w:val="2A2B6E1B"/>
    <w:rsid w:val="31414D17"/>
    <w:rsid w:val="33BC3AED"/>
    <w:rsid w:val="343B1A9D"/>
    <w:rsid w:val="357263F6"/>
    <w:rsid w:val="36C57406"/>
    <w:rsid w:val="380C2DCA"/>
    <w:rsid w:val="398907A7"/>
    <w:rsid w:val="3D907136"/>
    <w:rsid w:val="3E676214"/>
    <w:rsid w:val="3EAC4D20"/>
    <w:rsid w:val="41736037"/>
    <w:rsid w:val="42F12C27"/>
    <w:rsid w:val="434C17EB"/>
    <w:rsid w:val="43F67219"/>
    <w:rsid w:val="44195166"/>
    <w:rsid w:val="45291D0A"/>
    <w:rsid w:val="45600692"/>
    <w:rsid w:val="467A0BD7"/>
    <w:rsid w:val="47907132"/>
    <w:rsid w:val="47CB141F"/>
    <w:rsid w:val="4907482D"/>
    <w:rsid w:val="4F617B6C"/>
    <w:rsid w:val="554A789F"/>
    <w:rsid w:val="567C7494"/>
    <w:rsid w:val="56D7393C"/>
    <w:rsid w:val="58F14175"/>
    <w:rsid w:val="5C71300B"/>
    <w:rsid w:val="5E895CB3"/>
    <w:rsid w:val="5EE72758"/>
    <w:rsid w:val="64596734"/>
    <w:rsid w:val="66D7387C"/>
    <w:rsid w:val="67BD68AF"/>
    <w:rsid w:val="691051A9"/>
    <w:rsid w:val="69EF1D7E"/>
    <w:rsid w:val="6B794AC1"/>
    <w:rsid w:val="6C29484F"/>
    <w:rsid w:val="6D86031C"/>
    <w:rsid w:val="6DEE5722"/>
    <w:rsid w:val="724063E2"/>
    <w:rsid w:val="72B627CB"/>
    <w:rsid w:val="737A3B75"/>
    <w:rsid w:val="761557DC"/>
    <w:rsid w:val="7AB47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2"/>
    <w:basedOn w:val="1"/>
    <w:next w:val="1"/>
    <w:qFormat/>
    <w:uiPriority w:val="0"/>
    <w:pPr>
      <w:keepNext/>
      <w:keepLines/>
      <w:adjustRightInd w:val="0"/>
      <w:spacing w:before="260" w:beforeLines="0" w:beforeAutospacing="0" w:after="260" w:afterLines="0" w:afterAutospacing="0" w:line="416" w:lineRule="atLeast"/>
      <w:textAlignment w:val="baseline"/>
      <w:outlineLvl w:val="1"/>
    </w:pPr>
    <w:rPr>
      <w:rFonts w:ascii="Arial" w:hAnsi="Arial" w:eastAsia="黑体"/>
      <w:b/>
      <w:sz w:val="32"/>
    </w:rPr>
  </w:style>
  <w:style w:type="paragraph" w:styleId="6">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paragraph" w:styleId="7">
    <w:name w:val="heading 6"/>
    <w:basedOn w:val="1"/>
    <w:next w:val="1"/>
    <w:qFormat/>
    <w:uiPriority w:val="1"/>
    <w:pPr>
      <w:spacing w:line="316" w:lineRule="exact"/>
      <w:ind w:left="1140" w:hanging="281"/>
      <w:outlineLvl w:val="5"/>
    </w:pPr>
    <w:rPr>
      <w:rFonts w:ascii="Microsoft YaHei UI" w:hAnsi="Microsoft YaHei UI" w:eastAsia="Microsoft YaHei UI" w:cs="Microsoft YaHei UI"/>
      <w:b/>
      <w:bCs/>
      <w:sz w:val="21"/>
      <w:szCs w:val="21"/>
      <w:lang w:val="en-US" w:eastAsia="zh-CN" w:bidi="ar-SA"/>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spacing w:after="120" w:afterLines="0" w:afterAutospacing="0"/>
      <w:ind w:firstLine="420" w:firstLineChars="100"/>
    </w:pPr>
    <w:rPr>
      <w:rFonts w:ascii="Times New Roman" w:hAnsi="Times New Roman"/>
      <w:spacing w:val="0"/>
    </w:rPr>
  </w:style>
  <w:style w:type="paragraph" w:styleId="3">
    <w:name w:val="Body Text"/>
    <w:basedOn w:val="1"/>
    <w:next w:val="2"/>
    <w:qFormat/>
    <w:uiPriority w:val="0"/>
    <w:pPr>
      <w:spacing w:before="156" w:beforeLines="50" w:beforeAutospacing="0" w:after="156" w:afterLines="50" w:afterAutospacing="0"/>
    </w:pPr>
    <w:rPr>
      <w:rFonts w:ascii="宋体" w:hAnsi="宋体"/>
      <w:spacing w:val="-6"/>
    </w:rPr>
  </w:style>
  <w:style w:type="paragraph" w:styleId="4">
    <w:name w:val="toc 6"/>
    <w:basedOn w:val="1"/>
    <w:next w:val="1"/>
    <w:qFormat/>
    <w:uiPriority w:val="39"/>
    <w:pPr>
      <w:ind w:left="1050"/>
      <w:jc w:val="left"/>
    </w:pPr>
    <w:rPr>
      <w:sz w:val="18"/>
      <w:szCs w:val="18"/>
    </w:rPr>
  </w:style>
  <w:style w:type="paragraph" w:styleId="8">
    <w:name w:val="toc 3"/>
    <w:basedOn w:val="1"/>
    <w:next w:val="1"/>
    <w:qFormat/>
    <w:uiPriority w:val="39"/>
    <w:pPr>
      <w:ind w:left="420"/>
      <w:jc w:val="left"/>
    </w:pPr>
    <w:rPr>
      <w:i/>
      <w:iCs/>
      <w:sz w:val="20"/>
    </w:rPr>
  </w:style>
  <w:style w:type="paragraph" w:styleId="9">
    <w:name w:val="Plain Text"/>
    <w:basedOn w:val="1"/>
    <w:qFormat/>
    <w:uiPriority w:val="0"/>
    <w:rPr>
      <w:rFonts w:ascii="宋体" w:hAnsi="Courier New"/>
    </w:rPr>
  </w:style>
  <w:style w:type="paragraph" w:styleId="10">
    <w:name w:val="footer"/>
    <w:basedOn w:val="1"/>
    <w:qFormat/>
    <w:uiPriority w:val="0"/>
    <w:pPr>
      <w:tabs>
        <w:tab w:val="center" w:pos="4153"/>
        <w:tab w:val="right" w:pos="8306"/>
      </w:tabs>
      <w:snapToGrid w:val="0"/>
    </w:pPr>
    <w:rPr>
      <w:sz w:val="18"/>
    </w:rPr>
  </w:style>
  <w:style w:type="paragraph" w:styleId="11">
    <w:name w:val="header"/>
    <w:basedOn w:val="1"/>
    <w:qFormat/>
    <w:uiPriority w:val="0"/>
    <w:pPr>
      <w:pBdr>
        <w:bottom w:val="single" w:color="auto" w:sz="6" w:space="1"/>
      </w:pBdr>
      <w:tabs>
        <w:tab w:val="center" w:pos="4153"/>
        <w:tab w:val="right" w:pos="8306"/>
      </w:tabs>
      <w:snapToGrid w:val="0"/>
    </w:pPr>
    <w:rPr>
      <w:sz w:val="18"/>
    </w:rPr>
  </w:style>
  <w:style w:type="paragraph" w:styleId="12">
    <w:name w:val="toc 1"/>
    <w:basedOn w:val="1"/>
    <w:next w:val="1"/>
    <w:qFormat/>
    <w:uiPriority w:val="39"/>
    <w:pPr>
      <w:spacing w:before="120" w:after="120"/>
      <w:jc w:val="left"/>
    </w:pPr>
    <w:rPr>
      <w:b/>
      <w:bCs/>
      <w:caps/>
      <w:sz w:val="20"/>
    </w:rPr>
  </w:style>
  <w:style w:type="paragraph" w:styleId="13">
    <w:name w:val="toc 4"/>
    <w:basedOn w:val="1"/>
    <w:next w:val="1"/>
    <w:qFormat/>
    <w:uiPriority w:val="39"/>
    <w:pPr>
      <w:ind w:left="630"/>
      <w:jc w:val="left"/>
    </w:pPr>
    <w:rPr>
      <w:sz w:val="18"/>
      <w:szCs w:val="18"/>
    </w:rPr>
  </w:style>
  <w:style w:type="paragraph" w:styleId="14">
    <w:name w:val="footnote text"/>
    <w:basedOn w:val="1"/>
    <w:qFormat/>
    <w:uiPriority w:val="0"/>
    <w:pPr>
      <w:snapToGrid w:val="0"/>
    </w:pPr>
    <w:rPr>
      <w:sz w:val="18"/>
    </w:rPr>
  </w:style>
  <w:style w:type="paragraph" w:styleId="15">
    <w:name w:val="toc 2"/>
    <w:basedOn w:val="1"/>
    <w:next w:val="1"/>
    <w:qFormat/>
    <w:uiPriority w:val="39"/>
    <w:pPr>
      <w:ind w:left="210"/>
      <w:jc w:val="left"/>
    </w:pPr>
    <w:rPr>
      <w:smallCaps/>
      <w:sz w:val="20"/>
    </w:rPr>
  </w:style>
  <w:style w:type="paragraph" w:styleId="16">
    <w:name w:val="Normal (Web)"/>
    <w:basedOn w:val="1"/>
    <w:qFormat/>
    <w:uiPriority w:val="0"/>
    <w:pPr>
      <w:widowControl/>
      <w:spacing w:before="100" w:beforeLines="0" w:beforeAutospacing="1" w:after="100" w:afterLines="0" w:afterAutospacing="1"/>
    </w:pPr>
    <w:rPr>
      <w:rFonts w:ascii="宋体" w:hAnsi="宋体"/>
      <w:kern w:val="0"/>
    </w:rPr>
  </w:style>
  <w:style w:type="character" w:styleId="19">
    <w:name w:val="Strong"/>
    <w:basedOn w:val="18"/>
    <w:qFormat/>
    <w:uiPriority w:val="0"/>
  </w:style>
  <w:style w:type="character" w:styleId="20">
    <w:name w:val="page number"/>
    <w:basedOn w:val="18"/>
    <w:qFormat/>
    <w:uiPriority w:val="0"/>
  </w:style>
  <w:style w:type="character" w:styleId="21">
    <w:name w:val="FollowedHyperlink"/>
    <w:basedOn w:val="18"/>
    <w:qFormat/>
    <w:uiPriority w:val="0"/>
    <w:rPr>
      <w:color w:val="4A4A4A"/>
      <w:u w:val="none"/>
    </w:rPr>
  </w:style>
  <w:style w:type="character" w:styleId="22">
    <w:name w:val="Emphasis"/>
    <w:basedOn w:val="18"/>
    <w:qFormat/>
    <w:uiPriority w:val="0"/>
  </w:style>
  <w:style w:type="character" w:styleId="23">
    <w:name w:val="HTML Definition"/>
    <w:basedOn w:val="18"/>
    <w:qFormat/>
    <w:uiPriority w:val="0"/>
  </w:style>
  <w:style w:type="character" w:styleId="24">
    <w:name w:val="HTML Typewriter"/>
    <w:basedOn w:val="18"/>
    <w:qFormat/>
    <w:uiPriority w:val="0"/>
    <w:rPr>
      <w:rFonts w:hint="default" w:ascii="monospace" w:hAnsi="monospace" w:eastAsia="monospace" w:cs="monospace"/>
      <w:sz w:val="20"/>
    </w:rPr>
  </w:style>
  <w:style w:type="character" w:styleId="25">
    <w:name w:val="HTML Acronym"/>
    <w:basedOn w:val="18"/>
    <w:qFormat/>
    <w:uiPriority w:val="0"/>
  </w:style>
  <w:style w:type="character" w:styleId="26">
    <w:name w:val="HTML Variable"/>
    <w:basedOn w:val="18"/>
    <w:qFormat/>
    <w:uiPriority w:val="0"/>
  </w:style>
  <w:style w:type="character" w:styleId="27">
    <w:name w:val="Hyperlink"/>
    <w:qFormat/>
    <w:uiPriority w:val="99"/>
    <w:rPr>
      <w:rFonts w:hint="default" w:ascii="Arial" w:hAnsi="Arial" w:eastAsia="Times New Roman"/>
      <w:b/>
      <w:bCs/>
      <w:color w:val="060147"/>
      <w:kern w:val="0"/>
      <w:sz w:val="18"/>
      <w:szCs w:val="20"/>
      <w:u w:val="none"/>
    </w:rPr>
  </w:style>
  <w:style w:type="character" w:styleId="28">
    <w:name w:val="HTML Code"/>
    <w:basedOn w:val="18"/>
    <w:qFormat/>
    <w:uiPriority w:val="0"/>
    <w:rPr>
      <w:rFonts w:hint="default" w:ascii="monospace" w:hAnsi="monospace" w:eastAsia="monospace" w:cs="monospace"/>
      <w:sz w:val="20"/>
    </w:rPr>
  </w:style>
  <w:style w:type="character" w:styleId="29">
    <w:name w:val="HTML Cite"/>
    <w:basedOn w:val="18"/>
    <w:qFormat/>
    <w:uiPriority w:val="0"/>
  </w:style>
  <w:style w:type="character" w:styleId="30">
    <w:name w:val="HTML Keyboard"/>
    <w:basedOn w:val="18"/>
    <w:qFormat/>
    <w:uiPriority w:val="0"/>
    <w:rPr>
      <w:rFonts w:hint="default" w:ascii="monospace" w:hAnsi="monospace" w:eastAsia="monospace" w:cs="monospace"/>
      <w:sz w:val="20"/>
    </w:rPr>
  </w:style>
  <w:style w:type="character" w:styleId="31">
    <w:name w:val="HTML Sample"/>
    <w:basedOn w:val="18"/>
    <w:qFormat/>
    <w:uiPriority w:val="0"/>
    <w:rPr>
      <w:rFonts w:ascii="monospace" w:hAnsi="monospace" w:eastAsia="monospace" w:cs="monospace"/>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List Paragraph"/>
    <w:basedOn w:val="1"/>
    <w:qFormat/>
    <w:uiPriority w:val="1"/>
    <w:pPr>
      <w:ind w:left="1300" w:firstLine="434"/>
    </w:pPr>
  </w:style>
  <w:style w:type="paragraph" w:customStyle="1" w:styleId="34">
    <w:name w:val="p17"/>
    <w:basedOn w:val="1"/>
    <w:qFormat/>
    <w:uiPriority w:val="0"/>
    <w:pPr>
      <w:widowControl/>
      <w:spacing w:before="100" w:after="100" w:line="432" w:lineRule="auto"/>
      <w:jc w:val="left"/>
    </w:pPr>
    <w:rPr>
      <w:rFonts w:ascii="宋体" w:hAnsi="宋体" w:cs="宋体"/>
      <w:kern w:val="0"/>
      <w:sz w:val="27"/>
      <w:szCs w:val="27"/>
    </w:rPr>
  </w:style>
  <w:style w:type="character" w:customStyle="1" w:styleId="35">
    <w:name w:val="15"/>
    <w:qFormat/>
    <w:uiPriority w:val="0"/>
    <w:rPr>
      <w:rFonts w:hint="default" w:ascii="Times New Roman" w:hAnsi="Times New Roman" w:cs="Times New Roman"/>
      <w:sz w:val="27"/>
      <w:szCs w:val="27"/>
    </w:rPr>
  </w:style>
  <w:style w:type="paragraph" w:customStyle="1" w:styleId="36">
    <w:name w:val="样式 标题 3 + (中文) 黑体 小四 非加粗 段前: 7.8 磅 段后: 0 磅 行距: 固定值 20 磅"/>
    <w:basedOn w:val="6"/>
    <w:qFormat/>
    <w:uiPriority w:val="0"/>
    <w:pPr>
      <w:spacing w:before="0" w:beforeLines="0" w:beforeAutospacing="0" w:after="0" w:afterLines="0" w:afterAutospacing="0" w:line="400" w:lineRule="exact"/>
    </w:pPr>
    <w:rPr>
      <w:rFonts w:eastAsia="黑体"/>
      <w:b w:val="0"/>
      <w:sz w:val="24"/>
    </w:rPr>
  </w:style>
  <w:style w:type="paragraph" w:customStyle="1" w:styleId="37">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样式 标题 2 + Times New Roman 四号 非加粗 段前: 5 磅 段后: 0 磅 行距: 固定值 20..."/>
    <w:basedOn w:val="5"/>
    <w:qFormat/>
    <w:uiPriority w:val="0"/>
    <w:pPr>
      <w:adjustRightInd/>
      <w:spacing w:before="100" w:beforeLines="0" w:beforeAutospacing="0" w:after="0" w:afterLines="0" w:afterAutospacing="0" w:line="400" w:lineRule="exact"/>
      <w:textAlignment w:val="auto"/>
    </w:pPr>
    <w:rPr>
      <w:rFonts w:ascii="Times New Roman" w:hAnsi="Times New Roman"/>
      <w:b w:val="0"/>
      <w:sz w:val="28"/>
    </w:rPr>
  </w:style>
  <w:style w:type="character" w:customStyle="1" w:styleId="39">
    <w:name w:val="不明显参考"/>
    <w:qFormat/>
    <w:uiPriority w:val="31"/>
    <w:rPr>
      <w:rFonts w:ascii="Tahoma" w:hAnsi="Tahoma" w:eastAsia="Times New Roman"/>
      <w:b/>
      <w:bCs/>
      <w:smallCaps/>
      <w:color w:val="C0504D"/>
      <w:kern w:val="0"/>
      <w:sz w:val="24"/>
      <w:szCs w:val="20"/>
      <w:u w:val="single"/>
    </w:rPr>
  </w:style>
  <w:style w:type="paragraph" w:customStyle="1" w:styleId="4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147</Pages>
  <Words>73358</Words>
  <Characters>78962</Characters>
  <Lines>0</Lines>
  <Paragraphs>0</Paragraphs>
  <TotalTime>17</TotalTime>
  <ScaleCrop>false</ScaleCrop>
  <LinksUpToDate>false</LinksUpToDate>
  <CharactersWithSpaces>86014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2022-12-05T07:19:00Z</dcterms:created>
  <dc:creator>Administrator</dc:creator>
  <cp:lastModifiedBy>才哥</cp:lastModifiedBy>
  <cp:lastPrinted>2023-02-15T01:09:00Z</cp:lastPrinted>
  <dcterms:modified xsi:type="dcterms:W3CDTF">2023-03-22T01:57:19Z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323E8CA22A6D443883DB7AC49E00BD94</vt:lpwstr>
  </property>
</Properties>
</file>