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ascii="宋体" w:hAnsi="宋体" w:eastAsia="宋体" w:cs="宋体"/>
          <w:b/>
          <w:bCs/>
          <w:color w:val="333333"/>
          <w:sz w:val="24"/>
          <w:szCs w:val="24"/>
        </w:rPr>
      </w:pPr>
      <w:r>
        <w:rPr>
          <w:rFonts w:hint="eastAsia" w:ascii="宋体" w:hAnsi="宋体" w:eastAsia="宋体" w:cs="宋体"/>
          <w:b/>
          <w:bCs/>
          <w:color w:val="333333"/>
          <w:sz w:val="24"/>
          <w:szCs w:val="24"/>
          <w:lang w:val="en-US" w:eastAsia="zh-CN"/>
        </w:rPr>
        <w:t>关于</w:t>
      </w:r>
      <w:r>
        <w:rPr>
          <w:rFonts w:hint="eastAsia" w:ascii="宋体" w:hAnsi="宋体" w:eastAsia="宋体" w:cs="宋体"/>
          <w:b/>
          <w:bCs/>
          <w:color w:val="333333"/>
          <w:sz w:val="24"/>
          <w:szCs w:val="24"/>
        </w:rPr>
        <w:t>平阳县万全镇纬二路（104国道-万鳌公路）道路工程（一期）工程的第1次补充</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333333"/>
          <w:sz w:val="24"/>
          <w:szCs w:val="24"/>
          <w:lang w:val="en-US" w:eastAsia="zh-CN"/>
        </w:rPr>
      </w:pPr>
      <w:r>
        <w:rPr>
          <w:rFonts w:ascii="宋体" w:hAnsi="宋体" w:eastAsia="宋体" w:cs="宋体"/>
          <w:color w:val="333333"/>
          <w:sz w:val="24"/>
          <w:szCs w:val="24"/>
        </w:rPr>
        <w:t>致各投标单位：</w:t>
      </w:r>
      <w:r>
        <w:rPr>
          <w:rFonts w:ascii="宋体" w:hAnsi="宋体" w:eastAsia="宋体" w:cs="宋体"/>
          <w:color w:val="333333"/>
          <w:sz w:val="24"/>
          <w:szCs w:val="24"/>
        </w:rPr>
        <w:br w:type="textWrapping"/>
      </w:r>
      <w:r>
        <w:rPr>
          <w:rFonts w:ascii="宋体" w:hAnsi="宋体" w:eastAsia="宋体" w:cs="宋体"/>
          <w:color w:val="333333"/>
          <w:sz w:val="24"/>
          <w:szCs w:val="24"/>
        </w:rPr>
        <w:t>本次补充对招标文件作如下修改：</w:t>
      </w:r>
      <w:r>
        <w:rPr>
          <w:rFonts w:ascii="宋体" w:hAnsi="宋体" w:eastAsia="宋体" w:cs="宋体"/>
          <w:color w:val="333333"/>
          <w:sz w:val="24"/>
          <w:szCs w:val="24"/>
        </w:rPr>
        <w:br w:type="textWrapping"/>
      </w:r>
      <w:r>
        <w:rPr>
          <w:rFonts w:ascii="宋体" w:hAnsi="宋体" w:eastAsia="宋体" w:cs="宋体"/>
          <w:b w:val="0"/>
          <w:bCs w:val="0"/>
          <w:color w:val="333333"/>
          <w:sz w:val="24"/>
          <w:szCs w:val="24"/>
        </w:rPr>
        <w:t>1、原招标</w:t>
      </w:r>
      <w:r>
        <w:rPr>
          <w:rFonts w:hint="eastAsia" w:ascii="宋体" w:hAnsi="宋体" w:eastAsia="宋体" w:cs="宋体"/>
          <w:b w:val="0"/>
          <w:bCs w:val="0"/>
          <w:color w:val="333333"/>
          <w:sz w:val="24"/>
          <w:szCs w:val="24"/>
          <w:lang w:eastAsia="zh-CN"/>
        </w:rPr>
        <w:t>文件中</w:t>
      </w:r>
      <w:r>
        <w:rPr>
          <w:rFonts w:hint="eastAsia" w:ascii="宋体" w:hAnsi="宋体" w:eastAsia="宋体" w:cs="宋体"/>
          <w:b w:val="0"/>
          <w:bCs w:val="0"/>
          <w:color w:val="333333"/>
          <w:sz w:val="24"/>
          <w:szCs w:val="24"/>
          <w:lang w:val="en-US" w:eastAsia="zh-CN"/>
        </w:rPr>
        <w:t>“招标公告”3.2.2条款：</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color w:val="333333"/>
          <w:kern w:val="2"/>
          <w:sz w:val="24"/>
          <w:szCs w:val="24"/>
          <w:lang w:val="en-US" w:eastAsia="zh-CN" w:bidi="ar-SA"/>
        </w:rPr>
      </w:pPr>
      <w:r>
        <w:rPr>
          <w:rFonts w:hint="eastAsia" w:ascii="宋体" w:hAnsi="宋体" w:eastAsia="宋体" w:cs="宋体"/>
          <w:b w:val="0"/>
          <w:bCs w:val="0"/>
          <w:color w:val="333333"/>
          <w:kern w:val="2"/>
          <w:sz w:val="24"/>
          <w:szCs w:val="24"/>
          <w:lang w:val="en-US" w:eastAsia="zh-CN" w:bidi="ar-SA"/>
        </w:rPr>
        <w:t>温州市三级及以上资质企业、温州市外浙江省内企业以查询“浙江省建筑市场监管与诚信信息平台”（网址：</w:t>
      </w:r>
      <w:r>
        <w:rPr>
          <w:rFonts w:hint="eastAsia" w:ascii="宋体" w:hAnsi="宋体" w:eastAsia="宋体" w:cs="宋体"/>
          <w:b w:val="0"/>
          <w:bCs w:val="0"/>
          <w:color w:val="333333"/>
          <w:kern w:val="2"/>
          <w:sz w:val="24"/>
          <w:szCs w:val="24"/>
          <w:lang w:val="en-US" w:eastAsia="zh-CN" w:bidi="ar-SA"/>
        </w:rPr>
        <w:fldChar w:fldCharType="begin"/>
      </w:r>
      <w:r>
        <w:rPr>
          <w:rFonts w:hint="eastAsia" w:ascii="宋体" w:hAnsi="宋体" w:eastAsia="宋体" w:cs="宋体"/>
          <w:b w:val="0"/>
          <w:bCs w:val="0"/>
          <w:color w:val="333333"/>
          <w:kern w:val="2"/>
          <w:sz w:val="24"/>
          <w:szCs w:val="24"/>
          <w:lang w:val="en-US" w:eastAsia="zh-CN" w:bidi="ar-SA"/>
        </w:rPr>
        <w:instrText xml:space="preserve"> HYPERLINK "http://223.4.65.131:8080/）“企业信息”-“注册人员”结果为准，投标人应当保持市政公用工程施工总承包二级及以上资质市政公用工程专业注册建造师不少于5人，否则其投标无效。" </w:instrText>
      </w:r>
      <w:r>
        <w:rPr>
          <w:rFonts w:hint="eastAsia" w:ascii="宋体" w:hAnsi="宋体" w:eastAsia="宋体" w:cs="宋体"/>
          <w:b w:val="0"/>
          <w:bCs w:val="0"/>
          <w:color w:val="333333"/>
          <w:kern w:val="2"/>
          <w:sz w:val="24"/>
          <w:szCs w:val="24"/>
          <w:lang w:val="en-US" w:eastAsia="zh-CN" w:bidi="ar-SA"/>
        </w:rPr>
        <w:fldChar w:fldCharType="separate"/>
      </w:r>
      <w:r>
        <w:rPr>
          <w:rFonts w:hint="eastAsia" w:ascii="宋体" w:hAnsi="宋体" w:eastAsia="宋体" w:cs="宋体"/>
          <w:b w:val="0"/>
          <w:bCs w:val="0"/>
          <w:color w:val="333333"/>
          <w:kern w:val="2"/>
          <w:sz w:val="24"/>
          <w:szCs w:val="24"/>
          <w:lang w:val="en-US" w:eastAsia="zh-CN" w:bidi="ar-SA"/>
        </w:rPr>
        <w:t>http://223.4.65</w:t>
      </w:r>
      <w:bookmarkStart w:id="0" w:name="_GoBack"/>
      <w:bookmarkEnd w:id="0"/>
      <w:r>
        <w:rPr>
          <w:rFonts w:hint="eastAsia" w:ascii="宋体" w:hAnsi="宋体" w:eastAsia="宋体" w:cs="宋体"/>
          <w:b w:val="0"/>
          <w:bCs w:val="0"/>
          <w:color w:val="333333"/>
          <w:kern w:val="2"/>
          <w:sz w:val="24"/>
          <w:szCs w:val="24"/>
          <w:lang w:val="en-US" w:eastAsia="zh-CN" w:bidi="ar-SA"/>
        </w:rPr>
        <w:t>.131:8080/）“企业信息”-“注册人员”结果为准，投标人应当保持市政公用工程施工总承包二级及以上资质市政公用工程专业注册建造师不少于5人，否则其投标无效。</w:t>
      </w:r>
      <w:r>
        <w:rPr>
          <w:rFonts w:hint="eastAsia" w:ascii="宋体" w:hAnsi="宋体" w:eastAsia="宋体" w:cs="宋体"/>
          <w:b w:val="0"/>
          <w:bCs w:val="0"/>
          <w:color w:val="333333"/>
          <w:kern w:val="2"/>
          <w:sz w:val="24"/>
          <w:szCs w:val="24"/>
          <w:lang w:val="en-US" w:eastAsia="zh-CN" w:bidi="ar-SA"/>
        </w:rPr>
        <w:fldChar w:fldCharType="end"/>
      </w:r>
    </w:p>
    <w:p>
      <w:pPr>
        <w:pStyle w:val="2"/>
        <w:ind w:left="0" w:leftChars="0" w:firstLine="0" w:firstLineChars="0"/>
        <w:rPr>
          <w:rFonts w:hint="eastAsia"/>
          <w:b w:val="0"/>
          <w:bCs w:val="0"/>
          <w:lang w:val="en-US" w:eastAsia="zh-CN"/>
        </w:rPr>
      </w:pPr>
      <w:r>
        <w:rPr>
          <w:rFonts w:hint="eastAsia"/>
          <w:b w:val="0"/>
          <w:bCs w:val="0"/>
          <w:lang w:val="en-US" w:eastAsia="zh-CN"/>
        </w:rPr>
        <w:t>现更改为：</w:t>
      </w:r>
    </w:p>
    <w:p>
      <w:pPr>
        <w:pStyle w:val="2"/>
        <w:rPr>
          <w:rFonts w:hint="eastAsia" w:ascii="宋体" w:hAnsi="宋体" w:eastAsia="宋体" w:cs="宋体"/>
          <w:b w:val="0"/>
          <w:bCs w:val="0"/>
          <w:color w:val="333333"/>
          <w:kern w:val="2"/>
          <w:sz w:val="24"/>
          <w:szCs w:val="24"/>
          <w:lang w:val="en-US" w:eastAsia="zh-CN" w:bidi="ar-SA"/>
        </w:rPr>
      </w:pPr>
      <w:r>
        <w:rPr>
          <w:rFonts w:hint="eastAsia" w:ascii="宋体" w:hAnsi="宋体" w:eastAsia="宋体" w:cs="宋体"/>
          <w:b w:val="0"/>
          <w:bCs w:val="0"/>
          <w:color w:val="333333"/>
          <w:kern w:val="2"/>
          <w:sz w:val="24"/>
          <w:szCs w:val="24"/>
          <w:lang w:val="en-US" w:eastAsia="zh-CN" w:bidi="ar-SA"/>
        </w:rPr>
        <w:t>温州市二级及以上资质企业、温州市外浙江省内企业以查询“浙江省建筑市场监管与诚信信息平台”（网址：</w:t>
      </w:r>
      <w:r>
        <w:rPr>
          <w:rFonts w:hint="eastAsia" w:ascii="宋体" w:hAnsi="宋体" w:eastAsia="宋体" w:cs="宋体"/>
          <w:b w:val="0"/>
          <w:bCs w:val="0"/>
          <w:color w:val="333333"/>
          <w:kern w:val="2"/>
          <w:sz w:val="24"/>
          <w:szCs w:val="24"/>
          <w:lang w:val="en-US" w:eastAsia="zh-CN" w:bidi="ar-SA"/>
        </w:rPr>
        <w:fldChar w:fldCharType="begin"/>
      </w:r>
      <w:r>
        <w:rPr>
          <w:rFonts w:hint="eastAsia" w:ascii="宋体" w:hAnsi="宋体" w:eastAsia="宋体" w:cs="宋体"/>
          <w:b w:val="0"/>
          <w:bCs w:val="0"/>
          <w:color w:val="333333"/>
          <w:kern w:val="2"/>
          <w:sz w:val="24"/>
          <w:szCs w:val="24"/>
          <w:lang w:val="en-US" w:eastAsia="zh-CN" w:bidi="ar-SA"/>
        </w:rPr>
        <w:instrText xml:space="preserve"> HYPERLINK "http://223.4.65.131:8080/）“企业信息”-“注册人员”结果为准，投标人应当保持市政公用工程施工总承包二级及以上资质市政公用工程专业注册建造师不少于5人，否则其投标无效。" </w:instrText>
      </w:r>
      <w:r>
        <w:rPr>
          <w:rFonts w:hint="eastAsia" w:ascii="宋体" w:hAnsi="宋体" w:eastAsia="宋体" w:cs="宋体"/>
          <w:b w:val="0"/>
          <w:bCs w:val="0"/>
          <w:color w:val="333333"/>
          <w:kern w:val="2"/>
          <w:sz w:val="24"/>
          <w:szCs w:val="24"/>
          <w:lang w:val="en-US" w:eastAsia="zh-CN" w:bidi="ar-SA"/>
        </w:rPr>
        <w:fldChar w:fldCharType="separate"/>
      </w:r>
      <w:r>
        <w:rPr>
          <w:rFonts w:hint="eastAsia" w:ascii="宋体" w:hAnsi="宋体" w:eastAsia="宋体" w:cs="宋体"/>
          <w:b w:val="0"/>
          <w:bCs w:val="0"/>
          <w:color w:val="333333"/>
          <w:kern w:val="2"/>
          <w:sz w:val="24"/>
          <w:szCs w:val="24"/>
          <w:lang w:val="en-US" w:eastAsia="zh-CN" w:bidi="ar-SA"/>
        </w:rPr>
        <w:t>http://223.4.65.131:8080/）“企业信息”-“注册人员”结果为准，投标人应当保持市政公用工程施工总承包二级及以上资质市政公用工程专业注册建造师不少于5人，否则其投标无效。</w:t>
      </w:r>
      <w:r>
        <w:rPr>
          <w:rFonts w:hint="eastAsia" w:ascii="宋体" w:hAnsi="宋体" w:eastAsia="宋体" w:cs="宋体"/>
          <w:b w:val="0"/>
          <w:bCs w:val="0"/>
          <w:color w:val="333333"/>
          <w:kern w:val="2"/>
          <w:sz w:val="24"/>
          <w:szCs w:val="24"/>
          <w:lang w:val="en-US" w:eastAsia="zh-CN" w:bidi="ar-SA"/>
        </w:rPr>
        <w:fldChar w:fldCharType="end"/>
      </w:r>
    </w:p>
    <w:p>
      <w:pPr>
        <w:pStyle w:val="2"/>
        <w:rPr>
          <w:rFonts w:hint="eastAsia" w:ascii="宋体" w:hAnsi="宋体" w:eastAsia="宋体" w:cs="宋体"/>
          <w:b w:val="0"/>
          <w:bCs w:val="0"/>
          <w:color w:val="333333"/>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color w:val="333333"/>
          <w:kern w:val="2"/>
          <w:sz w:val="24"/>
          <w:szCs w:val="24"/>
          <w:lang w:val="en-US" w:eastAsia="zh-CN" w:bidi="ar-SA"/>
        </w:rPr>
      </w:pPr>
      <w:r>
        <w:rPr>
          <w:rFonts w:hint="eastAsia" w:ascii="宋体" w:hAnsi="宋体" w:eastAsia="宋体" w:cs="宋体"/>
          <w:b w:val="0"/>
          <w:bCs w:val="0"/>
          <w:color w:val="333333"/>
          <w:kern w:val="2"/>
          <w:sz w:val="24"/>
          <w:szCs w:val="24"/>
          <w:lang w:val="en-US" w:eastAsia="zh-CN" w:bidi="ar-SA"/>
        </w:rPr>
        <w:t>如原招标文件中出现与上诉内容不同的，以补充说明为准.</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hAnsi="宋体" w:eastAsia="宋体" w:cs="宋体"/>
          <w:color w:val="333333"/>
          <w:sz w:val="24"/>
          <w:szCs w:val="24"/>
        </w:rPr>
      </w:pPr>
      <w:r>
        <w:rPr>
          <w:rFonts w:ascii="宋体" w:hAnsi="宋体" w:eastAsia="宋体" w:cs="宋体"/>
          <w:color w:val="333333"/>
          <w:sz w:val="24"/>
          <w:szCs w:val="24"/>
        </w:rPr>
        <w:br w:type="textWrapping"/>
      </w:r>
      <w:r>
        <w:rPr>
          <w:rFonts w:ascii="宋体" w:hAnsi="宋体" w:eastAsia="宋体" w:cs="宋体"/>
          <w:color w:val="333333"/>
          <w:sz w:val="24"/>
          <w:szCs w:val="24"/>
        </w:rPr>
        <w:br w:type="textWrapping"/>
      </w:r>
      <w:r>
        <w:rPr>
          <w:rFonts w:ascii="宋体" w:hAnsi="宋体" w:eastAsia="宋体" w:cs="宋体"/>
          <w:color w:val="333333"/>
          <w:sz w:val="24"/>
          <w:szCs w:val="24"/>
        </w:rPr>
        <w:t>平阳县万全镇人民政府</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pPr>
      <w:r>
        <w:rPr>
          <w:rFonts w:hint="eastAsia" w:ascii="宋体" w:hAnsi="宋体" w:eastAsia="宋体" w:cs="宋体"/>
          <w:color w:val="333333"/>
          <w:sz w:val="24"/>
          <w:szCs w:val="24"/>
          <w:lang w:val="en-US" w:eastAsia="zh-CN"/>
        </w:rPr>
        <w:t>浙江华夏工程管理</w:t>
      </w:r>
      <w:r>
        <w:rPr>
          <w:rFonts w:ascii="宋体" w:hAnsi="宋体" w:eastAsia="宋体" w:cs="宋体"/>
          <w:color w:val="333333"/>
          <w:sz w:val="24"/>
          <w:szCs w:val="24"/>
        </w:rPr>
        <w:t>有限公司</w:t>
      </w:r>
      <w:r>
        <w:rPr>
          <w:rFonts w:ascii="宋体" w:hAnsi="宋体" w:eastAsia="宋体" w:cs="宋体"/>
          <w:color w:val="333333"/>
          <w:sz w:val="24"/>
          <w:szCs w:val="24"/>
        </w:rPr>
        <w:br w:type="textWrapping"/>
      </w:r>
      <w:r>
        <w:rPr>
          <w:rFonts w:ascii="宋体" w:hAnsi="宋体" w:eastAsia="宋体" w:cs="宋体"/>
          <w:color w:val="333333"/>
          <w:sz w:val="24"/>
          <w:szCs w:val="24"/>
        </w:rPr>
        <w:t>2021年 8月</w:t>
      </w:r>
      <w:r>
        <w:rPr>
          <w:rFonts w:hint="eastAsia" w:ascii="宋体" w:hAnsi="宋体" w:eastAsia="宋体" w:cs="宋体"/>
          <w:color w:val="333333"/>
          <w:sz w:val="24"/>
          <w:szCs w:val="24"/>
          <w:lang w:val="en-US" w:eastAsia="zh-CN"/>
        </w:rPr>
        <w:t>30</w:t>
      </w:r>
      <w:r>
        <w:rPr>
          <w:rFonts w:ascii="宋体" w:hAnsi="宋体" w:eastAsia="宋体" w:cs="宋体"/>
          <w:color w:val="333333"/>
          <w:sz w:val="24"/>
          <w:szCs w:val="24"/>
        </w:rPr>
        <w:t>日</w:t>
      </w:r>
    </w:p>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00CE5"/>
    <w:rsid w:val="13C92463"/>
    <w:rsid w:val="14D86D21"/>
    <w:rsid w:val="14FB1ED6"/>
    <w:rsid w:val="2B593BE7"/>
    <w:rsid w:val="37BF43E9"/>
    <w:rsid w:val="3BD11CBD"/>
    <w:rsid w:val="468F15E7"/>
    <w:rsid w:val="518C6E82"/>
    <w:rsid w:val="62C96AD7"/>
    <w:rsid w:val="6FED5A76"/>
    <w:rsid w:val="71081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tabs>
        <w:tab w:val="left" w:pos="9360"/>
      </w:tabs>
      <w:adjustRightInd/>
      <w:ind w:firstLine="420" w:firstLineChars="100"/>
      <w:textAlignment w:val="auto"/>
    </w:pPr>
    <w:rPr>
      <w:b/>
      <w:bCs/>
      <w:sz w:val="21"/>
      <w:szCs w:val="24"/>
    </w:rPr>
  </w:style>
  <w:style w:type="paragraph" w:styleId="3">
    <w:name w:val="Body Text"/>
    <w:basedOn w:val="1"/>
    <w:next w:val="2"/>
    <w:qFormat/>
    <w:uiPriority w:val="0"/>
    <w:pPr>
      <w:tabs>
        <w:tab w:val="left" w:pos="9360"/>
      </w:tabs>
    </w:pPr>
    <w:rPr>
      <w:sz w:val="24"/>
      <w:szCs w:val="20"/>
    </w:rPr>
  </w:style>
  <w:style w:type="paragraph" w:styleId="4">
    <w:name w:val="Normal (Web)"/>
    <w:basedOn w:val="1"/>
    <w:qFormat/>
    <w:uiPriority w:val="0"/>
    <w:pPr>
      <w:widowControl/>
      <w:spacing w:before="100" w:beforeLines="0" w:after="100" w:afterLines="0"/>
      <w:jc w:val="left"/>
    </w:pPr>
    <w:rPr>
      <w:rFonts w:ascii="宋体" w:hAnsi="宋体"/>
      <w:kern w:val="0"/>
      <w:sz w:val="24"/>
      <w:szCs w:val="20"/>
    </w:rPr>
  </w:style>
  <w:style w:type="character" w:styleId="7">
    <w:name w:val="Strong"/>
    <w:basedOn w:val="6"/>
    <w:qFormat/>
    <w:uiPriority w:val="0"/>
  </w:style>
  <w:style w:type="character" w:styleId="8">
    <w:name w:val="FollowedHyperlink"/>
    <w:basedOn w:val="6"/>
    <w:qFormat/>
    <w:uiPriority w:val="0"/>
    <w:rPr>
      <w:color w:val="4A4A4A"/>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4A4A4A"/>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paragraph" w:customStyle="1" w:styleId="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2021-08-30T02:01:33Z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E88E24868493462B80D3D7E49741D4D5</vt:lpwstr>
  </property>
</Properties>
</file>